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8FEEC" w14:textId="13FDCCC7" w:rsidR="00A84D04" w:rsidRPr="00C72E6C" w:rsidRDefault="00372A15" w:rsidP="00BB5FC9">
      <w:pPr>
        <w:bidi/>
        <w:spacing w:after="0" w:line="276" w:lineRule="auto"/>
        <w:rPr>
          <w:rFonts w:ascii="Segoe UI" w:hAnsi="Segoe UI" w:cs="Segoe UI"/>
          <w:lang w:val="en-US"/>
        </w:rPr>
      </w:pPr>
      <w:bookmarkStart w:id="0" w:name="_Hlk88947537"/>
      <w:bookmarkEnd w:id="0"/>
      <w:r w:rsidRPr="00C72E6C">
        <w:rPr>
          <w:rFonts w:ascii="Segoe UI" w:hAnsi="Segoe UI" w:cs="Segoe UI"/>
          <w:noProof/>
        </w:rPr>
        <mc:AlternateContent>
          <mc:Choice Requires="wps">
            <w:drawing>
              <wp:anchor distT="0" distB="0" distL="114300" distR="114300" simplePos="0" relativeHeight="251661312" behindDoc="0" locked="0" layoutInCell="1" allowOverlap="1" wp14:anchorId="0B25BF90" wp14:editId="5C73B7B0">
                <wp:simplePos x="0" y="0"/>
                <wp:positionH relativeFrom="column">
                  <wp:posOffset>-540385</wp:posOffset>
                </wp:positionH>
                <wp:positionV relativeFrom="paragraph">
                  <wp:posOffset>-349250</wp:posOffset>
                </wp:positionV>
                <wp:extent cx="3168266" cy="5311471"/>
                <wp:effectExtent l="0" t="0" r="0" b="3810"/>
                <wp:wrapNone/>
                <wp:docPr id="1" name="תיבת טקסט 1"/>
                <wp:cNvGraphicFramePr/>
                <a:graphic xmlns:a="http://schemas.openxmlformats.org/drawingml/2006/main">
                  <a:graphicData uri="http://schemas.microsoft.com/office/word/2010/wordprocessingShape">
                    <wps:wsp>
                      <wps:cNvSpPr txBox="1"/>
                      <wps:spPr>
                        <a:xfrm>
                          <a:off x="0" y="0"/>
                          <a:ext cx="3168266" cy="5311471"/>
                        </a:xfrm>
                        <a:prstGeom prst="rect">
                          <a:avLst/>
                        </a:prstGeom>
                        <a:noFill/>
                        <a:ln w="6350">
                          <a:noFill/>
                        </a:ln>
                      </wps:spPr>
                      <wps:txbx>
                        <w:txbxContent>
                          <w:p w14:paraId="4DB22803" w14:textId="3F0380EF" w:rsidR="00A301FC" w:rsidRPr="00E1183F" w:rsidRDefault="00E1183F" w:rsidP="00A85612">
                            <w:pPr>
                              <w:spacing w:after="0" w:line="240" w:lineRule="auto"/>
                              <w:jc w:val="center"/>
                              <w:rPr>
                                <w:rFonts w:ascii="Amatica SC" w:hAnsi="Amatica SC" w:cs="Amatica SC"/>
                                <w:b/>
                                <w:bCs/>
                                <w:color w:val="D9D9D9" w:themeColor="background1" w:themeShade="D9"/>
                                <w:sz w:val="220"/>
                                <w:szCs w:val="220"/>
                                <w:rtl/>
                                <w:lang w:val="en-ZW"/>
                              </w:rPr>
                            </w:pPr>
                            <w:r w:rsidRPr="00E1183F">
                              <w:rPr>
                                <w:rFonts w:ascii="Amatica SC" w:hAnsi="Amatica SC" w:cs="Amatica SC" w:hint="cs"/>
                                <w:b/>
                                <w:bCs/>
                                <w:color w:val="D9D9D9" w:themeColor="background1" w:themeShade="D9"/>
                                <w:sz w:val="220"/>
                                <w:szCs w:val="220"/>
                                <w:rtl/>
                                <w:lang w:val="en-ZW"/>
                              </w:rPr>
                              <w:t>הענישה הפלילית</w:t>
                            </w:r>
                          </w:p>
                          <w:p w14:paraId="6E87AFB3" w14:textId="35AABBEA" w:rsidR="00DC1F53" w:rsidRPr="00E1183F" w:rsidRDefault="00E1183F" w:rsidP="00A85612">
                            <w:pPr>
                              <w:spacing w:after="0" w:line="240" w:lineRule="auto"/>
                              <w:jc w:val="center"/>
                              <w:rPr>
                                <w:rFonts w:ascii="Amatica SC" w:hAnsi="Amatica SC" w:cs="Amatica SC"/>
                                <w:b/>
                                <w:bCs/>
                                <w:color w:val="D9D9D9" w:themeColor="background1" w:themeShade="D9"/>
                                <w:sz w:val="96"/>
                                <w:szCs w:val="96"/>
                                <w:lang w:val="en-ZW"/>
                              </w:rPr>
                            </w:pPr>
                            <w:r w:rsidRPr="00E1183F">
                              <w:rPr>
                                <w:rFonts w:ascii="Amatica SC" w:hAnsi="Amatica SC" w:cs="Amatica SC" w:hint="cs"/>
                                <w:b/>
                                <w:bCs/>
                                <w:color w:val="D9D9D9" w:themeColor="background1" w:themeShade="D9"/>
                                <w:sz w:val="96"/>
                                <w:szCs w:val="96"/>
                                <w:rtl/>
                                <w:lang w:val="en-ZW"/>
                              </w:rPr>
                              <w:t>ד"ר שי פרבר</w:t>
                            </w:r>
                          </w:p>
                          <w:p w14:paraId="6FFAF06F" w14:textId="77777777" w:rsidR="00A301FC" w:rsidRPr="00C01688" w:rsidRDefault="00A301FC" w:rsidP="004F102B">
                            <w:pPr>
                              <w:spacing w:after="0" w:line="240" w:lineRule="auto"/>
                              <w:jc w:val="right"/>
                              <w:rPr>
                                <w:rFonts w:ascii="Amatica SC" w:hAnsi="Amatica SC" w:cs="Amatica SC"/>
                                <w:b/>
                                <w:bCs/>
                                <w:color w:val="D9D9D9" w:themeColor="background1" w:themeShade="D9"/>
                                <w:sz w:val="144"/>
                                <w:szCs w:val="144"/>
                                <w:lang w:val="en-ZW"/>
                              </w:rPr>
                            </w:pPr>
                          </w:p>
                          <w:p w14:paraId="25708A2B" w14:textId="77777777" w:rsidR="004F102B" w:rsidRPr="00C01688" w:rsidRDefault="004F102B" w:rsidP="004F102B">
                            <w:pPr>
                              <w:spacing w:line="240" w:lineRule="auto"/>
                              <w:rPr>
                                <w:rFonts w:ascii="Amatica SC" w:hAnsi="Amatica SC" w:cs="Amatica SC"/>
                                <w:color w:val="D9D9D9" w:themeColor="background1" w:themeShade="D9"/>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5BF90" id="_x0000_t202" coordsize="21600,21600" o:spt="202" path="m,l,21600r21600,l21600,xe">
                <v:stroke joinstyle="miter"/>
                <v:path gradientshapeok="t" o:connecttype="rect"/>
              </v:shapetype>
              <v:shape id="תיבת טקסט 1" o:spid="_x0000_s1026" type="#_x0000_t202" style="position:absolute;left:0;text-align:left;margin-left:-42.55pt;margin-top:-27.5pt;width:249.45pt;height:4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" filled="f" stroked="f" strokeweight=".5pt">
                <v:textbox>
                  <w:txbxContent>
                    <w:p w14:paraId="4DB22803" w14:textId="3F0380EF" w:rsidR="00A301FC" w:rsidRPr="00E1183F" w:rsidRDefault="00E1183F" w:rsidP="00A85612">
                      <w:pPr>
                        <w:spacing w:after="0" w:line="240" w:lineRule="auto"/>
                        <w:jc w:val="center"/>
                        <w:rPr>
                          <w:rFonts w:ascii="Amatica SC" w:hAnsi="Amatica SC" w:cs="Amatica SC"/>
                          <w:b/>
                          <w:bCs/>
                          <w:color w:val="D9D9D9" w:themeColor="background1" w:themeShade="D9"/>
                          <w:sz w:val="220"/>
                          <w:szCs w:val="220"/>
                          <w:rtl/>
                          <w:lang w:val="en-ZW"/>
                        </w:rPr>
                      </w:pPr>
                      <w:r w:rsidRPr="00E1183F">
                        <w:rPr>
                          <w:rFonts w:ascii="Amatica SC" w:hAnsi="Amatica SC" w:cs="Amatica SC" w:hint="cs"/>
                          <w:b/>
                          <w:bCs/>
                          <w:color w:val="D9D9D9" w:themeColor="background1" w:themeShade="D9"/>
                          <w:sz w:val="220"/>
                          <w:szCs w:val="220"/>
                          <w:rtl/>
                          <w:lang w:val="en-ZW"/>
                        </w:rPr>
                        <w:t>הענישה הפלילית</w:t>
                      </w:r>
                    </w:p>
                    <w:p w14:paraId="6E87AFB3" w14:textId="35AABBEA" w:rsidR="00DC1F53" w:rsidRPr="00E1183F" w:rsidRDefault="00E1183F" w:rsidP="00A85612">
                      <w:pPr>
                        <w:spacing w:after="0" w:line="240" w:lineRule="auto"/>
                        <w:jc w:val="center"/>
                        <w:rPr>
                          <w:rFonts w:ascii="Amatica SC" w:hAnsi="Amatica SC" w:cs="Amatica SC"/>
                          <w:b/>
                          <w:bCs/>
                          <w:color w:val="D9D9D9" w:themeColor="background1" w:themeShade="D9"/>
                          <w:sz w:val="96"/>
                          <w:szCs w:val="96"/>
                          <w:lang w:val="en-ZW"/>
                        </w:rPr>
                      </w:pPr>
                      <w:r w:rsidRPr="00E1183F">
                        <w:rPr>
                          <w:rFonts w:ascii="Amatica SC" w:hAnsi="Amatica SC" w:cs="Amatica SC" w:hint="cs"/>
                          <w:b/>
                          <w:bCs/>
                          <w:color w:val="D9D9D9" w:themeColor="background1" w:themeShade="D9"/>
                          <w:sz w:val="96"/>
                          <w:szCs w:val="96"/>
                          <w:rtl/>
                          <w:lang w:val="en-ZW"/>
                        </w:rPr>
                        <w:t>ד"ר שי פרבר</w:t>
                      </w:r>
                    </w:p>
                    <w:p w14:paraId="6FFAF06F" w14:textId="77777777" w:rsidR="00A301FC" w:rsidRPr="00C01688" w:rsidRDefault="00A301FC" w:rsidP="004F102B">
                      <w:pPr>
                        <w:spacing w:after="0" w:line="240" w:lineRule="auto"/>
                        <w:jc w:val="right"/>
                        <w:rPr>
                          <w:rFonts w:ascii="Amatica SC" w:hAnsi="Amatica SC" w:cs="Amatica SC"/>
                          <w:b/>
                          <w:bCs/>
                          <w:color w:val="D9D9D9" w:themeColor="background1" w:themeShade="D9"/>
                          <w:sz w:val="144"/>
                          <w:szCs w:val="144"/>
                          <w:lang w:val="en-ZW"/>
                        </w:rPr>
                      </w:pPr>
                    </w:p>
                    <w:p w14:paraId="25708A2B" w14:textId="77777777" w:rsidR="004F102B" w:rsidRPr="00C01688" w:rsidRDefault="004F102B" w:rsidP="004F102B">
                      <w:pPr>
                        <w:spacing w:line="240" w:lineRule="auto"/>
                        <w:rPr>
                          <w:rFonts w:ascii="Amatica SC" w:hAnsi="Amatica SC" w:cs="Amatica SC"/>
                          <w:color w:val="D9D9D9" w:themeColor="background1" w:themeShade="D9"/>
                        </w:rPr>
                      </w:pPr>
                    </w:p>
                  </w:txbxContent>
                </v:textbox>
              </v:shape>
            </w:pict>
          </mc:Fallback>
        </mc:AlternateContent>
      </w:r>
      <w:r w:rsidRPr="00C72E6C">
        <w:rPr>
          <w:rFonts w:ascii="Segoe UI" w:hAnsi="Segoe UI" w:cs="Segoe UI"/>
          <w:noProof/>
        </w:rPr>
        <mc:AlternateContent>
          <mc:Choice Requires="wps">
            <w:drawing>
              <wp:anchor distT="0" distB="0" distL="114300" distR="114300" simplePos="0" relativeHeight="251660288" behindDoc="0" locked="0" layoutInCell="1" allowOverlap="1" wp14:anchorId="122E7A20" wp14:editId="24ABD49B">
                <wp:simplePos x="0" y="0"/>
                <wp:positionH relativeFrom="column">
                  <wp:posOffset>2632185</wp:posOffset>
                </wp:positionH>
                <wp:positionV relativeFrom="paragraph">
                  <wp:posOffset>-1115419</wp:posOffset>
                </wp:positionV>
                <wp:extent cx="4476115" cy="11545294"/>
                <wp:effectExtent l="0" t="0" r="635" b="0"/>
                <wp:wrapNone/>
                <wp:docPr id="7" name="מלבן 7"/>
                <wp:cNvGraphicFramePr/>
                <a:graphic xmlns:a="http://schemas.openxmlformats.org/drawingml/2006/main">
                  <a:graphicData uri="http://schemas.microsoft.com/office/word/2010/wordprocessingShape">
                    <wps:wsp>
                      <wps:cNvSpPr/>
                      <wps:spPr>
                        <a:xfrm>
                          <a:off x="0" y="0"/>
                          <a:ext cx="4476115" cy="11545294"/>
                        </a:xfrm>
                        <a:prstGeom prst="rect">
                          <a:avLst/>
                        </a:prstGeom>
                        <a:blipFill dpi="0" rotWithShape="1">
                          <a:blip r:embed="rId8"/>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9C458" id="מלבן 7" o:spid="_x0000_s1026" style="position:absolute;left:0;text-align:left;margin-left:207.25pt;margin-top:-87.85pt;width:352.45pt;height:90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" stroked="f" strokeweight="1pt">
                <v:fill r:id="rId9" o:title="" recolor="t" rotate="t" type="tile"/>
              </v:rect>
            </w:pict>
          </mc:Fallback>
        </mc:AlternateContent>
      </w:r>
      <w:r w:rsidR="00A301FC" w:rsidRPr="00C72E6C">
        <w:rPr>
          <w:rFonts w:ascii="Segoe UI" w:hAnsi="Segoe UI" w:cs="Segoe UI"/>
          <w:noProof/>
        </w:rPr>
        <mc:AlternateContent>
          <mc:Choice Requires="wps">
            <w:drawing>
              <wp:anchor distT="0" distB="0" distL="114300" distR="114300" simplePos="0" relativeHeight="251659264" behindDoc="0" locked="0" layoutInCell="1" allowOverlap="1" wp14:anchorId="504A6649" wp14:editId="2518CD1D">
                <wp:simplePos x="0" y="0"/>
                <wp:positionH relativeFrom="page">
                  <wp:posOffset>-3810</wp:posOffset>
                </wp:positionH>
                <wp:positionV relativeFrom="page">
                  <wp:posOffset>-149978</wp:posOffset>
                </wp:positionV>
                <wp:extent cx="3172570" cy="10845248"/>
                <wp:effectExtent l="0" t="0" r="8890" b="0"/>
                <wp:wrapNone/>
                <wp:docPr id="468" name="מלבן 468"/>
                <wp:cNvGraphicFramePr/>
                <a:graphic xmlns:a="http://schemas.openxmlformats.org/drawingml/2006/main">
                  <a:graphicData uri="http://schemas.microsoft.com/office/word/2010/wordprocessingShape">
                    <wps:wsp>
                      <wps:cNvSpPr/>
                      <wps:spPr>
                        <a:xfrm flipH="1">
                          <a:off x="0" y="0"/>
                          <a:ext cx="3172570" cy="10845248"/>
                        </a:xfrm>
                        <a:prstGeom prst="rect">
                          <a:avLst/>
                        </a:prstGeom>
                        <a:solidFill>
                          <a:srgbClr val="444546"/>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F393F6" id="מלבן 468" o:spid="_x0000_s1026" style="position:absolute;left:0;text-align:left;margin-left:-.3pt;margin-top:-11.8pt;width:249.8pt;height:853.9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" fillcolor="#444546" stroked="f" strokeweight="1.25pt">
                <w10:wrap anchorx="page" anchory="page"/>
              </v:rect>
            </w:pict>
          </mc:Fallback>
        </mc:AlternateContent>
      </w:r>
    </w:p>
    <w:sdt>
      <w:sdtPr>
        <w:rPr>
          <w:rFonts w:ascii="Segoe UI" w:hAnsi="Segoe UI" w:cs="Segoe UI"/>
          <w:rtl/>
        </w:rPr>
        <w:id w:val="-1957476640"/>
        <w:docPartObj>
          <w:docPartGallery w:val="Cover Pages"/>
          <w:docPartUnique/>
        </w:docPartObj>
      </w:sdtPr>
      <w:sdtEndPr>
        <w:rPr>
          <w:lang w:val="en-ZW"/>
        </w:rPr>
      </w:sdtEndPr>
      <w:sdtContent>
        <w:p w14:paraId="7B09E3BB" w14:textId="34723649" w:rsidR="008E3B7D" w:rsidRPr="00C72E6C" w:rsidRDefault="008E3B7D" w:rsidP="00BB5FC9">
          <w:pPr>
            <w:bidi/>
            <w:spacing w:after="0" w:line="276" w:lineRule="auto"/>
            <w:rPr>
              <w:rFonts w:ascii="Segoe UI" w:hAnsi="Segoe UI" w:cs="Segoe UI"/>
            </w:rPr>
          </w:pPr>
        </w:p>
        <w:p w14:paraId="66C0ECD0" w14:textId="33066101" w:rsidR="000760FF" w:rsidRPr="001F3195" w:rsidRDefault="00181EF6" w:rsidP="001F3195">
          <w:pPr>
            <w:bidi/>
            <w:spacing w:after="0" w:line="276" w:lineRule="auto"/>
            <w:rPr>
              <w:rFonts w:ascii="Segoe UI" w:hAnsi="Segoe UI" w:cs="Segoe UI"/>
              <w:rtl/>
              <w:lang w:val="en-ZW"/>
            </w:rPr>
          </w:pPr>
          <w:r w:rsidRPr="00C72E6C">
            <w:rPr>
              <w:rFonts w:ascii="Segoe UI" w:hAnsi="Segoe UI" w:cs="Segoe UI"/>
              <w:noProof/>
            </w:rPr>
            <mc:AlternateContent>
              <mc:Choice Requires="wps">
                <w:drawing>
                  <wp:anchor distT="0" distB="0" distL="114300" distR="114300" simplePos="0" relativeHeight="251665408" behindDoc="0" locked="0" layoutInCell="1" allowOverlap="1" wp14:anchorId="33453960" wp14:editId="3471C127">
                    <wp:simplePos x="0" y="0"/>
                    <wp:positionH relativeFrom="column">
                      <wp:posOffset>-732155</wp:posOffset>
                    </wp:positionH>
                    <wp:positionV relativeFrom="paragraph">
                      <wp:posOffset>7154545</wp:posOffset>
                    </wp:positionV>
                    <wp:extent cx="3355450" cy="3253562"/>
                    <wp:effectExtent l="0" t="0" r="0" b="4445"/>
                    <wp:wrapNone/>
                    <wp:docPr id="3" name="תיבת טקסט 3"/>
                    <wp:cNvGraphicFramePr/>
                    <a:graphic xmlns:a="http://schemas.openxmlformats.org/drawingml/2006/main">
                      <a:graphicData uri="http://schemas.microsoft.com/office/word/2010/wordprocessingShape">
                        <wps:wsp>
                          <wps:cNvSpPr txBox="1"/>
                          <wps:spPr>
                            <a:xfrm>
                              <a:off x="0" y="0"/>
                              <a:ext cx="3355450" cy="3253562"/>
                            </a:xfrm>
                            <a:prstGeom prst="rect">
                              <a:avLst/>
                            </a:prstGeom>
                            <a:noFill/>
                            <a:ln w="6350">
                              <a:noFill/>
                            </a:ln>
                          </wps:spPr>
                          <wps:txbx>
                            <w:txbxContent>
                              <w:p w14:paraId="668B71E1" w14:textId="4ACD449E" w:rsidR="00A563EA" w:rsidRPr="00E1183F" w:rsidRDefault="00AA13E4" w:rsidP="00AA13E4">
                                <w:pPr>
                                  <w:jc w:val="center"/>
                                  <w:rPr>
                                    <w:rFonts w:ascii="Amatica SC" w:hAnsi="Amatica SC" w:cs="Amatica SC"/>
                                    <w:b/>
                                    <w:bCs/>
                                    <w:color w:val="D9D9D9" w:themeColor="background1" w:themeShade="D9"/>
                                    <w:sz w:val="96"/>
                                    <w:szCs w:val="96"/>
                                    <w:rtl/>
                                    <w:lang w:val="en-ZW"/>
                                  </w:rPr>
                                </w:pPr>
                                <w:r w:rsidRPr="00E1183F">
                                  <w:rPr>
                                    <w:rFonts w:ascii="Amatica SC" w:hAnsi="Amatica SC" w:cs="Amatica SC"/>
                                    <w:b/>
                                    <w:bCs/>
                                    <w:color w:val="D9D9D9" w:themeColor="background1" w:themeShade="D9"/>
                                    <w:sz w:val="96"/>
                                    <w:szCs w:val="96"/>
                                    <w:rtl/>
                                    <w:lang w:val="en-ZW"/>
                                  </w:rPr>
                                  <w:t>ניקול מעין וקסלר</w:t>
                                </w:r>
                              </w:p>
                              <w:p w14:paraId="3FCE3F0F" w14:textId="7ABE439B" w:rsidR="00AA13E4" w:rsidRPr="00E1183F" w:rsidRDefault="002D7070" w:rsidP="00AA13E4">
                                <w:pPr>
                                  <w:jc w:val="center"/>
                                  <w:rPr>
                                    <w:rFonts w:ascii="Amatica SC" w:hAnsi="Amatica SC" w:cs="Amatica SC"/>
                                    <w:b/>
                                    <w:bCs/>
                                    <w:color w:val="D9D9D9" w:themeColor="background1" w:themeShade="D9"/>
                                    <w:sz w:val="52"/>
                                    <w:szCs w:val="52"/>
                                    <w:rtl/>
                                    <w:lang w:val="en-ZW"/>
                                  </w:rPr>
                                </w:pPr>
                                <w:r w:rsidRPr="00E1183F">
                                  <w:rPr>
                                    <w:rFonts w:ascii="Amatica SC" w:hAnsi="Amatica SC" w:cs="Amatica SC"/>
                                    <w:b/>
                                    <w:bCs/>
                                    <w:color w:val="D9D9D9" w:themeColor="background1" w:themeShade="D9"/>
                                    <w:sz w:val="52"/>
                                    <w:szCs w:val="52"/>
                                    <w:rtl/>
                                    <w:lang w:val="en-ZW"/>
                                  </w:rPr>
                                  <w:t>תשפ"</w:t>
                                </w:r>
                                <w:r w:rsidR="00F96C43" w:rsidRPr="00E1183F">
                                  <w:rPr>
                                    <w:rFonts w:ascii="Amatica SC" w:hAnsi="Amatica SC" w:cs="Amatica SC" w:hint="cs"/>
                                    <w:b/>
                                    <w:bCs/>
                                    <w:color w:val="D9D9D9" w:themeColor="background1" w:themeShade="D9"/>
                                    <w:sz w:val="52"/>
                                    <w:szCs w:val="52"/>
                                    <w:rtl/>
                                    <w:lang w:val="en-ZW"/>
                                  </w:rPr>
                                  <w:t>ב</w:t>
                                </w:r>
                              </w:p>
                              <w:p w14:paraId="2C65EBC5" w14:textId="0851A592" w:rsidR="002D7070" w:rsidRPr="00E1183F" w:rsidRDefault="002D7070" w:rsidP="00AA13E4">
                                <w:pPr>
                                  <w:jc w:val="center"/>
                                  <w:rPr>
                                    <w:rFonts w:ascii="Amatica SC" w:hAnsi="Amatica SC" w:cs="Amatica SC"/>
                                    <w:b/>
                                    <w:bCs/>
                                    <w:color w:val="D9D9D9" w:themeColor="background1" w:themeShade="D9"/>
                                    <w:sz w:val="56"/>
                                    <w:szCs w:val="56"/>
                                    <w:lang w:val="en-ZW"/>
                                  </w:rPr>
                                </w:pPr>
                                <w:r w:rsidRPr="00E1183F">
                                  <w:rPr>
                                    <w:rFonts w:ascii="Amatica SC" w:hAnsi="Amatica SC" w:cs="Amatica SC"/>
                                    <w:b/>
                                    <w:bCs/>
                                    <w:color w:val="D9D9D9" w:themeColor="background1" w:themeShade="D9"/>
                                    <w:sz w:val="52"/>
                                    <w:szCs w:val="52"/>
                                    <w:rtl/>
                                    <w:lang w:val="en-ZW"/>
                                  </w:rPr>
                                  <w:t>(</w:t>
                                </w:r>
                                <w:r w:rsidR="00F96C43" w:rsidRPr="00E1183F">
                                  <w:rPr>
                                    <w:rFonts w:ascii="Amatica SC" w:hAnsi="Amatica SC" w:cs="Amatica SC" w:hint="cs"/>
                                    <w:b/>
                                    <w:bCs/>
                                    <w:color w:val="D9D9D9" w:themeColor="background1" w:themeShade="D9"/>
                                    <w:sz w:val="52"/>
                                    <w:szCs w:val="52"/>
                                    <w:rtl/>
                                    <w:lang w:val="en-ZW"/>
                                  </w:rPr>
                                  <w:t>2022</w:t>
                                </w:r>
                                <w:r w:rsidR="00B55533" w:rsidRPr="00E1183F">
                                  <w:rPr>
                                    <w:rFonts w:ascii="Amatica SC" w:hAnsi="Amatica SC" w:cs="Amatica SC"/>
                                    <w:b/>
                                    <w:bCs/>
                                    <w:color w:val="D9D9D9" w:themeColor="background1" w:themeShade="D9"/>
                                    <w:sz w:val="52"/>
                                    <w:szCs w:val="52"/>
                                    <w:rtl/>
                                    <w:lang w:val="en-ZW"/>
                                  </w:rPr>
                                  <w:t>-</w:t>
                                </w:r>
                                <w:r w:rsidR="00F96C43" w:rsidRPr="00E1183F">
                                  <w:rPr>
                                    <w:rFonts w:ascii="Amatica SC" w:hAnsi="Amatica SC" w:cs="Amatica SC" w:hint="cs"/>
                                    <w:b/>
                                    <w:bCs/>
                                    <w:color w:val="D9D9D9" w:themeColor="background1" w:themeShade="D9"/>
                                    <w:sz w:val="52"/>
                                    <w:szCs w:val="52"/>
                                    <w:rtl/>
                                    <w:lang w:val="en-ZW"/>
                                  </w:rPr>
                                  <w:t>2021</w:t>
                                </w:r>
                                <w:r w:rsidRPr="00E1183F">
                                  <w:rPr>
                                    <w:rFonts w:ascii="Amatica SC" w:hAnsi="Amatica SC" w:cs="Amatica SC"/>
                                    <w:b/>
                                    <w:bCs/>
                                    <w:color w:val="D9D9D9" w:themeColor="background1" w:themeShade="D9"/>
                                    <w:sz w:val="52"/>
                                    <w:szCs w:val="52"/>
                                    <w:rtl/>
                                    <w:lang w:val="en-ZW"/>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3960" id="תיבת טקסט 3" o:spid="_x0000_s1027" type="#_x0000_t202" style="position:absolute;left:0;text-align:left;margin-left:-57.65pt;margin-top:563.35pt;width:264.2pt;height:25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" filled="f" stroked="f" strokeweight=".5pt">
                    <v:textbox>
                      <w:txbxContent>
                        <w:p w14:paraId="668B71E1" w14:textId="4ACD449E" w:rsidR="00A563EA" w:rsidRPr="00E1183F" w:rsidRDefault="00AA13E4" w:rsidP="00AA13E4">
                          <w:pPr>
                            <w:jc w:val="center"/>
                            <w:rPr>
                              <w:rFonts w:ascii="Amatica SC" w:hAnsi="Amatica SC" w:cs="Amatica SC"/>
                              <w:b/>
                              <w:bCs/>
                              <w:color w:val="D9D9D9" w:themeColor="background1" w:themeShade="D9"/>
                              <w:sz w:val="96"/>
                              <w:szCs w:val="96"/>
                              <w:rtl/>
                              <w:lang w:val="en-ZW"/>
                            </w:rPr>
                          </w:pPr>
                          <w:r w:rsidRPr="00E1183F">
                            <w:rPr>
                              <w:rFonts w:ascii="Amatica SC" w:hAnsi="Amatica SC" w:cs="Amatica SC"/>
                              <w:b/>
                              <w:bCs/>
                              <w:color w:val="D9D9D9" w:themeColor="background1" w:themeShade="D9"/>
                              <w:sz w:val="96"/>
                              <w:szCs w:val="96"/>
                              <w:rtl/>
                              <w:lang w:val="en-ZW"/>
                            </w:rPr>
                            <w:t>ניקול מעין וקסלר</w:t>
                          </w:r>
                        </w:p>
                        <w:p w14:paraId="3FCE3F0F" w14:textId="7ABE439B" w:rsidR="00AA13E4" w:rsidRPr="00E1183F" w:rsidRDefault="002D7070" w:rsidP="00AA13E4">
                          <w:pPr>
                            <w:jc w:val="center"/>
                            <w:rPr>
                              <w:rFonts w:ascii="Amatica SC" w:hAnsi="Amatica SC" w:cs="Amatica SC"/>
                              <w:b/>
                              <w:bCs/>
                              <w:color w:val="D9D9D9" w:themeColor="background1" w:themeShade="D9"/>
                              <w:sz w:val="52"/>
                              <w:szCs w:val="52"/>
                              <w:rtl/>
                              <w:lang w:val="en-ZW"/>
                            </w:rPr>
                          </w:pPr>
                          <w:r w:rsidRPr="00E1183F">
                            <w:rPr>
                              <w:rFonts w:ascii="Amatica SC" w:hAnsi="Amatica SC" w:cs="Amatica SC"/>
                              <w:b/>
                              <w:bCs/>
                              <w:color w:val="D9D9D9" w:themeColor="background1" w:themeShade="D9"/>
                              <w:sz w:val="52"/>
                              <w:szCs w:val="52"/>
                              <w:rtl/>
                              <w:lang w:val="en-ZW"/>
                            </w:rPr>
                            <w:t>תשפ"</w:t>
                          </w:r>
                          <w:r w:rsidR="00F96C43" w:rsidRPr="00E1183F">
                            <w:rPr>
                              <w:rFonts w:ascii="Amatica SC" w:hAnsi="Amatica SC" w:cs="Amatica SC" w:hint="cs"/>
                              <w:b/>
                              <w:bCs/>
                              <w:color w:val="D9D9D9" w:themeColor="background1" w:themeShade="D9"/>
                              <w:sz w:val="52"/>
                              <w:szCs w:val="52"/>
                              <w:rtl/>
                              <w:lang w:val="en-ZW"/>
                            </w:rPr>
                            <w:t>ב</w:t>
                          </w:r>
                        </w:p>
                        <w:p w14:paraId="2C65EBC5" w14:textId="0851A592" w:rsidR="002D7070" w:rsidRPr="00E1183F" w:rsidRDefault="002D7070" w:rsidP="00AA13E4">
                          <w:pPr>
                            <w:jc w:val="center"/>
                            <w:rPr>
                              <w:rFonts w:ascii="Amatica SC" w:hAnsi="Amatica SC" w:cs="Amatica SC"/>
                              <w:b/>
                              <w:bCs/>
                              <w:color w:val="D9D9D9" w:themeColor="background1" w:themeShade="D9"/>
                              <w:sz w:val="56"/>
                              <w:szCs w:val="56"/>
                              <w:lang w:val="en-ZW"/>
                            </w:rPr>
                          </w:pPr>
                          <w:r w:rsidRPr="00E1183F">
                            <w:rPr>
                              <w:rFonts w:ascii="Amatica SC" w:hAnsi="Amatica SC" w:cs="Amatica SC"/>
                              <w:b/>
                              <w:bCs/>
                              <w:color w:val="D9D9D9" w:themeColor="background1" w:themeShade="D9"/>
                              <w:sz w:val="52"/>
                              <w:szCs w:val="52"/>
                              <w:rtl/>
                              <w:lang w:val="en-ZW"/>
                            </w:rPr>
                            <w:t>(</w:t>
                          </w:r>
                          <w:r w:rsidR="00F96C43" w:rsidRPr="00E1183F">
                            <w:rPr>
                              <w:rFonts w:ascii="Amatica SC" w:hAnsi="Amatica SC" w:cs="Amatica SC" w:hint="cs"/>
                              <w:b/>
                              <w:bCs/>
                              <w:color w:val="D9D9D9" w:themeColor="background1" w:themeShade="D9"/>
                              <w:sz w:val="52"/>
                              <w:szCs w:val="52"/>
                              <w:rtl/>
                              <w:lang w:val="en-ZW"/>
                            </w:rPr>
                            <w:t>2022</w:t>
                          </w:r>
                          <w:r w:rsidR="00B55533" w:rsidRPr="00E1183F">
                            <w:rPr>
                              <w:rFonts w:ascii="Amatica SC" w:hAnsi="Amatica SC" w:cs="Amatica SC"/>
                              <w:b/>
                              <w:bCs/>
                              <w:color w:val="D9D9D9" w:themeColor="background1" w:themeShade="D9"/>
                              <w:sz w:val="52"/>
                              <w:szCs w:val="52"/>
                              <w:rtl/>
                              <w:lang w:val="en-ZW"/>
                            </w:rPr>
                            <w:t>-</w:t>
                          </w:r>
                          <w:r w:rsidR="00F96C43" w:rsidRPr="00E1183F">
                            <w:rPr>
                              <w:rFonts w:ascii="Amatica SC" w:hAnsi="Amatica SC" w:cs="Amatica SC" w:hint="cs"/>
                              <w:b/>
                              <w:bCs/>
                              <w:color w:val="D9D9D9" w:themeColor="background1" w:themeShade="D9"/>
                              <w:sz w:val="52"/>
                              <w:szCs w:val="52"/>
                              <w:rtl/>
                              <w:lang w:val="en-ZW"/>
                            </w:rPr>
                            <w:t>2021</w:t>
                          </w:r>
                          <w:r w:rsidRPr="00E1183F">
                            <w:rPr>
                              <w:rFonts w:ascii="Amatica SC" w:hAnsi="Amatica SC" w:cs="Amatica SC"/>
                              <w:b/>
                              <w:bCs/>
                              <w:color w:val="D9D9D9" w:themeColor="background1" w:themeShade="D9"/>
                              <w:sz w:val="52"/>
                              <w:szCs w:val="52"/>
                              <w:rtl/>
                              <w:lang w:val="en-ZW"/>
                            </w:rPr>
                            <w:t>)</w:t>
                          </w:r>
                        </w:p>
                      </w:txbxContent>
                    </v:textbox>
                  </v:shape>
                </w:pict>
              </mc:Fallback>
            </mc:AlternateContent>
          </w:r>
          <w:r>
            <w:rPr>
              <w:noProof/>
            </w:rPr>
            <w:drawing>
              <wp:anchor distT="0" distB="0" distL="114300" distR="114300" simplePos="0" relativeHeight="251667456" behindDoc="0" locked="0" layoutInCell="1" allowOverlap="1" wp14:anchorId="75991626" wp14:editId="70BAD838">
                <wp:simplePos x="0" y="0"/>
                <wp:positionH relativeFrom="column">
                  <wp:posOffset>-540385</wp:posOffset>
                </wp:positionH>
                <wp:positionV relativeFrom="paragraph">
                  <wp:posOffset>4410710</wp:posOffset>
                </wp:positionV>
                <wp:extent cx="3168000" cy="2629440"/>
                <wp:effectExtent l="0" t="0" r="0" b="0"/>
                <wp:wrapTopAndBottom/>
                <wp:docPr id="467" name="תמונה 467" descr="Courtroom Sketch Artists Draws On The Past — Empire State 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troom Sketch Artists Draws On The Past — Empire State Tribu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000" cy="262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B7D" w:rsidRPr="00C72E6C">
            <w:rPr>
              <w:rFonts w:ascii="Segoe UI" w:hAnsi="Segoe UI" w:cs="Segoe UI"/>
              <w:lang w:val="en-ZW"/>
            </w:rPr>
            <w:br w:type="page"/>
          </w:r>
        </w:p>
      </w:sdtContent>
    </w:sdt>
    <w:p w14:paraId="33B27551" w14:textId="77777777" w:rsidR="00D64892" w:rsidRDefault="00D64892" w:rsidP="0060484E">
      <w:pPr>
        <w:pStyle w:val="ac"/>
        <w:shd w:val="clear" w:color="auto" w:fill="FDCFF3"/>
        <w:rPr>
          <w:cs w:val="0"/>
          <w:lang w:val="he-IL"/>
        </w:rPr>
        <w:sectPr w:rsidR="00D64892" w:rsidSect="00001BCC">
          <w:headerReference w:type="default" r:id="rId11"/>
          <w:footerReference w:type="default" r:id="rId12"/>
          <w:headerReference w:type="first" r:id="rId13"/>
          <w:pgSz w:w="11906" w:h="16838"/>
          <w:pgMar w:top="567" w:right="851" w:bottom="567" w:left="851" w:header="709" w:footer="709" w:gutter="0"/>
          <w:pgBorders w:display="notFirstPage" w:offsetFrom="page">
            <w:top w:val="single" w:sz="18" w:space="10" w:color="7F7F7F" w:themeColor="text1" w:themeTint="80"/>
            <w:left w:val="single" w:sz="18" w:space="10" w:color="7F7F7F" w:themeColor="text1" w:themeTint="80"/>
            <w:bottom w:val="single" w:sz="18" w:space="10" w:color="7F7F7F" w:themeColor="text1" w:themeTint="80"/>
            <w:right w:val="single" w:sz="18" w:space="10" w:color="7F7F7F" w:themeColor="text1" w:themeTint="80"/>
          </w:pgBorders>
          <w:pgNumType w:start="0"/>
          <w:cols w:space="708"/>
          <w:titlePg/>
          <w:docGrid w:linePitch="360"/>
        </w:sectPr>
      </w:pPr>
    </w:p>
    <w:sdt>
      <w:sdtPr>
        <w:rPr>
          <w:rFonts w:asciiTheme="minorHAnsi" w:hAnsiTheme="minorHAnsi" w:cstheme="minorBidi"/>
          <w:b w:val="0"/>
          <w:bCs w:val="0"/>
          <w:sz w:val="22"/>
          <w:szCs w:val="22"/>
          <w:cs w:val="0"/>
          <w:lang w:val="he-IL"/>
        </w:rPr>
        <w:id w:val="-344867058"/>
        <w:docPartObj>
          <w:docPartGallery w:val="Table of Contents"/>
          <w:docPartUnique/>
        </w:docPartObj>
      </w:sdtPr>
      <w:sdtEndPr>
        <w:rPr>
          <w:lang w:val="en-IL"/>
        </w:rPr>
      </w:sdtEndPr>
      <w:sdtContent>
        <w:p w14:paraId="60D03927" w14:textId="191C8223" w:rsidR="000D0936" w:rsidRPr="006A73FE" w:rsidRDefault="000D0936" w:rsidP="006A73FE">
          <w:pPr>
            <w:pStyle w:val="ac"/>
            <w:shd w:val="clear" w:color="auto" w:fill="FCD0F8"/>
          </w:pPr>
          <w:r w:rsidRPr="006A73FE">
            <w:rPr>
              <w:lang w:val="he-IL"/>
            </w:rPr>
            <w:t>תוכן עניינים</w:t>
          </w:r>
        </w:p>
        <w:p w14:paraId="17CA6AFF" w14:textId="740F57B8" w:rsidR="006A73FE" w:rsidRPr="006A73FE" w:rsidRDefault="000D0936" w:rsidP="006A73FE">
          <w:pPr>
            <w:pStyle w:val="TOC1"/>
            <w:rPr>
              <w:rFonts w:ascii="Segoe UI" w:eastAsiaTheme="minorEastAsia" w:hAnsi="Segoe UI" w:cs="Segoe UI"/>
              <w:lang w:val="en-US"/>
            </w:rPr>
          </w:pPr>
          <w:r w:rsidRPr="006A73FE">
            <w:rPr>
              <w:rFonts w:ascii="Segoe UI" w:hAnsi="Segoe UI" w:cs="Segoe UI"/>
            </w:rPr>
            <w:fldChar w:fldCharType="begin"/>
          </w:r>
          <w:r w:rsidRPr="006A73FE">
            <w:rPr>
              <w:rFonts w:ascii="Segoe UI" w:hAnsi="Segoe UI" w:cs="Segoe UI"/>
            </w:rPr>
            <w:instrText xml:space="preserve"> TOC \o "1-3" \h \z \u </w:instrText>
          </w:r>
          <w:r w:rsidRPr="006A73FE">
            <w:rPr>
              <w:rFonts w:ascii="Segoe UI" w:hAnsi="Segoe UI" w:cs="Segoe UI"/>
            </w:rPr>
            <w:fldChar w:fldCharType="separate"/>
          </w:r>
          <w:hyperlink w:anchor="_Toc108218170" w:history="1">
            <w:r w:rsidR="006A73FE" w:rsidRPr="006A73FE">
              <w:rPr>
                <w:rStyle w:val="Hyperlink"/>
                <w:rFonts w:ascii="Segoe UI" w:hAnsi="Segoe UI" w:cs="Segoe UI"/>
                <w:rtl/>
              </w:rPr>
              <w:t>מבוא והקדמה</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_Toc108218170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1</w:t>
            </w:r>
            <w:r w:rsidR="006A73FE" w:rsidRPr="006A73FE">
              <w:rPr>
                <w:rStyle w:val="Hyperlink"/>
                <w:rFonts w:ascii="Segoe UI" w:hAnsi="Segoe UI" w:cs="Segoe UI"/>
                <w:rtl/>
              </w:rPr>
              <w:fldChar w:fldCharType="end"/>
            </w:r>
          </w:hyperlink>
        </w:p>
        <w:p w14:paraId="4B776837" w14:textId="4BA96CEB" w:rsidR="006A73FE" w:rsidRPr="006A73FE" w:rsidRDefault="00000000" w:rsidP="006A73FE">
          <w:pPr>
            <w:pStyle w:val="TOC2"/>
            <w:rPr>
              <w:rFonts w:eastAsiaTheme="minorEastAsia"/>
              <w:sz w:val="22"/>
              <w:szCs w:val="22"/>
              <w:lang w:val="en-US"/>
            </w:rPr>
          </w:pPr>
          <w:hyperlink w:anchor="_Toc108218171" w:history="1">
            <w:r w:rsidR="006A73FE" w:rsidRPr="006A73FE">
              <w:rPr>
                <w:rStyle w:val="Hyperlink"/>
                <w:rtl/>
              </w:rPr>
              <w:t>מהו עונש?</w:t>
            </w:r>
            <w:r w:rsidR="006A73FE" w:rsidRPr="006A73FE">
              <w:rPr>
                <w:webHidden/>
              </w:rPr>
              <w:tab/>
            </w:r>
            <w:r w:rsidR="006A73FE" w:rsidRPr="006A73FE">
              <w:rPr>
                <w:rStyle w:val="Hyperlink"/>
                <w:rtl/>
              </w:rPr>
              <w:fldChar w:fldCharType="begin"/>
            </w:r>
            <w:r w:rsidR="006A73FE" w:rsidRPr="006A73FE">
              <w:rPr>
                <w:webHidden/>
              </w:rPr>
              <w:instrText xml:space="preserve"> PAGEREF _Toc108218171 \h </w:instrText>
            </w:r>
            <w:r w:rsidR="006A73FE" w:rsidRPr="006A73FE">
              <w:rPr>
                <w:rStyle w:val="Hyperlink"/>
                <w:rtl/>
              </w:rPr>
            </w:r>
            <w:r w:rsidR="006A73FE" w:rsidRPr="006A73FE">
              <w:rPr>
                <w:rStyle w:val="Hyperlink"/>
                <w:rtl/>
              </w:rPr>
              <w:fldChar w:fldCharType="separate"/>
            </w:r>
            <w:r w:rsidR="0090450F">
              <w:rPr>
                <w:webHidden/>
                <w:rtl/>
              </w:rPr>
              <w:t>1</w:t>
            </w:r>
            <w:r w:rsidR="006A73FE" w:rsidRPr="006A73FE">
              <w:rPr>
                <w:rStyle w:val="Hyperlink"/>
                <w:rtl/>
              </w:rPr>
              <w:fldChar w:fldCharType="end"/>
            </w:r>
          </w:hyperlink>
        </w:p>
        <w:p w14:paraId="3EE5ECEF" w14:textId="30347262" w:rsidR="006A73FE" w:rsidRPr="006A73FE" w:rsidRDefault="00000000" w:rsidP="006A73FE">
          <w:pPr>
            <w:pStyle w:val="TOC1"/>
            <w:rPr>
              <w:rFonts w:ascii="Segoe UI" w:eastAsiaTheme="minorEastAsia" w:hAnsi="Segoe UI" w:cs="Segoe UI"/>
              <w:lang w:val="en-US"/>
            </w:rPr>
          </w:pPr>
          <w:hyperlink w:anchor="_Toc108218172" w:history="1">
            <w:r w:rsidR="006A73FE" w:rsidRPr="006A73FE">
              <w:rPr>
                <w:rStyle w:val="Hyperlink"/>
                <w:rFonts w:ascii="Segoe UI" w:hAnsi="Segoe UI" w:cs="Segoe UI"/>
                <w:rtl/>
              </w:rPr>
              <w:t>סוגי הענישה – כללי</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_Toc108218172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3</w:t>
            </w:r>
            <w:r w:rsidR="006A73FE" w:rsidRPr="006A73FE">
              <w:rPr>
                <w:rStyle w:val="Hyperlink"/>
                <w:rFonts w:ascii="Segoe UI" w:hAnsi="Segoe UI" w:cs="Segoe UI"/>
                <w:rtl/>
              </w:rPr>
              <w:fldChar w:fldCharType="end"/>
            </w:r>
          </w:hyperlink>
        </w:p>
        <w:p w14:paraId="15BF5655" w14:textId="28817699" w:rsidR="006A73FE" w:rsidRPr="006A73FE" w:rsidRDefault="00000000" w:rsidP="006A73FE">
          <w:pPr>
            <w:pStyle w:val="TOC1"/>
            <w:rPr>
              <w:rFonts w:ascii="Segoe UI" w:eastAsiaTheme="minorEastAsia" w:hAnsi="Segoe UI" w:cs="Segoe UI"/>
              <w:lang w:val="en-US"/>
            </w:rPr>
          </w:pPr>
          <w:hyperlink w:anchor="_Toc108218173" w:history="1">
            <w:r w:rsidR="006A73FE" w:rsidRPr="006A73FE">
              <w:rPr>
                <w:rStyle w:val="Hyperlink"/>
                <w:rFonts w:ascii="Segoe UI" w:hAnsi="Segoe UI" w:cs="Segoe UI"/>
                <w:rtl/>
              </w:rPr>
              <w:t>התפתחות הענישה</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_Toc108218173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7</w:t>
            </w:r>
            <w:r w:rsidR="006A73FE" w:rsidRPr="006A73FE">
              <w:rPr>
                <w:rStyle w:val="Hyperlink"/>
                <w:rFonts w:ascii="Segoe UI" w:hAnsi="Segoe UI" w:cs="Segoe UI"/>
                <w:rtl/>
              </w:rPr>
              <w:fldChar w:fldCharType="end"/>
            </w:r>
          </w:hyperlink>
        </w:p>
        <w:p w14:paraId="685FB59F" w14:textId="2EA13D7E" w:rsidR="006A73FE" w:rsidRPr="006A73FE" w:rsidRDefault="00000000" w:rsidP="006A73FE">
          <w:pPr>
            <w:pStyle w:val="TOC2"/>
            <w:rPr>
              <w:rFonts w:eastAsiaTheme="minorEastAsia"/>
              <w:sz w:val="22"/>
              <w:szCs w:val="22"/>
              <w:lang w:val="en-US"/>
            </w:rPr>
          </w:pPr>
          <w:hyperlink w:anchor="_Toc108218174" w:history="1">
            <w:r w:rsidR="006A73FE" w:rsidRPr="006A73FE">
              <w:rPr>
                <w:rStyle w:val="Hyperlink"/>
                <w:rtl/>
              </w:rPr>
              <w:t>התפתחות הענישה - כללי</w:t>
            </w:r>
            <w:r w:rsidR="006A73FE" w:rsidRPr="006A73FE">
              <w:rPr>
                <w:webHidden/>
              </w:rPr>
              <w:tab/>
            </w:r>
            <w:r w:rsidR="006A73FE" w:rsidRPr="006A73FE">
              <w:rPr>
                <w:rStyle w:val="Hyperlink"/>
                <w:rtl/>
              </w:rPr>
              <w:fldChar w:fldCharType="begin"/>
            </w:r>
            <w:r w:rsidR="006A73FE" w:rsidRPr="006A73FE">
              <w:rPr>
                <w:webHidden/>
              </w:rPr>
              <w:instrText xml:space="preserve"> PAGEREF _Toc108218174 \h </w:instrText>
            </w:r>
            <w:r w:rsidR="006A73FE" w:rsidRPr="006A73FE">
              <w:rPr>
                <w:rStyle w:val="Hyperlink"/>
                <w:rtl/>
              </w:rPr>
            </w:r>
            <w:r w:rsidR="006A73FE" w:rsidRPr="006A73FE">
              <w:rPr>
                <w:rStyle w:val="Hyperlink"/>
                <w:rtl/>
              </w:rPr>
              <w:fldChar w:fldCharType="separate"/>
            </w:r>
            <w:r w:rsidR="0090450F">
              <w:rPr>
                <w:webHidden/>
                <w:rtl/>
              </w:rPr>
              <w:t>7</w:t>
            </w:r>
            <w:r w:rsidR="006A73FE" w:rsidRPr="006A73FE">
              <w:rPr>
                <w:rStyle w:val="Hyperlink"/>
                <w:rtl/>
              </w:rPr>
              <w:fldChar w:fldCharType="end"/>
            </w:r>
          </w:hyperlink>
        </w:p>
        <w:p w14:paraId="3AC77E30" w14:textId="50664260" w:rsidR="006A73FE" w:rsidRPr="006A73FE" w:rsidRDefault="00000000" w:rsidP="006A73FE">
          <w:pPr>
            <w:pStyle w:val="TOC2"/>
            <w:rPr>
              <w:rFonts w:eastAsiaTheme="minorEastAsia"/>
              <w:sz w:val="22"/>
              <w:szCs w:val="22"/>
              <w:lang w:val="en-US"/>
            </w:rPr>
          </w:pPr>
          <w:hyperlink w:anchor="_Toc108218175" w:history="1">
            <w:r w:rsidR="006A73FE" w:rsidRPr="006A73FE">
              <w:rPr>
                <w:rStyle w:val="Hyperlink"/>
                <w:rtl/>
              </w:rPr>
              <w:t>תורת בקריה</w:t>
            </w:r>
            <w:r w:rsidR="006A73FE" w:rsidRPr="006A73FE">
              <w:rPr>
                <w:webHidden/>
              </w:rPr>
              <w:tab/>
            </w:r>
            <w:r w:rsidR="006A73FE" w:rsidRPr="006A73FE">
              <w:rPr>
                <w:rStyle w:val="Hyperlink"/>
                <w:rtl/>
              </w:rPr>
              <w:fldChar w:fldCharType="begin"/>
            </w:r>
            <w:r w:rsidR="006A73FE" w:rsidRPr="006A73FE">
              <w:rPr>
                <w:webHidden/>
              </w:rPr>
              <w:instrText xml:space="preserve"> PAGEREF _Toc108218175 \h </w:instrText>
            </w:r>
            <w:r w:rsidR="006A73FE" w:rsidRPr="006A73FE">
              <w:rPr>
                <w:rStyle w:val="Hyperlink"/>
                <w:rtl/>
              </w:rPr>
            </w:r>
            <w:r w:rsidR="006A73FE" w:rsidRPr="006A73FE">
              <w:rPr>
                <w:rStyle w:val="Hyperlink"/>
                <w:rtl/>
              </w:rPr>
              <w:fldChar w:fldCharType="separate"/>
            </w:r>
            <w:r w:rsidR="0090450F">
              <w:rPr>
                <w:webHidden/>
                <w:rtl/>
              </w:rPr>
              <w:t>8</w:t>
            </w:r>
            <w:r w:rsidR="006A73FE" w:rsidRPr="006A73FE">
              <w:rPr>
                <w:rStyle w:val="Hyperlink"/>
                <w:rtl/>
              </w:rPr>
              <w:fldChar w:fldCharType="end"/>
            </w:r>
          </w:hyperlink>
        </w:p>
        <w:p w14:paraId="1240C0B8" w14:textId="5F403663" w:rsidR="006A73FE" w:rsidRPr="006A73FE" w:rsidRDefault="00000000" w:rsidP="006A73FE">
          <w:pPr>
            <w:pStyle w:val="TOC2"/>
            <w:rPr>
              <w:rFonts w:eastAsiaTheme="minorEastAsia"/>
              <w:sz w:val="22"/>
              <w:szCs w:val="22"/>
              <w:lang w:val="en-US"/>
            </w:rPr>
          </w:pPr>
          <w:hyperlink w:anchor="_Toc108218176" w:history="1">
            <w:r w:rsidR="006A73FE" w:rsidRPr="006A73FE">
              <w:rPr>
                <w:rStyle w:val="Hyperlink"/>
                <w:rtl/>
              </w:rPr>
              <w:t>"קרימינולוגיה אנתרופולוגית" (הרופא היהודי לומברוזו (1880))</w:t>
            </w:r>
            <w:r w:rsidR="006A73FE" w:rsidRPr="006A73FE">
              <w:rPr>
                <w:webHidden/>
              </w:rPr>
              <w:tab/>
            </w:r>
            <w:r w:rsidR="006A73FE" w:rsidRPr="006A73FE">
              <w:rPr>
                <w:rStyle w:val="Hyperlink"/>
                <w:rtl/>
              </w:rPr>
              <w:fldChar w:fldCharType="begin"/>
            </w:r>
            <w:r w:rsidR="006A73FE" w:rsidRPr="006A73FE">
              <w:rPr>
                <w:webHidden/>
              </w:rPr>
              <w:instrText xml:space="preserve"> PAGEREF _Toc108218176 \h </w:instrText>
            </w:r>
            <w:r w:rsidR="006A73FE" w:rsidRPr="006A73FE">
              <w:rPr>
                <w:rStyle w:val="Hyperlink"/>
                <w:rtl/>
              </w:rPr>
            </w:r>
            <w:r w:rsidR="006A73FE" w:rsidRPr="006A73FE">
              <w:rPr>
                <w:rStyle w:val="Hyperlink"/>
                <w:rtl/>
              </w:rPr>
              <w:fldChar w:fldCharType="separate"/>
            </w:r>
            <w:r w:rsidR="0090450F">
              <w:rPr>
                <w:webHidden/>
                <w:rtl/>
              </w:rPr>
              <w:t>8</w:t>
            </w:r>
            <w:r w:rsidR="006A73FE" w:rsidRPr="006A73FE">
              <w:rPr>
                <w:rStyle w:val="Hyperlink"/>
                <w:rtl/>
              </w:rPr>
              <w:fldChar w:fldCharType="end"/>
            </w:r>
          </w:hyperlink>
        </w:p>
        <w:p w14:paraId="592E1F0B" w14:textId="0F148020" w:rsidR="006A73FE" w:rsidRPr="006A73FE" w:rsidRDefault="00000000" w:rsidP="006A73FE">
          <w:pPr>
            <w:pStyle w:val="TOC1"/>
            <w:rPr>
              <w:rFonts w:ascii="Segoe UI" w:eastAsiaTheme="minorEastAsia" w:hAnsi="Segoe UI" w:cs="Segoe UI"/>
              <w:lang w:val="en-US"/>
            </w:rPr>
          </w:pPr>
          <w:hyperlink w:anchor="_Toc108218177" w:history="1">
            <w:r w:rsidR="006A73FE" w:rsidRPr="006A73FE">
              <w:rPr>
                <w:rStyle w:val="Hyperlink"/>
                <w:rFonts w:ascii="Segoe UI" w:hAnsi="Segoe UI" w:cs="Segoe UI"/>
                <w:rtl/>
              </w:rPr>
              <w:t>הצדקות הענישה ומטרותיה</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_Toc108218177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9</w:t>
            </w:r>
            <w:r w:rsidR="006A73FE" w:rsidRPr="006A73FE">
              <w:rPr>
                <w:rStyle w:val="Hyperlink"/>
                <w:rFonts w:ascii="Segoe UI" w:hAnsi="Segoe UI" w:cs="Segoe UI"/>
                <w:rtl/>
              </w:rPr>
              <w:fldChar w:fldCharType="end"/>
            </w:r>
          </w:hyperlink>
        </w:p>
        <w:p w14:paraId="5969DEC8" w14:textId="0664F183" w:rsidR="006A73FE" w:rsidRPr="006A73FE" w:rsidRDefault="00000000" w:rsidP="006A73FE">
          <w:pPr>
            <w:pStyle w:val="TOC2"/>
            <w:rPr>
              <w:rFonts w:eastAsiaTheme="minorEastAsia"/>
              <w:sz w:val="22"/>
              <w:szCs w:val="22"/>
              <w:lang w:val="en-US"/>
            </w:rPr>
          </w:pPr>
          <w:hyperlink w:anchor="_Toc108218178" w:history="1">
            <w:r w:rsidR="006A73FE" w:rsidRPr="006A73FE">
              <w:rPr>
                <w:rStyle w:val="Hyperlink"/>
                <w:rtl/>
              </w:rPr>
              <w:t>הבחנה בין צידוקים לענישה לבין מטרות הענישה</w:t>
            </w:r>
            <w:r w:rsidR="006A73FE" w:rsidRPr="006A73FE">
              <w:rPr>
                <w:webHidden/>
              </w:rPr>
              <w:tab/>
            </w:r>
            <w:r w:rsidR="006A73FE" w:rsidRPr="006A73FE">
              <w:rPr>
                <w:rStyle w:val="Hyperlink"/>
                <w:rtl/>
              </w:rPr>
              <w:fldChar w:fldCharType="begin"/>
            </w:r>
            <w:r w:rsidR="006A73FE" w:rsidRPr="006A73FE">
              <w:rPr>
                <w:webHidden/>
              </w:rPr>
              <w:instrText xml:space="preserve"> PAGEREF _Toc108218178 \h </w:instrText>
            </w:r>
            <w:r w:rsidR="006A73FE" w:rsidRPr="006A73FE">
              <w:rPr>
                <w:rStyle w:val="Hyperlink"/>
                <w:rtl/>
              </w:rPr>
            </w:r>
            <w:r w:rsidR="006A73FE" w:rsidRPr="006A73FE">
              <w:rPr>
                <w:rStyle w:val="Hyperlink"/>
                <w:rtl/>
              </w:rPr>
              <w:fldChar w:fldCharType="separate"/>
            </w:r>
            <w:r w:rsidR="0090450F">
              <w:rPr>
                <w:webHidden/>
                <w:rtl/>
              </w:rPr>
              <w:t>9</w:t>
            </w:r>
            <w:r w:rsidR="006A73FE" w:rsidRPr="006A73FE">
              <w:rPr>
                <w:rStyle w:val="Hyperlink"/>
                <w:rtl/>
              </w:rPr>
              <w:fldChar w:fldCharType="end"/>
            </w:r>
          </w:hyperlink>
        </w:p>
        <w:p w14:paraId="4D948D2D" w14:textId="1E15E6C7" w:rsidR="006A73FE" w:rsidRPr="006A73FE" w:rsidRDefault="00000000" w:rsidP="006A73FE">
          <w:pPr>
            <w:pStyle w:val="TOC2"/>
            <w:rPr>
              <w:rFonts w:eastAsiaTheme="minorEastAsia"/>
              <w:sz w:val="22"/>
              <w:szCs w:val="22"/>
              <w:lang w:val="en-US"/>
            </w:rPr>
          </w:pPr>
          <w:hyperlink w:anchor="_Toc108218179" w:history="1">
            <w:r w:rsidR="006A73FE" w:rsidRPr="006A73FE">
              <w:rPr>
                <w:rStyle w:val="Hyperlink"/>
                <w:rtl/>
              </w:rPr>
              <w:t>הצדקות לענישה</w:t>
            </w:r>
            <w:r w:rsidR="006A73FE" w:rsidRPr="006A73FE">
              <w:rPr>
                <w:webHidden/>
              </w:rPr>
              <w:tab/>
            </w:r>
            <w:r w:rsidR="006A73FE" w:rsidRPr="006A73FE">
              <w:rPr>
                <w:rStyle w:val="Hyperlink"/>
                <w:rtl/>
              </w:rPr>
              <w:fldChar w:fldCharType="begin"/>
            </w:r>
            <w:r w:rsidR="006A73FE" w:rsidRPr="006A73FE">
              <w:rPr>
                <w:webHidden/>
              </w:rPr>
              <w:instrText xml:space="preserve"> PAGEREF _Toc108218179 \h </w:instrText>
            </w:r>
            <w:r w:rsidR="006A73FE" w:rsidRPr="006A73FE">
              <w:rPr>
                <w:rStyle w:val="Hyperlink"/>
                <w:rtl/>
              </w:rPr>
            </w:r>
            <w:r w:rsidR="006A73FE" w:rsidRPr="006A73FE">
              <w:rPr>
                <w:rStyle w:val="Hyperlink"/>
                <w:rtl/>
              </w:rPr>
              <w:fldChar w:fldCharType="separate"/>
            </w:r>
            <w:r w:rsidR="0090450F">
              <w:rPr>
                <w:webHidden/>
                <w:rtl/>
              </w:rPr>
              <w:t>9</w:t>
            </w:r>
            <w:r w:rsidR="006A73FE" w:rsidRPr="006A73FE">
              <w:rPr>
                <w:rStyle w:val="Hyperlink"/>
                <w:rtl/>
              </w:rPr>
              <w:fldChar w:fldCharType="end"/>
            </w:r>
          </w:hyperlink>
        </w:p>
        <w:p w14:paraId="56F8CE1D" w14:textId="320048B3" w:rsidR="006A73FE" w:rsidRPr="006A73FE" w:rsidRDefault="00000000" w:rsidP="006A73FE">
          <w:pPr>
            <w:pStyle w:val="TOC2"/>
            <w:rPr>
              <w:rFonts w:eastAsiaTheme="minorEastAsia"/>
              <w:sz w:val="22"/>
              <w:szCs w:val="22"/>
              <w:lang w:val="en-US"/>
            </w:rPr>
          </w:pPr>
          <w:hyperlink w:anchor="_Toc108218180" w:history="1">
            <w:r w:rsidR="006A73FE" w:rsidRPr="006A73FE">
              <w:rPr>
                <w:rStyle w:val="Hyperlink"/>
                <w:rtl/>
              </w:rPr>
              <w:t>גישת הגמול</w:t>
            </w:r>
            <w:r w:rsidR="006A73FE" w:rsidRPr="006A73FE">
              <w:rPr>
                <w:webHidden/>
              </w:rPr>
              <w:tab/>
            </w:r>
            <w:r w:rsidR="006A73FE" w:rsidRPr="006A73FE">
              <w:rPr>
                <w:rStyle w:val="Hyperlink"/>
                <w:rtl/>
              </w:rPr>
              <w:fldChar w:fldCharType="begin"/>
            </w:r>
            <w:r w:rsidR="006A73FE" w:rsidRPr="006A73FE">
              <w:rPr>
                <w:webHidden/>
              </w:rPr>
              <w:instrText xml:space="preserve"> PAGEREF _Toc108218180 \h </w:instrText>
            </w:r>
            <w:r w:rsidR="006A73FE" w:rsidRPr="006A73FE">
              <w:rPr>
                <w:rStyle w:val="Hyperlink"/>
                <w:rtl/>
              </w:rPr>
            </w:r>
            <w:r w:rsidR="006A73FE" w:rsidRPr="006A73FE">
              <w:rPr>
                <w:rStyle w:val="Hyperlink"/>
                <w:rtl/>
              </w:rPr>
              <w:fldChar w:fldCharType="separate"/>
            </w:r>
            <w:r w:rsidR="0090450F">
              <w:rPr>
                <w:webHidden/>
                <w:rtl/>
              </w:rPr>
              <w:t>9</w:t>
            </w:r>
            <w:r w:rsidR="006A73FE" w:rsidRPr="006A73FE">
              <w:rPr>
                <w:rStyle w:val="Hyperlink"/>
                <w:rtl/>
              </w:rPr>
              <w:fldChar w:fldCharType="end"/>
            </w:r>
          </w:hyperlink>
        </w:p>
        <w:p w14:paraId="2208156A" w14:textId="08B73A66" w:rsidR="006A73FE" w:rsidRPr="006A73FE" w:rsidRDefault="00000000" w:rsidP="006A73FE">
          <w:pPr>
            <w:pStyle w:val="TOC2"/>
            <w:rPr>
              <w:rFonts w:eastAsiaTheme="minorEastAsia"/>
              <w:sz w:val="22"/>
              <w:szCs w:val="22"/>
              <w:lang w:val="en-US"/>
            </w:rPr>
          </w:pPr>
          <w:hyperlink w:anchor="_Toc108218181" w:history="1">
            <w:r w:rsidR="006A73FE" w:rsidRPr="006A73FE">
              <w:rPr>
                <w:rStyle w:val="Hyperlink"/>
                <w:rtl/>
              </w:rPr>
              <w:t>תיאוריית הזכויות</w:t>
            </w:r>
            <w:r w:rsidR="006A73FE" w:rsidRPr="006A73FE">
              <w:rPr>
                <w:webHidden/>
              </w:rPr>
              <w:tab/>
            </w:r>
            <w:r w:rsidR="006A73FE" w:rsidRPr="006A73FE">
              <w:rPr>
                <w:rStyle w:val="Hyperlink"/>
                <w:rtl/>
              </w:rPr>
              <w:fldChar w:fldCharType="begin"/>
            </w:r>
            <w:r w:rsidR="006A73FE" w:rsidRPr="006A73FE">
              <w:rPr>
                <w:webHidden/>
              </w:rPr>
              <w:instrText xml:space="preserve"> PAGEREF _Toc108218181 \h </w:instrText>
            </w:r>
            <w:r w:rsidR="006A73FE" w:rsidRPr="006A73FE">
              <w:rPr>
                <w:rStyle w:val="Hyperlink"/>
                <w:rtl/>
              </w:rPr>
            </w:r>
            <w:r w:rsidR="006A73FE" w:rsidRPr="006A73FE">
              <w:rPr>
                <w:rStyle w:val="Hyperlink"/>
                <w:rtl/>
              </w:rPr>
              <w:fldChar w:fldCharType="separate"/>
            </w:r>
            <w:r w:rsidR="0090450F">
              <w:rPr>
                <w:webHidden/>
                <w:rtl/>
              </w:rPr>
              <w:t>10</w:t>
            </w:r>
            <w:r w:rsidR="006A73FE" w:rsidRPr="006A73FE">
              <w:rPr>
                <w:rStyle w:val="Hyperlink"/>
                <w:rtl/>
              </w:rPr>
              <w:fldChar w:fldCharType="end"/>
            </w:r>
          </w:hyperlink>
        </w:p>
        <w:p w14:paraId="2B2A460C" w14:textId="7D4021A6" w:rsidR="006A73FE" w:rsidRPr="006A73FE" w:rsidRDefault="00000000" w:rsidP="006A73FE">
          <w:pPr>
            <w:pStyle w:val="TOC2"/>
            <w:rPr>
              <w:rFonts w:eastAsiaTheme="minorEastAsia"/>
              <w:sz w:val="22"/>
              <w:szCs w:val="22"/>
              <w:lang w:val="en-US"/>
            </w:rPr>
          </w:pPr>
          <w:hyperlink w:anchor="_Toc108218182" w:history="1">
            <w:r w:rsidR="006A73FE" w:rsidRPr="006A73FE">
              <w:rPr>
                <w:rStyle w:val="Hyperlink"/>
                <w:rtl/>
              </w:rPr>
              <w:t>תיאוריית האמנה החברתית</w:t>
            </w:r>
            <w:r w:rsidR="006A73FE" w:rsidRPr="006A73FE">
              <w:rPr>
                <w:webHidden/>
              </w:rPr>
              <w:tab/>
            </w:r>
            <w:r w:rsidR="006A73FE" w:rsidRPr="006A73FE">
              <w:rPr>
                <w:rStyle w:val="Hyperlink"/>
                <w:rtl/>
              </w:rPr>
              <w:fldChar w:fldCharType="begin"/>
            </w:r>
            <w:r w:rsidR="006A73FE" w:rsidRPr="006A73FE">
              <w:rPr>
                <w:webHidden/>
              </w:rPr>
              <w:instrText xml:space="preserve"> PAGEREF _Toc108218182 \h </w:instrText>
            </w:r>
            <w:r w:rsidR="006A73FE" w:rsidRPr="006A73FE">
              <w:rPr>
                <w:rStyle w:val="Hyperlink"/>
                <w:rtl/>
              </w:rPr>
            </w:r>
            <w:r w:rsidR="006A73FE" w:rsidRPr="006A73FE">
              <w:rPr>
                <w:rStyle w:val="Hyperlink"/>
                <w:rtl/>
              </w:rPr>
              <w:fldChar w:fldCharType="separate"/>
            </w:r>
            <w:r w:rsidR="0090450F">
              <w:rPr>
                <w:webHidden/>
                <w:rtl/>
              </w:rPr>
              <w:t>10</w:t>
            </w:r>
            <w:r w:rsidR="006A73FE" w:rsidRPr="006A73FE">
              <w:rPr>
                <w:rStyle w:val="Hyperlink"/>
                <w:rtl/>
              </w:rPr>
              <w:fldChar w:fldCharType="end"/>
            </w:r>
          </w:hyperlink>
        </w:p>
        <w:p w14:paraId="0FCDF93A" w14:textId="62643DCE" w:rsidR="006A73FE" w:rsidRPr="006A73FE" w:rsidRDefault="00000000" w:rsidP="006A73FE">
          <w:pPr>
            <w:pStyle w:val="TOC2"/>
            <w:rPr>
              <w:rFonts w:eastAsiaTheme="minorEastAsia"/>
              <w:sz w:val="22"/>
              <w:szCs w:val="22"/>
              <w:lang w:val="en-US"/>
            </w:rPr>
          </w:pPr>
          <w:hyperlink w:anchor="_Toc108218183" w:history="1">
            <w:r w:rsidR="006A73FE" w:rsidRPr="006A73FE">
              <w:rPr>
                <w:rStyle w:val="Hyperlink"/>
                <w:rtl/>
              </w:rPr>
              <w:t>גישת התועלתניות</w:t>
            </w:r>
            <w:r w:rsidR="006A73FE" w:rsidRPr="006A73FE">
              <w:rPr>
                <w:webHidden/>
              </w:rPr>
              <w:tab/>
            </w:r>
            <w:r w:rsidR="006A73FE" w:rsidRPr="006A73FE">
              <w:rPr>
                <w:rStyle w:val="Hyperlink"/>
                <w:rtl/>
              </w:rPr>
              <w:fldChar w:fldCharType="begin"/>
            </w:r>
            <w:r w:rsidR="006A73FE" w:rsidRPr="006A73FE">
              <w:rPr>
                <w:webHidden/>
              </w:rPr>
              <w:instrText xml:space="preserve"> PAGEREF _Toc108218183 \h </w:instrText>
            </w:r>
            <w:r w:rsidR="006A73FE" w:rsidRPr="006A73FE">
              <w:rPr>
                <w:rStyle w:val="Hyperlink"/>
                <w:rtl/>
              </w:rPr>
            </w:r>
            <w:r w:rsidR="006A73FE" w:rsidRPr="006A73FE">
              <w:rPr>
                <w:rStyle w:val="Hyperlink"/>
                <w:rtl/>
              </w:rPr>
              <w:fldChar w:fldCharType="separate"/>
            </w:r>
            <w:r w:rsidR="0090450F">
              <w:rPr>
                <w:webHidden/>
                <w:rtl/>
              </w:rPr>
              <w:t>10</w:t>
            </w:r>
            <w:r w:rsidR="006A73FE" w:rsidRPr="006A73FE">
              <w:rPr>
                <w:rStyle w:val="Hyperlink"/>
                <w:rtl/>
              </w:rPr>
              <w:fldChar w:fldCharType="end"/>
            </w:r>
          </w:hyperlink>
        </w:p>
        <w:p w14:paraId="6BDEE8C1" w14:textId="3D8E0A94" w:rsidR="006A73FE" w:rsidRPr="006A73FE" w:rsidRDefault="00000000" w:rsidP="006A73FE">
          <w:pPr>
            <w:pStyle w:val="TOC2"/>
            <w:rPr>
              <w:rFonts w:eastAsiaTheme="minorEastAsia"/>
              <w:sz w:val="22"/>
              <w:szCs w:val="22"/>
              <w:lang w:val="en-US"/>
            </w:rPr>
          </w:pPr>
          <w:hyperlink w:anchor="_Toc108218184" w:history="1">
            <w:r w:rsidR="006A73FE" w:rsidRPr="006A73FE">
              <w:rPr>
                <w:rStyle w:val="Hyperlink"/>
                <w:rtl/>
              </w:rPr>
              <w:t>גישת המרקסיזם</w:t>
            </w:r>
            <w:r w:rsidR="006A73FE" w:rsidRPr="006A73FE">
              <w:rPr>
                <w:webHidden/>
              </w:rPr>
              <w:tab/>
            </w:r>
            <w:r w:rsidR="006A73FE" w:rsidRPr="006A73FE">
              <w:rPr>
                <w:rStyle w:val="Hyperlink"/>
                <w:rtl/>
              </w:rPr>
              <w:fldChar w:fldCharType="begin"/>
            </w:r>
            <w:r w:rsidR="006A73FE" w:rsidRPr="006A73FE">
              <w:rPr>
                <w:webHidden/>
              </w:rPr>
              <w:instrText xml:space="preserve"> PAGEREF _Toc108218184 \h </w:instrText>
            </w:r>
            <w:r w:rsidR="006A73FE" w:rsidRPr="006A73FE">
              <w:rPr>
                <w:rStyle w:val="Hyperlink"/>
                <w:rtl/>
              </w:rPr>
            </w:r>
            <w:r w:rsidR="006A73FE" w:rsidRPr="006A73FE">
              <w:rPr>
                <w:rStyle w:val="Hyperlink"/>
                <w:rtl/>
              </w:rPr>
              <w:fldChar w:fldCharType="separate"/>
            </w:r>
            <w:r w:rsidR="0090450F">
              <w:rPr>
                <w:webHidden/>
                <w:rtl/>
              </w:rPr>
              <w:t>10</w:t>
            </w:r>
            <w:r w:rsidR="006A73FE" w:rsidRPr="006A73FE">
              <w:rPr>
                <w:rStyle w:val="Hyperlink"/>
                <w:rtl/>
              </w:rPr>
              <w:fldChar w:fldCharType="end"/>
            </w:r>
          </w:hyperlink>
        </w:p>
        <w:p w14:paraId="61942747" w14:textId="5153D68A" w:rsidR="006A73FE" w:rsidRPr="006A73FE" w:rsidRDefault="00000000" w:rsidP="006A73FE">
          <w:pPr>
            <w:pStyle w:val="TOC2"/>
            <w:rPr>
              <w:rFonts w:eastAsiaTheme="minorEastAsia"/>
              <w:sz w:val="22"/>
              <w:szCs w:val="22"/>
              <w:lang w:val="en-US"/>
            </w:rPr>
          </w:pPr>
          <w:hyperlink w:anchor="_Toc108218185" w:history="1">
            <w:r w:rsidR="006A73FE" w:rsidRPr="006A73FE">
              <w:rPr>
                <w:rStyle w:val="Hyperlink"/>
                <w:rtl/>
              </w:rPr>
              <w:t>גישת האנרכיסטים</w:t>
            </w:r>
            <w:r w:rsidR="006A73FE" w:rsidRPr="006A73FE">
              <w:rPr>
                <w:webHidden/>
              </w:rPr>
              <w:tab/>
            </w:r>
            <w:r w:rsidR="006A73FE" w:rsidRPr="006A73FE">
              <w:rPr>
                <w:rStyle w:val="Hyperlink"/>
                <w:rtl/>
              </w:rPr>
              <w:fldChar w:fldCharType="begin"/>
            </w:r>
            <w:r w:rsidR="006A73FE" w:rsidRPr="006A73FE">
              <w:rPr>
                <w:webHidden/>
              </w:rPr>
              <w:instrText xml:space="preserve"> PAGEREF _Toc108218185 \h </w:instrText>
            </w:r>
            <w:r w:rsidR="006A73FE" w:rsidRPr="006A73FE">
              <w:rPr>
                <w:rStyle w:val="Hyperlink"/>
                <w:rtl/>
              </w:rPr>
            </w:r>
            <w:r w:rsidR="006A73FE" w:rsidRPr="006A73FE">
              <w:rPr>
                <w:rStyle w:val="Hyperlink"/>
                <w:rtl/>
              </w:rPr>
              <w:fldChar w:fldCharType="separate"/>
            </w:r>
            <w:r w:rsidR="0090450F">
              <w:rPr>
                <w:webHidden/>
                <w:rtl/>
              </w:rPr>
              <w:t>11</w:t>
            </w:r>
            <w:r w:rsidR="006A73FE" w:rsidRPr="006A73FE">
              <w:rPr>
                <w:rStyle w:val="Hyperlink"/>
                <w:rtl/>
              </w:rPr>
              <w:fldChar w:fldCharType="end"/>
            </w:r>
          </w:hyperlink>
        </w:p>
        <w:p w14:paraId="0BB3AFAE" w14:textId="5DB92AE8" w:rsidR="006A73FE" w:rsidRPr="006A73FE" w:rsidRDefault="00000000" w:rsidP="006A73FE">
          <w:pPr>
            <w:pStyle w:val="TOC2"/>
            <w:rPr>
              <w:rFonts w:eastAsiaTheme="minorEastAsia"/>
              <w:sz w:val="22"/>
              <w:szCs w:val="22"/>
              <w:lang w:val="en-US"/>
            </w:rPr>
          </w:pPr>
          <w:hyperlink w:anchor="_Toc108218186" w:history="1">
            <w:r w:rsidR="006A73FE" w:rsidRPr="006A73FE">
              <w:rPr>
                <w:rStyle w:val="Hyperlink"/>
                <w:rtl/>
              </w:rPr>
              <w:t>מטרות הענישה</w:t>
            </w:r>
            <w:r w:rsidR="006A73FE" w:rsidRPr="006A73FE">
              <w:rPr>
                <w:webHidden/>
              </w:rPr>
              <w:tab/>
            </w:r>
            <w:r w:rsidR="006A73FE" w:rsidRPr="006A73FE">
              <w:rPr>
                <w:rStyle w:val="Hyperlink"/>
                <w:rtl/>
              </w:rPr>
              <w:fldChar w:fldCharType="begin"/>
            </w:r>
            <w:r w:rsidR="006A73FE" w:rsidRPr="006A73FE">
              <w:rPr>
                <w:webHidden/>
              </w:rPr>
              <w:instrText xml:space="preserve"> PAGEREF _Toc108218186 \h </w:instrText>
            </w:r>
            <w:r w:rsidR="006A73FE" w:rsidRPr="006A73FE">
              <w:rPr>
                <w:rStyle w:val="Hyperlink"/>
                <w:rtl/>
              </w:rPr>
            </w:r>
            <w:r w:rsidR="006A73FE" w:rsidRPr="006A73FE">
              <w:rPr>
                <w:rStyle w:val="Hyperlink"/>
                <w:rtl/>
              </w:rPr>
              <w:fldChar w:fldCharType="separate"/>
            </w:r>
            <w:r w:rsidR="0090450F">
              <w:rPr>
                <w:webHidden/>
                <w:rtl/>
              </w:rPr>
              <w:t>11</w:t>
            </w:r>
            <w:r w:rsidR="006A73FE" w:rsidRPr="006A73FE">
              <w:rPr>
                <w:rStyle w:val="Hyperlink"/>
                <w:rtl/>
              </w:rPr>
              <w:fldChar w:fldCharType="end"/>
            </w:r>
          </w:hyperlink>
        </w:p>
        <w:p w14:paraId="0767545F" w14:textId="308B9086" w:rsidR="006A73FE" w:rsidRPr="006A73FE" w:rsidRDefault="00000000" w:rsidP="006A73FE">
          <w:pPr>
            <w:pStyle w:val="TOC2"/>
            <w:rPr>
              <w:rFonts w:eastAsiaTheme="minorEastAsia"/>
              <w:sz w:val="22"/>
              <w:szCs w:val="22"/>
              <w:lang w:val="en-US"/>
            </w:rPr>
          </w:pPr>
          <w:hyperlink w:anchor="_Toc108218187" w:history="1">
            <w:r w:rsidR="006A73FE" w:rsidRPr="006A73FE">
              <w:rPr>
                <w:rStyle w:val="Hyperlink"/>
                <w:rtl/>
              </w:rPr>
              <w:t>גמול (הלימה) (40ב)</w:t>
            </w:r>
            <w:r w:rsidR="006A73FE" w:rsidRPr="006A73FE">
              <w:rPr>
                <w:webHidden/>
              </w:rPr>
              <w:tab/>
            </w:r>
            <w:r w:rsidR="006A73FE" w:rsidRPr="006A73FE">
              <w:rPr>
                <w:rStyle w:val="Hyperlink"/>
                <w:rtl/>
              </w:rPr>
              <w:fldChar w:fldCharType="begin"/>
            </w:r>
            <w:r w:rsidR="006A73FE" w:rsidRPr="006A73FE">
              <w:rPr>
                <w:webHidden/>
              </w:rPr>
              <w:instrText xml:space="preserve"> PAGEREF _Toc108218187 \h </w:instrText>
            </w:r>
            <w:r w:rsidR="006A73FE" w:rsidRPr="006A73FE">
              <w:rPr>
                <w:rStyle w:val="Hyperlink"/>
                <w:rtl/>
              </w:rPr>
            </w:r>
            <w:r w:rsidR="006A73FE" w:rsidRPr="006A73FE">
              <w:rPr>
                <w:rStyle w:val="Hyperlink"/>
                <w:rtl/>
              </w:rPr>
              <w:fldChar w:fldCharType="separate"/>
            </w:r>
            <w:r w:rsidR="0090450F">
              <w:rPr>
                <w:webHidden/>
                <w:rtl/>
              </w:rPr>
              <w:t>11</w:t>
            </w:r>
            <w:r w:rsidR="006A73FE" w:rsidRPr="006A73FE">
              <w:rPr>
                <w:rStyle w:val="Hyperlink"/>
                <w:rtl/>
              </w:rPr>
              <w:fldChar w:fldCharType="end"/>
            </w:r>
          </w:hyperlink>
        </w:p>
        <w:p w14:paraId="221C6FCB" w14:textId="70CAE06D" w:rsidR="006A73FE" w:rsidRPr="006A73FE" w:rsidRDefault="00000000" w:rsidP="006A73FE">
          <w:pPr>
            <w:pStyle w:val="TOC2"/>
            <w:rPr>
              <w:rFonts w:eastAsiaTheme="minorEastAsia"/>
              <w:sz w:val="22"/>
              <w:szCs w:val="22"/>
              <w:lang w:val="en-US"/>
            </w:rPr>
          </w:pPr>
          <w:hyperlink w:anchor="_Toc108218188" w:history="1">
            <w:r w:rsidR="006A73FE" w:rsidRPr="006A73FE">
              <w:rPr>
                <w:rStyle w:val="Hyperlink"/>
                <w:rtl/>
              </w:rPr>
              <w:t>הרתעה אישית/הרתעת הרבים (40ו+40ז)</w:t>
            </w:r>
            <w:r w:rsidR="006A73FE" w:rsidRPr="006A73FE">
              <w:rPr>
                <w:webHidden/>
              </w:rPr>
              <w:tab/>
            </w:r>
            <w:r w:rsidR="006A73FE" w:rsidRPr="006A73FE">
              <w:rPr>
                <w:rStyle w:val="Hyperlink"/>
                <w:rtl/>
              </w:rPr>
              <w:fldChar w:fldCharType="begin"/>
            </w:r>
            <w:r w:rsidR="006A73FE" w:rsidRPr="006A73FE">
              <w:rPr>
                <w:webHidden/>
              </w:rPr>
              <w:instrText xml:space="preserve"> PAGEREF _Toc108218188 \h </w:instrText>
            </w:r>
            <w:r w:rsidR="006A73FE" w:rsidRPr="006A73FE">
              <w:rPr>
                <w:rStyle w:val="Hyperlink"/>
                <w:rtl/>
              </w:rPr>
            </w:r>
            <w:r w:rsidR="006A73FE" w:rsidRPr="006A73FE">
              <w:rPr>
                <w:rStyle w:val="Hyperlink"/>
                <w:rtl/>
              </w:rPr>
              <w:fldChar w:fldCharType="separate"/>
            </w:r>
            <w:r w:rsidR="0090450F">
              <w:rPr>
                <w:webHidden/>
                <w:rtl/>
              </w:rPr>
              <w:t>12</w:t>
            </w:r>
            <w:r w:rsidR="006A73FE" w:rsidRPr="006A73FE">
              <w:rPr>
                <w:rStyle w:val="Hyperlink"/>
                <w:rtl/>
              </w:rPr>
              <w:fldChar w:fldCharType="end"/>
            </w:r>
          </w:hyperlink>
        </w:p>
        <w:p w14:paraId="37F989D3" w14:textId="427DB4DD" w:rsidR="006A73FE" w:rsidRPr="006A73FE" w:rsidRDefault="00000000" w:rsidP="006A73FE">
          <w:pPr>
            <w:pStyle w:val="TOC2"/>
            <w:rPr>
              <w:rFonts w:eastAsiaTheme="minorEastAsia"/>
              <w:sz w:val="22"/>
              <w:szCs w:val="22"/>
              <w:lang w:val="en-US"/>
            </w:rPr>
          </w:pPr>
          <w:hyperlink w:anchor="_Toc108218189" w:history="1">
            <w:r w:rsidR="006A73FE" w:rsidRPr="006A73FE">
              <w:rPr>
                <w:rStyle w:val="Hyperlink"/>
                <w:rtl/>
              </w:rPr>
              <w:t>טיפול ושיקום (40ד)</w:t>
            </w:r>
            <w:r w:rsidR="006A73FE" w:rsidRPr="006A73FE">
              <w:rPr>
                <w:webHidden/>
              </w:rPr>
              <w:tab/>
            </w:r>
            <w:r w:rsidR="006A73FE" w:rsidRPr="006A73FE">
              <w:rPr>
                <w:rStyle w:val="Hyperlink"/>
                <w:rtl/>
              </w:rPr>
              <w:fldChar w:fldCharType="begin"/>
            </w:r>
            <w:r w:rsidR="006A73FE" w:rsidRPr="006A73FE">
              <w:rPr>
                <w:webHidden/>
              </w:rPr>
              <w:instrText xml:space="preserve"> PAGEREF _Toc108218189 \h </w:instrText>
            </w:r>
            <w:r w:rsidR="006A73FE" w:rsidRPr="006A73FE">
              <w:rPr>
                <w:rStyle w:val="Hyperlink"/>
                <w:rtl/>
              </w:rPr>
            </w:r>
            <w:r w:rsidR="006A73FE" w:rsidRPr="006A73FE">
              <w:rPr>
                <w:rStyle w:val="Hyperlink"/>
                <w:rtl/>
              </w:rPr>
              <w:fldChar w:fldCharType="separate"/>
            </w:r>
            <w:r w:rsidR="0090450F">
              <w:rPr>
                <w:webHidden/>
                <w:rtl/>
              </w:rPr>
              <w:t>14</w:t>
            </w:r>
            <w:r w:rsidR="006A73FE" w:rsidRPr="006A73FE">
              <w:rPr>
                <w:rStyle w:val="Hyperlink"/>
                <w:rtl/>
              </w:rPr>
              <w:fldChar w:fldCharType="end"/>
            </w:r>
          </w:hyperlink>
        </w:p>
        <w:p w14:paraId="7B293DA3" w14:textId="1AC97935" w:rsidR="006A73FE" w:rsidRPr="006A73FE" w:rsidRDefault="00000000" w:rsidP="006A73FE">
          <w:pPr>
            <w:pStyle w:val="TOC2"/>
            <w:rPr>
              <w:rFonts w:eastAsiaTheme="minorEastAsia"/>
              <w:sz w:val="22"/>
              <w:szCs w:val="22"/>
              <w:lang w:val="en-US"/>
            </w:rPr>
          </w:pPr>
          <w:hyperlink w:anchor="_Toc108218190" w:history="1">
            <w:r w:rsidR="006A73FE" w:rsidRPr="006A73FE">
              <w:rPr>
                <w:rStyle w:val="Hyperlink"/>
                <w:rtl/>
              </w:rPr>
              <w:t>הגנה על שלום הציבור (40ה)</w:t>
            </w:r>
            <w:r w:rsidR="006A73FE" w:rsidRPr="006A73FE">
              <w:rPr>
                <w:webHidden/>
              </w:rPr>
              <w:tab/>
            </w:r>
            <w:r w:rsidR="006A73FE" w:rsidRPr="006A73FE">
              <w:rPr>
                <w:rStyle w:val="Hyperlink"/>
                <w:rtl/>
              </w:rPr>
              <w:fldChar w:fldCharType="begin"/>
            </w:r>
            <w:r w:rsidR="006A73FE" w:rsidRPr="006A73FE">
              <w:rPr>
                <w:webHidden/>
              </w:rPr>
              <w:instrText xml:space="preserve"> PAGEREF _Toc108218190 \h </w:instrText>
            </w:r>
            <w:r w:rsidR="006A73FE" w:rsidRPr="006A73FE">
              <w:rPr>
                <w:rStyle w:val="Hyperlink"/>
                <w:rtl/>
              </w:rPr>
            </w:r>
            <w:r w:rsidR="006A73FE" w:rsidRPr="006A73FE">
              <w:rPr>
                <w:rStyle w:val="Hyperlink"/>
                <w:rtl/>
              </w:rPr>
              <w:fldChar w:fldCharType="separate"/>
            </w:r>
            <w:r w:rsidR="0090450F">
              <w:rPr>
                <w:webHidden/>
                <w:rtl/>
              </w:rPr>
              <w:t>15</w:t>
            </w:r>
            <w:r w:rsidR="006A73FE" w:rsidRPr="006A73FE">
              <w:rPr>
                <w:rStyle w:val="Hyperlink"/>
                <w:rtl/>
              </w:rPr>
              <w:fldChar w:fldCharType="end"/>
            </w:r>
          </w:hyperlink>
        </w:p>
        <w:p w14:paraId="782E9C2F" w14:textId="10B05F29" w:rsidR="006A73FE" w:rsidRPr="006A73FE" w:rsidRDefault="00000000" w:rsidP="006A73FE">
          <w:pPr>
            <w:pStyle w:val="TOC1"/>
            <w:rPr>
              <w:rFonts w:ascii="Segoe UI" w:eastAsiaTheme="minorEastAsia" w:hAnsi="Segoe UI" w:cs="Segoe UI"/>
              <w:lang w:val="en-US"/>
            </w:rPr>
          </w:pPr>
          <w:hyperlink w:anchor="_Toc108218191" w:history="1">
            <w:r w:rsidR="006A73FE" w:rsidRPr="006A73FE">
              <w:rPr>
                <w:rStyle w:val="Hyperlink"/>
                <w:rFonts w:ascii="Segoe UI" w:hAnsi="Segoe UI" w:cs="Segoe UI"/>
                <w:rtl/>
              </w:rPr>
              <w:t>דרכי ענישה</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_Toc108218191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18</w:t>
            </w:r>
            <w:r w:rsidR="006A73FE" w:rsidRPr="006A73FE">
              <w:rPr>
                <w:rStyle w:val="Hyperlink"/>
                <w:rFonts w:ascii="Segoe UI" w:hAnsi="Segoe UI" w:cs="Segoe UI"/>
                <w:rtl/>
              </w:rPr>
              <w:fldChar w:fldCharType="end"/>
            </w:r>
          </w:hyperlink>
        </w:p>
        <w:p w14:paraId="2F2AAE96" w14:textId="6D92E956" w:rsidR="006A73FE" w:rsidRPr="006A73FE" w:rsidRDefault="00000000" w:rsidP="006A73FE">
          <w:pPr>
            <w:pStyle w:val="TOC2"/>
            <w:rPr>
              <w:rFonts w:eastAsiaTheme="minorEastAsia"/>
              <w:sz w:val="22"/>
              <w:szCs w:val="22"/>
              <w:lang w:val="en-US"/>
            </w:rPr>
          </w:pPr>
          <w:hyperlink w:anchor="_Toc108218192" w:history="1">
            <w:r w:rsidR="006A73FE" w:rsidRPr="006A73FE">
              <w:rPr>
                <w:rStyle w:val="Hyperlink"/>
                <w:rtl/>
              </w:rPr>
              <w:t>כליאה/מאסר</w:t>
            </w:r>
            <w:r w:rsidR="006A73FE" w:rsidRPr="006A73FE">
              <w:rPr>
                <w:webHidden/>
              </w:rPr>
              <w:tab/>
            </w:r>
            <w:r w:rsidR="006A73FE" w:rsidRPr="006A73FE">
              <w:rPr>
                <w:rStyle w:val="Hyperlink"/>
                <w:rtl/>
              </w:rPr>
              <w:fldChar w:fldCharType="begin"/>
            </w:r>
            <w:r w:rsidR="006A73FE" w:rsidRPr="006A73FE">
              <w:rPr>
                <w:webHidden/>
              </w:rPr>
              <w:instrText xml:space="preserve"> PAGEREF _Toc108218192 \h </w:instrText>
            </w:r>
            <w:r w:rsidR="006A73FE" w:rsidRPr="006A73FE">
              <w:rPr>
                <w:rStyle w:val="Hyperlink"/>
                <w:rtl/>
              </w:rPr>
            </w:r>
            <w:r w:rsidR="006A73FE" w:rsidRPr="006A73FE">
              <w:rPr>
                <w:rStyle w:val="Hyperlink"/>
                <w:rtl/>
              </w:rPr>
              <w:fldChar w:fldCharType="separate"/>
            </w:r>
            <w:r w:rsidR="0090450F">
              <w:rPr>
                <w:webHidden/>
                <w:rtl/>
              </w:rPr>
              <w:t>18</w:t>
            </w:r>
            <w:r w:rsidR="006A73FE" w:rsidRPr="006A73FE">
              <w:rPr>
                <w:rStyle w:val="Hyperlink"/>
                <w:rtl/>
              </w:rPr>
              <w:fldChar w:fldCharType="end"/>
            </w:r>
          </w:hyperlink>
        </w:p>
        <w:p w14:paraId="13787F8B" w14:textId="2113C979" w:rsidR="006A73FE" w:rsidRPr="006A73FE" w:rsidRDefault="00000000" w:rsidP="006A73FE">
          <w:pPr>
            <w:pStyle w:val="TOC2"/>
            <w:rPr>
              <w:rFonts w:eastAsiaTheme="minorEastAsia"/>
              <w:sz w:val="22"/>
              <w:szCs w:val="22"/>
              <w:lang w:val="en-US"/>
            </w:rPr>
          </w:pPr>
          <w:hyperlink w:anchor="_Toc108218193" w:history="1">
            <w:r w:rsidR="006A73FE" w:rsidRPr="006A73FE">
              <w:rPr>
                <w:rStyle w:val="Hyperlink"/>
                <w:rtl/>
              </w:rPr>
              <w:t>עבודות שירות (עב"ש)</w:t>
            </w:r>
            <w:r w:rsidR="006A73FE" w:rsidRPr="006A73FE">
              <w:rPr>
                <w:webHidden/>
              </w:rPr>
              <w:tab/>
            </w:r>
            <w:r w:rsidR="006A73FE" w:rsidRPr="006A73FE">
              <w:rPr>
                <w:rStyle w:val="Hyperlink"/>
                <w:rtl/>
              </w:rPr>
              <w:fldChar w:fldCharType="begin"/>
            </w:r>
            <w:r w:rsidR="006A73FE" w:rsidRPr="006A73FE">
              <w:rPr>
                <w:webHidden/>
              </w:rPr>
              <w:instrText xml:space="preserve"> PAGEREF _Toc108218193 \h </w:instrText>
            </w:r>
            <w:r w:rsidR="006A73FE" w:rsidRPr="006A73FE">
              <w:rPr>
                <w:rStyle w:val="Hyperlink"/>
                <w:rtl/>
              </w:rPr>
            </w:r>
            <w:r w:rsidR="006A73FE" w:rsidRPr="006A73FE">
              <w:rPr>
                <w:rStyle w:val="Hyperlink"/>
                <w:rtl/>
              </w:rPr>
              <w:fldChar w:fldCharType="separate"/>
            </w:r>
            <w:r w:rsidR="0090450F">
              <w:rPr>
                <w:webHidden/>
                <w:rtl/>
              </w:rPr>
              <w:t>21</w:t>
            </w:r>
            <w:r w:rsidR="006A73FE" w:rsidRPr="006A73FE">
              <w:rPr>
                <w:rStyle w:val="Hyperlink"/>
                <w:rtl/>
              </w:rPr>
              <w:fldChar w:fldCharType="end"/>
            </w:r>
          </w:hyperlink>
        </w:p>
        <w:p w14:paraId="10C1C32D" w14:textId="166928A4" w:rsidR="006A73FE" w:rsidRPr="006A73FE" w:rsidRDefault="00000000" w:rsidP="006A73FE">
          <w:pPr>
            <w:pStyle w:val="TOC2"/>
            <w:rPr>
              <w:rFonts w:eastAsiaTheme="minorEastAsia"/>
              <w:sz w:val="22"/>
              <w:szCs w:val="22"/>
              <w:lang w:val="en-US"/>
            </w:rPr>
          </w:pPr>
          <w:hyperlink w:anchor="_Toc108218194" w:history="1">
            <w:r w:rsidR="006A73FE" w:rsidRPr="006A73FE">
              <w:rPr>
                <w:rStyle w:val="Hyperlink"/>
                <w:rtl/>
              </w:rPr>
              <w:t>מאסר על תנאי (מע"ת)</w:t>
            </w:r>
            <w:r w:rsidR="006A73FE" w:rsidRPr="006A73FE">
              <w:rPr>
                <w:webHidden/>
              </w:rPr>
              <w:tab/>
            </w:r>
            <w:r w:rsidR="006A73FE" w:rsidRPr="006A73FE">
              <w:rPr>
                <w:rStyle w:val="Hyperlink"/>
                <w:rtl/>
              </w:rPr>
              <w:fldChar w:fldCharType="begin"/>
            </w:r>
            <w:r w:rsidR="006A73FE" w:rsidRPr="006A73FE">
              <w:rPr>
                <w:webHidden/>
              </w:rPr>
              <w:instrText xml:space="preserve"> PAGEREF _Toc108218194 \h </w:instrText>
            </w:r>
            <w:r w:rsidR="006A73FE" w:rsidRPr="006A73FE">
              <w:rPr>
                <w:rStyle w:val="Hyperlink"/>
                <w:rtl/>
              </w:rPr>
            </w:r>
            <w:r w:rsidR="006A73FE" w:rsidRPr="006A73FE">
              <w:rPr>
                <w:rStyle w:val="Hyperlink"/>
                <w:rtl/>
              </w:rPr>
              <w:fldChar w:fldCharType="separate"/>
            </w:r>
            <w:r w:rsidR="0090450F">
              <w:rPr>
                <w:webHidden/>
                <w:rtl/>
              </w:rPr>
              <w:t>23</w:t>
            </w:r>
            <w:r w:rsidR="006A73FE" w:rsidRPr="006A73FE">
              <w:rPr>
                <w:rStyle w:val="Hyperlink"/>
                <w:rtl/>
              </w:rPr>
              <w:fldChar w:fldCharType="end"/>
            </w:r>
          </w:hyperlink>
        </w:p>
        <w:p w14:paraId="74695A5B" w14:textId="16B455CD" w:rsidR="006A73FE" w:rsidRPr="006A73FE" w:rsidRDefault="00000000" w:rsidP="006A73FE">
          <w:pPr>
            <w:pStyle w:val="TOC2"/>
            <w:rPr>
              <w:rFonts w:eastAsiaTheme="minorEastAsia"/>
              <w:sz w:val="22"/>
              <w:szCs w:val="22"/>
              <w:lang w:val="en-US"/>
            </w:rPr>
          </w:pPr>
          <w:hyperlink w:anchor="_Toc108218195" w:history="1">
            <w:r w:rsidR="006A73FE" w:rsidRPr="006A73FE">
              <w:rPr>
                <w:rStyle w:val="Hyperlink"/>
                <w:rtl/>
              </w:rPr>
              <w:t>קנס (ס' 61 לחוק)</w:t>
            </w:r>
            <w:r w:rsidR="006A73FE" w:rsidRPr="006A73FE">
              <w:rPr>
                <w:webHidden/>
              </w:rPr>
              <w:tab/>
            </w:r>
            <w:r w:rsidR="006A73FE" w:rsidRPr="006A73FE">
              <w:rPr>
                <w:rStyle w:val="Hyperlink"/>
                <w:rtl/>
              </w:rPr>
              <w:fldChar w:fldCharType="begin"/>
            </w:r>
            <w:r w:rsidR="006A73FE" w:rsidRPr="006A73FE">
              <w:rPr>
                <w:webHidden/>
              </w:rPr>
              <w:instrText xml:space="preserve"> PAGEREF _Toc108218195 \h </w:instrText>
            </w:r>
            <w:r w:rsidR="006A73FE" w:rsidRPr="006A73FE">
              <w:rPr>
                <w:rStyle w:val="Hyperlink"/>
                <w:rtl/>
              </w:rPr>
            </w:r>
            <w:r w:rsidR="006A73FE" w:rsidRPr="006A73FE">
              <w:rPr>
                <w:rStyle w:val="Hyperlink"/>
                <w:rtl/>
              </w:rPr>
              <w:fldChar w:fldCharType="separate"/>
            </w:r>
            <w:r w:rsidR="0090450F">
              <w:rPr>
                <w:webHidden/>
                <w:rtl/>
              </w:rPr>
              <w:t>25</w:t>
            </w:r>
            <w:r w:rsidR="006A73FE" w:rsidRPr="006A73FE">
              <w:rPr>
                <w:rStyle w:val="Hyperlink"/>
                <w:rtl/>
              </w:rPr>
              <w:fldChar w:fldCharType="end"/>
            </w:r>
          </w:hyperlink>
        </w:p>
        <w:p w14:paraId="08BC3A11" w14:textId="4C030587" w:rsidR="006A73FE" w:rsidRPr="006A73FE" w:rsidRDefault="00000000" w:rsidP="006A73FE">
          <w:pPr>
            <w:pStyle w:val="TOC2"/>
            <w:rPr>
              <w:rFonts w:eastAsiaTheme="minorEastAsia"/>
              <w:sz w:val="22"/>
              <w:szCs w:val="22"/>
              <w:lang w:val="en-US"/>
            </w:rPr>
          </w:pPr>
          <w:hyperlink w:anchor="_Toc108218196" w:history="1">
            <w:r w:rsidR="006A73FE" w:rsidRPr="006A73FE">
              <w:rPr>
                <w:rStyle w:val="Hyperlink"/>
                <w:rtl/>
              </w:rPr>
              <w:t>שירות לתועלת הציבור (של"צ)</w:t>
            </w:r>
            <w:r w:rsidR="006A73FE" w:rsidRPr="006A73FE">
              <w:rPr>
                <w:webHidden/>
              </w:rPr>
              <w:tab/>
            </w:r>
            <w:r w:rsidR="006A73FE" w:rsidRPr="006A73FE">
              <w:rPr>
                <w:rStyle w:val="Hyperlink"/>
                <w:rtl/>
              </w:rPr>
              <w:fldChar w:fldCharType="begin"/>
            </w:r>
            <w:r w:rsidR="006A73FE" w:rsidRPr="006A73FE">
              <w:rPr>
                <w:webHidden/>
              </w:rPr>
              <w:instrText xml:space="preserve"> PAGEREF _Toc108218196 \h </w:instrText>
            </w:r>
            <w:r w:rsidR="006A73FE" w:rsidRPr="006A73FE">
              <w:rPr>
                <w:rStyle w:val="Hyperlink"/>
                <w:rtl/>
              </w:rPr>
            </w:r>
            <w:r w:rsidR="006A73FE" w:rsidRPr="006A73FE">
              <w:rPr>
                <w:rStyle w:val="Hyperlink"/>
                <w:rtl/>
              </w:rPr>
              <w:fldChar w:fldCharType="separate"/>
            </w:r>
            <w:r w:rsidR="0090450F">
              <w:rPr>
                <w:webHidden/>
                <w:rtl/>
              </w:rPr>
              <w:t>27</w:t>
            </w:r>
            <w:r w:rsidR="006A73FE" w:rsidRPr="006A73FE">
              <w:rPr>
                <w:rStyle w:val="Hyperlink"/>
                <w:rtl/>
              </w:rPr>
              <w:fldChar w:fldCharType="end"/>
            </w:r>
          </w:hyperlink>
        </w:p>
        <w:p w14:paraId="380C4BF5" w14:textId="04C4AF0F" w:rsidR="006A73FE" w:rsidRPr="006A73FE" w:rsidRDefault="00000000" w:rsidP="006A73FE">
          <w:pPr>
            <w:pStyle w:val="TOC2"/>
            <w:rPr>
              <w:rFonts w:eastAsiaTheme="minorEastAsia"/>
              <w:sz w:val="22"/>
              <w:szCs w:val="22"/>
              <w:lang w:val="en-US"/>
            </w:rPr>
          </w:pPr>
          <w:hyperlink w:anchor="_Toc108218197" w:history="1">
            <w:r w:rsidR="006A73FE" w:rsidRPr="006A73FE">
              <w:rPr>
                <w:rStyle w:val="Hyperlink"/>
                <w:rtl/>
              </w:rPr>
              <w:t>התחייבות להימנע מעבירה</w:t>
            </w:r>
            <w:r w:rsidR="006A73FE" w:rsidRPr="006A73FE">
              <w:rPr>
                <w:webHidden/>
              </w:rPr>
              <w:tab/>
            </w:r>
            <w:r w:rsidR="006A73FE" w:rsidRPr="006A73FE">
              <w:rPr>
                <w:rStyle w:val="Hyperlink"/>
                <w:rtl/>
              </w:rPr>
              <w:fldChar w:fldCharType="begin"/>
            </w:r>
            <w:r w:rsidR="006A73FE" w:rsidRPr="006A73FE">
              <w:rPr>
                <w:webHidden/>
              </w:rPr>
              <w:instrText xml:space="preserve"> PAGEREF _Toc108218197 \h </w:instrText>
            </w:r>
            <w:r w:rsidR="006A73FE" w:rsidRPr="006A73FE">
              <w:rPr>
                <w:rStyle w:val="Hyperlink"/>
                <w:rtl/>
              </w:rPr>
            </w:r>
            <w:r w:rsidR="006A73FE" w:rsidRPr="006A73FE">
              <w:rPr>
                <w:rStyle w:val="Hyperlink"/>
                <w:rtl/>
              </w:rPr>
              <w:fldChar w:fldCharType="separate"/>
            </w:r>
            <w:r w:rsidR="0090450F">
              <w:rPr>
                <w:webHidden/>
                <w:rtl/>
              </w:rPr>
              <w:t>29</w:t>
            </w:r>
            <w:r w:rsidR="006A73FE" w:rsidRPr="006A73FE">
              <w:rPr>
                <w:rStyle w:val="Hyperlink"/>
                <w:rtl/>
              </w:rPr>
              <w:fldChar w:fldCharType="end"/>
            </w:r>
          </w:hyperlink>
        </w:p>
        <w:p w14:paraId="4ACACF2B" w14:textId="2DBA34CB" w:rsidR="006A73FE" w:rsidRPr="006A73FE" w:rsidRDefault="00000000" w:rsidP="006A73FE">
          <w:pPr>
            <w:pStyle w:val="TOC2"/>
            <w:rPr>
              <w:rFonts w:eastAsiaTheme="minorEastAsia"/>
              <w:sz w:val="22"/>
              <w:szCs w:val="22"/>
              <w:lang w:val="en-US"/>
            </w:rPr>
          </w:pPr>
          <w:hyperlink w:anchor="_Toc108218198" w:history="1">
            <w:r w:rsidR="006A73FE" w:rsidRPr="006A73FE">
              <w:rPr>
                <w:rStyle w:val="Hyperlink"/>
                <w:rtl/>
              </w:rPr>
              <w:t>פיצויים לנפגע העבירה</w:t>
            </w:r>
            <w:r w:rsidR="006A73FE" w:rsidRPr="006A73FE">
              <w:rPr>
                <w:webHidden/>
              </w:rPr>
              <w:tab/>
            </w:r>
            <w:r w:rsidR="006A73FE" w:rsidRPr="006A73FE">
              <w:rPr>
                <w:rStyle w:val="Hyperlink"/>
                <w:rtl/>
              </w:rPr>
              <w:fldChar w:fldCharType="begin"/>
            </w:r>
            <w:r w:rsidR="006A73FE" w:rsidRPr="006A73FE">
              <w:rPr>
                <w:webHidden/>
              </w:rPr>
              <w:instrText xml:space="preserve"> PAGEREF _Toc108218198 \h </w:instrText>
            </w:r>
            <w:r w:rsidR="006A73FE" w:rsidRPr="006A73FE">
              <w:rPr>
                <w:rStyle w:val="Hyperlink"/>
                <w:rtl/>
              </w:rPr>
            </w:r>
            <w:r w:rsidR="006A73FE" w:rsidRPr="006A73FE">
              <w:rPr>
                <w:rStyle w:val="Hyperlink"/>
                <w:rtl/>
              </w:rPr>
              <w:fldChar w:fldCharType="separate"/>
            </w:r>
            <w:r w:rsidR="0090450F">
              <w:rPr>
                <w:webHidden/>
                <w:rtl/>
              </w:rPr>
              <w:t>30</w:t>
            </w:r>
            <w:r w:rsidR="006A73FE" w:rsidRPr="006A73FE">
              <w:rPr>
                <w:rStyle w:val="Hyperlink"/>
                <w:rtl/>
              </w:rPr>
              <w:fldChar w:fldCharType="end"/>
            </w:r>
          </w:hyperlink>
        </w:p>
        <w:p w14:paraId="617A844E" w14:textId="12038D6B" w:rsidR="006A73FE" w:rsidRPr="006A73FE" w:rsidRDefault="00000000" w:rsidP="006A73FE">
          <w:pPr>
            <w:pStyle w:val="TOC2"/>
            <w:rPr>
              <w:rFonts w:eastAsiaTheme="minorEastAsia"/>
              <w:sz w:val="22"/>
              <w:szCs w:val="22"/>
              <w:lang w:val="en-US"/>
            </w:rPr>
          </w:pPr>
          <w:hyperlink w:anchor="_Toc108218199" w:history="1">
            <w:r w:rsidR="006A73FE" w:rsidRPr="006A73FE">
              <w:rPr>
                <w:rStyle w:val="Hyperlink"/>
                <w:rtl/>
              </w:rPr>
              <w:t>טיפול בקהילה</w:t>
            </w:r>
            <w:r w:rsidR="006A73FE" w:rsidRPr="006A73FE">
              <w:rPr>
                <w:webHidden/>
              </w:rPr>
              <w:tab/>
            </w:r>
            <w:r w:rsidR="006A73FE" w:rsidRPr="006A73FE">
              <w:rPr>
                <w:rStyle w:val="Hyperlink"/>
                <w:rtl/>
              </w:rPr>
              <w:fldChar w:fldCharType="begin"/>
            </w:r>
            <w:r w:rsidR="006A73FE" w:rsidRPr="006A73FE">
              <w:rPr>
                <w:webHidden/>
              </w:rPr>
              <w:instrText xml:space="preserve"> PAGEREF _Toc108218199 \h </w:instrText>
            </w:r>
            <w:r w:rsidR="006A73FE" w:rsidRPr="006A73FE">
              <w:rPr>
                <w:rStyle w:val="Hyperlink"/>
                <w:rtl/>
              </w:rPr>
            </w:r>
            <w:r w:rsidR="006A73FE" w:rsidRPr="006A73FE">
              <w:rPr>
                <w:rStyle w:val="Hyperlink"/>
                <w:rtl/>
              </w:rPr>
              <w:fldChar w:fldCharType="separate"/>
            </w:r>
            <w:r w:rsidR="0090450F">
              <w:rPr>
                <w:webHidden/>
                <w:rtl/>
              </w:rPr>
              <w:t>33</w:t>
            </w:r>
            <w:r w:rsidR="006A73FE" w:rsidRPr="006A73FE">
              <w:rPr>
                <w:rStyle w:val="Hyperlink"/>
                <w:rtl/>
              </w:rPr>
              <w:fldChar w:fldCharType="end"/>
            </w:r>
          </w:hyperlink>
        </w:p>
        <w:p w14:paraId="34327C74" w14:textId="2E9A5169" w:rsidR="006A73FE" w:rsidRPr="006A73FE" w:rsidRDefault="00000000" w:rsidP="006A73FE">
          <w:pPr>
            <w:pStyle w:val="TOC2"/>
            <w:rPr>
              <w:rFonts w:eastAsiaTheme="minorEastAsia"/>
              <w:sz w:val="22"/>
              <w:szCs w:val="22"/>
              <w:lang w:val="en-US"/>
            </w:rPr>
          </w:pPr>
          <w:hyperlink w:anchor="_Toc108218200" w:history="1">
            <w:r w:rsidR="006A73FE" w:rsidRPr="006A73FE">
              <w:rPr>
                <w:rStyle w:val="Hyperlink"/>
                <w:rtl/>
              </w:rPr>
              <w:t>סיכום סוגי ענישה לאחר הרשעה</w:t>
            </w:r>
            <w:r w:rsidR="006A73FE" w:rsidRPr="006A73FE">
              <w:rPr>
                <w:webHidden/>
              </w:rPr>
              <w:tab/>
            </w:r>
            <w:r w:rsidR="006A73FE" w:rsidRPr="006A73FE">
              <w:rPr>
                <w:rStyle w:val="Hyperlink"/>
                <w:rtl/>
              </w:rPr>
              <w:fldChar w:fldCharType="begin"/>
            </w:r>
            <w:r w:rsidR="006A73FE" w:rsidRPr="006A73FE">
              <w:rPr>
                <w:webHidden/>
              </w:rPr>
              <w:instrText xml:space="preserve"> PAGEREF _Toc108218200 \h </w:instrText>
            </w:r>
            <w:r w:rsidR="006A73FE" w:rsidRPr="006A73FE">
              <w:rPr>
                <w:rStyle w:val="Hyperlink"/>
                <w:rtl/>
              </w:rPr>
            </w:r>
            <w:r w:rsidR="006A73FE" w:rsidRPr="006A73FE">
              <w:rPr>
                <w:rStyle w:val="Hyperlink"/>
                <w:rtl/>
              </w:rPr>
              <w:fldChar w:fldCharType="separate"/>
            </w:r>
            <w:r w:rsidR="0090450F">
              <w:rPr>
                <w:webHidden/>
                <w:rtl/>
              </w:rPr>
              <w:t>33</w:t>
            </w:r>
            <w:r w:rsidR="006A73FE" w:rsidRPr="006A73FE">
              <w:rPr>
                <w:rStyle w:val="Hyperlink"/>
                <w:rtl/>
              </w:rPr>
              <w:fldChar w:fldCharType="end"/>
            </w:r>
          </w:hyperlink>
        </w:p>
        <w:p w14:paraId="0FDD38FF" w14:textId="267E3129" w:rsidR="006A73FE" w:rsidRPr="006A73FE" w:rsidRDefault="00000000" w:rsidP="006A73FE">
          <w:pPr>
            <w:pStyle w:val="TOC2"/>
            <w:rPr>
              <w:rFonts w:eastAsiaTheme="minorEastAsia"/>
              <w:sz w:val="22"/>
              <w:szCs w:val="22"/>
              <w:lang w:val="en-US"/>
            </w:rPr>
          </w:pPr>
          <w:hyperlink w:anchor="_Toc108218201" w:history="1">
            <w:r w:rsidR="006A73FE" w:rsidRPr="006A73FE">
              <w:rPr>
                <w:rStyle w:val="Hyperlink"/>
                <w:rtl/>
              </w:rPr>
              <w:t>אי הרשעה</w:t>
            </w:r>
            <w:r w:rsidR="006A73FE" w:rsidRPr="006A73FE">
              <w:rPr>
                <w:webHidden/>
              </w:rPr>
              <w:tab/>
            </w:r>
            <w:r w:rsidR="006A73FE" w:rsidRPr="006A73FE">
              <w:rPr>
                <w:rStyle w:val="Hyperlink"/>
                <w:rtl/>
              </w:rPr>
              <w:fldChar w:fldCharType="begin"/>
            </w:r>
            <w:r w:rsidR="006A73FE" w:rsidRPr="006A73FE">
              <w:rPr>
                <w:webHidden/>
              </w:rPr>
              <w:instrText xml:space="preserve"> PAGEREF _Toc108218201 \h </w:instrText>
            </w:r>
            <w:r w:rsidR="006A73FE" w:rsidRPr="006A73FE">
              <w:rPr>
                <w:rStyle w:val="Hyperlink"/>
                <w:rtl/>
              </w:rPr>
            </w:r>
            <w:r w:rsidR="006A73FE" w:rsidRPr="006A73FE">
              <w:rPr>
                <w:rStyle w:val="Hyperlink"/>
                <w:rtl/>
              </w:rPr>
              <w:fldChar w:fldCharType="separate"/>
            </w:r>
            <w:r w:rsidR="0090450F">
              <w:rPr>
                <w:webHidden/>
                <w:rtl/>
              </w:rPr>
              <w:t>34</w:t>
            </w:r>
            <w:r w:rsidR="006A73FE" w:rsidRPr="006A73FE">
              <w:rPr>
                <w:rStyle w:val="Hyperlink"/>
                <w:rtl/>
              </w:rPr>
              <w:fldChar w:fldCharType="end"/>
            </w:r>
          </w:hyperlink>
        </w:p>
        <w:p w14:paraId="34E053B9" w14:textId="32BA575A" w:rsidR="006A73FE" w:rsidRPr="006A73FE" w:rsidRDefault="00000000" w:rsidP="006A73FE">
          <w:pPr>
            <w:pStyle w:val="TOC2"/>
            <w:rPr>
              <w:rFonts w:eastAsiaTheme="minorEastAsia"/>
              <w:sz w:val="22"/>
              <w:szCs w:val="22"/>
              <w:lang w:val="en-US"/>
            </w:rPr>
          </w:pPr>
          <w:hyperlink w:anchor="_Toc108218202" w:history="1">
            <w:r w:rsidR="006A73FE" w:rsidRPr="006A73FE">
              <w:rPr>
                <w:rStyle w:val="Hyperlink"/>
                <w:rtl/>
              </w:rPr>
              <w:t>חילוט נכסים</w:t>
            </w:r>
            <w:r w:rsidR="006A73FE" w:rsidRPr="006A73FE">
              <w:rPr>
                <w:webHidden/>
              </w:rPr>
              <w:tab/>
            </w:r>
            <w:r w:rsidR="006A73FE" w:rsidRPr="006A73FE">
              <w:rPr>
                <w:rStyle w:val="Hyperlink"/>
                <w:rtl/>
              </w:rPr>
              <w:fldChar w:fldCharType="begin"/>
            </w:r>
            <w:r w:rsidR="006A73FE" w:rsidRPr="006A73FE">
              <w:rPr>
                <w:webHidden/>
              </w:rPr>
              <w:instrText xml:space="preserve"> PAGEREF _Toc108218202 \h </w:instrText>
            </w:r>
            <w:r w:rsidR="006A73FE" w:rsidRPr="006A73FE">
              <w:rPr>
                <w:rStyle w:val="Hyperlink"/>
                <w:rtl/>
              </w:rPr>
            </w:r>
            <w:r w:rsidR="006A73FE" w:rsidRPr="006A73FE">
              <w:rPr>
                <w:rStyle w:val="Hyperlink"/>
                <w:rtl/>
              </w:rPr>
              <w:fldChar w:fldCharType="separate"/>
            </w:r>
            <w:r w:rsidR="0090450F">
              <w:rPr>
                <w:webHidden/>
                <w:rtl/>
              </w:rPr>
              <w:t>34</w:t>
            </w:r>
            <w:r w:rsidR="006A73FE" w:rsidRPr="006A73FE">
              <w:rPr>
                <w:rStyle w:val="Hyperlink"/>
                <w:rtl/>
              </w:rPr>
              <w:fldChar w:fldCharType="end"/>
            </w:r>
          </w:hyperlink>
        </w:p>
        <w:p w14:paraId="1CF8A5D1" w14:textId="2B702CE9" w:rsidR="006A73FE" w:rsidRPr="006A73FE" w:rsidRDefault="00000000" w:rsidP="006A73FE">
          <w:pPr>
            <w:pStyle w:val="TOC1"/>
            <w:rPr>
              <w:rFonts w:ascii="Segoe UI" w:eastAsiaTheme="minorEastAsia" w:hAnsi="Segoe UI" w:cs="Segoe UI"/>
              <w:lang w:val="en-US"/>
            </w:rPr>
          </w:pPr>
          <w:hyperlink w:anchor="_Toc108218203" w:history="1">
            <w:r w:rsidR="006A73FE" w:rsidRPr="006A73FE">
              <w:rPr>
                <w:rStyle w:val="Hyperlink"/>
                <w:rFonts w:ascii="Segoe UI" w:hAnsi="Segoe UI" w:cs="Segoe UI"/>
                <w:rtl/>
              </w:rPr>
              <w:t>הבניית שיקול הדעת בענישה</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_Toc108218203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37</w:t>
            </w:r>
            <w:r w:rsidR="006A73FE" w:rsidRPr="006A73FE">
              <w:rPr>
                <w:rStyle w:val="Hyperlink"/>
                <w:rFonts w:ascii="Segoe UI" w:hAnsi="Segoe UI" w:cs="Segoe UI"/>
                <w:rtl/>
              </w:rPr>
              <w:fldChar w:fldCharType="end"/>
            </w:r>
          </w:hyperlink>
        </w:p>
        <w:p w14:paraId="09FE12F4" w14:textId="4E715123" w:rsidR="006A73FE" w:rsidRPr="006A73FE" w:rsidRDefault="00000000" w:rsidP="006A73FE">
          <w:pPr>
            <w:pStyle w:val="TOC2"/>
            <w:rPr>
              <w:rFonts w:eastAsiaTheme="minorEastAsia"/>
              <w:sz w:val="22"/>
              <w:szCs w:val="22"/>
              <w:lang w:val="en-US"/>
            </w:rPr>
          </w:pPr>
          <w:hyperlink w:anchor="_Toc108218204" w:history="1">
            <w:r w:rsidR="006A73FE" w:rsidRPr="006A73FE">
              <w:rPr>
                <w:rStyle w:val="Hyperlink"/>
                <w:rtl/>
              </w:rPr>
              <w:t>מבוא כללי</w:t>
            </w:r>
            <w:r w:rsidR="006A73FE" w:rsidRPr="006A73FE">
              <w:rPr>
                <w:webHidden/>
              </w:rPr>
              <w:tab/>
            </w:r>
            <w:r w:rsidR="006A73FE" w:rsidRPr="006A73FE">
              <w:rPr>
                <w:rStyle w:val="Hyperlink"/>
                <w:rtl/>
              </w:rPr>
              <w:fldChar w:fldCharType="begin"/>
            </w:r>
            <w:r w:rsidR="006A73FE" w:rsidRPr="006A73FE">
              <w:rPr>
                <w:webHidden/>
              </w:rPr>
              <w:instrText xml:space="preserve"> PAGEREF _Toc108218204 \h </w:instrText>
            </w:r>
            <w:r w:rsidR="006A73FE" w:rsidRPr="006A73FE">
              <w:rPr>
                <w:rStyle w:val="Hyperlink"/>
                <w:rtl/>
              </w:rPr>
            </w:r>
            <w:r w:rsidR="006A73FE" w:rsidRPr="006A73FE">
              <w:rPr>
                <w:rStyle w:val="Hyperlink"/>
                <w:rtl/>
              </w:rPr>
              <w:fldChar w:fldCharType="separate"/>
            </w:r>
            <w:r w:rsidR="0090450F">
              <w:rPr>
                <w:webHidden/>
                <w:rtl/>
              </w:rPr>
              <w:t>37</w:t>
            </w:r>
            <w:r w:rsidR="006A73FE" w:rsidRPr="006A73FE">
              <w:rPr>
                <w:rStyle w:val="Hyperlink"/>
                <w:rtl/>
              </w:rPr>
              <w:fldChar w:fldCharType="end"/>
            </w:r>
          </w:hyperlink>
        </w:p>
        <w:p w14:paraId="7329CDD0" w14:textId="50521B84" w:rsidR="006A73FE" w:rsidRPr="006A73FE" w:rsidRDefault="00000000" w:rsidP="006A73FE">
          <w:pPr>
            <w:pStyle w:val="TOC2"/>
            <w:rPr>
              <w:rFonts w:eastAsiaTheme="minorEastAsia"/>
              <w:sz w:val="22"/>
              <w:szCs w:val="22"/>
              <w:lang w:val="en-US"/>
            </w:rPr>
          </w:pPr>
          <w:hyperlink w:anchor="_Toc108218205" w:history="1">
            <w:r w:rsidR="006A73FE" w:rsidRPr="006A73FE">
              <w:rPr>
                <w:rStyle w:val="Hyperlink"/>
                <w:rtl/>
              </w:rPr>
              <w:t>מה בחוק?</w:t>
            </w:r>
            <w:r w:rsidR="006A73FE" w:rsidRPr="006A73FE">
              <w:rPr>
                <w:webHidden/>
              </w:rPr>
              <w:tab/>
            </w:r>
            <w:r w:rsidR="006A73FE" w:rsidRPr="006A73FE">
              <w:rPr>
                <w:rStyle w:val="Hyperlink"/>
                <w:rtl/>
              </w:rPr>
              <w:fldChar w:fldCharType="begin"/>
            </w:r>
            <w:r w:rsidR="006A73FE" w:rsidRPr="006A73FE">
              <w:rPr>
                <w:webHidden/>
              </w:rPr>
              <w:instrText xml:space="preserve"> PAGEREF _Toc108218205 \h </w:instrText>
            </w:r>
            <w:r w:rsidR="006A73FE" w:rsidRPr="006A73FE">
              <w:rPr>
                <w:rStyle w:val="Hyperlink"/>
                <w:rtl/>
              </w:rPr>
            </w:r>
            <w:r w:rsidR="006A73FE" w:rsidRPr="006A73FE">
              <w:rPr>
                <w:rStyle w:val="Hyperlink"/>
                <w:rtl/>
              </w:rPr>
              <w:fldChar w:fldCharType="separate"/>
            </w:r>
            <w:r w:rsidR="0090450F">
              <w:rPr>
                <w:webHidden/>
                <w:rtl/>
              </w:rPr>
              <w:t>37</w:t>
            </w:r>
            <w:r w:rsidR="006A73FE" w:rsidRPr="006A73FE">
              <w:rPr>
                <w:rStyle w:val="Hyperlink"/>
                <w:rtl/>
              </w:rPr>
              <w:fldChar w:fldCharType="end"/>
            </w:r>
          </w:hyperlink>
        </w:p>
        <w:p w14:paraId="25C9A717" w14:textId="1FD67E7E" w:rsidR="006A73FE" w:rsidRPr="006A73FE" w:rsidRDefault="00000000" w:rsidP="006A73FE">
          <w:pPr>
            <w:pStyle w:val="TOC2"/>
            <w:rPr>
              <w:rFonts w:eastAsiaTheme="minorEastAsia"/>
              <w:sz w:val="22"/>
              <w:szCs w:val="22"/>
              <w:lang w:val="en-US"/>
            </w:rPr>
          </w:pPr>
          <w:hyperlink w:anchor="_Toc108218206" w:history="1">
            <w:r w:rsidR="006A73FE" w:rsidRPr="006A73FE">
              <w:rPr>
                <w:rStyle w:val="Hyperlink"/>
                <w:rtl/>
              </w:rPr>
              <w:t>מטרת החוק</w:t>
            </w:r>
            <w:r w:rsidR="006A73FE" w:rsidRPr="006A73FE">
              <w:rPr>
                <w:webHidden/>
              </w:rPr>
              <w:tab/>
            </w:r>
            <w:r w:rsidR="006A73FE" w:rsidRPr="006A73FE">
              <w:rPr>
                <w:rStyle w:val="Hyperlink"/>
                <w:rtl/>
              </w:rPr>
              <w:fldChar w:fldCharType="begin"/>
            </w:r>
            <w:r w:rsidR="006A73FE" w:rsidRPr="006A73FE">
              <w:rPr>
                <w:webHidden/>
              </w:rPr>
              <w:instrText xml:space="preserve"> PAGEREF _Toc108218206 \h </w:instrText>
            </w:r>
            <w:r w:rsidR="006A73FE" w:rsidRPr="006A73FE">
              <w:rPr>
                <w:rStyle w:val="Hyperlink"/>
                <w:rtl/>
              </w:rPr>
            </w:r>
            <w:r w:rsidR="006A73FE" w:rsidRPr="006A73FE">
              <w:rPr>
                <w:rStyle w:val="Hyperlink"/>
                <w:rtl/>
              </w:rPr>
              <w:fldChar w:fldCharType="separate"/>
            </w:r>
            <w:r w:rsidR="0090450F">
              <w:rPr>
                <w:webHidden/>
                <w:rtl/>
              </w:rPr>
              <w:t>37</w:t>
            </w:r>
            <w:r w:rsidR="006A73FE" w:rsidRPr="006A73FE">
              <w:rPr>
                <w:rStyle w:val="Hyperlink"/>
                <w:rtl/>
              </w:rPr>
              <w:fldChar w:fldCharType="end"/>
            </w:r>
          </w:hyperlink>
        </w:p>
        <w:p w14:paraId="441BE104" w14:textId="03196C8C" w:rsidR="006A73FE" w:rsidRPr="006A73FE" w:rsidRDefault="00000000" w:rsidP="006A73FE">
          <w:pPr>
            <w:pStyle w:val="TOC2"/>
            <w:rPr>
              <w:rFonts w:eastAsiaTheme="minorEastAsia"/>
              <w:sz w:val="22"/>
              <w:szCs w:val="22"/>
              <w:lang w:val="en-US"/>
            </w:rPr>
          </w:pPr>
          <w:hyperlink w:anchor="_Toc108218207" w:history="1">
            <w:r w:rsidR="006A73FE" w:rsidRPr="006A73FE">
              <w:rPr>
                <w:rStyle w:val="Hyperlink"/>
                <w:rtl/>
              </w:rPr>
              <w:t>העקרון המנחה בענישה – הלימה</w:t>
            </w:r>
            <w:r w:rsidR="006A73FE" w:rsidRPr="006A73FE">
              <w:rPr>
                <w:webHidden/>
              </w:rPr>
              <w:tab/>
            </w:r>
            <w:r w:rsidR="006A73FE" w:rsidRPr="006A73FE">
              <w:rPr>
                <w:rStyle w:val="Hyperlink"/>
                <w:rtl/>
              </w:rPr>
              <w:fldChar w:fldCharType="begin"/>
            </w:r>
            <w:r w:rsidR="006A73FE" w:rsidRPr="006A73FE">
              <w:rPr>
                <w:webHidden/>
              </w:rPr>
              <w:instrText xml:space="preserve"> PAGEREF _Toc108218207 \h </w:instrText>
            </w:r>
            <w:r w:rsidR="006A73FE" w:rsidRPr="006A73FE">
              <w:rPr>
                <w:rStyle w:val="Hyperlink"/>
                <w:rtl/>
              </w:rPr>
            </w:r>
            <w:r w:rsidR="006A73FE" w:rsidRPr="006A73FE">
              <w:rPr>
                <w:rStyle w:val="Hyperlink"/>
                <w:rtl/>
              </w:rPr>
              <w:fldChar w:fldCharType="separate"/>
            </w:r>
            <w:r w:rsidR="0090450F">
              <w:rPr>
                <w:webHidden/>
                <w:rtl/>
              </w:rPr>
              <w:t>37</w:t>
            </w:r>
            <w:r w:rsidR="006A73FE" w:rsidRPr="006A73FE">
              <w:rPr>
                <w:rStyle w:val="Hyperlink"/>
                <w:rtl/>
              </w:rPr>
              <w:fldChar w:fldCharType="end"/>
            </w:r>
          </w:hyperlink>
        </w:p>
        <w:p w14:paraId="7C94311D" w14:textId="3B2FACB1" w:rsidR="006A73FE" w:rsidRPr="006A73FE" w:rsidRDefault="00000000" w:rsidP="006A73FE">
          <w:pPr>
            <w:pStyle w:val="TOC2"/>
            <w:rPr>
              <w:rFonts w:eastAsiaTheme="minorEastAsia"/>
              <w:sz w:val="22"/>
              <w:szCs w:val="22"/>
              <w:lang w:val="en-US"/>
            </w:rPr>
          </w:pPr>
          <w:hyperlink w:anchor="_Toc108218208" w:history="1">
            <w:r w:rsidR="006A73FE" w:rsidRPr="006A73FE">
              <w:rPr>
                <w:rStyle w:val="Hyperlink"/>
                <w:rtl/>
              </w:rPr>
              <w:t>האם גמול והלימה זהים?</w:t>
            </w:r>
            <w:r w:rsidR="006A73FE" w:rsidRPr="006A73FE">
              <w:rPr>
                <w:webHidden/>
              </w:rPr>
              <w:tab/>
            </w:r>
            <w:r w:rsidR="006A73FE" w:rsidRPr="006A73FE">
              <w:rPr>
                <w:rStyle w:val="Hyperlink"/>
                <w:rtl/>
              </w:rPr>
              <w:fldChar w:fldCharType="begin"/>
            </w:r>
            <w:r w:rsidR="006A73FE" w:rsidRPr="006A73FE">
              <w:rPr>
                <w:webHidden/>
              </w:rPr>
              <w:instrText xml:space="preserve"> PAGEREF _Toc108218208 \h </w:instrText>
            </w:r>
            <w:r w:rsidR="006A73FE" w:rsidRPr="006A73FE">
              <w:rPr>
                <w:rStyle w:val="Hyperlink"/>
                <w:rtl/>
              </w:rPr>
            </w:r>
            <w:r w:rsidR="006A73FE" w:rsidRPr="006A73FE">
              <w:rPr>
                <w:rStyle w:val="Hyperlink"/>
                <w:rtl/>
              </w:rPr>
              <w:fldChar w:fldCharType="separate"/>
            </w:r>
            <w:r w:rsidR="0090450F">
              <w:rPr>
                <w:webHidden/>
                <w:rtl/>
              </w:rPr>
              <w:t>38</w:t>
            </w:r>
            <w:r w:rsidR="006A73FE" w:rsidRPr="006A73FE">
              <w:rPr>
                <w:rStyle w:val="Hyperlink"/>
                <w:rtl/>
              </w:rPr>
              <w:fldChar w:fldCharType="end"/>
            </w:r>
          </w:hyperlink>
        </w:p>
        <w:p w14:paraId="5C2D1D7E" w14:textId="4FBA1058" w:rsidR="006A73FE" w:rsidRPr="006A73FE" w:rsidRDefault="00000000" w:rsidP="006A73FE">
          <w:pPr>
            <w:pStyle w:val="TOC2"/>
            <w:rPr>
              <w:rFonts w:eastAsiaTheme="minorEastAsia"/>
              <w:sz w:val="22"/>
              <w:szCs w:val="22"/>
              <w:lang w:val="en-US"/>
            </w:rPr>
          </w:pPr>
          <w:hyperlink w:anchor="_Toc108218209" w:history="1">
            <w:r w:rsidR="006A73FE" w:rsidRPr="006A73FE">
              <w:rPr>
                <w:rStyle w:val="Hyperlink"/>
                <w:rtl/>
              </w:rPr>
              <w:t>קביעת מתחם העונש ההולם וגזירת עונשו של הנאשם</w:t>
            </w:r>
            <w:r w:rsidR="006A73FE" w:rsidRPr="006A73FE">
              <w:rPr>
                <w:webHidden/>
              </w:rPr>
              <w:tab/>
            </w:r>
            <w:r w:rsidR="006A73FE" w:rsidRPr="006A73FE">
              <w:rPr>
                <w:rStyle w:val="Hyperlink"/>
                <w:rtl/>
              </w:rPr>
              <w:fldChar w:fldCharType="begin"/>
            </w:r>
            <w:r w:rsidR="006A73FE" w:rsidRPr="006A73FE">
              <w:rPr>
                <w:webHidden/>
              </w:rPr>
              <w:instrText xml:space="preserve"> PAGEREF _Toc108218209 \h </w:instrText>
            </w:r>
            <w:r w:rsidR="006A73FE" w:rsidRPr="006A73FE">
              <w:rPr>
                <w:rStyle w:val="Hyperlink"/>
                <w:rtl/>
              </w:rPr>
            </w:r>
            <w:r w:rsidR="006A73FE" w:rsidRPr="006A73FE">
              <w:rPr>
                <w:rStyle w:val="Hyperlink"/>
                <w:rtl/>
              </w:rPr>
              <w:fldChar w:fldCharType="separate"/>
            </w:r>
            <w:r w:rsidR="0090450F">
              <w:rPr>
                <w:webHidden/>
                <w:rtl/>
              </w:rPr>
              <w:t>38</w:t>
            </w:r>
            <w:r w:rsidR="006A73FE" w:rsidRPr="006A73FE">
              <w:rPr>
                <w:rStyle w:val="Hyperlink"/>
                <w:rtl/>
              </w:rPr>
              <w:fldChar w:fldCharType="end"/>
            </w:r>
          </w:hyperlink>
        </w:p>
        <w:p w14:paraId="49D163A2" w14:textId="36C3F88C" w:rsidR="006A73FE" w:rsidRPr="006A73FE" w:rsidRDefault="00000000" w:rsidP="006A73FE">
          <w:pPr>
            <w:pStyle w:val="TOC2"/>
            <w:rPr>
              <w:rFonts w:eastAsiaTheme="minorEastAsia"/>
              <w:sz w:val="22"/>
              <w:szCs w:val="22"/>
              <w:lang w:val="en-US"/>
            </w:rPr>
          </w:pPr>
          <w:hyperlink w:anchor="_Toc108218210" w:history="1">
            <w:r w:rsidR="006A73FE" w:rsidRPr="006A73FE">
              <w:rPr>
                <w:rStyle w:val="Hyperlink"/>
                <w:rtl/>
              </w:rPr>
              <w:t>שלבי קביעת המתחם</w:t>
            </w:r>
            <w:r w:rsidR="006A73FE" w:rsidRPr="006A73FE">
              <w:rPr>
                <w:webHidden/>
              </w:rPr>
              <w:tab/>
            </w:r>
            <w:r w:rsidR="006A73FE" w:rsidRPr="006A73FE">
              <w:rPr>
                <w:rStyle w:val="Hyperlink"/>
                <w:rtl/>
              </w:rPr>
              <w:fldChar w:fldCharType="begin"/>
            </w:r>
            <w:r w:rsidR="006A73FE" w:rsidRPr="006A73FE">
              <w:rPr>
                <w:webHidden/>
              </w:rPr>
              <w:instrText xml:space="preserve"> PAGEREF _Toc108218210 \h </w:instrText>
            </w:r>
            <w:r w:rsidR="006A73FE" w:rsidRPr="006A73FE">
              <w:rPr>
                <w:rStyle w:val="Hyperlink"/>
                <w:rtl/>
              </w:rPr>
            </w:r>
            <w:r w:rsidR="006A73FE" w:rsidRPr="006A73FE">
              <w:rPr>
                <w:rStyle w:val="Hyperlink"/>
                <w:rtl/>
              </w:rPr>
              <w:fldChar w:fldCharType="separate"/>
            </w:r>
            <w:r w:rsidR="0090450F">
              <w:rPr>
                <w:webHidden/>
                <w:rtl/>
              </w:rPr>
              <w:t>38</w:t>
            </w:r>
            <w:r w:rsidR="006A73FE" w:rsidRPr="006A73FE">
              <w:rPr>
                <w:rStyle w:val="Hyperlink"/>
                <w:rtl/>
              </w:rPr>
              <w:fldChar w:fldCharType="end"/>
            </w:r>
          </w:hyperlink>
        </w:p>
        <w:p w14:paraId="00E8172C" w14:textId="2F1680C6" w:rsidR="006A73FE" w:rsidRPr="006A73FE" w:rsidRDefault="00000000" w:rsidP="006A73FE">
          <w:pPr>
            <w:pStyle w:val="TOC2"/>
            <w:rPr>
              <w:rFonts w:eastAsiaTheme="minorEastAsia"/>
              <w:sz w:val="22"/>
              <w:szCs w:val="22"/>
              <w:lang w:val="en-US"/>
            </w:rPr>
          </w:pPr>
          <w:hyperlink w:anchor="_Toc108218211" w:history="1">
            <w:r w:rsidR="006A73FE" w:rsidRPr="006A73FE">
              <w:rPr>
                <w:rStyle w:val="Hyperlink"/>
                <w:rtl/>
              </w:rPr>
              <w:t>ההבדל בין נסיבות הקשורות בביצוע העבירה לנסיבות אישיות</w:t>
            </w:r>
            <w:r w:rsidR="006A73FE" w:rsidRPr="006A73FE">
              <w:rPr>
                <w:webHidden/>
              </w:rPr>
              <w:tab/>
            </w:r>
            <w:r w:rsidR="006A73FE" w:rsidRPr="006A73FE">
              <w:rPr>
                <w:rStyle w:val="Hyperlink"/>
                <w:rtl/>
              </w:rPr>
              <w:fldChar w:fldCharType="begin"/>
            </w:r>
            <w:r w:rsidR="006A73FE" w:rsidRPr="006A73FE">
              <w:rPr>
                <w:webHidden/>
              </w:rPr>
              <w:instrText xml:space="preserve"> PAGEREF _Toc108218211 \h </w:instrText>
            </w:r>
            <w:r w:rsidR="006A73FE" w:rsidRPr="006A73FE">
              <w:rPr>
                <w:rStyle w:val="Hyperlink"/>
                <w:rtl/>
              </w:rPr>
            </w:r>
            <w:r w:rsidR="006A73FE" w:rsidRPr="006A73FE">
              <w:rPr>
                <w:rStyle w:val="Hyperlink"/>
                <w:rtl/>
              </w:rPr>
              <w:fldChar w:fldCharType="separate"/>
            </w:r>
            <w:r w:rsidR="0090450F">
              <w:rPr>
                <w:webHidden/>
                <w:rtl/>
              </w:rPr>
              <w:t>38</w:t>
            </w:r>
            <w:r w:rsidR="006A73FE" w:rsidRPr="006A73FE">
              <w:rPr>
                <w:rStyle w:val="Hyperlink"/>
                <w:rtl/>
              </w:rPr>
              <w:fldChar w:fldCharType="end"/>
            </w:r>
          </w:hyperlink>
        </w:p>
        <w:p w14:paraId="62CD93E0" w14:textId="5C6300CF" w:rsidR="006A73FE" w:rsidRPr="006A73FE" w:rsidRDefault="00000000" w:rsidP="006A73FE">
          <w:pPr>
            <w:pStyle w:val="TOC2"/>
            <w:rPr>
              <w:rFonts w:eastAsiaTheme="minorEastAsia"/>
              <w:sz w:val="22"/>
              <w:szCs w:val="22"/>
              <w:lang w:val="en-US"/>
            </w:rPr>
          </w:pPr>
          <w:hyperlink w:anchor="_Toc108218212" w:history="1">
            <w:r w:rsidR="006A73FE" w:rsidRPr="006A73FE">
              <w:rPr>
                <w:rStyle w:val="Hyperlink"/>
                <w:rtl/>
              </w:rPr>
              <w:t>שלבי גזר הדין</w:t>
            </w:r>
            <w:r w:rsidR="006A73FE" w:rsidRPr="006A73FE">
              <w:rPr>
                <w:webHidden/>
              </w:rPr>
              <w:tab/>
            </w:r>
            <w:r w:rsidR="006A73FE" w:rsidRPr="006A73FE">
              <w:rPr>
                <w:rStyle w:val="Hyperlink"/>
                <w:rtl/>
              </w:rPr>
              <w:fldChar w:fldCharType="begin"/>
            </w:r>
            <w:r w:rsidR="006A73FE" w:rsidRPr="006A73FE">
              <w:rPr>
                <w:webHidden/>
              </w:rPr>
              <w:instrText xml:space="preserve"> PAGEREF _Toc108218212 \h </w:instrText>
            </w:r>
            <w:r w:rsidR="006A73FE" w:rsidRPr="006A73FE">
              <w:rPr>
                <w:rStyle w:val="Hyperlink"/>
                <w:rtl/>
              </w:rPr>
            </w:r>
            <w:r w:rsidR="006A73FE" w:rsidRPr="006A73FE">
              <w:rPr>
                <w:rStyle w:val="Hyperlink"/>
                <w:rtl/>
              </w:rPr>
              <w:fldChar w:fldCharType="separate"/>
            </w:r>
            <w:r w:rsidR="0090450F">
              <w:rPr>
                <w:webHidden/>
                <w:rtl/>
              </w:rPr>
              <w:t>39</w:t>
            </w:r>
            <w:r w:rsidR="006A73FE" w:rsidRPr="006A73FE">
              <w:rPr>
                <w:rStyle w:val="Hyperlink"/>
                <w:rtl/>
              </w:rPr>
              <w:fldChar w:fldCharType="end"/>
            </w:r>
          </w:hyperlink>
        </w:p>
        <w:p w14:paraId="03AEEE9E" w14:textId="201DB9ED" w:rsidR="006A73FE" w:rsidRPr="006A73FE" w:rsidRDefault="00000000" w:rsidP="006A73FE">
          <w:pPr>
            <w:pStyle w:val="TOC2"/>
            <w:rPr>
              <w:rFonts w:eastAsiaTheme="minorEastAsia"/>
              <w:sz w:val="22"/>
              <w:szCs w:val="22"/>
              <w:lang w:val="en-US"/>
            </w:rPr>
          </w:pPr>
          <w:hyperlink w:anchor="_Toc108218213" w:history="1">
            <w:r w:rsidR="006A73FE" w:rsidRPr="006A73FE">
              <w:rPr>
                <w:rStyle w:val="Hyperlink"/>
                <w:rtl/>
              </w:rPr>
              <w:t>שיקולי ענישה</w:t>
            </w:r>
            <w:r w:rsidR="006A73FE" w:rsidRPr="006A73FE">
              <w:rPr>
                <w:webHidden/>
              </w:rPr>
              <w:tab/>
            </w:r>
            <w:r w:rsidR="006A73FE" w:rsidRPr="006A73FE">
              <w:rPr>
                <w:rStyle w:val="Hyperlink"/>
                <w:rtl/>
              </w:rPr>
              <w:fldChar w:fldCharType="begin"/>
            </w:r>
            <w:r w:rsidR="006A73FE" w:rsidRPr="006A73FE">
              <w:rPr>
                <w:webHidden/>
              </w:rPr>
              <w:instrText xml:space="preserve"> PAGEREF _Toc108218213 \h </w:instrText>
            </w:r>
            <w:r w:rsidR="006A73FE" w:rsidRPr="006A73FE">
              <w:rPr>
                <w:rStyle w:val="Hyperlink"/>
                <w:rtl/>
              </w:rPr>
            </w:r>
            <w:r w:rsidR="006A73FE" w:rsidRPr="006A73FE">
              <w:rPr>
                <w:rStyle w:val="Hyperlink"/>
                <w:rtl/>
              </w:rPr>
              <w:fldChar w:fldCharType="separate"/>
            </w:r>
            <w:r w:rsidR="0090450F">
              <w:rPr>
                <w:webHidden/>
                <w:rtl/>
              </w:rPr>
              <w:t>40</w:t>
            </w:r>
            <w:r w:rsidR="006A73FE" w:rsidRPr="006A73FE">
              <w:rPr>
                <w:rStyle w:val="Hyperlink"/>
                <w:rtl/>
              </w:rPr>
              <w:fldChar w:fldCharType="end"/>
            </w:r>
          </w:hyperlink>
        </w:p>
        <w:p w14:paraId="6904D41A" w14:textId="54295029" w:rsidR="006A73FE" w:rsidRPr="006A73FE" w:rsidRDefault="00000000" w:rsidP="006A73FE">
          <w:pPr>
            <w:pStyle w:val="TOC2"/>
            <w:rPr>
              <w:rFonts w:eastAsiaTheme="minorEastAsia"/>
              <w:sz w:val="22"/>
              <w:szCs w:val="22"/>
              <w:lang w:val="en-US"/>
            </w:rPr>
          </w:pPr>
          <w:hyperlink w:anchor="_Toc108218214" w:history="1">
            <w:r w:rsidR="006A73FE" w:rsidRPr="006A73FE">
              <w:rPr>
                <w:rStyle w:val="Hyperlink"/>
                <w:rtl/>
              </w:rPr>
              <w:t>היררכיה בשיקולי ענישה</w:t>
            </w:r>
            <w:r w:rsidR="006A73FE" w:rsidRPr="006A73FE">
              <w:rPr>
                <w:webHidden/>
              </w:rPr>
              <w:tab/>
            </w:r>
            <w:r w:rsidR="006A73FE" w:rsidRPr="006A73FE">
              <w:rPr>
                <w:rStyle w:val="Hyperlink"/>
                <w:rtl/>
              </w:rPr>
              <w:fldChar w:fldCharType="begin"/>
            </w:r>
            <w:r w:rsidR="006A73FE" w:rsidRPr="006A73FE">
              <w:rPr>
                <w:webHidden/>
              </w:rPr>
              <w:instrText xml:space="preserve"> PAGEREF _Toc108218214 \h </w:instrText>
            </w:r>
            <w:r w:rsidR="006A73FE" w:rsidRPr="006A73FE">
              <w:rPr>
                <w:rStyle w:val="Hyperlink"/>
                <w:rtl/>
              </w:rPr>
            </w:r>
            <w:r w:rsidR="006A73FE" w:rsidRPr="006A73FE">
              <w:rPr>
                <w:rStyle w:val="Hyperlink"/>
                <w:rtl/>
              </w:rPr>
              <w:fldChar w:fldCharType="separate"/>
            </w:r>
            <w:r w:rsidR="0090450F">
              <w:rPr>
                <w:webHidden/>
                <w:rtl/>
              </w:rPr>
              <w:t>41</w:t>
            </w:r>
            <w:r w:rsidR="006A73FE" w:rsidRPr="006A73FE">
              <w:rPr>
                <w:rStyle w:val="Hyperlink"/>
                <w:rtl/>
              </w:rPr>
              <w:fldChar w:fldCharType="end"/>
            </w:r>
          </w:hyperlink>
        </w:p>
        <w:p w14:paraId="7949C5D4" w14:textId="06B91A2E" w:rsidR="006A73FE" w:rsidRPr="006A73FE" w:rsidRDefault="00000000" w:rsidP="006A73FE">
          <w:pPr>
            <w:pStyle w:val="TOC2"/>
            <w:rPr>
              <w:rFonts w:eastAsiaTheme="minorEastAsia"/>
              <w:sz w:val="22"/>
              <w:szCs w:val="22"/>
              <w:lang w:val="en-US"/>
            </w:rPr>
          </w:pPr>
          <w:hyperlink w:anchor="_Toc108218215" w:history="1">
            <w:r w:rsidR="006A73FE" w:rsidRPr="006A73FE">
              <w:rPr>
                <w:rStyle w:val="Hyperlink"/>
                <w:rtl/>
              </w:rPr>
              <w:t>נסיבות הקשורות בביצוע העבירה</w:t>
            </w:r>
            <w:r w:rsidR="006A73FE" w:rsidRPr="006A73FE">
              <w:rPr>
                <w:webHidden/>
              </w:rPr>
              <w:tab/>
            </w:r>
            <w:r w:rsidR="006A73FE" w:rsidRPr="006A73FE">
              <w:rPr>
                <w:rStyle w:val="Hyperlink"/>
                <w:rtl/>
              </w:rPr>
              <w:fldChar w:fldCharType="begin"/>
            </w:r>
            <w:r w:rsidR="006A73FE" w:rsidRPr="006A73FE">
              <w:rPr>
                <w:webHidden/>
              </w:rPr>
              <w:instrText xml:space="preserve"> PAGEREF _Toc108218215 \h </w:instrText>
            </w:r>
            <w:r w:rsidR="006A73FE" w:rsidRPr="006A73FE">
              <w:rPr>
                <w:rStyle w:val="Hyperlink"/>
                <w:rtl/>
              </w:rPr>
            </w:r>
            <w:r w:rsidR="006A73FE" w:rsidRPr="006A73FE">
              <w:rPr>
                <w:rStyle w:val="Hyperlink"/>
                <w:rtl/>
              </w:rPr>
              <w:fldChar w:fldCharType="separate"/>
            </w:r>
            <w:r w:rsidR="0090450F">
              <w:rPr>
                <w:webHidden/>
                <w:rtl/>
              </w:rPr>
              <w:t>42</w:t>
            </w:r>
            <w:r w:rsidR="006A73FE" w:rsidRPr="006A73FE">
              <w:rPr>
                <w:rStyle w:val="Hyperlink"/>
                <w:rtl/>
              </w:rPr>
              <w:fldChar w:fldCharType="end"/>
            </w:r>
          </w:hyperlink>
        </w:p>
        <w:p w14:paraId="1E3754CC" w14:textId="301E5B8A" w:rsidR="006A73FE" w:rsidRPr="006A73FE" w:rsidRDefault="00000000" w:rsidP="006A73FE">
          <w:pPr>
            <w:pStyle w:val="TOC2"/>
            <w:rPr>
              <w:rFonts w:eastAsiaTheme="minorEastAsia"/>
              <w:sz w:val="22"/>
              <w:szCs w:val="22"/>
              <w:lang w:val="en-US"/>
            </w:rPr>
          </w:pPr>
          <w:hyperlink w:anchor="_Toc108218216" w:history="1">
            <w:r w:rsidR="006A73FE" w:rsidRPr="006A73FE">
              <w:rPr>
                <w:rStyle w:val="Hyperlink"/>
                <w:rtl/>
              </w:rPr>
              <w:t>נסיבות שאינן קשורות בביצוע העבירה</w:t>
            </w:r>
            <w:r w:rsidR="006A73FE" w:rsidRPr="006A73FE">
              <w:rPr>
                <w:webHidden/>
              </w:rPr>
              <w:tab/>
            </w:r>
            <w:r w:rsidR="006A73FE" w:rsidRPr="006A73FE">
              <w:rPr>
                <w:rStyle w:val="Hyperlink"/>
                <w:rtl/>
              </w:rPr>
              <w:fldChar w:fldCharType="begin"/>
            </w:r>
            <w:r w:rsidR="006A73FE" w:rsidRPr="006A73FE">
              <w:rPr>
                <w:webHidden/>
              </w:rPr>
              <w:instrText xml:space="preserve"> PAGEREF _Toc108218216 \h </w:instrText>
            </w:r>
            <w:r w:rsidR="006A73FE" w:rsidRPr="006A73FE">
              <w:rPr>
                <w:rStyle w:val="Hyperlink"/>
                <w:rtl/>
              </w:rPr>
            </w:r>
            <w:r w:rsidR="006A73FE" w:rsidRPr="006A73FE">
              <w:rPr>
                <w:rStyle w:val="Hyperlink"/>
                <w:rtl/>
              </w:rPr>
              <w:fldChar w:fldCharType="separate"/>
            </w:r>
            <w:r w:rsidR="0090450F">
              <w:rPr>
                <w:webHidden/>
                <w:rtl/>
              </w:rPr>
              <w:t>43</w:t>
            </w:r>
            <w:r w:rsidR="006A73FE" w:rsidRPr="006A73FE">
              <w:rPr>
                <w:rStyle w:val="Hyperlink"/>
                <w:rtl/>
              </w:rPr>
              <w:fldChar w:fldCharType="end"/>
            </w:r>
          </w:hyperlink>
        </w:p>
        <w:p w14:paraId="4BBCD679" w14:textId="06A81D8C" w:rsidR="006A73FE" w:rsidRPr="006A73FE" w:rsidRDefault="00000000" w:rsidP="006A73FE">
          <w:pPr>
            <w:pStyle w:val="TOC2"/>
            <w:rPr>
              <w:rFonts w:eastAsiaTheme="minorEastAsia"/>
              <w:sz w:val="22"/>
              <w:szCs w:val="22"/>
              <w:lang w:val="en-US"/>
            </w:rPr>
          </w:pPr>
          <w:hyperlink w:anchor="_Toc108218217" w:history="1">
            <w:r w:rsidR="006A73FE" w:rsidRPr="006A73FE">
              <w:rPr>
                <w:rStyle w:val="Hyperlink"/>
                <w:rtl/>
              </w:rPr>
              <w:t>נסיבות נוספות</w:t>
            </w:r>
            <w:r w:rsidR="006A73FE" w:rsidRPr="006A73FE">
              <w:rPr>
                <w:webHidden/>
              </w:rPr>
              <w:tab/>
            </w:r>
            <w:r w:rsidR="006A73FE" w:rsidRPr="006A73FE">
              <w:rPr>
                <w:rStyle w:val="Hyperlink"/>
                <w:rtl/>
              </w:rPr>
              <w:fldChar w:fldCharType="begin"/>
            </w:r>
            <w:r w:rsidR="006A73FE" w:rsidRPr="006A73FE">
              <w:rPr>
                <w:webHidden/>
              </w:rPr>
              <w:instrText xml:space="preserve"> PAGEREF _Toc108218217 \h </w:instrText>
            </w:r>
            <w:r w:rsidR="006A73FE" w:rsidRPr="006A73FE">
              <w:rPr>
                <w:rStyle w:val="Hyperlink"/>
                <w:rtl/>
              </w:rPr>
            </w:r>
            <w:r w:rsidR="006A73FE" w:rsidRPr="006A73FE">
              <w:rPr>
                <w:rStyle w:val="Hyperlink"/>
                <w:rtl/>
              </w:rPr>
              <w:fldChar w:fldCharType="separate"/>
            </w:r>
            <w:r w:rsidR="0090450F">
              <w:rPr>
                <w:webHidden/>
                <w:rtl/>
              </w:rPr>
              <w:t>43</w:t>
            </w:r>
            <w:r w:rsidR="006A73FE" w:rsidRPr="006A73FE">
              <w:rPr>
                <w:rStyle w:val="Hyperlink"/>
                <w:rtl/>
              </w:rPr>
              <w:fldChar w:fldCharType="end"/>
            </w:r>
          </w:hyperlink>
        </w:p>
        <w:p w14:paraId="267CBAEC" w14:textId="6FA5FA84" w:rsidR="006A73FE" w:rsidRPr="006A73FE" w:rsidRDefault="00000000" w:rsidP="006A73FE">
          <w:pPr>
            <w:pStyle w:val="TOC2"/>
            <w:rPr>
              <w:rFonts w:eastAsiaTheme="minorEastAsia"/>
              <w:sz w:val="22"/>
              <w:szCs w:val="22"/>
              <w:lang w:val="en-US"/>
            </w:rPr>
          </w:pPr>
          <w:hyperlink w:anchor="_Toc108218218" w:history="1">
            <w:r w:rsidR="006A73FE" w:rsidRPr="006A73FE">
              <w:rPr>
                <w:rStyle w:val="Hyperlink"/>
                <w:rtl/>
              </w:rPr>
              <w:t>הודאת הנאשם וחסכון בזמן שיפוטי</w:t>
            </w:r>
            <w:r w:rsidR="006A73FE" w:rsidRPr="006A73FE">
              <w:rPr>
                <w:webHidden/>
              </w:rPr>
              <w:tab/>
            </w:r>
            <w:r w:rsidR="006A73FE" w:rsidRPr="006A73FE">
              <w:rPr>
                <w:rStyle w:val="Hyperlink"/>
                <w:rtl/>
              </w:rPr>
              <w:fldChar w:fldCharType="begin"/>
            </w:r>
            <w:r w:rsidR="006A73FE" w:rsidRPr="006A73FE">
              <w:rPr>
                <w:webHidden/>
              </w:rPr>
              <w:instrText xml:space="preserve"> PAGEREF _Toc108218218 \h </w:instrText>
            </w:r>
            <w:r w:rsidR="006A73FE" w:rsidRPr="006A73FE">
              <w:rPr>
                <w:rStyle w:val="Hyperlink"/>
                <w:rtl/>
              </w:rPr>
            </w:r>
            <w:r w:rsidR="006A73FE" w:rsidRPr="006A73FE">
              <w:rPr>
                <w:rStyle w:val="Hyperlink"/>
                <w:rtl/>
              </w:rPr>
              <w:fldChar w:fldCharType="separate"/>
            </w:r>
            <w:r w:rsidR="0090450F">
              <w:rPr>
                <w:webHidden/>
                <w:rtl/>
              </w:rPr>
              <w:t>44</w:t>
            </w:r>
            <w:r w:rsidR="006A73FE" w:rsidRPr="006A73FE">
              <w:rPr>
                <w:rStyle w:val="Hyperlink"/>
                <w:rtl/>
              </w:rPr>
              <w:fldChar w:fldCharType="end"/>
            </w:r>
          </w:hyperlink>
        </w:p>
        <w:p w14:paraId="1A1BB6D8" w14:textId="0B63CFBB" w:rsidR="006A73FE" w:rsidRPr="006A73FE" w:rsidRDefault="00000000" w:rsidP="006A73FE">
          <w:pPr>
            <w:pStyle w:val="TOC2"/>
            <w:rPr>
              <w:rFonts w:eastAsiaTheme="minorEastAsia"/>
              <w:sz w:val="22"/>
              <w:szCs w:val="22"/>
              <w:lang w:val="en-US"/>
            </w:rPr>
          </w:pPr>
          <w:hyperlink w:anchor="_Toc108218219" w:history="1">
            <w:r w:rsidR="006A73FE" w:rsidRPr="006A73FE">
              <w:rPr>
                <w:rStyle w:val="Hyperlink"/>
                <w:rtl/>
              </w:rPr>
              <w:t>ריבוי עבירות</w:t>
            </w:r>
            <w:r w:rsidR="006A73FE" w:rsidRPr="006A73FE">
              <w:rPr>
                <w:webHidden/>
              </w:rPr>
              <w:tab/>
            </w:r>
            <w:r w:rsidR="006A73FE" w:rsidRPr="006A73FE">
              <w:rPr>
                <w:rStyle w:val="Hyperlink"/>
                <w:rtl/>
              </w:rPr>
              <w:fldChar w:fldCharType="begin"/>
            </w:r>
            <w:r w:rsidR="006A73FE" w:rsidRPr="006A73FE">
              <w:rPr>
                <w:webHidden/>
              </w:rPr>
              <w:instrText xml:space="preserve"> PAGEREF _Toc108218219 \h </w:instrText>
            </w:r>
            <w:r w:rsidR="006A73FE" w:rsidRPr="006A73FE">
              <w:rPr>
                <w:rStyle w:val="Hyperlink"/>
                <w:rtl/>
              </w:rPr>
            </w:r>
            <w:r w:rsidR="006A73FE" w:rsidRPr="006A73FE">
              <w:rPr>
                <w:rStyle w:val="Hyperlink"/>
                <w:rtl/>
              </w:rPr>
              <w:fldChar w:fldCharType="separate"/>
            </w:r>
            <w:r w:rsidR="0090450F">
              <w:rPr>
                <w:webHidden/>
                <w:rtl/>
              </w:rPr>
              <w:t>44</w:t>
            </w:r>
            <w:r w:rsidR="006A73FE" w:rsidRPr="006A73FE">
              <w:rPr>
                <w:rStyle w:val="Hyperlink"/>
                <w:rtl/>
              </w:rPr>
              <w:fldChar w:fldCharType="end"/>
            </w:r>
          </w:hyperlink>
        </w:p>
        <w:p w14:paraId="34423E68" w14:textId="18855330" w:rsidR="006A73FE" w:rsidRPr="006A73FE" w:rsidRDefault="00000000" w:rsidP="006A73FE">
          <w:pPr>
            <w:pStyle w:val="TOC2"/>
            <w:rPr>
              <w:rFonts w:eastAsiaTheme="minorEastAsia"/>
              <w:sz w:val="22"/>
              <w:szCs w:val="22"/>
              <w:lang w:val="en-US"/>
            </w:rPr>
          </w:pPr>
          <w:hyperlink w:anchor="_Toc108218220" w:history="1">
            <w:r w:rsidR="006A73FE" w:rsidRPr="006A73FE">
              <w:rPr>
                <w:rStyle w:val="Hyperlink"/>
                <w:rtl/>
              </w:rPr>
              <w:t>חובת הנמקה</w:t>
            </w:r>
            <w:r w:rsidR="006A73FE" w:rsidRPr="006A73FE">
              <w:rPr>
                <w:webHidden/>
              </w:rPr>
              <w:tab/>
            </w:r>
            <w:r w:rsidR="006A73FE" w:rsidRPr="006A73FE">
              <w:rPr>
                <w:rStyle w:val="Hyperlink"/>
                <w:rtl/>
              </w:rPr>
              <w:fldChar w:fldCharType="begin"/>
            </w:r>
            <w:r w:rsidR="006A73FE" w:rsidRPr="006A73FE">
              <w:rPr>
                <w:webHidden/>
              </w:rPr>
              <w:instrText xml:space="preserve"> PAGEREF _Toc108218220 \h </w:instrText>
            </w:r>
            <w:r w:rsidR="006A73FE" w:rsidRPr="006A73FE">
              <w:rPr>
                <w:rStyle w:val="Hyperlink"/>
                <w:rtl/>
              </w:rPr>
            </w:r>
            <w:r w:rsidR="006A73FE" w:rsidRPr="006A73FE">
              <w:rPr>
                <w:rStyle w:val="Hyperlink"/>
                <w:rtl/>
              </w:rPr>
              <w:fldChar w:fldCharType="separate"/>
            </w:r>
            <w:r w:rsidR="0090450F">
              <w:rPr>
                <w:webHidden/>
                <w:rtl/>
              </w:rPr>
              <w:t>46</w:t>
            </w:r>
            <w:r w:rsidR="006A73FE" w:rsidRPr="006A73FE">
              <w:rPr>
                <w:rStyle w:val="Hyperlink"/>
                <w:rtl/>
              </w:rPr>
              <w:fldChar w:fldCharType="end"/>
            </w:r>
          </w:hyperlink>
        </w:p>
        <w:p w14:paraId="6C60EFA0" w14:textId="024DB524" w:rsidR="006A73FE" w:rsidRPr="006A73FE" w:rsidRDefault="00000000" w:rsidP="006A73FE">
          <w:pPr>
            <w:pStyle w:val="TOC2"/>
            <w:rPr>
              <w:rFonts w:eastAsiaTheme="minorEastAsia"/>
              <w:sz w:val="22"/>
              <w:szCs w:val="22"/>
              <w:lang w:val="en-US"/>
            </w:rPr>
          </w:pPr>
          <w:hyperlink w:anchor="_Toc108218221" w:history="1">
            <w:r w:rsidR="006A73FE" w:rsidRPr="006A73FE">
              <w:rPr>
                <w:rStyle w:val="Hyperlink"/>
                <w:rtl/>
              </w:rPr>
              <w:t>ענישת קטין</w:t>
            </w:r>
            <w:r w:rsidR="006A73FE" w:rsidRPr="006A73FE">
              <w:rPr>
                <w:webHidden/>
              </w:rPr>
              <w:tab/>
            </w:r>
            <w:r w:rsidR="006A73FE" w:rsidRPr="006A73FE">
              <w:rPr>
                <w:rStyle w:val="Hyperlink"/>
                <w:rtl/>
              </w:rPr>
              <w:fldChar w:fldCharType="begin"/>
            </w:r>
            <w:r w:rsidR="006A73FE" w:rsidRPr="006A73FE">
              <w:rPr>
                <w:webHidden/>
              </w:rPr>
              <w:instrText xml:space="preserve"> PAGEREF _Toc108218221 \h </w:instrText>
            </w:r>
            <w:r w:rsidR="006A73FE" w:rsidRPr="006A73FE">
              <w:rPr>
                <w:rStyle w:val="Hyperlink"/>
                <w:rtl/>
              </w:rPr>
            </w:r>
            <w:r w:rsidR="006A73FE" w:rsidRPr="006A73FE">
              <w:rPr>
                <w:rStyle w:val="Hyperlink"/>
                <w:rtl/>
              </w:rPr>
              <w:fldChar w:fldCharType="separate"/>
            </w:r>
            <w:r w:rsidR="0090450F">
              <w:rPr>
                <w:webHidden/>
                <w:rtl/>
              </w:rPr>
              <w:t>46</w:t>
            </w:r>
            <w:r w:rsidR="006A73FE" w:rsidRPr="006A73FE">
              <w:rPr>
                <w:rStyle w:val="Hyperlink"/>
                <w:rtl/>
              </w:rPr>
              <w:fldChar w:fldCharType="end"/>
            </w:r>
          </w:hyperlink>
        </w:p>
        <w:p w14:paraId="75B5372E" w14:textId="77777777" w:rsidR="00F22C87" w:rsidRDefault="00F22C87" w:rsidP="006A73FE">
          <w:pPr>
            <w:pStyle w:val="TOC2"/>
            <w:sectPr w:rsidR="00F22C87" w:rsidSect="00E47DC8">
              <w:footerReference w:type="default" r:id="rId14"/>
              <w:pgSz w:w="11906" w:h="16838"/>
              <w:pgMar w:top="567" w:right="851" w:bottom="567" w:left="851" w:header="708" w:footer="708" w:gutter="0"/>
              <w:pgBorders w:display="notFirstPage" w:offsetFrom="page">
                <w:top w:val="single" w:sz="18" w:space="10" w:color="7F7F7F" w:themeColor="text1" w:themeTint="80"/>
                <w:left w:val="single" w:sz="18" w:space="10" w:color="7F7F7F" w:themeColor="text1" w:themeTint="80"/>
                <w:bottom w:val="single" w:sz="18" w:space="10" w:color="7F7F7F" w:themeColor="text1" w:themeTint="80"/>
                <w:right w:val="single" w:sz="18" w:space="10" w:color="7F7F7F" w:themeColor="text1" w:themeTint="80"/>
              </w:pgBorders>
              <w:pgNumType w:start="0"/>
              <w:cols w:space="708"/>
              <w:titlePg/>
              <w:docGrid w:linePitch="360"/>
            </w:sectPr>
          </w:pPr>
        </w:p>
        <w:p w14:paraId="5DD5B0C7" w14:textId="566DAAD7" w:rsidR="006A73FE" w:rsidRPr="006A73FE" w:rsidRDefault="00000000" w:rsidP="006A73FE">
          <w:pPr>
            <w:pStyle w:val="TOC2"/>
            <w:rPr>
              <w:rFonts w:eastAsiaTheme="minorEastAsia"/>
              <w:sz w:val="22"/>
              <w:szCs w:val="22"/>
              <w:rtl/>
              <w:lang w:val="en-US"/>
            </w:rPr>
          </w:pPr>
          <w:hyperlink w:anchor="_Toc108218222" w:history="1">
            <w:r w:rsidR="006A73FE" w:rsidRPr="006A73FE">
              <w:rPr>
                <w:rStyle w:val="Hyperlink"/>
                <w:rtl/>
              </w:rPr>
              <w:t>תרשים לגזר דין</w:t>
            </w:r>
            <w:r w:rsidR="006A73FE" w:rsidRPr="006A73FE">
              <w:rPr>
                <w:webHidden/>
              </w:rPr>
              <w:tab/>
            </w:r>
            <w:r w:rsidR="006A73FE" w:rsidRPr="006A73FE">
              <w:rPr>
                <w:rStyle w:val="Hyperlink"/>
                <w:rtl/>
              </w:rPr>
              <w:fldChar w:fldCharType="begin"/>
            </w:r>
            <w:r w:rsidR="006A73FE" w:rsidRPr="006A73FE">
              <w:rPr>
                <w:webHidden/>
              </w:rPr>
              <w:instrText xml:space="preserve"> PAGEREF _Toc108218222 \h </w:instrText>
            </w:r>
            <w:r w:rsidR="006A73FE" w:rsidRPr="006A73FE">
              <w:rPr>
                <w:rStyle w:val="Hyperlink"/>
                <w:rtl/>
              </w:rPr>
            </w:r>
            <w:r w:rsidR="006A73FE" w:rsidRPr="006A73FE">
              <w:rPr>
                <w:rStyle w:val="Hyperlink"/>
                <w:rtl/>
              </w:rPr>
              <w:fldChar w:fldCharType="separate"/>
            </w:r>
            <w:r w:rsidR="0090450F">
              <w:rPr>
                <w:webHidden/>
                <w:rtl/>
              </w:rPr>
              <w:t>47</w:t>
            </w:r>
            <w:r w:rsidR="006A73FE" w:rsidRPr="006A73FE">
              <w:rPr>
                <w:rStyle w:val="Hyperlink"/>
                <w:rtl/>
              </w:rPr>
              <w:fldChar w:fldCharType="end"/>
            </w:r>
          </w:hyperlink>
        </w:p>
        <w:p w14:paraId="69EBB29C" w14:textId="5595A6DC" w:rsidR="006A73FE" w:rsidRPr="006A73FE" w:rsidRDefault="00000000" w:rsidP="006A73FE">
          <w:pPr>
            <w:pStyle w:val="TOC1"/>
            <w:rPr>
              <w:rFonts w:ascii="Segoe UI" w:eastAsiaTheme="minorEastAsia" w:hAnsi="Segoe UI" w:cs="Segoe UI"/>
              <w:lang w:val="en-US"/>
            </w:rPr>
          </w:pPr>
          <w:hyperlink w:anchor="_Toc108218223" w:history="1">
            <w:r w:rsidR="006A73FE" w:rsidRPr="006A73FE">
              <w:rPr>
                <w:rStyle w:val="Hyperlink"/>
                <w:rFonts w:ascii="Segoe UI" w:hAnsi="Segoe UI" w:cs="Segoe UI"/>
                <w:rtl/>
              </w:rPr>
              <w:t>ענישת קטינים</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_Toc108218223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48</w:t>
            </w:r>
            <w:r w:rsidR="006A73FE" w:rsidRPr="006A73FE">
              <w:rPr>
                <w:rStyle w:val="Hyperlink"/>
                <w:rFonts w:ascii="Segoe UI" w:hAnsi="Segoe UI" w:cs="Segoe UI"/>
                <w:rtl/>
              </w:rPr>
              <w:fldChar w:fldCharType="end"/>
            </w:r>
          </w:hyperlink>
        </w:p>
        <w:p w14:paraId="122FEF3B" w14:textId="4F8C1164" w:rsidR="006A73FE" w:rsidRPr="006A73FE" w:rsidRDefault="00000000" w:rsidP="006A73FE">
          <w:pPr>
            <w:pStyle w:val="TOC2"/>
            <w:rPr>
              <w:rFonts w:eastAsiaTheme="minorEastAsia"/>
              <w:sz w:val="22"/>
              <w:szCs w:val="22"/>
              <w:lang w:val="en-US"/>
            </w:rPr>
          </w:pPr>
          <w:hyperlink w:anchor="_Toc108218224" w:history="1">
            <w:r w:rsidR="006A73FE" w:rsidRPr="006A73FE">
              <w:rPr>
                <w:rStyle w:val="Hyperlink"/>
                <w:rtl/>
              </w:rPr>
              <w:t>מיהו ילד? מיהו נער? מיהו קטין?</w:t>
            </w:r>
            <w:r w:rsidR="006A73FE" w:rsidRPr="006A73FE">
              <w:rPr>
                <w:webHidden/>
              </w:rPr>
              <w:tab/>
            </w:r>
            <w:r w:rsidR="006A73FE" w:rsidRPr="006A73FE">
              <w:rPr>
                <w:rStyle w:val="Hyperlink"/>
                <w:rtl/>
              </w:rPr>
              <w:fldChar w:fldCharType="begin"/>
            </w:r>
            <w:r w:rsidR="006A73FE" w:rsidRPr="006A73FE">
              <w:rPr>
                <w:webHidden/>
              </w:rPr>
              <w:instrText xml:space="preserve"> PAGEREF _Toc108218224 \h </w:instrText>
            </w:r>
            <w:r w:rsidR="006A73FE" w:rsidRPr="006A73FE">
              <w:rPr>
                <w:rStyle w:val="Hyperlink"/>
                <w:rtl/>
              </w:rPr>
            </w:r>
            <w:r w:rsidR="006A73FE" w:rsidRPr="006A73FE">
              <w:rPr>
                <w:rStyle w:val="Hyperlink"/>
                <w:rtl/>
              </w:rPr>
              <w:fldChar w:fldCharType="separate"/>
            </w:r>
            <w:r w:rsidR="0090450F">
              <w:rPr>
                <w:webHidden/>
                <w:rtl/>
              </w:rPr>
              <w:t>48</w:t>
            </w:r>
            <w:r w:rsidR="006A73FE" w:rsidRPr="006A73FE">
              <w:rPr>
                <w:rStyle w:val="Hyperlink"/>
                <w:rtl/>
              </w:rPr>
              <w:fldChar w:fldCharType="end"/>
            </w:r>
          </w:hyperlink>
        </w:p>
        <w:p w14:paraId="53F954C4" w14:textId="23B0CC54" w:rsidR="006A73FE" w:rsidRPr="006A73FE" w:rsidRDefault="00000000" w:rsidP="006A73FE">
          <w:pPr>
            <w:pStyle w:val="TOC2"/>
            <w:rPr>
              <w:rFonts w:eastAsiaTheme="minorEastAsia"/>
              <w:sz w:val="22"/>
              <w:szCs w:val="22"/>
              <w:lang w:val="en-US"/>
            </w:rPr>
          </w:pPr>
          <w:hyperlink w:anchor="_Toc108218225" w:history="1">
            <w:r w:rsidR="006A73FE" w:rsidRPr="006A73FE">
              <w:rPr>
                <w:rStyle w:val="Hyperlink"/>
                <w:rtl/>
              </w:rPr>
              <w:t>הסכמת קטין למעשים פליליים</w:t>
            </w:r>
            <w:r w:rsidR="006A73FE" w:rsidRPr="006A73FE">
              <w:rPr>
                <w:webHidden/>
              </w:rPr>
              <w:tab/>
            </w:r>
            <w:r w:rsidR="006A73FE" w:rsidRPr="006A73FE">
              <w:rPr>
                <w:rStyle w:val="Hyperlink"/>
                <w:rtl/>
              </w:rPr>
              <w:fldChar w:fldCharType="begin"/>
            </w:r>
            <w:r w:rsidR="006A73FE" w:rsidRPr="006A73FE">
              <w:rPr>
                <w:webHidden/>
              </w:rPr>
              <w:instrText xml:space="preserve"> PAGEREF _Toc108218225 \h </w:instrText>
            </w:r>
            <w:r w:rsidR="006A73FE" w:rsidRPr="006A73FE">
              <w:rPr>
                <w:rStyle w:val="Hyperlink"/>
                <w:rtl/>
              </w:rPr>
            </w:r>
            <w:r w:rsidR="006A73FE" w:rsidRPr="006A73FE">
              <w:rPr>
                <w:rStyle w:val="Hyperlink"/>
                <w:rtl/>
              </w:rPr>
              <w:fldChar w:fldCharType="separate"/>
            </w:r>
            <w:r w:rsidR="0090450F">
              <w:rPr>
                <w:webHidden/>
                <w:rtl/>
              </w:rPr>
              <w:t>48</w:t>
            </w:r>
            <w:r w:rsidR="006A73FE" w:rsidRPr="006A73FE">
              <w:rPr>
                <w:rStyle w:val="Hyperlink"/>
                <w:rtl/>
              </w:rPr>
              <w:fldChar w:fldCharType="end"/>
            </w:r>
          </w:hyperlink>
        </w:p>
        <w:p w14:paraId="1F35D519" w14:textId="76DDB956" w:rsidR="006A73FE" w:rsidRPr="006A73FE" w:rsidRDefault="00000000" w:rsidP="006A73FE">
          <w:pPr>
            <w:pStyle w:val="TOC2"/>
            <w:rPr>
              <w:rFonts w:eastAsiaTheme="minorEastAsia"/>
              <w:sz w:val="22"/>
              <w:szCs w:val="22"/>
              <w:lang w:val="en-US"/>
            </w:rPr>
          </w:pPr>
          <w:hyperlink w:anchor="_Toc108218226" w:history="1">
            <w:r w:rsidR="006A73FE" w:rsidRPr="006A73FE">
              <w:rPr>
                <w:rStyle w:val="Hyperlink"/>
                <w:rtl/>
              </w:rPr>
              <w:t>ביהמ"ש לנוער</w:t>
            </w:r>
            <w:r w:rsidR="006A73FE" w:rsidRPr="006A73FE">
              <w:rPr>
                <w:webHidden/>
              </w:rPr>
              <w:tab/>
            </w:r>
            <w:r w:rsidR="006A73FE" w:rsidRPr="006A73FE">
              <w:rPr>
                <w:rStyle w:val="Hyperlink"/>
                <w:rtl/>
              </w:rPr>
              <w:fldChar w:fldCharType="begin"/>
            </w:r>
            <w:r w:rsidR="006A73FE" w:rsidRPr="006A73FE">
              <w:rPr>
                <w:webHidden/>
              </w:rPr>
              <w:instrText xml:space="preserve"> PAGEREF _Toc108218226 \h </w:instrText>
            </w:r>
            <w:r w:rsidR="006A73FE" w:rsidRPr="006A73FE">
              <w:rPr>
                <w:rStyle w:val="Hyperlink"/>
                <w:rtl/>
              </w:rPr>
            </w:r>
            <w:r w:rsidR="006A73FE" w:rsidRPr="006A73FE">
              <w:rPr>
                <w:rStyle w:val="Hyperlink"/>
                <w:rtl/>
              </w:rPr>
              <w:fldChar w:fldCharType="separate"/>
            </w:r>
            <w:r w:rsidR="0090450F">
              <w:rPr>
                <w:webHidden/>
                <w:rtl/>
              </w:rPr>
              <w:t>49</w:t>
            </w:r>
            <w:r w:rsidR="006A73FE" w:rsidRPr="006A73FE">
              <w:rPr>
                <w:rStyle w:val="Hyperlink"/>
                <w:rtl/>
              </w:rPr>
              <w:fldChar w:fldCharType="end"/>
            </w:r>
          </w:hyperlink>
        </w:p>
        <w:p w14:paraId="6F3CD727" w14:textId="5644B1C8" w:rsidR="006A73FE" w:rsidRPr="006A73FE" w:rsidRDefault="00000000" w:rsidP="006A73FE">
          <w:pPr>
            <w:pStyle w:val="TOC2"/>
            <w:rPr>
              <w:rFonts w:eastAsiaTheme="minorEastAsia"/>
              <w:sz w:val="22"/>
              <w:szCs w:val="22"/>
              <w:lang w:val="en-US"/>
            </w:rPr>
          </w:pPr>
          <w:hyperlink w:anchor="_Toc108218227" w:history="1">
            <w:r w:rsidR="006A73FE" w:rsidRPr="006A73FE">
              <w:rPr>
                <w:rStyle w:val="Hyperlink"/>
                <w:rtl/>
              </w:rPr>
              <w:t>חוק הנוער – קווים כלליים</w:t>
            </w:r>
            <w:r w:rsidR="006A73FE" w:rsidRPr="006A73FE">
              <w:rPr>
                <w:webHidden/>
              </w:rPr>
              <w:tab/>
            </w:r>
            <w:r w:rsidR="006A73FE" w:rsidRPr="006A73FE">
              <w:rPr>
                <w:rStyle w:val="Hyperlink"/>
                <w:rtl/>
              </w:rPr>
              <w:fldChar w:fldCharType="begin"/>
            </w:r>
            <w:r w:rsidR="006A73FE" w:rsidRPr="006A73FE">
              <w:rPr>
                <w:webHidden/>
              </w:rPr>
              <w:instrText xml:space="preserve"> PAGEREF _Toc108218227 \h </w:instrText>
            </w:r>
            <w:r w:rsidR="006A73FE" w:rsidRPr="006A73FE">
              <w:rPr>
                <w:rStyle w:val="Hyperlink"/>
                <w:rtl/>
              </w:rPr>
            </w:r>
            <w:r w:rsidR="006A73FE" w:rsidRPr="006A73FE">
              <w:rPr>
                <w:rStyle w:val="Hyperlink"/>
                <w:rtl/>
              </w:rPr>
              <w:fldChar w:fldCharType="separate"/>
            </w:r>
            <w:r w:rsidR="0090450F">
              <w:rPr>
                <w:webHidden/>
                <w:rtl/>
              </w:rPr>
              <w:t>49</w:t>
            </w:r>
            <w:r w:rsidR="006A73FE" w:rsidRPr="006A73FE">
              <w:rPr>
                <w:rStyle w:val="Hyperlink"/>
                <w:rtl/>
              </w:rPr>
              <w:fldChar w:fldCharType="end"/>
            </w:r>
          </w:hyperlink>
        </w:p>
        <w:p w14:paraId="0C16E06B" w14:textId="5A221285" w:rsidR="006A73FE" w:rsidRPr="006A73FE" w:rsidRDefault="00000000" w:rsidP="006A73FE">
          <w:pPr>
            <w:pStyle w:val="TOC2"/>
            <w:rPr>
              <w:rFonts w:eastAsiaTheme="minorEastAsia"/>
              <w:sz w:val="22"/>
              <w:szCs w:val="22"/>
              <w:lang w:val="en-US"/>
            </w:rPr>
          </w:pPr>
          <w:hyperlink w:anchor="_Toc108218228" w:history="1">
            <w:r w:rsidR="006A73FE" w:rsidRPr="006A73FE">
              <w:rPr>
                <w:rStyle w:val="Hyperlink"/>
                <w:rtl/>
              </w:rPr>
              <w:t>בית סוהר לקטינים</w:t>
            </w:r>
            <w:r w:rsidR="006A73FE" w:rsidRPr="006A73FE">
              <w:rPr>
                <w:webHidden/>
              </w:rPr>
              <w:tab/>
            </w:r>
            <w:r w:rsidR="006A73FE" w:rsidRPr="006A73FE">
              <w:rPr>
                <w:rStyle w:val="Hyperlink"/>
                <w:rtl/>
              </w:rPr>
              <w:fldChar w:fldCharType="begin"/>
            </w:r>
            <w:r w:rsidR="006A73FE" w:rsidRPr="006A73FE">
              <w:rPr>
                <w:webHidden/>
              </w:rPr>
              <w:instrText xml:space="preserve"> PAGEREF _Toc108218228 \h </w:instrText>
            </w:r>
            <w:r w:rsidR="006A73FE" w:rsidRPr="006A73FE">
              <w:rPr>
                <w:rStyle w:val="Hyperlink"/>
                <w:rtl/>
              </w:rPr>
            </w:r>
            <w:r w:rsidR="006A73FE" w:rsidRPr="006A73FE">
              <w:rPr>
                <w:rStyle w:val="Hyperlink"/>
                <w:rtl/>
              </w:rPr>
              <w:fldChar w:fldCharType="separate"/>
            </w:r>
            <w:r w:rsidR="0090450F">
              <w:rPr>
                <w:webHidden/>
                <w:rtl/>
              </w:rPr>
              <w:t>51</w:t>
            </w:r>
            <w:r w:rsidR="006A73FE" w:rsidRPr="006A73FE">
              <w:rPr>
                <w:rStyle w:val="Hyperlink"/>
                <w:rtl/>
              </w:rPr>
              <w:fldChar w:fldCharType="end"/>
            </w:r>
          </w:hyperlink>
        </w:p>
        <w:p w14:paraId="64AC160D" w14:textId="2CE98363" w:rsidR="006A73FE" w:rsidRPr="006A73FE" w:rsidRDefault="00000000" w:rsidP="006A73FE">
          <w:pPr>
            <w:pStyle w:val="TOC1"/>
            <w:rPr>
              <w:rFonts w:ascii="Segoe UI" w:eastAsiaTheme="minorEastAsia" w:hAnsi="Segoe UI" w:cs="Segoe UI"/>
              <w:lang w:val="en-US"/>
            </w:rPr>
          </w:pPr>
          <w:hyperlink w:anchor="_Toc108218229" w:history="1">
            <w:r w:rsidR="006A73FE" w:rsidRPr="006A73FE">
              <w:rPr>
                <w:rStyle w:val="Hyperlink"/>
                <w:rFonts w:ascii="Segoe UI" w:hAnsi="Segoe UI" w:cs="Segoe UI"/>
                <w:rtl/>
              </w:rPr>
              <w:t>וועדות שחרורים בישראל</w:t>
            </w:r>
            <w:r w:rsidR="006A73FE" w:rsidRPr="006A73FE">
              <w:rPr>
                <w:rStyle w:val="Hyperlink"/>
                <w:rFonts w:ascii="Segoe UI" w:hAnsi="Segoe UI" w:cs="Segoe UI"/>
              </w:rPr>
              <w:t xml:space="preserve"> </w:t>
            </w:r>
            <w:r w:rsidR="006A73FE" w:rsidRPr="006A73FE">
              <w:rPr>
                <w:rStyle w:val="Hyperlink"/>
                <w:rFonts w:ascii="Segoe UI" w:hAnsi="Segoe UI" w:cs="Segoe UI"/>
                <w:rtl/>
              </w:rPr>
              <w:t>–</w:t>
            </w:r>
            <w:r w:rsidR="006A73FE" w:rsidRPr="006A73FE">
              <w:rPr>
                <w:rStyle w:val="Hyperlink"/>
                <w:rFonts w:ascii="Segoe UI" w:hAnsi="Segoe UI" w:cs="Segoe UI"/>
              </w:rPr>
              <w:t xml:space="preserve"> </w:t>
            </w:r>
            <w:r w:rsidR="006A73FE" w:rsidRPr="006A73FE">
              <w:rPr>
                <w:rStyle w:val="Hyperlink"/>
                <w:rFonts w:ascii="Segoe UI" w:hAnsi="Segoe UI" w:cs="Segoe UI"/>
                <w:rtl/>
                <w:lang w:val="en-US"/>
              </w:rPr>
              <w:t>"דיני בית הסוהר"</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_Toc108218229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53</w:t>
            </w:r>
            <w:r w:rsidR="006A73FE" w:rsidRPr="006A73FE">
              <w:rPr>
                <w:rStyle w:val="Hyperlink"/>
                <w:rFonts w:ascii="Segoe UI" w:hAnsi="Segoe UI" w:cs="Segoe UI"/>
                <w:rtl/>
              </w:rPr>
              <w:fldChar w:fldCharType="end"/>
            </w:r>
          </w:hyperlink>
        </w:p>
        <w:p w14:paraId="38D6DEDE" w14:textId="740CD7FB" w:rsidR="006A73FE" w:rsidRPr="006A73FE" w:rsidRDefault="00000000" w:rsidP="006A73FE">
          <w:pPr>
            <w:pStyle w:val="TOC2"/>
            <w:rPr>
              <w:rFonts w:eastAsiaTheme="minorEastAsia"/>
              <w:sz w:val="22"/>
              <w:szCs w:val="22"/>
              <w:lang w:val="en-US"/>
            </w:rPr>
          </w:pPr>
          <w:hyperlink w:anchor="_Toc108218230" w:history="1">
            <w:r w:rsidR="006A73FE" w:rsidRPr="006A73FE">
              <w:rPr>
                <w:rStyle w:val="Hyperlink"/>
                <w:rtl/>
              </w:rPr>
              <w:t>סוגי וועדות שחרורים</w:t>
            </w:r>
            <w:r w:rsidR="006A73FE" w:rsidRPr="006A73FE">
              <w:rPr>
                <w:webHidden/>
              </w:rPr>
              <w:tab/>
            </w:r>
            <w:r w:rsidR="006A73FE" w:rsidRPr="006A73FE">
              <w:rPr>
                <w:rStyle w:val="Hyperlink"/>
                <w:rtl/>
              </w:rPr>
              <w:fldChar w:fldCharType="begin"/>
            </w:r>
            <w:r w:rsidR="006A73FE" w:rsidRPr="006A73FE">
              <w:rPr>
                <w:webHidden/>
              </w:rPr>
              <w:instrText xml:space="preserve"> PAGEREF _Toc108218230 \h </w:instrText>
            </w:r>
            <w:r w:rsidR="006A73FE" w:rsidRPr="006A73FE">
              <w:rPr>
                <w:rStyle w:val="Hyperlink"/>
                <w:rtl/>
              </w:rPr>
            </w:r>
            <w:r w:rsidR="006A73FE" w:rsidRPr="006A73FE">
              <w:rPr>
                <w:rStyle w:val="Hyperlink"/>
                <w:rtl/>
              </w:rPr>
              <w:fldChar w:fldCharType="separate"/>
            </w:r>
            <w:r w:rsidR="0090450F">
              <w:rPr>
                <w:webHidden/>
                <w:rtl/>
              </w:rPr>
              <w:t>54</w:t>
            </w:r>
            <w:r w:rsidR="006A73FE" w:rsidRPr="006A73FE">
              <w:rPr>
                <w:rStyle w:val="Hyperlink"/>
                <w:rtl/>
              </w:rPr>
              <w:fldChar w:fldCharType="end"/>
            </w:r>
          </w:hyperlink>
        </w:p>
        <w:p w14:paraId="2630C4F0" w14:textId="0279D5AF" w:rsidR="006A73FE" w:rsidRPr="006A73FE" w:rsidRDefault="00000000" w:rsidP="006A73FE">
          <w:pPr>
            <w:pStyle w:val="TOC2"/>
            <w:rPr>
              <w:rFonts w:eastAsiaTheme="minorEastAsia"/>
              <w:sz w:val="22"/>
              <w:szCs w:val="22"/>
              <w:lang w:val="en-US"/>
            </w:rPr>
          </w:pPr>
          <w:hyperlink w:anchor="_Toc108218231" w:history="1">
            <w:r w:rsidR="006A73FE" w:rsidRPr="006A73FE">
              <w:rPr>
                <w:rStyle w:val="Hyperlink"/>
                <w:rtl/>
              </w:rPr>
              <w:t>ההבדל בין ועדות שחרורים לבתי משפט</w:t>
            </w:r>
            <w:r w:rsidR="006A73FE" w:rsidRPr="006A73FE">
              <w:rPr>
                <w:webHidden/>
              </w:rPr>
              <w:tab/>
            </w:r>
            <w:r w:rsidR="006A73FE" w:rsidRPr="006A73FE">
              <w:rPr>
                <w:rStyle w:val="Hyperlink"/>
                <w:rtl/>
              </w:rPr>
              <w:fldChar w:fldCharType="begin"/>
            </w:r>
            <w:r w:rsidR="006A73FE" w:rsidRPr="006A73FE">
              <w:rPr>
                <w:webHidden/>
              </w:rPr>
              <w:instrText xml:space="preserve"> PAGEREF _Toc108218231 \h </w:instrText>
            </w:r>
            <w:r w:rsidR="006A73FE" w:rsidRPr="006A73FE">
              <w:rPr>
                <w:rStyle w:val="Hyperlink"/>
                <w:rtl/>
              </w:rPr>
            </w:r>
            <w:r w:rsidR="006A73FE" w:rsidRPr="006A73FE">
              <w:rPr>
                <w:rStyle w:val="Hyperlink"/>
                <w:rtl/>
              </w:rPr>
              <w:fldChar w:fldCharType="separate"/>
            </w:r>
            <w:r w:rsidR="0090450F">
              <w:rPr>
                <w:webHidden/>
                <w:rtl/>
              </w:rPr>
              <w:t>54</w:t>
            </w:r>
            <w:r w:rsidR="006A73FE" w:rsidRPr="006A73FE">
              <w:rPr>
                <w:rStyle w:val="Hyperlink"/>
                <w:rtl/>
              </w:rPr>
              <w:fldChar w:fldCharType="end"/>
            </w:r>
          </w:hyperlink>
        </w:p>
        <w:p w14:paraId="3800004F" w14:textId="0CA94D27" w:rsidR="006A73FE" w:rsidRPr="006A73FE" w:rsidRDefault="00000000" w:rsidP="006A73FE">
          <w:pPr>
            <w:pStyle w:val="TOC2"/>
            <w:rPr>
              <w:rFonts w:eastAsiaTheme="minorEastAsia"/>
              <w:sz w:val="22"/>
              <w:szCs w:val="22"/>
              <w:lang w:val="en-US"/>
            </w:rPr>
          </w:pPr>
          <w:hyperlink w:anchor="_Toc108218232" w:history="1">
            <w:r w:rsidR="006A73FE" w:rsidRPr="006A73FE">
              <w:rPr>
                <w:rStyle w:val="Hyperlink"/>
                <w:rtl/>
              </w:rPr>
              <w:t>הרכבי וועדות השחרורים</w:t>
            </w:r>
            <w:r w:rsidR="006A73FE" w:rsidRPr="006A73FE">
              <w:rPr>
                <w:webHidden/>
              </w:rPr>
              <w:tab/>
            </w:r>
            <w:r w:rsidR="006A73FE" w:rsidRPr="006A73FE">
              <w:rPr>
                <w:rStyle w:val="Hyperlink"/>
                <w:rtl/>
              </w:rPr>
              <w:fldChar w:fldCharType="begin"/>
            </w:r>
            <w:r w:rsidR="006A73FE" w:rsidRPr="006A73FE">
              <w:rPr>
                <w:webHidden/>
              </w:rPr>
              <w:instrText xml:space="preserve"> PAGEREF _Toc108218232 \h </w:instrText>
            </w:r>
            <w:r w:rsidR="006A73FE" w:rsidRPr="006A73FE">
              <w:rPr>
                <w:rStyle w:val="Hyperlink"/>
                <w:rtl/>
              </w:rPr>
            </w:r>
            <w:r w:rsidR="006A73FE" w:rsidRPr="006A73FE">
              <w:rPr>
                <w:rStyle w:val="Hyperlink"/>
                <w:rtl/>
              </w:rPr>
              <w:fldChar w:fldCharType="separate"/>
            </w:r>
            <w:r w:rsidR="0090450F">
              <w:rPr>
                <w:webHidden/>
                <w:rtl/>
              </w:rPr>
              <w:t>55</w:t>
            </w:r>
            <w:r w:rsidR="006A73FE" w:rsidRPr="006A73FE">
              <w:rPr>
                <w:rStyle w:val="Hyperlink"/>
                <w:rtl/>
              </w:rPr>
              <w:fldChar w:fldCharType="end"/>
            </w:r>
          </w:hyperlink>
        </w:p>
        <w:p w14:paraId="7318975C" w14:textId="143BF4C1" w:rsidR="006A73FE" w:rsidRPr="006A73FE" w:rsidRDefault="00000000" w:rsidP="006A73FE">
          <w:pPr>
            <w:pStyle w:val="TOC2"/>
            <w:rPr>
              <w:rFonts w:eastAsiaTheme="minorEastAsia"/>
              <w:sz w:val="22"/>
              <w:szCs w:val="22"/>
              <w:lang w:val="en-US"/>
            </w:rPr>
          </w:pPr>
          <w:hyperlink w:anchor="_Toc108218233" w:history="1">
            <w:r w:rsidR="006A73FE" w:rsidRPr="006A73FE">
              <w:rPr>
                <w:rStyle w:val="Hyperlink"/>
                <w:rtl/>
              </w:rPr>
              <w:t>למה יש שחרורים?</w:t>
            </w:r>
            <w:r w:rsidR="006A73FE" w:rsidRPr="006A73FE">
              <w:rPr>
                <w:webHidden/>
              </w:rPr>
              <w:tab/>
            </w:r>
            <w:r w:rsidR="006A73FE" w:rsidRPr="006A73FE">
              <w:rPr>
                <w:rStyle w:val="Hyperlink"/>
                <w:rtl/>
              </w:rPr>
              <w:fldChar w:fldCharType="begin"/>
            </w:r>
            <w:r w:rsidR="006A73FE" w:rsidRPr="006A73FE">
              <w:rPr>
                <w:webHidden/>
              </w:rPr>
              <w:instrText xml:space="preserve"> PAGEREF _Toc108218233 \h </w:instrText>
            </w:r>
            <w:r w:rsidR="006A73FE" w:rsidRPr="006A73FE">
              <w:rPr>
                <w:rStyle w:val="Hyperlink"/>
                <w:rtl/>
              </w:rPr>
            </w:r>
            <w:r w:rsidR="006A73FE" w:rsidRPr="006A73FE">
              <w:rPr>
                <w:rStyle w:val="Hyperlink"/>
                <w:rtl/>
              </w:rPr>
              <w:fldChar w:fldCharType="separate"/>
            </w:r>
            <w:r w:rsidR="0090450F">
              <w:rPr>
                <w:webHidden/>
                <w:rtl/>
              </w:rPr>
              <w:t>55</w:t>
            </w:r>
            <w:r w:rsidR="006A73FE" w:rsidRPr="006A73FE">
              <w:rPr>
                <w:rStyle w:val="Hyperlink"/>
                <w:rtl/>
              </w:rPr>
              <w:fldChar w:fldCharType="end"/>
            </w:r>
          </w:hyperlink>
        </w:p>
        <w:p w14:paraId="11739B43" w14:textId="58DF0BDB" w:rsidR="006A73FE" w:rsidRPr="006A73FE" w:rsidRDefault="00000000" w:rsidP="006A73FE">
          <w:pPr>
            <w:pStyle w:val="TOC2"/>
            <w:rPr>
              <w:rFonts w:eastAsiaTheme="minorEastAsia"/>
              <w:sz w:val="22"/>
              <w:szCs w:val="22"/>
              <w:lang w:val="en-US"/>
            </w:rPr>
          </w:pPr>
          <w:hyperlink w:anchor="_Toc108218234" w:history="1">
            <w:r w:rsidR="006A73FE" w:rsidRPr="006A73FE">
              <w:rPr>
                <w:rStyle w:val="Hyperlink"/>
                <w:rtl/>
              </w:rPr>
              <w:t>מי מופיע?</w:t>
            </w:r>
            <w:r w:rsidR="006A73FE" w:rsidRPr="006A73FE">
              <w:rPr>
                <w:webHidden/>
              </w:rPr>
              <w:tab/>
            </w:r>
            <w:r w:rsidR="006A73FE" w:rsidRPr="006A73FE">
              <w:rPr>
                <w:rStyle w:val="Hyperlink"/>
                <w:rtl/>
              </w:rPr>
              <w:fldChar w:fldCharType="begin"/>
            </w:r>
            <w:r w:rsidR="006A73FE" w:rsidRPr="006A73FE">
              <w:rPr>
                <w:webHidden/>
              </w:rPr>
              <w:instrText xml:space="preserve"> PAGEREF _Toc108218234 \h </w:instrText>
            </w:r>
            <w:r w:rsidR="006A73FE" w:rsidRPr="006A73FE">
              <w:rPr>
                <w:rStyle w:val="Hyperlink"/>
                <w:rtl/>
              </w:rPr>
            </w:r>
            <w:r w:rsidR="006A73FE" w:rsidRPr="006A73FE">
              <w:rPr>
                <w:rStyle w:val="Hyperlink"/>
                <w:rtl/>
              </w:rPr>
              <w:fldChar w:fldCharType="separate"/>
            </w:r>
            <w:r w:rsidR="0090450F">
              <w:rPr>
                <w:webHidden/>
                <w:rtl/>
              </w:rPr>
              <w:t>55</w:t>
            </w:r>
            <w:r w:rsidR="006A73FE" w:rsidRPr="006A73FE">
              <w:rPr>
                <w:rStyle w:val="Hyperlink"/>
                <w:rtl/>
              </w:rPr>
              <w:fldChar w:fldCharType="end"/>
            </w:r>
          </w:hyperlink>
        </w:p>
        <w:p w14:paraId="1B18101D" w14:textId="68E0E1E6" w:rsidR="006A73FE" w:rsidRPr="006A73FE" w:rsidRDefault="00000000" w:rsidP="006A73FE">
          <w:pPr>
            <w:pStyle w:val="TOC2"/>
            <w:rPr>
              <w:rFonts w:eastAsiaTheme="minorEastAsia"/>
              <w:sz w:val="22"/>
              <w:szCs w:val="22"/>
              <w:lang w:val="en-US"/>
            </w:rPr>
          </w:pPr>
          <w:hyperlink w:anchor="_Toc108218235" w:history="1">
            <w:r w:rsidR="006A73FE" w:rsidRPr="006A73FE">
              <w:rPr>
                <w:rStyle w:val="Hyperlink"/>
                <w:rtl/>
              </w:rPr>
              <w:t>הסיבה לקיומם של ועדות שחרור</w:t>
            </w:r>
            <w:r w:rsidR="006A73FE" w:rsidRPr="006A73FE">
              <w:rPr>
                <w:webHidden/>
              </w:rPr>
              <w:tab/>
            </w:r>
            <w:r w:rsidR="006A73FE" w:rsidRPr="006A73FE">
              <w:rPr>
                <w:rStyle w:val="Hyperlink"/>
                <w:rtl/>
              </w:rPr>
              <w:fldChar w:fldCharType="begin"/>
            </w:r>
            <w:r w:rsidR="006A73FE" w:rsidRPr="006A73FE">
              <w:rPr>
                <w:webHidden/>
              </w:rPr>
              <w:instrText xml:space="preserve"> PAGEREF _Toc108218235 \h </w:instrText>
            </w:r>
            <w:r w:rsidR="006A73FE" w:rsidRPr="006A73FE">
              <w:rPr>
                <w:rStyle w:val="Hyperlink"/>
                <w:rtl/>
              </w:rPr>
            </w:r>
            <w:r w:rsidR="006A73FE" w:rsidRPr="006A73FE">
              <w:rPr>
                <w:rStyle w:val="Hyperlink"/>
                <w:rtl/>
              </w:rPr>
              <w:fldChar w:fldCharType="separate"/>
            </w:r>
            <w:r w:rsidR="0090450F">
              <w:rPr>
                <w:webHidden/>
                <w:rtl/>
              </w:rPr>
              <w:t>55</w:t>
            </w:r>
            <w:r w:rsidR="006A73FE" w:rsidRPr="006A73FE">
              <w:rPr>
                <w:rStyle w:val="Hyperlink"/>
                <w:rtl/>
              </w:rPr>
              <w:fldChar w:fldCharType="end"/>
            </w:r>
          </w:hyperlink>
        </w:p>
        <w:p w14:paraId="052EF9E9" w14:textId="40A97739" w:rsidR="006A73FE" w:rsidRPr="006A73FE" w:rsidRDefault="00000000" w:rsidP="006A73FE">
          <w:pPr>
            <w:pStyle w:val="TOC2"/>
            <w:rPr>
              <w:rFonts w:eastAsiaTheme="minorEastAsia"/>
              <w:sz w:val="22"/>
              <w:szCs w:val="22"/>
              <w:lang w:val="en-US"/>
            </w:rPr>
          </w:pPr>
          <w:hyperlink w:anchor="_Toc108218236" w:history="1">
            <w:r w:rsidR="006A73FE" w:rsidRPr="006A73FE">
              <w:rPr>
                <w:rStyle w:val="Hyperlink"/>
                <w:rtl/>
              </w:rPr>
              <w:t>הפרדוקס</w:t>
            </w:r>
            <w:r w:rsidR="006A73FE" w:rsidRPr="006A73FE">
              <w:rPr>
                <w:webHidden/>
              </w:rPr>
              <w:tab/>
            </w:r>
            <w:r w:rsidR="006A73FE" w:rsidRPr="006A73FE">
              <w:rPr>
                <w:rStyle w:val="Hyperlink"/>
                <w:rtl/>
              </w:rPr>
              <w:fldChar w:fldCharType="begin"/>
            </w:r>
            <w:r w:rsidR="006A73FE" w:rsidRPr="006A73FE">
              <w:rPr>
                <w:webHidden/>
              </w:rPr>
              <w:instrText xml:space="preserve"> PAGEREF _Toc108218236 \h </w:instrText>
            </w:r>
            <w:r w:rsidR="006A73FE" w:rsidRPr="006A73FE">
              <w:rPr>
                <w:rStyle w:val="Hyperlink"/>
                <w:rtl/>
              </w:rPr>
            </w:r>
            <w:r w:rsidR="006A73FE" w:rsidRPr="006A73FE">
              <w:rPr>
                <w:rStyle w:val="Hyperlink"/>
                <w:rtl/>
              </w:rPr>
              <w:fldChar w:fldCharType="separate"/>
            </w:r>
            <w:r w:rsidR="0090450F">
              <w:rPr>
                <w:webHidden/>
                <w:rtl/>
              </w:rPr>
              <w:t>55</w:t>
            </w:r>
            <w:r w:rsidR="006A73FE" w:rsidRPr="006A73FE">
              <w:rPr>
                <w:rStyle w:val="Hyperlink"/>
                <w:rtl/>
              </w:rPr>
              <w:fldChar w:fldCharType="end"/>
            </w:r>
          </w:hyperlink>
        </w:p>
        <w:p w14:paraId="76361D28" w14:textId="4A2CC995" w:rsidR="006A73FE" w:rsidRPr="006A73FE" w:rsidRDefault="00000000" w:rsidP="006A73FE">
          <w:pPr>
            <w:pStyle w:val="TOC2"/>
            <w:rPr>
              <w:rFonts w:eastAsiaTheme="minorEastAsia"/>
              <w:sz w:val="22"/>
              <w:szCs w:val="22"/>
              <w:lang w:val="en-US"/>
            </w:rPr>
          </w:pPr>
          <w:hyperlink w:anchor="_Toc108218237" w:history="1">
            <w:r w:rsidR="006A73FE" w:rsidRPr="006A73FE">
              <w:rPr>
                <w:rStyle w:val="Hyperlink"/>
                <w:rtl/>
              </w:rPr>
              <w:t>אסיר ברשיון</w:t>
            </w:r>
            <w:r w:rsidR="006A73FE" w:rsidRPr="006A73FE">
              <w:rPr>
                <w:webHidden/>
              </w:rPr>
              <w:tab/>
            </w:r>
            <w:r w:rsidR="006A73FE" w:rsidRPr="006A73FE">
              <w:rPr>
                <w:rStyle w:val="Hyperlink"/>
                <w:rtl/>
              </w:rPr>
              <w:fldChar w:fldCharType="begin"/>
            </w:r>
            <w:r w:rsidR="006A73FE" w:rsidRPr="006A73FE">
              <w:rPr>
                <w:webHidden/>
              </w:rPr>
              <w:instrText xml:space="preserve"> PAGEREF _Toc108218237 \h </w:instrText>
            </w:r>
            <w:r w:rsidR="006A73FE" w:rsidRPr="006A73FE">
              <w:rPr>
                <w:rStyle w:val="Hyperlink"/>
                <w:rtl/>
              </w:rPr>
            </w:r>
            <w:r w:rsidR="006A73FE" w:rsidRPr="006A73FE">
              <w:rPr>
                <w:rStyle w:val="Hyperlink"/>
                <w:rtl/>
              </w:rPr>
              <w:fldChar w:fldCharType="separate"/>
            </w:r>
            <w:r w:rsidR="0090450F">
              <w:rPr>
                <w:webHidden/>
                <w:rtl/>
              </w:rPr>
              <w:t>56</w:t>
            </w:r>
            <w:r w:rsidR="006A73FE" w:rsidRPr="006A73FE">
              <w:rPr>
                <w:rStyle w:val="Hyperlink"/>
                <w:rtl/>
              </w:rPr>
              <w:fldChar w:fldCharType="end"/>
            </w:r>
          </w:hyperlink>
        </w:p>
        <w:p w14:paraId="15098C9B" w14:textId="747B22A9" w:rsidR="006A73FE" w:rsidRPr="006A73FE" w:rsidRDefault="00000000" w:rsidP="006A73FE">
          <w:pPr>
            <w:pStyle w:val="TOC2"/>
            <w:rPr>
              <w:rFonts w:eastAsiaTheme="minorEastAsia"/>
              <w:sz w:val="22"/>
              <w:szCs w:val="22"/>
              <w:lang w:val="en-US"/>
            </w:rPr>
          </w:pPr>
          <w:hyperlink w:anchor="_Toc108218238" w:history="1">
            <w:r w:rsidR="006A73FE" w:rsidRPr="006A73FE">
              <w:rPr>
                <w:rStyle w:val="Hyperlink"/>
                <w:rtl/>
              </w:rPr>
              <w:t>תפקיד ועדת השחרורים</w:t>
            </w:r>
            <w:r w:rsidR="006A73FE" w:rsidRPr="006A73FE">
              <w:rPr>
                <w:webHidden/>
              </w:rPr>
              <w:tab/>
            </w:r>
            <w:r w:rsidR="006A73FE" w:rsidRPr="006A73FE">
              <w:rPr>
                <w:rStyle w:val="Hyperlink"/>
                <w:rtl/>
              </w:rPr>
              <w:fldChar w:fldCharType="begin"/>
            </w:r>
            <w:r w:rsidR="006A73FE" w:rsidRPr="006A73FE">
              <w:rPr>
                <w:webHidden/>
              </w:rPr>
              <w:instrText xml:space="preserve"> PAGEREF _Toc108218238 \h </w:instrText>
            </w:r>
            <w:r w:rsidR="006A73FE" w:rsidRPr="006A73FE">
              <w:rPr>
                <w:rStyle w:val="Hyperlink"/>
                <w:rtl/>
              </w:rPr>
            </w:r>
            <w:r w:rsidR="006A73FE" w:rsidRPr="006A73FE">
              <w:rPr>
                <w:rStyle w:val="Hyperlink"/>
                <w:rtl/>
              </w:rPr>
              <w:fldChar w:fldCharType="separate"/>
            </w:r>
            <w:r w:rsidR="0090450F">
              <w:rPr>
                <w:webHidden/>
                <w:rtl/>
              </w:rPr>
              <w:t>56</w:t>
            </w:r>
            <w:r w:rsidR="006A73FE" w:rsidRPr="006A73FE">
              <w:rPr>
                <w:rStyle w:val="Hyperlink"/>
                <w:rtl/>
              </w:rPr>
              <w:fldChar w:fldCharType="end"/>
            </w:r>
          </w:hyperlink>
        </w:p>
        <w:p w14:paraId="2A63E090" w14:textId="5FC57F62" w:rsidR="006A73FE" w:rsidRPr="006A73FE" w:rsidRDefault="00000000" w:rsidP="006A73FE">
          <w:pPr>
            <w:pStyle w:val="TOC2"/>
            <w:rPr>
              <w:rFonts w:eastAsiaTheme="minorEastAsia"/>
              <w:sz w:val="22"/>
              <w:szCs w:val="22"/>
              <w:lang w:val="en-US"/>
            </w:rPr>
          </w:pPr>
          <w:hyperlink w:anchor="_Toc108218239" w:history="1">
            <w:r w:rsidR="006A73FE" w:rsidRPr="006A73FE">
              <w:rPr>
                <w:rStyle w:val="Hyperlink"/>
                <w:rtl/>
              </w:rPr>
              <w:t>שחרור מוקדם של רוצחים</w:t>
            </w:r>
            <w:r w:rsidR="006A73FE" w:rsidRPr="006A73FE">
              <w:rPr>
                <w:webHidden/>
              </w:rPr>
              <w:tab/>
            </w:r>
            <w:r w:rsidR="006A73FE" w:rsidRPr="006A73FE">
              <w:rPr>
                <w:rStyle w:val="Hyperlink"/>
                <w:rtl/>
              </w:rPr>
              <w:fldChar w:fldCharType="begin"/>
            </w:r>
            <w:r w:rsidR="006A73FE" w:rsidRPr="006A73FE">
              <w:rPr>
                <w:webHidden/>
              </w:rPr>
              <w:instrText xml:space="preserve"> PAGEREF _Toc108218239 \h </w:instrText>
            </w:r>
            <w:r w:rsidR="006A73FE" w:rsidRPr="006A73FE">
              <w:rPr>
                <w:rStyle w:val="Hyperlink"/>
                <w:rtl/>
              </w:rPr>
            </w:r>
            <w:r w:rsidR="006A73FE" w:rsidRPr="006A73FE">
              <w:rPr>
                <w:rStyle w:val="Hyperlink"/>
                <w:rtl/>
              </w:rPr>
              <w:fldChar w:fldCharType="separate"/>
            </w:r>
            <w:r w:rsidR="0090450F">
              <w:rPr>
                <w:webHidden/>
                <w:rtl/>
              </w:rPr>
              <w:t>60</w:t>
            </w:r>
            <w:r w:rsidR="006A73FE" w:rsidRPr="006A73FE">
              <w:rPr>
                <w:rStyle w:val="Hyperlink"/>
                <w:rtl/>
              </w:rPr>
              <w:fldChar w:fldCharType="end"/>
            </w:r>
          </w:hyperlink>
        </w:p>
        <w:p w14:paraId="54AACE60" w14:textId="4FCBF43E" w:rsidR="006A73FE" w:rsidRPr="006A73FE" w:rsidRDefault="00000000" w:rsidP="006A73FE">
          <w:pPr>
            <w:pStyle w:val="TOC2"/>
            <w:rPr>
              <w:rFonts w:eastAsiaTheme="minorEastAsia"/>
              <w:sz w:val="22"/>
              <w:szCs w:val="22"/>
              <w:lang w:val="en-US"/>
            </w:rPr>
          </w:pPr>
          <w:hyperlink w:anchor="_Toc108218240" w:history="1">
            <w:r w:rsidR="006A73FE" w:rsidRPr="006A73FE">
              <w:rPr>
                <w:rStyle w:val="Hyperlink"/>
                <w:rtl/>
              </w:rPr>
              <w:t>המלצה לעניין אסיר עולם שהורשע ברצח חריג בחומרתו</w:t>
            </w:r>
            <w:r w:rsidR="006A73FE" w:rsidRPr="006A73FE">
              <w:rPr>
                <w:webHidden/>
              </w:rPr>
              <w:tab/>
            </w:r>
            <w:r w:rsidR="006A73FE" w:rsidRPr="006A73FE">
              <w:rPr>
                <w:rStyle w:val="Hyperlink"/>
                <w:rtl/>
              </w:rPr>
              <w:fldChar w:fldCharType="begin"/>
            </w:r>
            <w:r w:rsidR="006A73FE" w:rsidRPr="006A73FE">
              <w:rPr>
                <w:webHidden/>
              </w:rPr>
              <w:instrText xml:space="preserve"> PAGEREF _Toc108218240 \h </w:instrText>
            </w:r>
            <w:r w:rsidR="006A73FE" w:rsidRPr="006A73FE">
              <w:rPr>
                <w:rStyle w:val="Hyperlink"/>
                <w:rtl/>
              </w:rPr>
            </w:r>
            <w:r w:rsidR="006A73FE" w:rsidRPr="006A73FE">
              <w:rPr>
                <w:rStyle w:val="Hyperlink"/>
                <w:rtl/>
              </w:rPr>
              <w:fldChar w:fldCharType="separate"/>
            </w:r>
            <w:r w:rsidR="0090450F">
              <w:rPr>
                <w:webHidden/>
                <w:rtl/>
              </w:rPr>
              <w:t>60</w:t>
            </w:r>
            <w:r w:rsidR="006A73FE" w:rsidRPr="006A73FE">
              <w:rPr>
                <w:rStyle w:val="Hyperlink"/>
                <w:rtl/>
              </w:rPr>
              <w:fldChar w:fldCharType="end"/>
            </w:r>
          </w:hyperlink>
        </w:p>
        <w:p w14:paraId="37BC1F74" w14:textId="03DDF147" w:rsidR="006A73FE" w:rsidRPr="006A73FE" w:rsidRDefault="00000000" w:rsidP="006A73FE">
          <w:pPr>
            <w:pStyle w:val="TOC2"/>
            <w:rPr>
              <w:rFonts w:eastAsiaTheme="minorEastAsia"/>
              <w:sz w:val="22"/>
              <w:szCs w:val="22"/>
              <w:lang w:val="en-US"/>
            </w:rPr>
          </w:pPr>
          <w:hyperlink w:anchor="_Toc108218241" w:history="1">
            <w:r w:rsidR="006A73FE" w:rsidRPr="006A73FE">
              <w:rPr>
                <w:rStyle w:val="Hyperlink"/>
                <w:rtl/>
              </w:rPr>
              <w:t>שחרור על תנאי מטעמים רפואיים</w:t>
            </w:r>
            <w:r w:rsidR="006A73FE" w:rsidRPr="006A73FE">
              <w:rPr>
                <w:webHidden/>
              </w:rPr>
              <w:tab/>
            </w:r>
            <w:r w:rsidR="006A73FE" w:rsidRPr="006A73FE">
              <w:rPr>
                <w:rStyle w:val="Hyperlink"/>
                <w:rtl/>
              </w:rPr>
              <w:fldChar w:fldCharType="begin"/>
            </w:r>
            <w:r w:rsidR="006A73FE" w:rsidRPr="006A73FE">
              <w:rPr>
                <w:webHidden/>
              </w:rPr>
              <w:instrText xml:space="preserve"> PAGEREF _Toc108218241 \h </w:instrText>
            </w:r>
            <w:r w:rsidR="006A73FE" w:rsidRPr="006A73FE">
              <w:rPr>
                <w:rStyle w:val="Hyperlink"/>
                <w:rtl/>
              </w:rPr>
            </w:r>
            <w:r w:rsidR="006A73FE" w:rsidRPr="006A73FE">
              <w:rPr>
                <w:rStyle w:val="Hyperlink"/>
                <w:rtl/>
              </w:rPr>
              <w:fldChar w:fldCharType="separate"/>
            </w:r>
            <w:r w:rsidR="0090450F">
              <w:rPr>
                <w:webHidden/>
                <w:rtl/>
              </w:rPr>
              <w:t>61</w:t>
            </w:r>
            <w:r w:rsidR="006A73FE" w:rsidRPr="006A73FE">
              <w:rPr>
                <w:rStyle w:val="Hyperlink"/>
                <w:rtl/>
              </w:rPr>
              <w:fldChar w:fldCharType="end"/>
            </w:r>
          </w:hyperlink>
        </w:p>
        <w:p w14:paraId="470F722B" w14:textId="1C186356" w:rsidR="006A73FE" w:rsidRPr="006A73FE" w:rsidRDefault="00000000" w:rsidP="006A73FE">
          <w:pPr>
            <w:pStyle w:val="TOC1"/>
            <w:rPr>
              <w:rFonts w:ascii="Segoe UI" w:eastAsiaTheme="minorEastAsia" w:hAnsi="Segoe UI" w:cs="Segoe UI"/>
              <w:lang w:val="en-US"/>
            </w:rPr>
          </w:pPr>
          <w:hyperlink w:anchor="_Toc108218242" w:history="1">
            <w:r w:rsidR="006A73FE" w:rsidRPr="006A73FE">
              <w:rPr>
                <w:rStyle w:val="Hyperlink"/>
                <w:rFonts w:ascii="Segoe UI" w:hAnsi="Segoe UI" w:cs="Segoe UI"/>
                <w:rtl/>
              </w:rPr>
              <w:t>ענישת עובדי ציבור</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_Toc108218242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62</w:t>
            </w:r>
            <w:r w:rsidR="006A73FE" w:rsidRPr="006A73FE">
              <w:rPr>
                <w:rStyle w:val="Hyperlink"/>
                <w:rFonts w:ascii="Segoe UI" w:hAnsi="Segoe UI" w:cs="Segoe UI"/>
                <w:rtl/>
              </w:rPr>
              <w:fldChar w:fldCharType="end"/>
            </w:r>
          </w:hyperlink>
        </w:p>
        <w:p w14:paraId="369BAAF9" w14:textId="2FA67E7B" w:rsidR="006A73FE" w:rsidRPr="006A73FE" w:rsidRDefault="00000000" w:rsidP="006A73FE">
          <w:pPr>
            <w:pStyle w:val="TOC2"/>
            <w:rPr>
              <w:rFonts w:eastAsiaTheme="minorEastAsia"/>
              <w:sz w:val="22"/>
              <w:szCs w:val="22"/>
              <w:lang w:val="en-US"/>
            </w:rPr>
          </w:pPr>
          <w:hyperlink w:anchor="_Toc108218243" w:history="1">
            <w:r w:rsidR="006A73FE" w:rsidRPr="006A73FE">
              <w:rPr>
                <w:rStyle w:val="Hyperlink"/>
                <w:rtl/>
              </w:rPr>
              <w:t>טענות לחומרא בעניינם של אנשי ציבור</w:t>
            </w:r>
            <w:r w:rsidR="006A73FE" w:rsidRPr="006A73FE">
              <w:rPr>
                <w:webHidden/>
              </w:rPr>
              <w:tab/>
            </w:r>
            <w:r w:rsidR="006A73FE" w:rsidRPr="006A73FE">
              <w:rPr>
                <w:rStyle w:val="Hyperlink"/>
                <w:rtl/>
              </w:rPr>
              <w:fldChar w:fldCharType="begin"/>
            </w:r>
            <w:r w:rsidR="006A73FE" w:rsidRPr="006A73FE">
              <w:rPr>
                <w:webHidden/>
              </w:rPr>
              <w:instrText xml:space="preserve"> PAGEREF _Toc108218243 \h </w:instrText>
            </w:r>
            <w:r w:rsidR="006A73FE" w:rsidRPr="006A73FE">
              <w:rPr>
                <w:rStyle w:val="Hyperlink"/>
                <w:rtl/>
              </w:rPr>
            </w:r>
            <w:r w:rsidR="006A73FE" w:rsidRPr="006A73FE">
              <w:rPr>
                <w:rStyle w:val="Hyperlink"/>
                <w:rtl/>
              </w:rPr>
              <w:fldChar w:fldCharType="separate"/>
            </w:r>
            <w:r w:rsidR="0090450F">
              <w:rPr>
                <w:webHidden/>
                <w:rtl/>
              </w:rPr>
              <w:t>63</w:t>
            </w:r>
            <w:r w:rsidR="006A73FE" w:rsidRPr="006A73FE">
              <w:rPr>
                <w:rStyle w:val="Hyperlink"/>
                <w:rtl/>
              </w:rPr>
              <w:fldChar w:fldCharType="end"/>
            </w:r>
          </w:hyperlink>
        </w:p>
        <w:p w14:paraId="0CFAD3A6" w14:textId="6C63B099" w:rsidR="006A73FE" w:rsidRPr="006A73FE" w:rsidRDefault="00000000" w:rsidP="006A73FE">
          <w:pPr>
            <w:pStyle w:val="TOC2"/>
            <w:rPr>
              <w:rFonts w:eastAsiaTheme="minorEastAsia"/>
              <w:sz w:val="22"/>
              <w:szCs w:val="22"/>
              <w:lang w:val="en-US"/>
            </w:rPr>
          </w:pPr>
          <w:hyperlink w:anchor="_Toc108218244" w:history="1">
            <w:r w:rsidR="006A73FE" w:rsidRPr="006A73FE">
              <w:rPr>
                <w:rStyle w:val="Hyperlink"/>
                <w:rtl/>
              </w:rPr>
              <w:t>טענות לקולא בעניינם של אנשי ציבור</w:t>
            </w:r>
            <w:r w:rsidR="006A73FE" w:rsidRPr="006A73FE">
              <w:rPr>
                <w:webHidden/>
              </w:rPr>
              <w:tab/>
            </w:r>
            <w:r w:rsidR="006A73FE" w:rsidRPr="006A73FE">
              <w:rPr>
                <w:rStyle w:val="Hyperlink"/>
                <w:rtl/>
              </w:rPr>
              <w:fldChar w:fldCharType="begin"/>
            </w:r>
            <w:r w:rsidR="006A73FE" w:rsidRPr="006A73FE">
              <w:rPr>
                <w:webHidden/>
              </w:rPr>
              <w:instrText xml:space="preserve"> PAGEREF _Toc108218244 \h </w:instrText>
            </w:r>
            <w:r w:rsidR="006A73FE" w:rsidRPr="006A73FE">
              <w:rPr>
                <w:rStyle w:val="Hyperlink"/>
                <w:rtl/>
              </w:rPr>
            </w:r>
            <w:r w:rsidR="006A73FE" w:rsidRPr="006A73FE">
              <w:rPr>
                <w:rStyle w:val="Hyperlink"/>
                <w:rtl/>
              </w:rPr>
              <w:fldChar w:fldCharType="separate"/>
            </w:r>
            <w:r w:rsidR="0090450F">
              <w:rPr>
                <w:webHidden/>
                <w:rtl/>
              </w:rPr>
              <w:t>64</w:t>
            </w:r>
            <w:r w:rsidR="006A73FE" w:rsidRPr="006A73FE">
              <w:rPr>
                <w:rStyle w:val="Hyperlink"/>
                <w:rtl/>
              </w:rPr>
              <w:fldChar w:fldCharType="end"/>
            </w:r>
          </w:hyperlink>
        </w:p>
        <w:p w14:paraId="0D963BD5" w14:textId="4C14A260" w:rsidR="006A73FE" w:rsidRPr="006A73FE" w:rsidRDefault="00000000" w:rsidP="006A73FE">
          <w:pPr>
            <w:pStyle w:val="TOC2"/>
            <w:rPr>
              <w:rFonts w:eastAsiaTheme="minorEastAsia"/>
              <w:sz w:val="22"/>
              <w:szCs w:val="22"/>
              <w:lang w:val="en-US"/>
            </w:rPr>
          </w:pPr>
          <w:hyperlink w:anchor="_Toc108218245" w:history="1">
            <w:r w:rsidR="006A73FE" w:rsidRPr="006A73FE">
              <w:rPr>
                <w:rStyle w:val="Hyperlink"/>
                <w:rtl/>
              </w:rPr>
              <w:t>טענות לחומרא בעניינם של אנשי ציבור</w:t>
            </w:r>
            <w:r w:rsidR="006A73FE" w:rsidRPr="006A73FE">
              <w:rPr>
                <w:webHidden/>
              </w:rPr>
              <w:tab/>
            </w:r>
            <w:r w:rsidR="006A73FE" w:rsidRPr="006A73FE">
              <w:rPr>
                <w:rStyle w:val="Hyperlink"/>
                <w:rtl/>
              </w:rPr>
              <w:fldChar w:fldCharType="begin"/>
            </w:r>
            <w:r w:rsidR="006A73FE" w:rsidRPr="006A73FE">
              <w:rPr>
                <w:webHidden/>
              </w:rPr>
              <w:instrText xml:space="preserve"> PAGEREF _Toc108218245 \h </w:instrText>
            </w:r>
            <w:r w:rsidR="006A73FE" w:rsidRPr="006A73FE">
              <w:rPr>
                <w:rStyle w:val="Hyperlink"/>
                <w:rtl/>
              </w:rPr>
            </w:r>
            <w:r w:rsidR="006A73FE" w:rsidRPr="006A73FE">
              <w:rPr>
                <w:rStyle w:val="Hyperlink"/>
                <w:rtl/>
              </w:rPr>
              <w:fldChar w:fldCharType="separate"/>
            </w:r>
            <w:r w:rsidR="0090450F">
              <w:rPr>
                <w:webHidden/>
                <w:rtl/>
              </w:rPr>
              <w:t>64</w:t>
            </w:r>
            <w:r w:rsidR="006A73FE" w:rsidRPr="006A73FE">
              <w:rPr>
                <w:rStyle w:val="Hyperlink"/>
                <w:rtl/>
              </w:rPr>
              <w:fldChar w:fldCharType="end"/>
            </w:r>
          </w:hyperlink>
        </w:p>
        <w:p w14:paraId="57821A84" w14:textId="542FA2BF" w:rsidR="006A73FE" w:rsidRPr="006A73FE" w:rsidRDefault="00000000" w:rsidP="006A73FE">
          <w:pPr>
            <w:pStyle w:val="TOC2"/>
            <w:rPr>
              <w:rFonts w:eastAsiaTheme="minorEastAsia"/>
              <w:sz w:val="22"/>
              <w:szCs w:val="22"/>
              <w:lang w:val="en-US"/>
            </w:rPr>
          </w:pPr>
          <w:hyperlink w:anchor="_Toc108218246" w:history="1">
            <w:r w:rsidR="006A73FE" w:rsidRPr="006A73FE">
              <w:rPr>
                <w:rStyle w:val="Hyperlink"/>
                <w:rtl/>
              </w:rPr>
              <w:t>טענות לאחידות בעניינם של אנשי ציבור</w:t>
            </w:r>
            <w:r w:rsidR="006A73FE" w:rsidRPr="006A73FE">
              <w:rPr>
                <w:webHidden/>
              </w:rPr>
              <w:tab/>
            </w:r>
            <w:r w:rsidR="006A73FE" w:rsidRPr="006A73FE">
              <w:rPr>
                <w:rStyle w:val="Hyperlink"/>
                <w:rtl/>
              </w:rPr>
              <w:fldChar w:fldCharType="begin"/>
            </w:r>
            <w:r w:rsidR="006A73FE" w:rsidRPr="006A73FE">
              <w:rPr>
                <w:webHidden/>
              </w:rPr>
              <w:instrText xml:space="preserve"> PAGEREF _Toc108218246 \h </w:instrText>
            </w:r>
            <w:r w:rsidR="006A73FE" w:rsidRPr="006A73FE">
              <w:rPr>
                <w:rStyle w:val="Hyperlink"/>
                <w:rtl/>
              </w:rPr>
            </w:r>
            <w:r w:rsidR="006A73FE" w:rsidRPr="006A73FE">
              <w:rPr>
                <w:rStyle w:val="Hyperlink"/>
                <w:rtl/>
              </w:rPr>
              <w:fldChar w:fldCharType="separate"/>
            </w:r>
            <w:r w:rsidR="0090450F">
              <w:rPr>
                <w:webHidden/>
                <w:rtl/>
              </w:rPr>
              <w:t>64</w:t>
            </w:r>
            <w:r w:rsidR="006A73FE" w:rsidRPr="006A73FE">
              <w:rPr>
                <w:rStyle w:val="Hyperlink"/>
                <w:rtl/>
              </w:rPr>
              <w:fldChar w:fldCharType="end"/>
            </w:r>
          </w:hyperlink>
        </w:p>
        <w:p w14:paraId="35402660" w14:textId="45CBAAD5" w:rsidR="006A73FE" w:rsidRPr="006A73FE" w:rsidRDefault="00000000" w:rsidP="006A73FE">
          <w:pPr>
            <w:pStyle w:val="TOC2"/>
            <w:rPr>
              <w:rFonts w:eastAsiaTheme="minorEastAsia"/>
              <w:sz w:val="22"/>
              <w:szCs w:val="22"/>
              <w:lang w:val="en-US"/>
            </w:rPr>
          </w:pPr>
          <w:hyperlink w:anchor="_Toc108218247" w:history="1">
            <w:r w:rsidR="006A73FE" w:rsidRPr="006A73FE">
              <w:rPr>
                <w:rStyle w:val="Hyperlink"/>
                <w:rtl/>
              </w:rPr>
              <w:t>השפעות התקשורת על העונש</w:t>
            </w:r>
            <w:r w:rsidR="006A73FE" w:rsidRPr="006A73FE">
              <w:rPr>
                <w:webHidden/>
              </w:rPr>
              <w:tab/>
            </w:r>
            <w:r w:rsidR="006A73FE" w:rsidRPr="006A73FE">
              <w:rPr>
                <w:rStyle w:val="Hyperlink"/>
                <w:rtl/>
              </w:rPr>
              <w:fldChar w:fldCharType="begin"/>
            </w:r>
            <w:r w:rsidR="006A73FE" w:rsidRPr="006A73FE">
              <w:rPr>
                <w:webHidden/>
              </w:rPr>
              <w:instrText xml:space="preserve"> PAGEREF _Toc108218247 \h </w:instrText>
            </w:r>
            <w:r w:rsidR="006A73FE" w:rsidRPr="006A73FE">
              <w:rPr>
                <w:rStyle w:val="Hyperlink"/>
                <w:rtl/>
              </w:rPr>
            </w:r>
            <w:r w:rsidR="006A73FE" w:rsidRPr="006A73FE">
              <w:rPr>
                <w:rStyle w:val="Hyperlink"/>
                <w:rtl/>
              </w:rPr>
              <w:fldChar w:fldCharType="separate"/>
            </w:r>
            <w:r w:rsidR="0090450F">
              <w:rPr>
                <w:webHidden/>
                <w:rtl/>
              </w:rPr>
              <w:t>64</w:t>
            </w:r>
            <w:r w:rsidR="006A73FE" w:rsidRPr="006A73FE">
              <w:rPr>
                <w:rStyle w:val="Hyperlink"/>
                <w:rtl/>
              </w:rPr>
              <w:fldChar w:fldCharType="end"/>
            </w:r>
          </w:hyperlink>
        </w:p>
        <w:p w14:paraId="790D0458" w14:textId="20D00C32" w:rsidR="006A73FE" w:rsidRPr="006A73FE" w:rsidRDefault="00000000" w:rsidP="006A73FE">
          <w:pPr>
            <w:pStyle w:val="TOC2"/>
            <w:rPr>
              <w:rFonts w:eastAsiaTheme="minorEastAsia"/>
              <w:sz w:val="22"/>
              <w:szCs w:val="22"/>
              <w:lang w:val="en-US"/>
            </w:rPr>
          </w:pPr>
          <w:hyperlink w:anchor="_Toc108218248" w:history="1">
            <w:r w:rsidR="006A73FE" w:rsidRPr="006A73FE">
              <w:rPr>
                <w:rStyle w:val="Hyperlink"/>
                <w:rtl/>
              </w:rPr>
              <w:t>שורה תחתונה: אין אחידות בפסיקה</w:t>
            </w:r>
            <w:r w:rsidR="006A73FE" w:rsidRPr="006A73FE">
              <w:rPr>
                <w:webHidden/>
              </w:rPr>
              <w:tab/>
            </w:r>
            <w:r w:rsidR="006A73FE" w:rsidRPr="006A73FE">
              <w:rPr>
                <w:rStyle w:val="Hyperlink"/>
                <w:rtl/>
              </w:rPr>
              <w:fldChar w:fldCharType="begin"/>
            </w:r>
            <w:r w:rsidR="006A73FE" w:rsidRPr="006A73FE">
              <w:rPr>
                <w:webHidden/>
              </w:rPr>
              <w:instrText xml:space="preserve"> PAGEREF _Toc108218248 \h </w:instrText>
            </w:r>
            <w:r w:rsidR="006A73FE" w:rsidRPr="006A73FE">
              <w:rPr>
                <w:rStyle w:val="Hyperlink"/>
                <w:rtl/>
              </w:rPr>
            </w:r>
            <w:r w:rsidR="006A73FE" w:rsidRPr="006A73FE">
              <w:rPr>
                <w:rStyle w:val="Hyperlink"/>
                <w:rtl/>
              </w:rPr>
              <w:fldChar w:fldCharType="separate"/>
            </w:r>
            <w:r w:rsidR="0090450F">
              <w:rPr>
                <w:webHidden/>
                <w:rtl/>
              </w:rPr>
              <w:t>64</w:t>
            </w:r>
            <w:r w:rsidR="006A73FE" w:rsidRPr="006A73FE">
              <w:rPr>
                <w:rStyle w:val="Hyperlink"/>
                <w:rtl/>
              </w:rPr>
              <w:fldChar w:fldCharType="end"/>
            </w:r>
          </w:hyperlink>
        </w:p>
        <w:p w14:paraId="036C8B26" w14:textId="44F31057" w:rsidR="006A73FE" w:rsidRPr="006A73FE" w:rsidRDefault="00000000" w:rsidP="006A73FE">
          <w:pPr>
            <w:pStyle w:val="TOC1"/>
            <w:rPr>
              <w:rFonts w:ascii="Segoe UI" w:eastAsiaTheme="minorEastAsia" w:hAnsi="Segoe UI" w:cs="Segoe UI"/>
              <w:lang w:val="en-US"/>
            </w:rPr>
          </w:pPr>
          <w:hyperlink w:anchor="_Toc108218249" w:history="1">
            <w:r w:rsidR="006A73FE" w:rsidRPr="006A73FE">
              <w:rPr>
                <w:rStyle w:val="Hyperlink"/>
                <w:rFonts w:ascii="Segoe UI" w:hAnsi="Segoe UI" w:cs="Segoe UI"/>
                <w:rtl/>
              </w:rPr>
              <w:t>הסדרי טיעון</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_Toc108218249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65</w:t>
            </w:r>
            <w:r w:rsidR="006A73FE" w:rsidRPr="006A73FE">
              <w:rPr>
                <w:rStyle w:val="Hyperlink"/>
                <w:rFonts w:ascii="Segoe UI" w:hAnsi="Segoe UI" w:cs="Segoe UI"/>
                <w:rtl/>
              </w:rPr>
              <w:fldChar w:fldCharType="end"/>
            </w:r>
          </w:hyperlink>
        </w:p>
        <w:p w14:paraId="7622E8EC" w14:textId="500757C9" w:rsidR="006A73FE" w:rsidRPr="006A73FE" w:rsidRDefault="00000000" w:rsidP="006A73FE">
          <w:pPr>
            <w:pStyle w:val="TOC2"/>
            <w:rPr>
              <w:rFonts w:eastAsiaTheme="minorEastAsia"/>
              <w:sz w:val="22"/>
              <w:szCs w:val="22"/>
              <w:lang w:val="en-US"/>
            </w:rPr>
          </w:pPr>
          <w:hyperlink w:anchor="_Toc108218250" w:history="1">
            <w:r w:rsidR="006A73FE" w:rsidRPr="006A73FE">
              <w:rPr>
                <w:rStyle w:val="Hyperlink"/>
                <w:rtl/>
              </w:rPr>
              <w:t>סוגי הסדרי טיעון</w:t>
            </w:r>
            <w:r w:rsidR="006A73FE" w:rsidRPr="006A73FE">
              <w:rPr>
                <w:webHidden/>
              </w:rPr>
              <w:tab/>
            </w:r>
            <w:r w:rsidR="006A73FE" w:rsidRPr="006A73FE">
              <w:rPr>
                <w:rStyle w:val="Hyperlink"/>
                <w:rtl/>
              </w:rPr>
              <w:fldChar w:fldCharType="begin"/>
            </w:r>
            <w:r w:rsidR="006A73FE" w:rsidRPr="006A73FE">
              <w:rPr>
                <w:webHidden/>
              </w:rPr>
              <w:instrText xml:space="preserve"> PAGEREF _Toc108218250 \h </w:instrText>
            </w:r>
            <w:r w:rsidR="006A73FE" w:rsidRPr="006A73FE">
              <w:rPr>
                <w:rStyle w:val="Hyperlink"/>
                <w:rtl/>
              </w:rPr>
            </w:r>
            <w:r w:rsidR="006A73FE" w:rsidRPr="006A73FE">
              <w:rPr>
                <w:rStyle w:val="Hyperlink"/>
                <w:rtl/>
              </w:rPr>
              <w:fldChar w:fldCharType="separate"/>
            </w:r>
            <w:r w:rsidR="0090450F">
              <w:rPr>
                <w:webHidden/>
                <w:rtl/>
              </w:rPr>
              <w:t>66</w:t>
            </w:r>
            <w:r w:rsidR="006A73FE" w:rsidRPr="006A73FE">
              <w:rPr>
                <w:rStyle w:val="Hyperlink"/>
                <w:rtl/>
              </w:rPr>
              <w:fldChar w:fldCharType="end"/>
            </w:r>
          </w:hyperlink>
        </w:p>
        <w:p w14:paraId="344EA7D0" w14:textId="04DA4DA0" w:rsidR="006A73FE" w:rsidRPr="006A73FE" w:rsidRDefault="00000000" w:rsidP="006A73FE">
          <w:pPr>
            <w:pStyle w:val="TOC2"/>
            <w:rPr>
              <w:rFonts w:eastAsiaTheme="minorEastAsia"/>
              <w:sz w:val="22"/>
              <w:szCs w:val="22"/>
              <w:lang w:val="en-US"/>
            </w:rPr>
          </w:pPr>
          <w:hyperlink w:anchor="_Toc108218251" w:history="1">
            <w:r w:rsidR="006A73FE" w:rsidRPr="006A73FE">
              <w:rPr>
                <w:rStyle w:val="Hyperlink"/>
                <w:rtl/>
              </w:rPr>
              <w:t>יתרונות בהסדר טיעון</w:t>
            </w:r>
            <w:r w:rsidR="006A73FE" w:rsidRPr="006A73FE">
              <w:rPr>
                <w:webHidden/>
              </w:rPr>
              <w:tab/>
            </w:r>
            <w:r w:rsidR="006A73FE" w:rsidRPr="006A73FE">
              <w:rPr>
                <w:rStyle w:val="Hyperlink"/>
                <w:rtl/>
              </w:rPr>
              <w:fldChar w:fldCharType="begin"/>
            </w:r>
            <w:r w:rsidR="006A73FE" w:rsidRPr="006A73FE">
              <w:rPr>
                <w:webHidden/>
              </w:rPr>
              <w:instrText xml:space="preserve"> PAGEREF _Toc108218251 \h </w:instrText>
            </w:r>
            <w:r w:rsidR="006A73FE" w:rsidRPr="006A73FE">
              <w:rPr>
                <w:rStyle w:val="Hyperlink"/>
                <w:rtl/>
              </w:rPr>
            </w:r>
            <w:r w:rsidR="006A73FE" w:rsidRPr="006A73FE">
              <w:rPr>
                <w:rStyle w:val="Hyperlink"/>
                <w:rtl/>
              </w:rPr>
              <w:fldChar w:fldCharType="separate"/>
            </w:r>
            <w:r w:rsidR="0090450F">
              <w:rPr>
                <w:webHidden/>
                <w:rtl/>
              </w:rPr>
              <w:t>67</w:t>
            </w:r>
            <w:r w:rsidR="006A73FE" w:rsidRPr="006A73FE">
              <w:rPr>
                <w:rStyle w:val="Hyperlink"/>
                <w:rtl/>
              </w:rPr>
              <w:fldChar w:fldCharType="end"/>
            </w:r>
          </w:hyperlink>
        </w:p>
        <w:p w14:paraId="488896A0" w14:textId="539E338F" w:rsidR="006A73FE" w:rsidRPr="006A73FE" w:rsidRDefault="00000000" w:rsidP="006A73FE">
          <w:pPr>
            <w:pStyle w:val="TOC2"/>
            <w:rPr>
              <w:rFonts w:eastAsiaTheme="minorEastAsia"/>
              <w:sz w:val="22"/>
              <w:szCs w:val="22"/>
              <w:lang w:val="en-US"/>
            </w:rPr>
          </w:pPr>
          <w:hyperlink w:anchor="_Toc108218252" w:history="1">
            <w:r w:rsidR="006A73FE" w:rsidRPr="006A73FE">
              <w:rPr>
                <w:rStyle w:val="Hyperlink"/>
                <w:rtl/>
              </w:rPr>
              <w:t>חסרונות בהסדר טיעון</w:t>
            </w:r>
            <w:r w:rsidR="006A73FE" w:rsidRPr="006A73FE">
              <w:rPr>
                <w:webHidden/>
              </w:rPr>
              <w:tab/>
            </w:r>
            <w:r w:rsidR="006A73FE" w:rsidRPr="006A73FE">
              <w:rPr>
                <w:rStyle w:val="Hyperlink"/>
                <w:rtl/>
              </w:rPr>
              <w:fldChar w:fldCharType="begin"/>
            </w:r>
            <w:r w:rsidR="006A73FE" w:rsidRPr="006A73FE">
              <w:rPr>
                <w:webHidden/>
              </w:rPr>
              <w:instrText xml:space="preserve"> PAGEREF _Toc108218252 \h </w:instrText>
            </w:r>
            <w:r w:rsidR="006A73FE" w:rsidRPr="006A73FE">
              <w:rPr>
                <w:rStyle w:val="Hyperlink"/>
                <w:rtl/>
              </w:rPr>
            </w:r>
            <w:r w:rsidR="006A73FE" w:rsidRPr="006A73FE">
              <w:rPr>
                <w:rStyle w:val="Hyperlink"/>
                <w:rtl/>
              </w:rPr>
              <w:fldChar w:fldCharType="separate"/>
            </w:r>
            <w:r w:rsidR="0090450F">
              <w:rPr>
                <w:webHidden/>
                <w:rtl/>
              </w:rPr>
              <w:t>68</w:t>
            </w:r>
            <w:r w:rsidR="006A73FE" w:rsidRPr="006A73FE">
              <w:rPr>
                <w:rStyle w:val="Hyperlink"/>
                <w:rtl/>
              </w:rPr>
              <w:fldChar w:fldCharType="end"/>
            </w:r>
          </w:hyperlink>
        </w:p>
        <w:p w14:paraId="3B075D94" w14:textId="10056A87" w:rsidR="006A73FE" w:rsidRPr="006A73FE" w:rsidRDefault="00000000" w:rsidP="006A73FE">
          <w:pPr>
            <w:pStyle w:val="TOC2"/>
            <w:rPr>
              <w:rFonts w:eastAsiaTheme="minorEastAsia"/>
              <w:sz w:val="22"/>
              <w:szCs w:val="22"/>
              <w:lang w:val="en-US"/>
            </w:rPr>
          </w:pPr>
          <w:hyperlink w:anchor="_Toc108218253" w:history="1">
            <w:r w:rsidR="006A73FE" w:rsidRPr="006A73FE">
              <w:rPr>
                <w:rStyle w:val="Hyperlink"/>
                <w:rtl/>
              </w:rPr>
              <w:t>הסדרי טיעון בפועל</w:t>
            </w:r>
            <w:r w:rsidR="006A73FE" w:rsidRPr="006A73FE">
              <w:rPr>
                <w:webHidden/>
              </w:rPr>
              <w:tab/>
            </w:r>
            <w:r w:rsidR="006A73FE" w:rsidRPr="006A73FE">
              <w:rPr>
                <w:rStyle w:val="Hyperlink"/>
                <w:rtl/>
              </w:rPr>
              <w:fldChar w:fldCharType="begin"/>
            </w:r>
            <w:r w:rsidR="006A73FE" w:rsidRPr="006A73FE">
              <w:rPr>
                <w:webHidden/>
              </w:rPr>
              <w:instrText xml:space="preserve"> PAGEREF _Toc108218253 \h </w:instrText>
            </w:r>
            <w:r w:rsidR="006A73FE" w:rsidRPr="006A73FE">
              <w:rPr>
                <w:rStyle w:val="Hyperlink"/>
                <w:rtl/>
              </w:rPr>
            </w:r>
            <w:r w:rsidR="006A73FE" w:rsidRPr="006A73FE">
              <w:rPr>
                <w:rStyle w:val="Hyperlink"/>
                <w:rtl/>
              </w:rPr>
              <w:fldChar w:fldCharType="separate"/>
            </w:r>
            <w:r w:rsidR="0090450F">
              <w:rPr>
                <w:webHidden/>
                <w:rtl/>
              </w:rPr>
              <w:t>69</w:t>
            </w:r>
            <w:r w:rsidR="006A73FE" w:rsidRPr="006A73FE">
              <w:rPr>
                <w:rStyle w:val="Hyperlink"/>
                <w:rtl/>
              </w:rPr>
              <w:fldChar w:fldCharType="end"/>
            </w:r>
          </w:hyperlink>
        </w:p>
        <w:p w14:paraId="249DCE5C" w14:textId="04B39B8F" w:rsidR="006A73FE" w:rsidRPr="006A73FE" w:rsidRDefault="00000000" w:rsidP="006A73FE">
          <w:pPr>
            <w:pStyle w:val="TOC2"/>
            <w:rPr>
              <w:rFonts w:eastAsiaTheme="minorEastAsia"/>
              <w:sz w:val="22"/>
              <w:szCs w:val="22"/>
              <w:lang w:val="en-US"/>
            </w:rPr>
          </w:pPr>
          <w:hyperlink w:anchor="_Toc108218254" w:history="1">
            <w:r w:rsidR="006A73FE" w:rsidRPr="006A73FE">
              <w:rPr>
                <w:rStyle w:val="Hyperlink"/>
                <w:rtl/>
              </w:rPr>
              <w:t>שיקולים של תובע בהגעה להסדר טיעון – הנחיות פרקליט המדינה</w:t>
            </w:r>
            <w:r w:rsidR="006A73FE" w:rsidRPr="006A73FE">
              <w:rPr>
                <w:webHidden/>
              </w:rPr>
              <w:tab/>
            </w:r>
            <w:r w:rsidR="006A73FE" w:rsidRPr="006A73FE">
              <w:rPr>
                <w:rStyle w:val="Hyperlink"/>
                <w:rtl/>
              </w:rPr>
              <w:fldChar w:fldCharType="begin"/>
            </w:r>
            <w:r w:rsidR="006A73FE" w:rsidRPr="006A73FE">
              <w:rPr>
                <w:webHidden/>
              </w:rPr>
              <w:instrText xml:space="preserve"> PAGEREF _Toc108218254 \h </w:instrText>
            </w:r>
            <w:r w:rsidR="006A73FE" w:rsidRPr="006A73FE">
              <w:rPr>
                <w:rStyle w:val="Hyperlink"/>
                <w:rtl/>
              </w:rPr>
            </w:r>
            <w:r w:rsidR="006A73FE" w:rsidRPr="006A73FE">
              <w:rPr>
                <w:rStyle w:val="Hyperlink"/>
                <w:rtl/>
              </w:rPr>
              <w:fldChar w:fldCharType="separate"/>
            </w:r>
            <w:r w:rsidR="0090450F">
              <w:rPr>
                <w:webHidden/>
                <w:rtl/>
              </w:rPr>
              <w:t>69</w:t>
            </w:r>
            <w:r w:rsidR="006A73FE" w:rsidRPr="006A73FE">
              <w:rPr>
                <w:rStyle w:val="Hyperlink"/>
                <w:rtl/>
              </w:rPr>
              <w:fldChar w:fldCharType="end"/>
            </w:r>
          </w:hyperlink>
        </w:p>
        <w:p w14:paraId="55025FDC" w14:textId="76F3D63B" w:rsidR="006A73FE" w:rsidRPr="006A73FE" w:rsidRDefault="00000000" w:rsidP="006A73FE">
          <w:pPr>
            <w:pStyle w:val="TOC2"/>
            <w:rPr>
              <w:rFonts w:eastAsiaTheme="minorEastAsia"/>
              <w:sz w:val="22"/>
              <w:szCs w:val="22"/>
              <w:lang w:val="en-US"/>
            </w:rPr>
          </w:pPr>
          <w:hyperlink w:anchor="_Toc108218255" w:history="1">
            <w:r w:rsidR="006A73FE" w:rsidRPr="006A73FE">
              <w:rPr>
                <w:rStyle w:val="Hyperlink"/>
                <w:rtl/>
              </w:rPr>
              <w:t>פס"ד מרכזיים</w:t>
            </w:r>
            <w:r w:rsidR="006A73FE" w:rsidRPr="006A73FE">
              <w:rPr>
                <w:webHidden/>
              </w:rPr>
              <w:tab/>
            </w:r>
            <w:r w:rsidR="006A73FE" w:rsidRPr="006A73FE">
              <w:rPr>
                <w:rStyle w:val="Hyperlink"/>
                <w:rtl/>
              </w:rPr>
              <w:fldChar w:fldCharType="begin"/>
            </w:r>
            <w:r w:rsidR="006A73FE" w:rsidRPr="006A73FE">
              <w:rPr>
                <w:webHidden/>
              </w:rPr>
              <w:instrText xml:space="preserve"> PAGEREF _Toc108218255 \h </w:instrText>
            </w:r>
            <w:r w:rsidR="006A73FE" w:rsidRPr="006A73FE">
              <w:rPr>
                <w:rStyle w:val="Hyperlink"/>
                <w:rtl/>
              </w:rPr>
            </w:r>
            <w:r w:rsidR="006A73FE" w:rsidRPr="006A73FE">
              <w:rPr>
                <w:rStyle w:val="Hyperlink"/>
                <w:rtl/>
              </w:rPr>
              <w:fldChar w:fldCharType="separate"/>
            </w:r>
            <w:r w:rsidR="0090450F">
              <w:rPr>
                <w:webHidden/>
                <w:rtl/>
              </w:rPr>
              <w:t>69</w:t>
            </w:r>
            <w:r w:rsidR="006A73FE" w:rsidRPr="006A73FE">
              <w:rPr>
                <w:rStyle w:val="Hyperlink"/>
                <w:rtl/>
              </w:rPr>
              <w:fldChar w:fldCharType="end"/>
            </w:r>
          </w:hyperlink>
        </w:p>
        <w:p w14:paraId="57245CDA" w14:textId="4532D72B" w:rsidR="006A73FE" w:rsidRPr="006A73FE" w:rsidRDefault="00000000" w:rsidP="006A73FE">
          <w:pPr>
            <w:pStyle w:val="TOC2"/>
            <w:rPr>
              <w:rFonts w:eastAsiaTheme="minorEastAsia"/>
              <w:sz w:val="22"/>
              <w:szCs w:val="22"/>
              <w:lang w:val="en-US"/>
            </w:rPr>
          </w:pPr>
          <w:hyperlink w:anchor="_Toc108218256" w:history="1">
            <w:r w:rsidR="006A73FE" w:rsidRPr="006A73FE">
              <w:rPr>
                <w:rStyle w:val="Hyperlink"/>
                <w:rtl/>
              </w:rPr>
              <w:t>חזרה מהסדר טיעון מצד הצדדים – קריטריונים מרכזיים</w:t>
            </w:r>
            <w:r w:rsidR="006A73FE" w:rsidRPr="006A73FE">
              <w:rPr>
                <w:webHidden/>
              </w:rPr>
              <w:tab/>
            </w:r>
            <w:r w:rsidR="006A73FE" w:rsidRPr="006A73FE">
              <w:rPr>
                <w:rStyle w:val="Hyperlink"/>
                <w:rtl/>
              </w:rPr>
              <w:fldChar w:fldCharType="begin"/>
            </w:r>
            <w:r w:rsidR="006A73FE" w:rsidRPr="006A73FE">
              <w:rPr>
                <w:webHidden/>
              </w:rPr>
              <w:instrText xml:space="preserve"> PAGEREF _Toc108218256 \h </w:instrText>
            </w:r>
            <w:r w:rsidR="006A73FE" w:rsidRPr="006A73FE">
              <w:rPr>
                <w:rStyle w:val="Hyperlink"/>
                <w:rtl/>
              </w:rPr>
            </w:r>
            <w:r w:rsidR="006A73FE" w:rsidRPr="006A73FE">
              <w:rPr>
                <w:rStyle w:val="Hyperlink"/>
                <w:rtl/>
              </w:rPr>
              <w:fldChar w:fldCharType="separate"/>
            </w:r>
            <w:r w:rsidR="0090450F">
              <w:rPr>
                <w:webHidden/>
                <w:rtl/>
              </w:rPr>
              <w:t>70</w:t>
            </w:r>
            <w:r w:rsidR="006A73FE" w:rsidRPr="006A73FE">
              <w:rPr>
                <w:rStyle w:val="Hyperlink"/>
                <w:rtl/>
              </w:rPr>
              <w:fldChar w:fldCharType="end"/>
            </w:r>
          </w:hyperlink>
        </w:p>
        <w:p w14:paraId="290B008C" w14:textId="14223777" w:rsidR="006A73FE" w:rsidRPr="006A73FE" w:rsidRDefault="00000000" w:rsidP="006A73FE">
          <w:pPr>
            <w:pStyle w:val="TOC2"/>
            <w:rPr>
              <w:rFonts w:eastAsiaTheme="minorEastAsia"/>
              <w:sz w:val="22"/>
              <w:szCs w:val="22"/>
              <w:lang w:val="en-US"/>
            </w:rPr>
          </w:pPr>
          <w:hyperlink w:anchor="_Toc108218257" w:history="1">
            <w:r w:rsidR="006A73FE" w:rsidRPr="006A73FE">
              <w:rPr>
                <w:rStyle w:val="Hyperlink"/>
                <w:rtl/>
              </w:rPr>
              <w:t>סטייה מהסדר טיעון</w:t>
            </w:r>
            <w:r w:rsidR="006A73FE" w:rsidRPr="006A73FE">
              <w:rPr>
                <w:webHidden/>
              </w:rPr>
              <w:tab/>
            </w:r>
            <w:r w:rsidR="006A73FE" w:rsidRPr="006A73FE">
              <w:rPr>
                <w:rStyle w:val="Hyperlink"/>
                <w:rtl/>
              </w:rPr>
              <w:fldChar w:fldCharType="begin"/>
            </w:r>
            <w:r w:rsidR="006A73FE" w:rsidRPr="006A73FE">
              <w:rPr>
                <w:webHidden/>
              </w:rPr>
              <w:instrText xml:space="preserve"> PAGEREF _Toc108218257 \h </w:instrText>
            </w:r>
            <w:r w:rsidR="006A73FE" w:rsidRPr="006A73FE">
              <w:rPr>
                <w:rStyle w:val="Hyperlink"/>
                <w:rtl/>
              </w:rPr>
            </w:r>
            <w:r w:rsidR="006A73FE" w:rsidRPr="006A73FE">
              <w:rPr>
                <w:rStyle w:val="Hyperlink"/>
                <w:rtl/>
              </w:rPr>
              <w:fldChar w:fldCharType="separate"/>
            </w:r>
            <w:r w:rsidR="0090450F">
              <w:rPr>
                <w:webHidden/>
                <w:rtl/>
              </w:rPr>
              <w:t>70</w:t>
            </w:r>
            <w:r w:rsidR="006A73FE" w:rsidRPr="006A73FE">
              <w:rPr>
                <w:rStyle w:val="Hyperlink"/>
                <w:rtl/>
              </w:rPr>
              <w:fldChar w:fldCharType="end"/>
            </w:r>
          </w:hyperlink>
        </w:p>
        <w:p w14:paraId="2620BD2C" w14:textId="1A34CDEB" w:rsidR="006A73FE" w:rsidRPr="006A73FE" w:rsidRDefault="00000000" w:rsidP="006A73FE">
          <w:pPr>
            <w:pStyle w:val="TOC2"/>
            <w:rPr>
              <w:rFonts w:eastAsiaTheme="minorEastAsia"/>
              <w:sz w:val="22"/>
              <w:szCs w:val="22"/>
              <w:lang w:val="en-US"/>
            </w:rPr>
          </w:pPr>
          <w:hyperlink w:anchor="_Toc108218258" w:history="1">
            <w:r w:rsidR="006A73FE" w:rsidRPr="006A73FE">
              <w:rPr>
                <w:rStyle w:val="Hyperlink"/>
                <w:rtl/>
              </w:rPr>
              <w:t>התנאים להתערבות בית המשפט בהסדר טיעון</w:t>
            </w:r>
            <w:r w:rsidR="006A73FE" w:rsidRPr="006A73FE">
              <w:rPr>
                <w:webHidden/>
              </w:rPr>
              <w:tab/>
            </w:r>
            <w:r w:rsidR="006A73FE" w:rsidRPr="006A73FE">
              <w:rPr>
                <w:rStyle w:val="Hyperlink"/>
                <w:rtl/>
              </w:rPr>
              <w:fldChar w:fldCharType="begin"/>
            </w:r>
            <w:r w:rsidR="006A73FE" w:rsidRPr="006A73FE">
              <w:rPr>
                <w:webHidden/>
              </w:rPr>
              <w:instrText xml:space="preserve"> PAGEREF _Toc108218258 \h </w:instrText>
            </w:r>
            <w:r w:rsidR="006A73FE" w:rsidRPr="006A73FE">
              <w:rPr>
                <w:rStyle w:val="Hyperlink"/>
                <w:rtl/>
              </w:rPr>
            </w:r>
            <w:r w:rsidR="006A73FE" w:rsidRPr="006A73FE">
              <w:rPr>
                <w:rStyle w:val="Hyperlink"/>
                <w:rtl/>
              </w:rPr>
              <w:fldChar w:fldCharType="separate"/>
            </w:r>
            <w:r w:rsidR="0090450F">
              <w:rPr>
                <w:webHidden/>
                <w:rtl/>
              </w:rPr>
              <w:t>71</w:t>
            </w:r>
            <w:r w:rsidR="006A73FE" w:rsidRPr="006A73FE">
              <w:rPr>
                <w:rStyle w:val="Hyperlink"/>
                <w:rtl/>
              </w:rPr>
              <w:fldChar w:fldCharType="end"/>
            </w:r>
          </w:hyperlink>
        </w:p>
        <w:p w14:paraId="5106114F" w14:textId="19F14F93" w:rsidR="006A73FE" w:rsidRPr="006A73FE" w:rsidRDefault="00000000" w:rsidP="006A73FE">
          <w:pPr>
            <w:pStyle w:val="TOC1"/>
            <w:rPr>
              <w:rFonts w:ascii="Segoe UI" w:eastAsiaTheme="minorEastAsia" w:hAnsi="Segoe UI" w:cs="Segoe UI"/>
              <w:lang w:val="en-US"/>
            </w:rPr>
          </w:pPr>
          <w:hyperlink w:anchor="_Toc108218259" w:history="1">
            <w:r w:rsidR="006A73FE" w:rsidRPr="006A73FE">
              <w:rPr>
                <w:rStyle w:val="Hyperlink"/>
                <w:rFonts w:ascii="Segoe UI" w:hAnsi="Segoe UI" w:cs="Segoe UI"/>
                <w:rtl/>
              </w:rPr>
              <w:t>הסדרים מותנים</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_Toc108218259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72</w:t>
            </w:r>
            <w:r w:rsidR="006A73FE" w:rsidRPr="006A73FE">
              <w:rPr>
                <w:rStyle w:val="Hyperlink"/>
                <w:rFonts w:ascii="Segoe UI" w:hAnsi="Segoe UI" w:cs="Segoe UI"/>
                <w:rtl/>
              </w:rPr>
              <w:fldChar w:fldCharType="end"/>
            </w:r>
          </w:hyperlink>
        </w:p>
        <w:p w14:paraId="70D2D2BF" w14:textId="19487357" w:rsidR="006A73FE" w:rsidRPr="006A73FE" w:rsidRDefault="00000000" w:rsidP="006A73FE">
          <w:pPr>
            <w:pStyle w:val="TOC2"/>
            <w:rPr>
              <w:rFonts w:eastAsiaTheme="minorEastAsia"/>
              <w:sz w:val="22"/>
              <w:szCs w:val="22"/>
              <w:lang w:val="en-US"/>
            </w:rPr>
          </w:pPr>
          <w:hyperlink w:anchor="_Toc108218260" w:history="1">
            <w:r w:rsidR="006A73FE" w:rsidRPr="006A73FE">
              <w:rPr>
                <w:rStyle w:val="Hyperlink"/>
                <w:rtl/>
              </w:rPr>
              <w:t>התנאים שתובע רשאי לכלול בהסדר</w:t>
            </w:r>
            <w:r w:rsidR="006A73FE" w:rsidRPr="006A73FE">
              <w:rPr>
                <w:webHidden/>
              </w:rPr>
              <w:tab/>
            </w:r>
            <w:r w:rsidR="006A73FE" w:rsidRPr="006A73FE">
              <w:rPr>
                <w:rStyle w:val="Hyperlink"/>
                <w:rtl/>
              </w:rPr>
              <w:fldChar w:fldCharType="begin"/>
            </w:r>
            <w:r w:rsidR="006A73FE" w:rsidRPr="006A73FE">
              <w:rPr>
                <w:webHidden/>
              </w:rPr>
              <w:instrText xml:space="preserve"> PAGEREF _Toc108218260 \h </w:instrText>
            </w:r>
            <w:r w:rsidR="006A73FE" w:rsidRPr="006A73FE">
              <w:rPr>
                <w:rStyle w:val="Hyperlink"/>
                <w:rtl/>
              </w:rPr>
            </w:r>
            <w:r w:rsidR="006A73FE" w:rsidRPr="006A73FE">
              <w:rPr>
                <w:rStyle w:val="Hyperlink"/>
                <w:rtl/>
              </w:rPr>
              <w:fldChar w:fldCharType="separate"/>
            </w:r>
            <w:r w:rsidR="0090450F">
              <w:rPr>
                <w:webHidden/>
                <w:rtl/>
              </w:rPr>
              <w:t>72</w:t>
            </w:r>
            <w:r w:rsidR="006A73FE" w:rsidRPr="006A73FE">
              <w:rPr>
                <w:rStyle w:val="Hyperlink"/>
                <w:rtl/>
              </w:rPr>
              <w:fldChar w:fldCharType="end"/>
            </w:r>
          </w:hyperlink>
        </w:p>
        <w:p w14:paraId="62EBDB6D" w14:textId="689A32CD" w:rsidR="006A73FE" w:rsidRPr="006A73FE" w:rsidRDefault="00000000" w:rsidP="006A73FE">
          <w:pPr>
            <w:pStyle w:val="TOC2"/>
            <w:rPr>
              <w:rFonts w:eastAsiaTheme="minorEastAsia"/>
              <w:sz w:val="22"/>
              <w:szCs w:val="22"/>
              <w:lang w:val="en-US"/>
            </w:rPr>
          </w:pPr>
          <w:hyperlink w:anchor="_Toc108218261" w:history="1">
            <w:r w:rsidR="006A73FE" w:rsidRPr="006A73FE">
              <w:rPr>
                <w:rStyle w:val="Hyperlink"/>
                <w:rtl/>
              </w:rPr>
              <w:t>מה כולל הסדר מותנה?</w:t>
            </w:r>
            <w:r w:rsidR="006A73FE" w:rsidRPr="006A73FE">
              <w:rPr>
                <w:webHidden/>
              </w:rPr>
              <w:tab/>
            </w:r>
            <w:r w:rsidR="006A73FE" w:rsidRPr="006A73FE">
              <w:rPr>
                <w:rStyle w:val="Hyperlink"/>
                <w:rtl/>
              </w:rPr>
              <w:fldChar w:fldCharType="begin"/>
            </w:r>
            <w:r w:rsidR="006A73FE" w:rsidRPr="006A73FE">
              <w:rPr>
                <w:webHidden/>
              </w:rPr>
              <w:instrText xml:space="preserve"> PAGEREF _Toc108218261 \h </w:instrText>
            </w:r>
            <w:r w:rsidR="006A73FE" w:rsidRPr="006A73FE">
              <w:rPr>
                <w:rStyle w:val="Hyperlink"/>
                <w:rtl/>
              </w:rPr>
            </w:r>
            <w:r w:rsidR="006A73FE" w:rsidRPr="006A73FE">
              <w:rPr>
                <w:rStyle w:val="Hyperlink"/>
                <w:rtl/>
              </w:rPr>
              <w:fldChar w:fldCharType="separate"/>
            </w:r>
            <w:r w:rsidR="0090450F">
              <w:rPr>
                <w:webHidden/>
                <w:rtl/>
              </w:rPr>
              <w:t>72</w:t>
            </w:r>
            <w:r w:rsidR="006A73FE" w:rsidRPr="006A73FE">
              <w:rPr>
                <w:rStyle w:val="Hyperlink"/>
                <w:rtl/>
              </w:rPr>
              <w:fldChar w:fldCharType="end"/>
            </w:r>
          </w:hyperlink>
        </w:p>
        <w:p w14:paraId="0D4DD020" w14:textId="38D60C40" w:rsidR="006A73FE" w:rsidRPr="006A73FE" w:rsidRDefault="00000000" w:rsidP="006A73FE">
          <w:pPr>
            <w:pStyle w:val="TOC2"/>
            <w:rPr>
              <w:rFonts w:eastAsiaTheme="minorEastAsia"/>
              <w:sz w:val="22"/>
              <w:szCs w:val="22"/>
              <w:lang w:val="en-US"/>
            </w:rPr>
          </w:pPr>
          <w:hyperlink w:anchor="_Toc108218262" w:history="1">
            <w:r w:rsidR="006A73FE" w:rsidRPr="006A73FE">
              <w:rPr>
                <w:rStyle w:val="Hyperlink"/>
                <w:rtl/>
              </w:rPr>
              <w:t>טענה נגד הסדרים מותנים</w:t>
            </w:r>
            <w:r w:rsidR="006A73FE" w:rsidRPr="006A73FE">
              <w:rPr>
                <w:webHidden/>
              </w:rPr>
              <w:tab/>
            </w:r>
            <w:r w:rsidR="006A73FE" w:rsidRPr="006A73FE">
              <w:rPr>
                <w:rStyle w:val="Hyperlink"/>
                <w:rtl/>
              </w:rPr>
              <w:fldChar w:fldCharType="begin"/>
            </w:r>
            <w:r w:rsidR="006A73FE" w:rsidRPr="006A73FE">
              <w:rPr>
                <w:webHidden/>
              </w:rPr>
              <w:instrText xml:space="preserve"> PAGEREF _Toc108218262 \h </w:instrText>
            </w:r>
            <w:r w:rsidR="006A73FE" w:rsidRPr="006A73FE">
              <w:rPr>
                <w:rStyle w:val="Hyperlink"/>
                <w:rtl/>
              </w:rPr>
            </w:r>
            <w:r w:rsidR="006A73FE" w:rsidRPr="006A73FE">
              <w:rPr>
                <w:rStyle w:val="Hyperlink"/>
                <w:rtl/>
              </w:rPr>
              <w:fldChar w:fldCharType="separate"/>
            </w:r>
            <w:r w:rsidR="0090450F">
              <w:rPr>
                <w:webHidden/>
                <w:rtl/>
              </w:rPr>
              <w:t>73</w:t>
            </w:r>
            <w:r w:rsidR="006A73FE" w:rsidRPr="006A73FE">
              <w:rPr>
                <w:rStyle w:val="Hyperlink"/>
                <w:rtl/>
              </w:rPr>
              <w:fldChar w:fldCharType="end"/>
            </w:r>
          </w:hyperlink>
        </w:p>
        <w:p w14:paraId="7D3601D6" w14:textId="61AF3F9D" w:rsidR="006A73FE" w:rsidRPr="006A73FE" w:rsidRDefault="00000000" w:rsidP="006A73FE">
          <w:pPr>
            <w:pStyle w:val="TOC1"/>
            <w:rPr>
              <w:rFonts w:ascii="Segoe UI" w:eastAsiaTheme="minorEastAsia" w:hAnsi="Segoe UI" w:cs="Segoe UI"/>
              <w:lang w:val="en-US"/>
            </w:rPr>
          </w:pPr>
          <w:hyperlink w:anchor="_Toc108218263" w:history="1">
            <w:r w:rsidR="006A73FE" w:rsidRPr="006A73FE">
              <w:rPr>
                <w:rStyle w:val="Hyperlink"/>
                <w:rFonts w:ascii="Segoe UI" w:hAnsi="Segoe UI" w:cs="Segoe UI"/>
                <w:rtl/>
              </w:rPr>
              <w:t>בתי משפט קהילתיים</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_Toc108218263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74</w:t>
            </w:r>
            <w:r w:rsidR="006A73FE" w:rsidRPr="006A73FE">
              <w:rPr>
                <w:rStyle w:val="Hyperlink"/>
                <w:rFonts w:ascii="Segoe UI" w:hAnsi="Segoe UI" w:cs="Segoe UI"/>
                <w:rtl/>
              </w:rPr>
              <w:fldChar w:fldCharType="end"/>
            </w:r>
          </w:hyperlink>
        </w:p>
        <w:p w14:paraId="1BF16103" w14:textId="7389F0FE" w:rsidR="006A73FE" w:rsidRPr="006A73FE" w:rsidRDefault="00000000" w:rsidP="006A73FE">
          <w:pPr>
            <w:pStyle w:val="TOC2"/>
            <w:rPr>
              <w:rFonts w:eastAsiaTheme="minorEastAsia"/>
              <w:sz w:val="22"/>
              <w:szCs w:val="22"/>
              <w:lang w:val="en-US"/>
            </w:rPr>
          </w:pPr>
          <w:hyperlink w:anchor="_Toc108218264" w:history="1">
            <w:r w:rsidR="006A73FE" w:rsidRPr="006A73FE">
              <w:rPr>
                <w:rStyle w:val="Hyperlink"/>
                <w:rtl/>
              </w:rPr>
              <w:t>מהו בית משפט קהילתי?</w:t>
            </w:r>
            <w:r w:rsidR="006A73FE" w:rsidRPr="006A73FE">
              <w:rPr>
                <w:webHidden/>
              </w:rPr>
              <w:tab/>
            </w:r>
            <w:r w:rsidR="006A73FE" w:rsidRPr="006A73FE">
              <w:rPr>
                <w:rStyle w:val="Hyperlink"/>
                <w:rtl/>
              </w:rPr>
              <w:fldChar w:fldCharType="begin"/>
            </w:r>
            <w:r w:rsidR="006A73FE" w:rsidRPr="006A73FE">
              <w:rPr>
                <w:webHidden/>
              </w:rPr>
              <w:instrText xml:space="preserve"> PAGEREF _Toc108218264 \h </w:instrText>
            </w:r>
            <w:r w:rsidR="006A73FE" w:rsidRPr="006A73FE">
              <w:rPr>
                <w:rStyle w:val="Hyperlink"/>
                <w:rtl/>
              </w:rPr>
            </w:r>
            <w:r w:rsidR="006A73FE" w:rsidRPr="006A73FE">
              <w:rPr>
                <w:rStyle w:val="Hyperlink"/>
                <w:rtl/>
              </w:rPr>
              <w:fldChar w:fldCharType="separate"/>
            </w:r>
            <w:r w:rsidR="0090450F">
              <w:rPr>
                <w:webHidden/>
                <w:rtl/>
              </w:rPr>
              <w:t>74</w:t>
            </w:r>
            <w:r w:rsidR="006A73FE" w:rsidRPr="006A73FE">
              <w:rPr>
                <w:rStyle w:val="Hyperlink"/>
                <w:rtl/>
              </w:rPr>
              <w:fldChar w:fldCharType="end"/>
            </w:r>
          </w:hyperlink>
        </w:p>
        <w:p w14:paraId="162363B8" w14:textId="2B7B7D3F" w:rsidR="006A73FE" w:rsidRPr="006A73FE" w:rsidRDefault="00000000" w:rsidP="006A73FE">
          <w:pPr>
            <w:pStyle w:val="TOC2"/>
            <w:rPr>
              <w:rFonts w:eastAsiaTheme="minorEastAsia"/>
              <w:sz w:val="22"/>
              <w:szCs w:val="22"/>
              <w:lang w:val="en-US"/>
            </w:rPr>
          </w:pPr>
          <w:hyperlink w:anchor="_Toc108218265" w:history="1">
            <w:r w:rsidR="006A73FE" w:rsidRPr="006A73FE">
              <w:rPr>
                <w:rStyle w:val="Hyperlink"/>
                <w:rtl/>
              </w:rPr>
              <w:t>מטרות מרכזיות של בית המשפט הטיפולי/קהילתי</w:t>
            </w:r>
            <w:r w:rsidR="006A73FE" w:rsidRPr="006A73FE">
              <w:rPr>
                <w:webHidden/>
              </w:rPr>
              <w:tab/>
            </w:r>
            <w:r w:rsidR="006A73FE" w:rsidRPr="006A73FE">
              <w:rPr>
                <w:rStyle w:val="Hyperlink"/>
                <w:rtl/>
              </w:rPr>
              <w:fldChar w:fldCharType="begin"/>
            </w:r>
            <w:r w:rsidR="006A73FE" w:rsidRPr="006A73FE">
              <w:rPr>
                <w:webHidden/>
              </w:rPr>
              <w:instrText xml:space="preserve"> PAGEREF _Toc108218265 \h </w:instrText>
            </w:r>
            <w:r w:rsidR="006A73FE" w:rsidRPr="006A73FE">
              <w:rPr>
                <w:rStyle w:val="Hyperlink"/>
                <w:rtl/>
              </w:rPr>
            </w:r>
            <w:r w:rsidR="006A73FE" w:rsidRPr="006A73FE">
              <w:rPr>
                <w:rStyle w:val="Hyperlink"/>
                <w:rtl/>
              </w:rPr>
              <w:fldChar w:fldCharType="separate"/>
            </w:r>
            <w:r w:rsidR="0090450F">
              <w:rPr>
                <w:webHidden/>
                <w:rtl/>
              </w:rPr>
              <w:t>74</w:t>
            </w:r>
            <w:r w:rsidR="006A73FE" w:rsidRPr="006A73FE">
              <w:rPr>
                <w:rStyle w:val="Hyperlink"/>
                <w:rtl/>
              </w:rPr>
              <w:fldChar w:fldCharType="end"/>
            </w:r>
          </w:hyperlink>
        </w:p>
        <w:p w14:paraId="66B54316" w14:textId="4FF800B8" w:rsidR="006A73FE" w:rsidRPr="006A73FE" w:rsidRDefault="00000000" w:rsidP="006A73FE">
          <w:pPr>
            <w:pStyle w:val="TOC2"/>
            <w:rPr>
              <w:rFonts w:eastAsiaTheme="minorEastAsia"/>
              <w:sz w:val="22"/>
              <w:szCs w:val="22"/>
              <w:lang w:val="en-US"/>
            </w:rPr>
          </w:pPr>
          <w:hyperlink w:anchor="_Toc108218266" w:history="1">
            <w:r w:rsidR="006A73FE" w:rsidRPr="006A73FE">
              <w:rPr>
                <w:rStyle w:val="Hyperlink"/>
                <w:rtl/>
              </w:rPr>
              <w:t>היקפי פעילות בית המשפט הקהילתי</w:t>
            </w:r>
            <w:r w:rsidR="006A73FE" w:rsidRPr="006A73FE">
              <w:rPr>
                <w:webHidden/>
              </w:rPr>
              <w:tab/>
            </w:r>
            <w:r w:rsidR="006A73FE" w:rsidRPr="006A73FE">
              <w:rPr>
                <w:rStyle w:val="Hyperlink"/>
                <w:rtl/>
              </w:rPr>
              <w:fldChar w:fldCharType="begin"/>
            </w:r>
            <w:r w:rsidR="006A73FE" w:rsidRPr="006A73FE">
              <w:rPr>
                <w:webHidden/>
              </w:rPr>
              <w:instrText xml:space="preserve"> PAGEREF _Toc108218266 \h </w:instrText>
            </w:r>
            <w:r w:rsidR="006A73FE" w:rsidRPr="006A73FE">
              <w:rPr>
                <w:rStyle w:val="Hyperlink"/>
                <w:rtl/>
              </w:rPr>
            </w:r>
            <w:r w:rsidR="006A73FE" w:rsidRPr="006A73FE">
              <w:rPr>
                <w:rStyle w:val="Hyperlink"/>
                <w:rtl/>
              </w:rPr>
              <w:fldChar w:fldCharType="separate"/>
            </w:r>
            <w:r w:rsidR="0090450F">
              <w:rPr>
                <w:webHidden/>
                <w:rtl/>
              </w:rPr>
              <w:t>74</w:t>
            </w:r>
            <w:r w:rsidR="006A73FE" w:rsidRPr="006A73FE">
              <w:rPr>
                <w:rStyle w:val="Hyperlink"/>
                <w:rtl/>
              </w:rPr>
              <w:fldChar w:fldCharType="end"/>
            </w:r>
          </w:hyperlink>
        </w:p>
        <w:p w14:paraId="52DB9A81" w14:textId="5E19FEC4" w:rsidR="006A73FE" w:rsidRPr="006A73FE" w:rsidRDefault="00000000" w:rsidP="006A73FE">
          <w:pPr>
            <w:pStyle w:val="TOC2"/>
            <w:rPr>
              <w:rFonts w:eastAsiaTheme="minorEastAsia"/>
              <w:sz w:val="22"/>
              <w:szCs w:val="22"/>
              <w:lang w:val="en-US"/>
            </w:rPr>
          </w:pPr>
          <w:hyperlink w:anchor="_Toc108218267" w:history="1">
            <w:r w:rsidR="006A73FE" w:rsidRPr="006A73FE">
              <w:rPr>
                <w:rStyle w:val="Hyperlink"/>
                <w:rtl/>
              </w:rPr>
              <w:t>הרקע להקמת ביהמ"ש הקהילתי</w:t>
            </w:r>
            <w:r w:rsidR="006A73FE" w:rsidRPr="006A73FE">
              <w:rPr>
                <w:webHidden/>
              </w:rPr>
              <w:tab/>
            </w:r>
            <w:r w:rsidR="006A73FE" w:rsidRPr="006A73FE">
              <w:rPr>
                <w:rStyle w:val="Hyperlink"/>
                <w:rtl/>
              </w:rPr>
              <w:fldChar w:fldCharType="begin"/>
            </w:r>
            <w:r w:rsidR="006A73FE" w:rsidRPr="006A73FE">
              <w:rPr>
                <w:webHidden/>
              </w:rPr>
              <w:instrText xml:space="preserve"> PAGEREF _Toc108218267 \h </w:instrText>
            </w:r>
            <w:r w:rsidR="006A73FE" w:rsidRPr="006A73FE">
              <w:rPr>
                <w:rStyle w:val="Hyperlink"/>
                <w:rtl/>
              </w:rPr>
            </w:r>
            <w:r w:rsidR="006A73FE" w:rsidRPr="006A73FE">
              <w:rPr>
                <w:rStyle w:val="Hyperlink"/>
                <w:rtl/>
              </w:rPr>
              <w:fldChar w:fldCharType="separate"/>
            </w:r>
            <w:r w:rsidR="0090450F">
              <w:rPr>
                <w:webHidden/>
                <w:rtl/>
              </w:rPr>
              <w:t>74</w:t>
            </w:r>
            <w:r w:rsidR="006A73FE" w:rsidRPr="006A73FE">
              <w:rPr>
                <w:rStyle w:val="Hyperlink"/>
                <w:rtl/>
              </w:rPr>
              <w:fldChar w:fldCharType="end"/>
            </w:r>
          </w:hyperlink>
        </w:p>
        <w:p w14:paraId="4DC315D6" w14:textId="54E6025B" w:rsidR="006A73FE" w:rsidRPr="006A73FE" w:rsidRDefault="00000000" w:rsidP="006A73FE">
          <w:pPr>
            <w:pStyle w:val="TOC2"/>
            <w:rPr>
              <w:rFonts w:eastAsiaTheme="minorEastAsia"/>
              <w:sz w:val="22"/>
              <w:szCs w:val="22"/>
              <w:lang w:val="en-US"/>
            </w:rPr>
          </w:pPr>
          <w:hyperlink w:anchor="_Toc108218268" w:history="1">
            <w:r w:rsidR="006A73FE" w:rsidRPr="006A73FE">
              <w:rPr>
                <w:rStyle w:val="Hyperlink"/>
                <w:rtl/>
              </w:rPr>
              <w:t>השוואה לארה"ב</w:t>
            </w:r>
            <w:r w:rsidR="006A73FE" w:rsidRPr="006A73FE">
              <w:rPr>
                <w:webHidden/>
              </w:rPr>
              <w:tab/>
            </w:r>
            <w:r w:rsidR="006A73FE" w:rsidRPr="006A73FE">
              <w:rPr>
                <w:rStyle w:val="Hyperlink"/>
                <w:rtl/>
              </w:rPr>
              <w:fldChar w:fldCharType="begin"/>
            </w:r>
            <w:r w:rsidR="006A73FE" w:rsidRPr="006A73FE">
              <w:rPr>
                <w:webHidden/>
              </w:rPr>
              <w:instrText xml:space="preserve"> PAGEREF _Toc108218268 \h </w:instrText>
            </w:r>
            <w:r w:rsidR="006A73FE" w:rsidRPr="006A73FE">
              <w:rPr>
                <w:rStyle w:val="Hyperlink"/>
                <w:rtl/>
              </w:rPr>
            </w:r>
            <w:r w:rsidR="006A73FE" w:rsidRPr="006A73FE">
              <w:rPr>
                <w:rStyle w:val="Hyperlink"/>
                <w:rtl/>
              </w:rPr>
              <w:fldChar w:fldCharType="separate"/>
            </w:r>
            <w:r w:rsidR="0090450F">
              <w:rPr>
                <w:webHidden/>
                <w:rtl/>
              </w:rPr>
              <w:t>75</w:t>
            </w:r>
            <w:r w:rsidR="006A73FE" w:rsidRPr="006A73FE">
              <w:rPr>
                <w:rStyle w:val="Hyperlink"/>
                <w:rtl/>
              </w:rPr>
              <w:fldChar w:fldCharType="end"/>
            </w:r>
          </w:hyperlink>
        </w:p>
        <w:p w14:paraId="50299DD0" w14:textId="571734EF" w:rsidR="006A73FE" w:rsidRPr="006A73FE" w:rsidRDefault="00000000" w:rsidP="006A73FE">
          <w:pPr>
            <w:pStyle w:val="TOC2"/>
            <w:rPr>
              <w:rFonts w:eastAsiaTheme="minorEastAsia"/>
              <w:sz w:val="22"/>
              <w:szCs w:val="22"/>
              <w:lang w:val="en-US"/>
            </w:rPr>
          </w:pPr>
          <w:hyperlink w:anchor="_Toc108218269" w:history="1">
            <w:r w:rsidR="006A73FE" w:rsidRPr="006A73FE">
              <w:rPr>
                <w:rStyle w:val="Hyperlink"/>
                <w:rtl/>
              </w:rPr>
              <w:t>כיצד עובדים בתי משפט קהילתיים</w:t>
            </w:r>
            <w:r w:rsidR="006A73FE" w:rsidRPr="006A73FE">
              <w:rPr>
                <w:webHidden/>
              </w:rPr>
              <w:tab/>
            </w:r>
            <w:r w:rsidR="006A73FE" w:rsidRPr="006A73FE">
              <w:rPr>
                <w:rStyle w:val="Hyperlink"/>
                <w:rtl/>
              </w:rPr>
              <w:fldChar w:fldCharType="begin"/>
            </w:r>
            <w:r w:rsidR="006A73FE" w:rsidRPr="006A73FE">
              <w:rPr>
                <w:webHidden/>
              </w:rPr>
              <w:instrText xml:space="preserve"> PAGEREF _Toc108218269 \h </w:instrText>
            </w:r>
            <w:r w:rsidR="006A73FE" w:rsidRPr="006A73FE">
              <w:rPr>
                <w:rStyle w:val="Hyperlink"/>
                <w:rtl/>
              </w:rPr>
            </w:r>
            <w:r w:rsidR="006A73FE" w:rsidRPr="006A73FE">
              <w:rPr>
                <w:rStyle w:val="Hyperlink"/>
                <w:rtl/>
              </w:rPr>
              <w:fldChar w:fldCharType="separate"/>
            </w:r>
            <w:r w:rsidR="0090450F">
              <w:rPr>
                <w:webHidden/>
                <w:rtl/>
              </w:rPr>
              <w:t>75</w:t>
            </w:r>
            <w:r w:rsidR="006A73FE" w:rsidRPr="006A73FE">
              <w:rPr>
                <w:rStyle w:val="Hyperlink"/>
                <w:rtl/>
              </w:rPr>
              <w:fldChar w:fldCharType="end"/>
            </w:r>
          </w:hyperlink>
        </w:p>
        <w:p w14:paraId="6798240E" w14:textId="05D3C89A" w:rsidR="006A73FE" w:rsidRPr="006A73FE" w:rsidRDefault="00000000" w:rsidP="006A73FE">
          <w:pPr>
            <w:pStyle w:val="TOC2"/>
            <w:rPr>
              <w:rFonts w:eastAsiaTheme="minorEastAsia"/>
              <w:sz w:val="22"/>
              <w:szCs w:val="22"/>
              <w:lang w:val="en-US"/>
            </w:rPr>
          </w:pPr>
          <w:hyperlink w:anchor="_Toc108218270" w:history="1">
            <w:r w:rsidR="006A73FE" w:rsidRPr="006A73FE">
              <w:rPr>
                <w:rStyle w:val="Hyperlink"/>
                <w:rtl/>
              </w:rPr>
              <w:t>ביהמ"ש קהילתיים – תיאוריה</w:t>
            </w:r>
            <w:r w:rsidR="006A73FE" w:rsidRPr="006A73FE">
              <w:rPr>
                <w:webHidden/>
              </w:rPr>
              <w:tab/>
            </w:r>
            <w:r w:rsidR="006A73FE" w:rsidRPr="006A73FE">
              <w:rPr>
                <w:rStyle w:val="Hyperlink"/>
                <w:rtl/>
              </w:rPr>
              <w:fldChar w:fldCharType="begin"/>
            </w:r>
            <w:r w:rsidR="006A73FE" w:rsidRPr="006A73FE">
              <w:rPr>
                <w:webHidden/>
              </w:rPr>
              <w:instrText xml:space="preserve"> PAGEREF _Toc108218270 \h </w:instrText>
            </w:r>
            <w:r w:rsidR="006A73FE" w:rsidRPr="006A73FE">
              <w:rPr>
                <w:rStyle w:val="Hyperlink"/>
                <w:rtl/>
              </w:rPr>
            </w:r>
            <w:r w:rsidR="006A73FE" w:rsidRPr="006A73FE">
              <w:rPr>
                <w:rStyle w:val="Hyperlink"/>
                <w:rtl/>
              </w:rPr>
              <w:fldChar w:fldCharType="separate"/>
            </w:r>
            <w:r w:rsidR="0090450F">
              <w:rPr>
                <w:webHidden/>
                <w:rtl/>
              </w:rPr>
              <w:t>75</w:t>
            </w:r>
            <w:r w:rsidR="006A73FE" w:rsidRPr="006A73FE">
              <w:rPr>
                <w:rStyle w:val="Hyperlink"/>
                <w:rtl/>
              </w:rPr>
              <w:fldChar w:fldCharType="end"/>
            </w:r>
          </w:hyperlink>
        </w:p>
        <w:p w14:paraId="52AC11B7" w14:textId="6EACFBD9" w:rsidR="006A73FE" w:rsidRPr="006A73FE" w:rsidRDefault="00000000" w:rsidP="006A73FE">
          <w:pPr>
            <w:pStyle w:val="TOC2"/>
            <w:rPr>
              <w:rFonts w:eastAsiaTheme="minorEastAsia"/>
              <w:sz w:val="22"/>
              <w:szCs w:val="22"/>
              <w:lang w:val="en-US"/>
            </w:rPr>
          </w:pPr>
          <w:hyperlink w:anchor="_Toc108218271" w:history="1">
            <w:r w:rsidR="006A73FE" w:rsidRPr="006A73FE">
              <w:rPr>
                <w:rStyle w:val="Hyperlink"/>
                <w:rtl/>
              </w:rPr>
              <w:t>תנאים לכניסה לביהמ"ש הקהילתי</w:t>
            </w:r>
            <w:r w:rsidR="006A73FE" w:rsidRPr="006A73FE">
              <w:rPr>
                <w:webHidden/>
              </w:rPr>
              <w:tab/>
            </w:r>
            <w:r w:rsidR="006A73FE" w:rsidRPr="006A73FE">
              <w:rPr>
                <w:rStyle w:val="Hyperlink"/>
                <w:rtl/>
              </w:rPr>
              <w:fldChar w:fldCharType="begin"/>
            </w:r>
            <w:r w:rsidR="006A73FE" w:rsidRPr="006A73FE">
              <w:rPr>
                <w:webHidden/>
              </w:rPr>
              <w:instrText xml:space="preserve"> PAGEREF _Toc108218271 \h </w:instrText>
            </w:r>
            <w:r w:rsidR="006A73FE" w:rsidRPr="006A73FE">
              <w:rPr>
                <w:rStyle w:val="Hyperlink"/>
                <w:rtl/>
              </w:rPr>
            </w:r>
            <w:r w:rsidR="006A73FE" w:rsidRPr="006A73FE">
              <w:rPr>
                <w:rStyle w:val="Hyperlink"/>
                <w:rtl/>
              </w:rPr>
              <w:fldChar w:fldCharType="separate"/>
            </w:r>
            <w:r w:rsidR="0090450F">
              <w:rPr>
                <w:webHidden/>
                <w:rtl/>
              </w:rPr>
              <w:t>76</w:t>
            </w:r>
            <w:r w:rsidR="006A73FE" w:rsidRPr="006A73FE">
              <w:rPr>
                <w:rStyle w:val="Hyperlink"/>
                <w:rtl/>
              </w:rPr>
              <w:fldChar w:fldCharType="end"/>
            </w:r>
          </w:hyperlink>
        </w:p>
        <w:p w14:paraId="2E307126" w14:textId="1C810E80" w:rsidR="006A73FE" w:rsidRPr="006A73FE" w:rsidRDefault="00000000" w:rsidP="006A73FE">
          <w:pPr>
            <w:pStyle w:val="TOC2"/>
            <w:rPr>
              <w:rFonts w:eastAsiaTheme="minorEastAsia"/>
              <w:sz w:val="22"/>
              <w:szCs w:val="22"/>
              <w:lang w:val="en-US"/>
            </w:rPr>
          </w:pPr>
          <w:hyperlink w:anchor="_Toc108218272" w:history="1">
            <w:r w:rsidR="006A73FE" w:rsidRPr="006A73FE">
              <w:rPr>
                <w:rStyle w:val="Hyperlink"/>
                <w:rtl/>
              </w:rPr>
              <w:t>מה קורה בביהמ"ש הקהילתי?</w:t>
            </w:r>
            <w:r w:rsidR="006A73FE" w:rsidRPr="006A73FE">
              <w:rPr>
                <w:webHidden/>
              </w:rPr>
              <w:tab/>
            </w:r>
            <w:r w:rsidR="006A73FE" w:rsidRPr="006A73FE">
              <w:rPr>
                <w:rStyle w:val="Hyperlink"/>
                <w:rtl/>
              </w:rPr>
              <w:fldChar w:fldCharType="begin"/>
            </w:r>
            <w:r w:rsidR="006A73FE" w:rsidRPr="006A73FE">
              <w:rPr>
                <w:webHidden/>
              </w:rPr>
              <w:instrText xml:space="preserve"> PAGEREF _Toc108218272 \h </w:instrText>
            </w:r>
            <w:r w:rsidR="006A73FE" w:rsidRPr="006A73FE">
              <w:rPr>
                <w:rStyle w:val="Hyperlink"/>
                <w:rtl/>
              </w:rPr>
            </w:r>
            <w:r w:rsidR="006A73FE" w:rsidRPr="006A73FE">
              <w:rPr>
                <w:rStyle w:val="Hyperlink"/>
                <w:rtl/>
              </w:rPr>
              <w:fldChar w:fldCharType="separate"/>
            </w:r>
            <w:r w:rsidR="0090450F">
              <w:rPr>
                <w:webHidden/>
                <w:rtl/>
              </w:rPr>
              <w:t>77</w:t>
            </w:r>
            <w:r w:rsidR="006A73FE" w:rsidRPr="006A73FE">
              <w:rPr>
                <w:rStyle w:val="Hyperlink"/>
                <w:rtl/>
              </w:rPr>
              <w:fldChar w:fldCharType="end"/>
            </w:r>
          </w:hyperlink>
        </w:p>
        <w:p w14:paraId="13718637" w14:textId="501B5259" w:rsidR="006A73FE" w:rsidRPr="006A73FE" w:rsidRDefault="00000000" w:rsidP="006A73FE">
          <w:pPr>
            <w:pStyle w:val="TOC2"/>
            <w:rPr>
              <w:rFonts w:eastAsiaTheme="minorEastAsia"/>
              <w:sz w:val="22"/>
              <w:szCs w:val="22"/>
              <w:lang w:val="en-US"/>
            </w:rPr>
          </w:pPr>
          <w:hyperlink w:anchor="_Toc108218273" w:history="1">
            <w:r w:rsidR="006A73FE" w:rsidRPr="006A73FE">
              <w:rPr>
                <w:rStyle w:val="Hyperlink"/>
                <w:rtl/>
              </w:rPr>
              <w:t>יתרונות של בתי המשפט הקהילתיים</w:t>
            </w:r>
            <w:r w:rsidR="006A73FE" w:rsidRPr="006A73FE">
              <w:rPr>
                <w:webHidden/>
              </w:rPr>
              <w:tab/>
            </w:r>
            <w:r w:rsidR="006A73FE" w:rsidRPr="006A73FE">
              <w:rPr>
                <w:rStyle w:val="Hyperlink"/>
                <w:rtl/>
              </w:rPr>
              <w:fldChar w:fldCharType="begin"/>
            </w:r>
            <w:r w:rsidR="006A73FE" w:rsidRPr="006A73FE">
              <w:rPr>
                <w:webHidden/>
              </w:rPr>
              <w:instrText xml:space="preserve"> PAGEREF _Toc108218273 \h </w:instrText>
            </w:r>
            <w:r w:rsidR="006A73FE" w:rsidRPr="006A73FE">
              <w:rPr>
                <w:rStyle w:val="Hyperlink"/>
                <w:rtl/>
              </w:rPr>
            </w:r>
            <w:r w:rsidR="006A73FE" w:rsidRPr="006A73FE">
              <w:rPr>
                <w:rStyle w:val="Hyperlink"/>
                <w:rtl/>
              </w:rPr>
              <w:fldChar w:fldCharType="separate"/>
            </w:r>
            <w:r w:rsidR="0090450F">
              <w:rPr>
                <w:webHidden/>
                <w:rtl/>
              </w:rPr>
              <w:t>77</w:t>
            </w:r>
            <w:r w:rsidR="006A73FE" w:rsidRPr="006A73FE">
              <w:rPr>
                <w:rStyle w:val="Hyperlink"/>
                <w:rtl/>
              </w:rPr>
              <w:fldChar w:fldCharType="end"/>
            </w:r>
          </w:hyperlink>
        </w:p>
        <w:p w14:paraId="0F591D7B" w14:textId="77777777" w:rsidR="00CC7087" w:rsidRDefault="00CC7087" w:rsidP="006A73FE">
          <w:pPr>
            <w:pStyle w:val="TOC2"/>
            <w:sectPr w:rsidR="00CC7087" w:rsidSect="00E47DC8">
              <w:pgSz w:w="11906" w:h="16838"/>
              <w:pgMar w:top="567" w:right="851" w:bottom="567" w:left="851" w:header="708" w:footer="708" w:gutter="0"/>
              <w:pgBorders w:display="notFirstPage" w:offsetFrom="page">
                <w:top w:val="single" w:sz="18" w:space="10" w:color="7F7F7F" w:themeColor="text1" w:themeTint="80"/>
                <w:left w:val="single" w:sz="18" w:space="10" w:color="7F7F7F" w:themeColor="text1" w:themeTint="80"/>
                <w:bottom w:val="single" w:sz="18" w:space="10" w:color="7F7F7F" w:themeColor="text1" w:themeTint="80"/>
                <w:right w:val="single" w:sz="18" w:space="10" w:color="7F7F7F" w:themeColor="text1" w:themeTint="80"/>
              </w:pgBorders>
              <w:pgNumType w:start="0"/>
              <w:cols w:space="708"/>
              <w:titlePg/>
              <w:docGrid w:linePitch="360"/>
            </w:sectPr>
          </w:pPr>
        </w:p>
        <w:p w14:paraId="0536A36E" w14:textId="16AB7089" w:rsidR="006A73FE" w:rsidRPr="006A73FE" w:rsidRDefault="00000000" w:rsidP="006A73FE">
          <w:pPr>
            <w:pStyle w:val="TOC2"/>
            <w:rPr>
              <w:rFonts w:eastAsiaTheme="minorEastAsia"/>
              <w:sz w:val="22"/>
              <w:szCs w:val="22"/>
              <w:lang w:val="en-US"/>
            </w:rPr>
          </w:pPr>
          <w:hyperlink w:anchor="_Toc108218274" w:history="1">
            <w:r w:rsidR="006A73FE" w:rsidRPr="006A73FE">
              <w:rPr>
                <w:rStyle w:val="Hyperlink"/>
                <w:rtl/>
              </w:rPr>
              <w:t>מאפיינים של ההליך הקהילתי</w:t>
            </w:r>
            <w:r w:rsidR="006A73FE" w:rsidRPr="006A73FE">
              <w:rPr>
                <w:webHidden/>
              </w:rPr>
              <w:tab/>
            </w:r>
            <w:r w:rsidR="006A73FE" w:rsidRPr="006A73FE">
              <w:rPr>
                <w:rStyle w:val="Hyperlink"/>
                <w:rtl/>
              </w:rPr>
              <w:fldChar w:fldCharType="begin"/>
            </w:r>
            <w:r w:rsidR="006A73FE" w:rsidRPr="006A73FE">
              <w:rPr>
                <w:webHidden/>
              </w:rPr>
              <w:instrText xml:space="preserve"> PAGEREF _Toc108218274 \h </w:instrText>
            </w:r>
            <w:r w:rsidR="006A73FE" w:rsidRPr="006A73FE">
              <w:rPr>
                <w:rStyle w:val="Hyperlink"/>
                <w:rtl/>
              </w:rPr>
            </w:r>
            <w:r w:rsidR="006A73FE" w:rsidRPr="006A73FE">
              <w:rPr>
                <w:rStyle w:val="Hyperlink"/>
                <w:rtl/>
              </w:rPr>
              <w:fldChar w:fldCharType="separate"/>
            </w:r>
            <w:r w:rsidR="0090450F">
              <w:rPr>
                <w:webHidden/>
                <w:rtl/>
              </w:rPr>
              <w:t>78</w:t>
            </w:r>
            <w:r w:rsidR="006A73FE" w:rsidRPr="006A73FE">
              <w:rPr>
                <w:rStyle w:val="Hyperlink"/>
                <w:rtl/>
              </w:rPr>
              <w:fldChar w:fldCharType="end"/>
            </w:r>
          </w:hyperlink>
        </w:p>
        <w:p w14:paraId="1C287653" w14:textId="57856FE5" w:rsidR="006A73FE" w:rsidRPr="006A73FE" w:rsidRDefault="00000000" w:rsidP="006A73FE">
          <w:pPr>
            <w:pStyle w:val="TOC2"/>
            <w:rPr>
              <w:rFonts w:eastAsiaTheme="minorEastAsia"/>
              <w:sz w:val="22"/>
              <w:szCs w:val="22"/>
              <w:lang w:val="en-US"/>
            </w:rPr>
          </w:pPr>
          <w:hyperlink w:anchor="_Toc108218275" w:history="1">
            <w:r w:rsidR="006A73FE" w:rsidRPr="006A73FE">
              <w:rPr>
                <w:rStyle w:val="Hyperlink"/>
                <w:rtl/>
              </w:rPr>
              <w:t>עונשים שניתנו למי שסיים את ההליך הטיפולי</w:t>
            </w:r>
            <w:r w:rsidR="006A73FE" w:rsidRPr="006A73FE">
              <w:rPr>
                <w:webHidden/>
              </w:rPr>
              <w:tab/>
            </w:r>
            <w:r w:rsidR="006A73FE" w:rsidRPr="006A73FE">
              <w:rPr>
                <w:rStyle w:val="Hyperlink"/>
                <w:rtl/>
              </w:rPr>
              <w:fldChar w:fldCharType="begin"/>
            </w:r>
            <w:r w:rsidR="006A73FE" w:rsidRPr="006A73FE">
              <w:rPr>
                <w:webHidden/>
              </w:rPr>
              <w:instrText xml:space="preserve"> PAGEREF _Toc108218275 \h </w:instrText>
            </w:r>
            <w:r w:rsidR="006A73FE" w:rsidRPr="006A73FE">
              <w:rPr>
                <w:rStyle w:val="Hyperlink"/>
                <w:rtl/>
              </w:rPr>
            </w:r>
            <w:r w:rsidR="006A73FE" w:rsidRPr="006A73FE">
              <w:rPr>
                <w:rStyle w:val="Hyperlink"/>
                <w:rtl/>
              </w:rPr>
              <w:fldChar w:fldCharType="separate"/>
            </w:r>
            <w:r w:rsidR="0090450F">
              <w:rPr>
                <w:webHidden/>
                <w:rtl/>
              </w:rPr>
              <w:t>78</w:t>
            </w:r>
            <w:r w:rsidR="006A73FE" w:rsidRPr="006A73FE">
              <w:rPr>
                <w:rStyle w:val="Hyperlink"/>
                <w:rtl/>
              </w:rPr>
              <w:fldChar w:fldCharType="end"/>
            </w:r>
          </w:hyperlink>
        </w:p>
        <w:p w14:paraId="57500CF1" w14:textId="0B8859B2" w:rsidR="006A73FE" w:rsidRPr="006A73FE" w:rsidRDefault="00000000" w:rsidP="006A73FE">
          <w:pPr>
            <w:pStyle w:val="TOC1"/>
            <w:rPr>
              <w:rFonts w:ascii="Segoe UI" w:eastAsiaTheme="minorEastAsia" w:hAnsi="Segoe UI" w:cs="Segoe UI"/>
              <w:lang w:val="en-US"/>
            </w:rPr>
          </w:pPr>
          <w:hyperlink w:anchor="_Toc108218276" w:history="1">
            <w:r w:rsidR="006A73FE" w:rsidRPr="006A73FE">
              <w:rPr>
                <w:rStyle w:val="Hyperlink"/>
                <w:rFonts w:ascii="Segoe UI" w:hAnsi="Segoe UI" w:cs="Segoe UI"/>
                <w:rtl/>
              </w:rPr>
              <w:t>זכויות נפגעי עבירה</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_Toc108218276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79</w:t>
            </w:r>
            <w:r w:rsidR="006A73FE" w:rsidRPr="006A73FE">
              <w:rPr>
                <w:rStyle w:val="Hyperlink"/>
                <w:rFonts w:ascii="Segoe UI" w:hAnsi="Segoe UI" w:cs="Segoe UI"/>
                <w:rtl/>
              </w:rPr>
              <w:fldChar w:fldCharType="end"/>
            </w:r>
          </w:hyperlink>
        </w:p>
        <w:p w14:paraId="350D5BA2" w14:textId="71965E66" w:rsidR="006A73FE" w:rsidRPr="006A73FE" w:rsidRDefault="00000000" w:rsidP="006A73FE">
          <w:pPr>
            <w:pStyle w:val="TOC2"/>
            <w:rPr>
              <w:rFonts w:eastAsiaTheme="minorEastAsia"/>
              <w:sz w:val="22"/>
              <w:szCs w:val="22"/>
              <w:lang w:val="en-US"/>
            </w:rPr>
          </w:pPr>
          <w:hyperlink w:anchor="_Toc108218277" w:history="1">
            <w:r w:rsidR="006A73FE" w:rsidRPr="006A73FE">
              <w:rPr>
                <w:rStyle w:val="Hyperlink"/>
                <w:rtl/>
              </w:rPr>
              <w:t>תוצאות העברת אכיפת החוק לריבון</w:t>
            </w:r>
            <w:r w:rsidR="006A73FE" w:rsidRPr="006A73FE">
              <w:rPr>
                <w:webHidden/>
              </w:rPr>
              <w:tab/>
            </w:r>
            <w:r w:rsidR="006A73FE" w:rsidRPr="006A73FE">
              <w:rPr>
                <w:rStyle w:val="Hyperlink"/>
                <w:rtl/>
              </w:rPr>
              <w:fldChar w:fldCharType="begin"/>
            </w:r>
            <w:r w:rsidR="006A73FE" w:rsidRPr="006A73FE">
              <w:rPr>
                <w:webHidden/>
              </w:rPr>
              <w:instrText xml:space="preserve"> PAGEREF _Toc108218277 \h </w:instrText>
            </w:r>
            <w:r w:rsidR="006A73FE" w:rsidRPr="006A73FE">
              <w:rPr>
                <w:rStyle w:val="Hyperlink"/>
                <w:rtl/>
              </w:rPr>
            </w:r>
            <w:r w:rsidR="006A73FE" w:rsidRPr="006A73FE">
              <w:rPr>
                <w:rStyle w:val="Hyperlink"/>
                <w:rtl/>
              </w:rPr>
              <w:fldChar w:fldCharType="separate"/>
            </w:r>
            <w:r w:rsidR="0090450F">
              <w:rPr>
                <w:webHidden/>
                <w:rtl/>
              </w:rPr>
              <w:t>79</w:t>
            </w:r>
            <w:r w:rsidR="006A73FE" w:rsidRPr="006A73FE">
              <w:rPr>
                <w:rStyle w:val="Hyperlink"/>
                <w:rtl/>
              </w:rPr>
              <w:fldChar w:fldCharType="end"/>
            </w:r>
          </w:hyperlink>
        </w:p>
        <w:p w14:paraId="5C8126C6" w14:textId="7B474D1E" w:rsidR="006A73FE" w:rsidRPr="006A73FE" w:rsidRDefault="00000000" w:rsidP="006A73FE">
          <w:pPr>
            <w:pStyle w:val="TOC2"/>
            <w:rPr>
              <w:rFonts w:eastAsiaTheme="minorEastAsia"/>
              <w:sz w:val="22"/>
              <w:szCs w:val="22"/>
              <w:lang w:val="en-US"/>
            </w:rPr>
          </w:pPr>
          <w:hyperlink w:anchor="_Toc108218278" w:history="1">
            <w:r w:rsidR="006A73FE" w:rsidRPr="006A73FE">
              <w:rPr>
                <w:rStyle w:val="Hyperlink"/>
                <w:rtl/>
              </w:rPr>
              <w:t>התפתחות החקיקה</w:t>
            </w:r>
            <w:r w:rsidR="006A73FE" w:rsidRPr="006A73FE">
              <w:rPr>
                <w:webHidden/>
              </w:rPr>
              <w:tab/>
            </w:r>
            <w:r w:rsidR="006A73FE" w:rsidRPr="006A73FE">
              <w:rPr>
                <w:rStyle w:val="Hyperlink"/>
                <w:rtl/>
              </w:rPr>
              <w:fldChar w:fldCharType="begin"/>
            </w:r>
            <w:r w:rsidR="006A73FE" w:rsidRPr="006A73FE">
              <w:rPr>
                <w:webHidden/>
              </w:rPr>
              <w:instrText xml:space="preserve"> PAGEREF _Toc108218278 \h </w:instrText>
            </w:r>
            <w:r w:rsidR="006A73FE" w:rsidRPr="006A73FE">
              <w:rPr>
                <w:rStyle w:val="Hyperlink"/>
                <w:rtl/>
              </w:rPr>
            </w:r>
            <w:r w:rsidR="006A73FE" w:rsidRPr="006A73FE">
              <w:rPr>
                <w:rStyle w:val="Hyperlink"/>
                <w:rtl/>
              </w:rPr>
              <w:fldChar w:fldCharType="separate"/>
            </w:r>
            <w:r w:rsidR="0090450F">
              <w:rPr>
                <w:webHidden/>
                <w:rtl/>
              </w:rPr>
              <w:t>79</w:t>
            </w:r>
            <w:r w:rsidR="006A73FE" w:rsidRPr="006A73FE">
              <w:rPr>
                <w:rStyle w:val="Hyperlink"/>
                <w:rtl/>
              </w:rPr>
              <w:fldChar w:fldCharType="end"/>
            </w:r>
          </w:hyperlink>
        </w:p>
        <w:p w14:paraId="61B95A5C" w14:textId="6A14BAE2" w:rsidR="006A73FE" w:rsidRPr="006A73FE" w:rsidRDefault="00000000" w:rsidP="006A73FE">
          <w:pPr>
            <w:pStyle w:val="TOC2"/>
            <w:rPr>
              <w:rFonts w:eastAsiaTheme="minorEastAsia"/>
              <w:sz w:val="22"/>
              <w:szCs w:val="22"/>
              <w:lang w:val="en-US"/>
            </w:rPr>
          </w:pPr>
          <w:hyperlink w:anchor="_Toc108218279" w:history="1">
            <w:r w:rsidR="006A73FE" w:rsidRPr="006A73FE">
              <w:rPr>
                <w:rStyle w:val="Hyperlink"/>
                <w:rtl/>
              </w:rPr>
              <w:t>הגורמים המרכזיים לשינוי</w:t>
            </w:r>
            <w:r w:rsidR="006A73FE" w:rsidRPr="006A73FE">
              <w:rPr>
                <w:webHidden/>
              </w:rPr>
              <w:tab/>
            </w:r>
            <w:r w:rsidR="006A73FE" w:rsidRPr="006A73FE">
              <w:rPr>
                <w:rStyle w:val="Hyperlink"/>
                <w:rtl/>
              </w:rPr>
              <w:fldChar w:fldCharType="begin"/>
            </w:r>
            <w:r w:rsidR="006A73FE" w:rsidRPr="006A73FE">
              <w:rPr>
                <w:webHidden/>
              </w:rPr>
              <w:instrText xml:space="preserve"> PAGEREF _Toc108218279 \h </w:instrText>
            </w:r>
            <w:r w:rsidR="006A73FE" w:rsidRPr="006A73FE">
              <w:rPr>
                <w:rStyle w:val="Hyperlink"/>
                <w:rtl/>
              </w:rPr>
            </w:r>
            <w:r w:rsidR="006A73FE" w:rsidRPr="006A73FE">
              <w:rPr>
                <w:rStyle w:val="Hyperlink"/>
                <w:rtl/>
              </w:rPr>
              <w:fldChar w:fldCharType="separate"/>
            </w:r>
            <w:r w:rsidR="0090450F">
              <w:rPr>
                <w:webHidden/>
                <w:rtl/>
              </w:rPr>
              <w:t>80</w:t>
            </w:r>
            <w:r w:rsidR="006A73FE" w:rsidRPr="006A73FE">
              <w:rPr>
                <w:rStyle w:val="Hyperlink"/>
                <w:rtl/>
              </w:rPr>
              <w:fldChar w:fldCharType="end"/>
            </w:r>
          </w:hyperlink>
        </w:p>
        <w:p w14:paraId="1ECC72DC" w14:textId="4C524187" w:rsidR="006A73FE" w:rsidRPr="006A73FE" w:rsidRDefault="00000000" w:rsidP="006A73FE">
          <w:pPr>
            <w:pStyle w:val="TOC2"/>
            <w:rPr>
              <w:rFonts w:eastAsiaTheme="minorEastAsia"/>
              <w:sz w:val="22"/>
              <w:szCs w:val="22"/>
              <w:lang w:val="en-US"/>
            </w:rPr>
          </w:pPr>
          <w:hyperlink w:anchor="_Toc108218280" w:history="1">
            <w:r w:rsidR="006A73FE" w:rsidRPr="006A73FE">
              <w:rPr>
                <w:rStyle w:val="Hyperlink"/>
                <w:rtl/>
              </w:rPr>
              <w:t>מושגים מעולם נפגעי העבירה</w:t>
            </w:r>
            <w:r w:rsidR="006A73FE" w:rsidRPr="006A73FE">
              <w:rPr>
                <w:webHidden/>
              </w:rPr>
              <w:tab/>
            </w:r>
            <w:r w:rsidR="006A73FE" w:rsidRPr="006A73FE">
              <w:rPr>
                <w:rStyle w:val="Hyperlink"/>
                <w:rtl/>
              </w:rPr>
              <w:fldChar w:fldCharType="begin"/>
            </w:r>
            <w:r w:rsidR="006A73FE" w:rsidRPr="006A73FE">
              <w:rPr>
                <w:webHidden/>
              </w:rPr>
              <w:instrText xml:space="preserve"> PAGEREF _Toc108218280 \h </w:instrText>
            </w:r>
            <w:r w:rsidR="006A73FE" w:rsidRPr="006A73FE">
              <w:rPr>
                <w:rStyle w:val="Hyperlink"/>
                <w:rtl/>
              </w:rPr>
            </w:r>
            <w:r w:rsidR="006A73FE" w:rsidRPr="006A73FE">
              <w:rPr>
                <w:rStyle w:val="Hyperlink"/>
                <w:rtl/>
              </w:rPr>
              <w:fldChar w:fldCharType="separate"/>
            </w:r>
            <w:r w:rsidR="0090450F">
              <w:rPr>
                <w:webHidden/>
                <w:rtl/>
              </w:rPr>
              <w:t>80</w:t>
            </w:r>
            <w:r w:rsidR="006A73FE" w:rsidRPr="006A73FE">
              <w:rPr>
                <w:rStyle w:val="Hyperlink"/>
                <w:rtl/>
              </w:rPr>
              <w:fldChar w:fldCharType="end"/>
            </w:r>
          </w:hyperlink>
        </w:p>
        <w:p w14:paraId="245F29EE" w14:textId="040AC4CC" w:rsidR="006A73FE" w:rsidRPr="006A73FE" w:rsidRDefault="00000000" w:rsidP="006A73FE">
          <w:pPr>
            <w:pStyle w:val="TOC2"/>
            <w:rPr>
              <w:rFonts w:eastAsiaTheme="minorEastAsia"/>
              <w:sz w:val="22"/>
              <w:szCs w:val="22"/>
              <w:lang w:val="en-US"/>
            </w:rPr>
          </w:pPr>
          <w:hyperlink w:anchor="_Toc108218281" w:history="1">
            <w:r w:rsidR="006A73FE" w:rsidRPr="006A73FE">
              <w:rPr>
                <w:rStyle w:val="Hyperlink"/>
                <w:rtl/>
              </w:rPr>
              <w:t>הגורמים לחקיקת חוק זכויות נפגעי עבירה בישראל</w:t>
            </w:r>
            <w:r w:rsidR="006A73FE" w:rsidRPr="006A73FE">
              <w:rPr>
                <w:webHidden/>
              </w:rPr>
              <w:tab/>
            </w:r>
            <w:r w:rsidR="006A73FE" w:rsidRPr="006A73FE">
              <w:rPr>
                <w:rStyle w:val="Hyperlink"/>
                <w:rtl/>
              </w:rPr>
              <w:fldChar w:fldCharType="begin"/>
            </w:r>
            <w:r w:rsidR="006A73FE" w:rsidRPr="006A73FE">
              <w:rPr>
                <w:webHidden/>
              </w:rPr>
              <w:instrText xml:space="preserve"> PAGEREF _Toc108218281 \h </w:instrText>
            </w:r>
            <w:r w:rsidR="006A73FE" w:rsidRPr="006A73FE">
              <w:rPr>
                <w:rStyle w:val="Hyperlink"/>
                <w:rtl/>
              </w:rPr>
            </w:r>
            <w:r w:rsidR="006A73FE" w:rsidRPr="006A73FE">
              <w:rPr>
                <w:rStyle w:val="Hyperlink"/>
                <w:rtl/>
              </w:rPr>
              <w:fldChar w:fldCharType="separate"/>
            </w:r>
            <w:r w:rsidR="0090450F">
              <w:rPr>
                <w:webHidden/>
                <w:rtl/>
              </w:rPr>
              <w:t>80</w:t>
            </w:r>
            <w:r w:rsidR="006A73FE" w:rsidRPr="006A73FE">
              <w:rPr>
                <w:rStyle w:val="Hyperlink"/>
                <w:rtl/>
              </w:rPr>
              <w:fldChar w:fldCharType="end"/>
            </w:r>
          </w:hyperlink>
        </w:p>
        <w:p w14:paraId="71D8584A" w14:textId="3F3BD871" w:rsidR="006A73FE" w:rsidRPr="006A73FE" w:rsidRDefault="00000000" w:rsidP="006A73FE">
          <w:pPr>
            <w:pStyle w:val="TOC2"/>
            <w:rPr>
              <w:rFonts w:eastAsiaTheme="minorEastAsia"/>
              <w:sz w:val="22"/>
              <w:szCs w:val="22"/>
              <w:lang w:val="en-US"/>
            </w:rPr>
          </w:pPr>
          <w:hyperlink w:anchor="_Toc108218282" w:history="1">
            <w:r w:rsidR="006A73FE" w:rsidRPr="006A73FE">
              <w:rPr>
                <w:rStyle w:val="Hyperlink"/>
                <w:rtl/>
              </w:rPr>
              <w:t>הזכות להביע עמדה לעניין הסדר טיעון</w:t>
            </w:r>
            <w:r w:rsidR="006A73FE" w:rsidRPr="006A73FE">
              <w:rPr>
                <w:webHidden/>
              </w:rPr>
              <w:tab/>
            </w:r>
            <w:r w:rsidR="006A73FE" w:rsidRPr="006A73FE">
              <w:rPr>
                <w:rStyle w:val="Hyperlink"/>
                <w:rtl/>
              </w:rPr>
              <w:fldChar w:fldCharType="begin"/>
            </w:r>
            <w:r w:rsidR="006A73FE" w:rsidRPr="006A73FE">
              <w:rPr>
                <w:webHidden/>
              </w:rPr>
              <w:instrText xml:space="preserve"> PAGEREF _Toc108218282 \h </w:instrText>
            </w:r>
            <w:r w:rsidR="006A73FE" w:rsidRPr="006A73FE">
              <w:rPr>
                <w:rStyle w:val="Hyperlink"/>
                <w:rtl/>
              </w:rPr>
            </w:r>
            <w:r w:rsidR="006A73FE" w:rsidRPr="006A73FE">
              <w:rPr>
                <w:rStyle w:val="Hyperlink"/>
                <w:rtl/>
              </w:rPr>
              <w:fldChar w:fldCharType="separate"/>
            </w:r>
            <w:r w:rsidR="0090450F">
              <w:rPr>
                <w:webHidden/>
                <w:rtl/>
              </w:rPr>
              <w:t>81</w:t>
            </w:r>
            <w:r w:rsidR="006A73FE" w:rsidRPr="006A73FE">
              <w:rPr>
                <w:rStyle w:val="Hyperlink"/>
                <w:rtl/>
              </w:rPr>
              <w:fldChar w:fldCharType="end"/>
            </w:r>
          </w:hyperlink>
        </w:p>
        <w:p w14:paraId="13BFFE01" w14:textId="5F026708" w:rsidR="006A73FE" w:rsidRPr="006A73FE" w:rsidRDefault="00000000" w:rsidP="006A73FE">
          <w:pPr>
            <w:pStyle w:val="TOC2"/>
            <w:rPr>
              <w:rFonts w:eastAsiaTheme="minorEastAsia"/>
              <w:sz w:val="22"/>
              <w:szCs w:val="22"/>
              <w:lang w:val="en-US"/>
            </w:rPr>
          </w:pPr>
          <w:hyperlink w:anchor="_Toc108218283" w:history="1">
            <w:r w:rsidR="006A73FE" w:rsidRPr="006A73FE">
              <w:rPr>
                <w:rStyle w:val="Hyperlink"/>
                <w:rtl/>
              </w:rPr>
              <w:t>חוקים נוספים לטובת נפגעי עבירה בישראל – התפתחויות אחרונות</w:t>
            </w:r>
            <w:r w:rsidR="006A73FE" w:rsidRPr="006A73FE">
              <w:rPr>
                <w:webHidden/>
              </w:rPr>
              <w:tab/>
            </w:r>
            <w:r w:rsidR="006A73FE" w:rsidRPr="006A73FE">
              <w:rPr>
                <w:rStyle w:val="Hyperlink"/>
                <w:rtl/>
              </w:rPr>
              <w:fldChar w:fldCharType="begin"/>
            </w:r>
            <w:r w:rsidR="006A73FE" w:rsidRPr="006A73FE">
              <w:rPr>
                <w:webHidden/>
              </w:rPr>
              <w:instrText xml:space="preserve"> PAGEREF _Toc108218283 \h </w:instrText>
            </w:r>
            <w:r w:rsidR="006A73FE" w:rsidRPr="006A73FE">
              <w:rPr>
                <w:rStyle w:val="Hyperlink"/>
                <w:rtl/>
              </w:rPr>
            </w:r>
            <w:r w:rsidR="006A73FE" w:rsidRPr="006A73FE">
              <w:rPr>
                <w:rStyle w:val="Hyperlink"/>
                <w:rtl/>
              </w:rPr>
              <w:fldChar w:fldCharType="separate"/>
            </w:r>
            <w:r w:rsidR="0090450F">
              <w:rPr>
                <w:webHidden/>
                <w:rtl/>
              </w:rPr>
              <w:t>81</w:t>
            </w:r>
            <w:r w:rsidR="006A73FE" w:rsidRPr="006A73FE">
              <w:rPr>
                <w:rStyle w:val="Hyperlink"/>
                <w:rtl/>
              </w:rPr>
              <w:fldChar w:fldCharType="end"/>
            </w:r>
          </w:hyperlink>
        </w:p>
        <w:p w14:paraId="47802E3A" w14:textId="3DDFA1B7" w:rsidR="006A73FE" w:rsidRPr="006A73FE" w:rsidRDefault="00000000" w:rsidP="006A73FE">
          <w:pPr>
            <w:pStyle w:val="TOC2"/>
            <w:rPr>
              <w:rFonts w:eastAsiaTheme="minorEastAsia"/>
              <w:sz w:val="22"/>
              <w:szCs w:val="22"/>
              <w:lang w:val="en-US"/>
            </w:rPr>
          </w:pPr>
          <w:hyperlink w:anchor="_Toc108218284" w:history="1">
            <w:r w:rsidR="006A73FE" w:rsidRPr="006A73FE">
              <w:rPr>
                <w:rStyle w:val="Hyperlink"/>
                <w:rtl/>
              </w:rPr>
              <w:t>פסקי דין מרכזיים בתחום נפגעי העבירה</w:t>
            </w:r>
            <w:r w:rsidR="006A73FE" w:rsidRPr="006A73FE">
              <w:rPr>
                <w:webHidden/>
              </w:rPr>
              <w:tab/>
            </w:r>
            <w:r w:rsidR="006A73FE" w:rsidRPr="006A73FE">
              <w:rPr>
                <w:rStyle w:val="Hyperlink"/>
                <w:rtl/>
              </w:rPr>
              <w:fldChar w:fldCharType="begin"/>
            </w:r>
            <w:r w:rsidR="006A73FE" w:rsidRPr="006A73FE">
              <w:rPr>
                <w:webHidden/>
              </w:rPr>
              <w:instrText xml:space="preserve"> PAGEREF _Toc108218284 \h </w:instrText>
            </w:r>
            <w:r w:rsidR="006A73FE" w:rsidRPr="006A73FE">
              <w:rPr>
                <w:rStyle w:val="Hyperlink"/>
                <w:rtl/>
              </w:rPr>
            </w:r>
            <w:r w:rsidR="006A73FE" w:rsidRPr="006A73FE">
              <w:rPr>
                <w:rStyle w:val="Hyperlink"/>
                <w:rtl/>
              </w:rPr>
              <w:fldChar w:fldCharType="separate"/>
            </w:r>
            <w:r w:rsidR="0090450F">
              <w:rPr>
                <w:webHidden/>
                <w:rtl/>
              </w:rPr>
              <w:t>81</w:t>
            </w:r>
            <w:r w:rsidR="006A73FE" w:rsidRPr="006A73FE">
              <w:rPr>
                <w:rStyle w:val="Hyperlink"/>
                <w:rtl/>
              </w:rPr>
              <w:fldChar w:fldCharType="end"/>
            </w:r>
          </w:hyperlink>
        </w:p>
        <w:p w14:paraId="1B7A33F3" w14:textId="3D1B9A4B" w:rsidR="006A73FE" w:rsidRPr="006A73FE" w:rsidRDefault="00000000" w:rsidP="006A73FE">
          <w:pPr>
            <w:pStyle w:val="TOC2"/>
            <w:rPr>
              <w:rFonts w:eastAsiaTheme="minorEastAsia"/>
              <w:sz w:val="22"/>
              <w:szCs w:val="22"/>
              <w:lang w:val="en-US"/>
            </w:rPr>
          </w:pPr>
          <w:hyperlink w:anchor="_Toc108218285" w:history="1">
            <w:r w:rsidR="006A73FE" w:rsidRPr="006A73FE">
              <w:rPr>
                <w:rStyle w:val="Hyperlink"/>
                <w:rtl/>
              </w:rPr>
              <w:t>תהליכים נוספים בישראל בקשר לנפגעי עבירה</w:t>
            </w:r>
            <w:r w:rsidR="006A73FE" w:rsidRPr="006A73FE">
              <w:rPr>
                <w:webHidden/>
              </w:rPr>
              <w:tab/>
            </w:r>
            <w:r w:rsidR="006A73FE" w:rsidRPr="006A73FE">
              <w:rPr>
                <w:rStyle w:val="Hyperlink"/>
                <w:rtl/>
              </w:rPr>
              <w:fldChar w:fldCharType="begin"/>
            </w:r>
            <w:r w:rsidR="006A73FE" w:rsidRPr="006A73FE">
              <w:rPr>
                <w:webHidden/>
              </w:rPr>
              <w:instrText xml:space="preserve"> PAGEREF _Toc108218285 \h </w:instrText>
            </w:r>
            <w:r w:rsidR="006A73FE" w:rsidRPr="006A73FE">
              <w:rPr>
                <w:rStyle w:val="Hyperlink"/>
                <w:rtl/>
              </w:rPr>
            </w:r>
            <w:r w:rsidR="006A73FE" w:rsidRPr="006A73FE">
              <w:rPr>
                <w:rStyle w:val="Hyperlink"/>
                <w:rtl/>
              </w:rPr>
              <w:fldChar w:fldCharType="separate"/>
            </w:r>
            <w:r w:rsidR="0090450F">
              <w:rPr>
                <w:webHidden/>
                <w:rtl/>
              </w:rPr>
              <w:t>82</w:t>
            </w:r>
            <w:r w:rsidR="006A73FE" w:rsidRPr="006A73FE">
              <w:rPr>
                <w:rStyle w:val="Hyperlink"/>
                <w:rtl/>
              </w:rPr>
              <w:fldChar w:fldCharType="end"/>
            </w:r>
          </w:hyperlink>
        </w:p>
        <w:p w14:paraId="3A27B2B1" w14:textId="48059DC0" w:rsidR="006A73FE" w:rsidRPr="006A73FE" w:rsidRDefault="00000000" w:rsidP="006A73FE">
          <w:pPr>
            <w:pStyle w:val="TOC2"/>
            <w:rPr>
              <w:rFonts w:eastAsiaTheme="minorEastAsia"/>
              <w:sz w:val="22"/>
              <w:szCs w:val="22"/>
              <w:lang w:val="en-US"/>
            </w:rPr>
          </w:pPr>
          <w:hyperlink w:anchor="_Toc108218286" w:history="1">
            <w:r w:rsidR="006A73FE" w:rsidRPr="006A73FE">
              <w:rPr>
                <w:rStyle w:val="Hyperlink"/>
                <w:rtl/>
              </w:rPr>
              <w:t>צו למניעת הטרדה מאיימת</w:t>
            </w:r>
            <w:r w:rsidR="006A73FE" w:rsidRPr="006A73FE">
              <w:rPr>
                <w:webHidden/>
              </w:rPr>
              <w:tab/>
            </w:r>
            <w:r w:rsidR="006A73FE" w:rsidRPr="006A73FE">
              <w:rPr>
                <w:rStyle w:val="Hyperlink"/>
                <w:rtl/>
              </w:rPr>
              <w:fldChar w:fldCharType="begin"/>
            </w:r>
            <w:r w:rsidR="006A73FE" w:rsidRPr="006A73FE">
              <w:rPr>
                <w:webHidden/>
              </w:rPr>
              <w:instrText xml:space="preserve"> PAGEREF _Toc108218286 \h </w:instrText>
            </w:r>
            <w:r w:rsidR="006A73FE" w:rsidRPr="006A73FE">
              <w:rPr>
                <w:rStyle w:val="Hyperlink"/>
                <w:rtl/>
              </w:rPr>
            </w:r>
            <w:r w:rsidR="006A73FE" w:rsidRPr="006A73FE">
              <w:rPr>
                <w:rStyle w:val="Hyperlink"/>
                <w:rtl/>
              </w:rPr>
              <w:fldChar w:fldCharType="separate"/>
            </w:r>
            <w:r w:rsidR="0090450F">
              <w:rPr>
                <w:webHidden/>
                <w:rtl/>
              </w:rPr>
              <w:t>82</w:t>
            </w:r>
            <w:r w:rsidR="006A73FE" w:rsidRPr="006A73FE">
              <w:rPr>
                <w:rStyle w:val="Hyperlink"/>
                <w:rtl/>
              </w:rPr>
              <w:fldChar w:fldCharType="end"/>
            </w:r>
          </w:hyperlink>
        </w:p>
        <w:p w14:paraId="1FFEF9BC" w14:textId="7AA380BB" w:rsidR="006A73FE" w:rsidRPr="006A73FE" w:rsidRDefault="00000000" w:rsidP="006A73FE">
          <w:pPr>
            <w:pStyle w:val="TOC2"/>
            <w:rPr>
              <w:rFonts w:eastAsiaTheme="minorEastAsia"/>
              <w:sz w:val="22"/>
              <w:szCs w:val="22"/>
              <w:lang w:val="en-US"/>
            </w:rPr>
          </w:pPr>
          <w:hyperlink w:anchor="_Toc108218287" w:history="1">
            <w:r w:rsidR="006A73FE" w:rsidRPr="006A73FE">
              <w:rPr>
                <w:rStyle w:val="Hyperlink"/>
                <w:rtl/>
              </w:rPr>
              <w:t>צו הגנה למניעת אלימות במשפחה</w:t>
            </w:r>
            <w:r w:rsidR="006A73FE" w:rsidRPr="006A73FE">
              <w:rPr>
                <w:webHidden/>
              </w:rPr>
              <w:tab/>
            </w:r>
            <w:r w:rsidR="006A73FE" w:rsidRPr="006A73FE">
              <w:rPr>
                <w:rStyle w:val="Hyperlink"/>
                <w:rtl/>
              </w:rPr>
              <w:fldChar w:fldCharType="begin"/>
            </w:r>
            <w:r w:rsidR="006A73FE" w:rsidRPr="006A73FE">
              <w:rPr>
                <w:webHidden/>
              </w:rPr>
              <w:instrText xml:space="preserve"> PAGEREF _Toc108218287 \h </w:instrText>
            </w:r>
            <w:r w:rsidR="006A73FE" w:rsidRPr="006A73FE">
              <w:rPr>
                <w:rStyle w:val="Hyperlink"/>
                <w:rtl/>
              </w:rPr>
            </w:r>
            <w:r w:rsidR="006A73FE" w:rsidRPr="006A73FE">
              <w:rPr>
                <w:rStyle w:val="Hyperlink"/>
                <w:rtl/>
              </w:rPr>
              <w:fldChar w:fldCharType="separate"/>
            </w:r>
            <w:r w:rsidR="0090450F">
              <w:rPr>
                <w:webHidden/>
                <w:rtl/>
              </w:rPr>
              <w:t>82</w:t>
            </w:r>
            <w:r w:rsidR="006A73FE" w:rsidRPr="006A73FE">
              <w:rPr>
                <w:rStyle w:val="Hyperlink"/>
                <w:rtl/>
              </w:rPr>
              <w:fldChar w:fldCharType="end"/>
            </w:r>
          </w:hyperlink>
        </w:p>
        <w:p w14:paraId="13BF5513" w14:textId="109174E5" w:rsidR="006A73FE" w:rsidRPr="006A73FE" w:rsidRDefault="00000000" w:rsidP="006A73FE">
          <w:pPr>
            <w:pStyle w:val="TOC1"/>
            <w:rPr>
              <w:rFonts w:ascii="Segoe UI" w:eastAsiaTheme="minorEastAsia" w:hAnsi="Segoe UI" w:cs="Segoe UI"/>
              <w:lang w:val="en-US"/>
            </w:rPr>
          </w:pPr>
          <w:hyperlink w:anchor="_Toc108218288" w:history="1">
            <w:r w:rsidR="006A73FE" w:rsidRPr="006A73FE">
              <w:rPr>
                <w:rStyle w:val="Hyperlink"/>
                <w:rFonts w:ascii="Segoe UI" w:hAnsi="Segoe UI" w:cs="Segoe UI"/>
                <w:rtl/>
              </w:rPr>
              <w:t>זכויות אסירים</w:t>
            </w:r>
            <w:r w:rsidR="006A73FE" w:rsidRPr="006A73FE">
              <w:rPr>
                <w:rFonts w:ascii="Segoe UI" w:hAnsi="Segoe UI" w:cs="Segoe UI"/>
                <w:webHidden/>
              </w:rPr>
              <w:tab/>
            </w:r>
            <w:r w:rsidR="006A73FE" w:rsidRPr="006A73FE">
              <w:rPr>
                <w:rStyle w:val="Hyperlink"/>
                <w:rFonts w:ascii="Segoe UI" w:hAnsi="Segoe UI" w:cs="Segoe UI"/>
                <w:rtl/>
              </w:rPr>
              <w:fldChar w:fldCharType="begin"/>
            </w:r>
            <w:r w:rsidR="006A73FE" w:rsidRPr="006A73FE">
              <w:rPr>
                <w:rFonts w:ascii="Segoe UI" w:hAnsi="Segoe UI" w:cs="Segoe UI"/>
                <w:webHidden/>
              </w:rPr>
              <w:instrText xml:space="preserve"> PAGEREF _Toc108218288 \h </w:instrText>
            </w:r>
            <w:r w:rsidR="006A73FE" w:rsidRPr="006A73FE">
              <w:rPr>
                <w:rStyle w:val="Hyperlink"/>
                <w:rFonts w:ascii="Segoe UI" w:hAnsi="Segoe UI" w:cs="Segoe UI"/>
                <w:rtl/>
              </w:rPr>
            </w:r>
            <w:r w:rsidR="006A73FE" w:rsidRPr="006A73FE">
              <w:rPr>
                <w:rStyle w:val="Hyperlink"/>
                <w:rFonts w:ascii="Segoe UI" w:hAnsi="Segoe UI" w:cs="Segoe UI"/>
                <w:rtl/>
              </w:rPr>
              <w:fldChar w:fldCharType="separate"/>
            </w:r>
            <w:r w:rsidR="0090450F">
              <w:rPr>
                <w:rFonts w:ascii="Segoe UI" w:hAnsi="Segoe UI" w:cs="Segoe UI"/>
                <w:webHidden/>
                <w:rtl/>
              </w:rPr>
              <w:t>84</w:t>
            </w:r>
            <w:r w:rsidR="006A73FE" w:rsidRPr="006A73FE">
              <w:rPr>
                <w:rStyle w:val="Hyperlink"/>
                <w:rFonts w:ascii="Segoe UI" w:hAnsi="Segoe UI" w:cs="Segoe UI"/>
                <w:rtl/>
              </w:rPr>
              <w:fldChar w:fldCharType="end"/>
            </w:r>
          </w:hyperlink>
        </w:p>
        <w:p w14:paraId="2E2F8116" w14:textId="67F2AB0C" w:rsidR="006A73FE" w:rsidRPr="006A73FE" w:rsidRDefault="00000000" w:rsidP="006A73FE">
          <w:pPr>
            <w:pStyle w:val="TOC2"/>
            <w:rPr>
              <w:rFonts w:eastAsiaTheme="minorEastAsia"/>
              <w:sz w:val="22"/>
              <w:szCs w:val="22"/>
              <w:lang w:val="en-US"/>
            </w:rPr>
          </w:pPr>
          <w:hyperlink w:anchor="_Toc108218289" w:history="1">
            <w:r w:rsidR="006A73FE" w:rsidRPr="006A73FE">
              <w:rPr>
                <w:rStyle w:val="Hyperlink"/>
                <w:rtl/>
              </w:rPr>
              <w:t>כאבי מאסר</w:t>
            </w:r>
            <w:r w:rsidR="006A73FE" w:rsidRPr="006A73FE">
              <w:rPr>
                <w:webHidden/>
              </w:rPr>
              <w:tab/>
            </w:r>
            <w:r w:rsidR="006A73FE" w:rsidRPr="006A73FE">
              <w:rPr>
                <w:rStyle w:val="Hyperlink"/>
                <w:rtl/>
              </w:rPr>
              <w:fldChar w:fldCharType="begin"/>
            </w:r>
            <w:r w:rsidR="006A73FE" w:rsidRPr="006A73FE">
              <w:rPr>
                <w:webHidden/>
              </w:rPr>
              <w:instrText xml:space="preserve"> PAGEREF _Toc108218289 \h </w:instrText>
            </w:r>
            <w:r w:rsidR="006A73FE" w:rsidRPr="006A73FE">
              <w:rPr>
                <w:rStyle w:val="Hyperlink"/>
                <w:rtl/>
              </w:rPr>
            </w:r>
            <w:r w:rsidR="006A73FE" w:rsidRPr="006A73FE">
              <w:rPr>
                <w:rStyle w:val="Hyperlink"/>
                <w:rtl/>
              </w:rPr>
              <w:fldChar w:fldCharType="separate"/>
            </w:r>
            <w:r w:rsidR="0090450F">
              <w:rPr>
                <w:webHidden/>
                <w:rtl/>
              </w:rPr>
              <w:t>84</w:t>
            </w:r>
            <w:r w:rsidR="006A73FE" w:rsidRPr="006A73FE">
              <w:rPr>
                <w:rStyle w:val="Hyperlink"/>
                <w:rtl/>
              </w:rPr>
              <w:fldChar w:fldCharType="end"/>
            </w:r>
          </w:hyperlink>
        </w:p>
        <w:p w14:paraId="6F77F1E5" w14:textId="7B16560D" w:rsidR="006A73FE" w:rsidRPr="006A73FE" w:rsidRDefault="00000000" w:rsidP="006A73FE">
          <w:pPr>
            <w:pStyle w:val="TOC2"/>
            <w:rPr>
              <w:rFonts w:eastAsiaTheme="minorEastAsia"/>
              <w:sz w:val="22"/>
              <w:szCs w:val="22"/>
              <w:lang w:val="en-US"/>
            </w:rPr>
          </w:pPr>
          <w:hyperlink w:anchor="_Toc108218290" w:history="1">
            <w:r w:rsidR="006A73FE" w:rsidRPr="006A73FE">
              <w:rPr>
                <w:rStyle w:val="Hyperlink"/>
                <w:rtl/>
              </w:rPr>
              <w:t>קוד התנהגות אסירים</w:t>
            </w:r>
            <w:r w:rsidR="006A73FE" w:rsidRPr="006A73FE">
              <w:rPr>
                <w:webHidden/>
              </w:rPr>
              <w:tab/>
            </w:r>
            <w:r w:rsidR="006A73FE" w:rsidRPr="006A73FE">
              <w:rPr>
                <w:rStyle w:val="Hyperlink"/>
                <w:rtl/>
              </w:rPr>
              <w:fldChar w:fldCharType="begin"/>
            </w:r>
            <w:r w:rsidR="006A73FE" w:rsidRPr="006A73FE">
              <w:rPr>
                <w:webHidden/>
              </w:rPr>
              <w:instrText xml:space="preserve"> PAGEREF _Toc108218290 \h </w:instrText>
            </w:r>
            <w:r w:rsidR="006A73FE" w:rsidRPr="006A73FE">
              <w:rPr>
                <w:rStyle w:val="Hyperlink"/>
                <w:rtl/>
              </w:rPr>
            </w:r>
            <w:r w:rsidR="006A73FE" w:rsidRPr="006A73FE">
              <w:rPr>
                <w:rStyle w:val="Hyperlink"/>
                <w:rtl/>
              </w:rPr>
              <w:fldChar w:fldCharType="separate"/>
            </w:r>
            <w:r w:rsidR="0090450F">
              <w:rPr>
                <w:webHidden/>
                <w:rtl/>
              </w:rPr>
              <w:t>85</w:t>
            </w:r>
            <w:r w:rsidR="006A73FE" w:rsidRPr="006A73FE">
              <w:rPr>
                <w:rStyle w:val="Hyperlink"/>
                <w:rtl/>
              </w:rPr>
              <w:fldChar w:fldCharType="end"/>
            </w:r>
          </w:hyperlink>
        </w:p>
        <w:p w14:paraId="6787D447" w14:textId="7488FAB8" w:rsidR="006A73FE" w:rsidRPr="006A73FE" w:rsidRDefault="00000000" w:rsidP="006A73FE">
          <w:pPr>
            <w:pStyle w:val="TOC2"/>
            <w:rPr>
              <w:rFonts w:eastAsiaTheme="minorEastAsia"/>
              <w:sz w:val="22"/>
              <w:szCs w:val="22"/>
              <w:lang w:val="en-US"/>
            </w:rPr>
          </w:pPr>
          <w:hyperlink w:anchor="_Toc108218291" w:history="1">
            <w:r w:rsidR="006A73FE" w:rsidRPr="006A73FE">
              <w:rPr>
                <w:rStyle w:val="Hyperlink"/>
                <w:rtl/>
              </w:rPr>
              <w:t>זכויות אסירים בסיסיות מול טובות הנאה</w:t>
            </w:r>
            <w:r w:rsidR="006A73FE" w:rsidRPr="006A73FE">
              <w:rPr>
                <w:webHidden/>
              </w:rPr>
              <w:tab/>
            </w:r>
            <w:r w:rsidR="006A73FE" w:rsidRPr="006A73FE">
              <w:rPr>
                <w:rStyle w:val="Hyperlink"/>
                <w:rtl/>
              </w:rPr>
              <w:fldChar w:fldCharType="begin"/>
            </w:r>
            <w:r w:rsidR="006A73FE" w:rsidRPr="006A73FE">
              <w:rPr>
                <w:webHidden/>
              </w:rPr>
              <w:instrText xml:space="preserve"> PAGEREF _Toc108218291 \h </w:instrText>
            </w:r>
            <w:r w:rsidR="006A73FE" w:rsidRPr="006A73FE">
              <w:rPr>
                <w:rStyle w:val="Hyperlink"/>
                <w:rtl/>
              </w:rPr>
            </w:r>
            <w:r w:rsidR="006A73FE" w:rsidRPr="006A73FE">
              <w:rPr>
                <w:rStyle w:val="Hyperlink"/>
                <w:rtl/>
              </w:rPr>
              <w:fldChar w:fldCharType="separate"/>
            </w:r>
            <w:r w:rsidR="0090450F">
              <w:rPr>
                <w:webHidden/>
                <w:rtl/>
              </w:rPr>
              <w:t>86</w:t>
            </w:r>
            <w:r w:rsidR="006A73FE" w:rsidRPr="006A73FE">
              <w:rPr>
                <w:rStyle w:val="Hyperlink"/>
                <w:rtl/>
              </w:rPr>
              <w:fldChar w:fldCharType="end"/>
            </w:r>
          </w:hyperlink>
        </w:p>
        <w:p w14:paraId="60E78BD2" w14:textId="2457B38F" w:rsidR="006A73FE" w:rsidRPr="006A73FE" w:rsidRDefault="00000000" w:rsidP="006A73FE">
          <w:pPr>
            <w:pStyle w:val="TOC2"/>
            <w:rPr>
              <w:rFonts w:eastAsiaTheme="minorEastAsia"/>
              <w:sz w:val="22"/>
              <w:szCs w:val="22"/>
              <w:lang w:val="en-US"/>
            </w:rPr>
          </w:pPr>
          <w:hyperlink w:anchor="_Toc108218292" w:history="1">
            <w:r w:rsidR="006A73FE" w:rsidRPr="006A73FE">
              <w:rPr>
                <w:rStyle w:val="Hyperlink"/>
                <w:rtl/>
              </w:rPr>
              <w:t>עתירות אסירים</w:t>
            </w:r>
            <w:r w:rsidR="006A73FE" w:rsidRPr="006A73FE">
              <w:rPr>
                <w:webHidden/>
              </w:rPr>
              <w:tab/>
            </w:r>
            <w:r w:rsidR="006A73FE" w:rsidRPr="006A73FE">
              <w:rPr>
                <w:rStyle w:val="Hyperlink"/>
                <w:rtl/>
              </w:rPr>
              <w:fldChar w:fldCharType="begin"/>
            </w:r>
            <w:r w:rsidR="006A73FE" w:rsidRPr="006A73FE">
              <w:rPr>
                <w:webHidden/>
              </w:rPr>
              <w:instrText xml:space="preserve"> PAGEREF _Toc108218292 \h </w:instrText>
            </w:r>
            <w:r w:rsidR="006A73FE" w:rsidRPr="006A73FE">
              <w:rPr>
                <w:rStyle w:val="Hyperlink"/>
                <w:rtl/>
              </w:rPr>
            </w:r>
            <w:r w:rsidR="006A73FE" w:rsidRPr="006A73FE">
              <w:rPr>
                <w:rStyle w:val="Hyperlink"/>
                <w:rtl/>
              </w:rPr>
              <w:fldChar w:fldCharType="separate"/>
            </w:r>
            <w:r w:rsidR="0090450F">
              <w:rPr>
                <w:webHidden/>
                <w:rtl/>
              </w:rPr>
              <w:t>86</w:t>
            </w:r>
            <w:r w:rsidR="006A73FE" w:rsidRPr="006A73FE">
              <w:rPr>
                <w:rStyle w:val="Hyperlink"/>
                <w:rtl/>
              </w:rPr>
              <w:fldChar w:fldCharType="end"/>
            </w:r>
          </w:hyperlink>
        </w:p>
        <w:p w14:paraId="2DEBE3F0" w14:textId="60B89DBC" w:rsidR="006A73FE" w:rsidRPr="006A73FE" w:rsidRDefault="00000000" w:rsidP="006A73FE">
          <w:pPr>
            <w:pStyle w:val="TOC2"/>
            <w:rPr>
              <w:rFonts w:eastAsiaTheme="minorEastAsia"/>
              <w:sz w:val="22"/>
              <w:szCs w:val="22"/>
              <w:lang w:val="en-US"/>
            </w:rPr>
          </w:pPr>
          <w:hyperlink w:anchor="_Toc108218293" w:history="1">
            <w:r w:rsidR="006A73FE" w:rsidRPr="006A73FE">
              <w:rPr>
                <w:rStyle w:val="Hyperlink"/>
                <w:rtl/>
              </w:rPr>
              <w:t>חנינות – רחמים לאחר משפט</w:t>
            </w:r>
            <w:r w:rsidR="006A73FE" w:rsidRPr="006A73FE">
              <w:rPr>
                <w:webHidden/>
              </w:rPr>
              <w:tab/>
            </w:r>
            <w:r w:rsidR="006A73FE" w:rsidRPr="006A73FE">
              <w:rPr>
                <w:rStyle w:val="Hyperlink"/>
                <w:rtl/>
              </w:rPr>
              <w:fldChar w:fldCharType="begin"/>
            </w:r>
            <w:r w:rsidR="006A73FE" w:rsidRPr="006A73FE">
              <w:rPr>
                <w:webHidden/>
              </w:rPr>
              <w:instrText xml:space="preserve"> PAGEREF _Toc108218293 \h </w:instrText>
            </w:r>
            <w:r w:rsidR="006A73FE" w:rsidRPr="006A73FE">
              <w:rPr>
                <w:rStyle w:val="Hyperlink"/>
                <w:rtl/>
              </w:rPr>
            </w:r>
            <w:r w:rsidR="006A73FE" w:rsidRPr="006A73FE">
              <w:rPr>
                <w:rStyle w:val="Hyperlink"/>
                <w:rtl/>
              </w:rPr>
              <w:fldChar w:fldCharType="separate"/>
            </w:r>
            <w:r w:rsidR="0090450F">
              <w:rPr>
                <w:webHidden/>
                <w:rtl/>
              </w:rPr>
              <w:t>86</w:t>
            </w:r>
            <w:r w:rsidR="006A73FE" w:rsidRPr="006A73FE">
              <w:rPr>
                <w:rStyle w:val="Hyperlink"/>
                <w:rtl/>
              </w:rPr>
              <w:fldChar w:fldCharType="end"/>
            </w:r>
          </w:hyperlink>
        </w:p>
        <w:p w14:paraId="2F2D7B04" w14:textId="4D943033" w:rsidR="000D0936" w:rsidRPr="006A73FE" w:rsidRDefault="000D0936" w:rsidP="006A73FE">
          <w:pPr>
            <w:bidi/>
            <w:jc w:val="both"/>
            <w:rPr>
              <w:lang w:val="en-US"/>
            </w:rPr>
          </w:pPr>
          <w:r w:rsidRPr="006A73FE">
            <w:rPr>
              <w:rFonts w:ascii="Segoe UI" w:hAnsi="Segoe UI" w:cs="Segoe UI"/>
              <w:b/>
              <w:bCs/>
              <w:lang w:val="he-IL"/>
            </w:rPr>
            <w:fldChar w:fldCharType="end"/>
          </w:r>
        </w:p>
      </w:sdtContent>
    </w:sdt>
    <w:p w14:paraId="3EEE7237" w14:textId="77777777" w:rsidR="00E47DC8" w:rsidRDefault="00E47DC8" w:rsidP="00E47DC8">
      <w:pPr>
        <w:bidi/>
        <w:spacing w:after="0" w:line="276" w:lineRule="auto"/>
        <w:jc w:val="both"/>
        <w:rPr>
          <w:rFonts w:ascii="Segoe UI" w:hAnsi="Segoe UI" w:cs="Segoe UI"/>
          <w:b/>
          <w:bCs/>
          <w:color w:val="7030A0"/>
          <w:u w:val="single"/>
          <w:rtl/>
          <w:lang w:val="en-ZW"/>
        </w:rPr>
        <w:sectPr w:rsidR="00E47DC8" w:rsidSect="00E47DC8">
          <w:pgSz w:w="11906" w:h="16838"/>
          <w:pgMar w:top="567" w:right="851" w:bottom="567" w:left="851" w:header="708" w:footer="708" w:gutter="0"/>
          <w:pgBorders w:display="notFirstPage" w:offsetFrom="page">
            <w:top w:val="single" w:sz="18" w:space="10" w:color="7F7F7F" w:themeColor="text1" w:themeTint="80"/>
            <w:left w:val="single" w:sz="18" w:space="10" w:color="7F7F7F" w:themeColor="text1" w:themeTint="80"/>
            <w:bottom w:val="single" w:sz="18" w:space="10" w:color="7F7F7F" w:themeColor="text1" w:themeTint="80"/>
            <w:right w:val="single" w:sz="18" w:space="10" w:color="7F7F7F" w:themeColor="text1" w:themeTint="80"/>
          </w:pgBorders>
          <w:pgNumType w:start="0"/>
          <w:cols w:space="708"/>
          <w:titlePg/>
          <w:docGrid w:linePitch="360"/>
        </w:sectPr>
      </w:pPr>
    </w:p>
    <w:p w14:paraId="60C1E0FB" w14:textId="50DAFF24" w:rsidR="00584847" w:rsidRPr="00AB2332" w:rsidRDefault="00584847" w:rsidP="00E47DC8">
      <w:pPr>
        <w:bidi/>
        <w:spacing w:after="0" w:line="276" w:lineRule="auto"/>
        <w:jc w:val="both"/>
        <w:rPr>
          <w:rFonts w:ascii="Segoe UI" w:hAnsi="Segoe UI" w:cs="Segoe UI"/>
          <w:b/>
          <w:bCs/>
          <w:color w:val="7030A0"/>
          <w:u w:val="single"/>
          <w:rtl/>
          <w:lang w:val="en-ZW"/>
        </w:rPr>
      </w:pPr>
      <w:r w:rsidRPr="00AB2332">
        <w:rPr>
          <w:rFonts w:ascii="Segoe UI" w:hAnsi="Segoe UI" w:cs="Segoe UI" w:hint="cs"/>
          <w:b/>
          <w:bCs/>
          <w:color w:val="7030A0"/>
          <w:u w:val="single"/>
          <w:rtl/>
          <w:lang w:val="en-ZW"/>
        </w:rPr>
        <w:lastRenderedPageBreak/>
        <w:t>מנהלה</w:t>
      </w:r>
    </w:p>
    <w:p w14:paraId="652D201E" w14:textId="6F62DAF9" w:rsidR="00584847" w:rsidRPr="00AB2332" w:rsidRDefault="00A20D82" w:rsidP="00BB5FC9">
      <w:pPr>
        <w:bidi/>
        <w:spacing w:after="0" w:line="276" w:lineRule="auto"/>
        <w:jc w:val="both"/>
        <w:rPr>
          <w:rFonts w:ascii="Segoe UI" w:hAnsi="Segoe UI" w:cs="Segoe UI"/>
          <w:color w:val="7030A0"/>
          <w:rtl/>
          <w:lang w:val="en-ZW"/>
        </w:rPr>
      </w:pPr>
      <w:r w:rsidRPr="00AB2332">
        <w:rPr>
          <w:rFonts w:ascii="Segoe UI" w:hAnsi="Segoe UI" w:cs="Segoe UI" w:hint="cs"/>
          <w:color w:val="7030A0"/>
          <w:rtl/>
          <w:lang w:val="en-ZW"/>
        </w:rPr>
        <w:t xml:space="preserve">מיטיב </w:t>
      </w:r>
      <w:r w:rsidRPr="00AB2332">
        <w:rPr>
          <w:rFonts w:ascii="Segoe UI" w:hAnsi="Segoe UI" w:cs="Segoe UI"/>
          <w:color w:val="7030A0"/>
          <w:rtl/>
          <w:lang w:val="en-ZW"/>
        </w:rPr>
        <w:t>–</w:t>
      </w:r>
      <w:r w:rsidRPr="00AB2332">
        <w:rPr>
          <w:rFonts w:ascii="Segoe UI" w:hAnsi="Segoe UI" w:cs="Segoe UI" w:hint="cs"/>
          <w:color w:val="7030A0"/>
          <w:rtl/>
          <w:lang w:val="en-ZW"/>
        </w:rPr>
        <w:t xml:space="preserve"> שי אומר שהוא יביא מיטיב לפי הנוכחות. שי אומר שהוא יודע ששינו את התקנון עד 4 נק' אז מבחינתו כל מ</w:t>
      </w:r>
      <w:r w:rsidR="00591DA5">
        <w:rPr>
          <w:rFonts w:ascii="Segoe UI" w:hAnsi="Segoe UI" w:cs="Segoe UI" w:hint="cs"/>
          <w:color w:val="7030A0"/>
          <w:rtl/>
          <w:lang w:val="en-ZW"/>
        </w:rPr>
        <w:t xml:space="preserve">י </w:t>
      </w:r>
      <w:r w:rsidRPr="00AB2332">
        <w:rPr>
          <w:rFonts w:ascii="Segoe UI" w:hAnsi="Segoe UI" w:cs="Segoe UI" w:hint="cs"/>
          <w:color w:val="7030A0"/>
          <w:rtl/>
          <w:lang w:val="en-ZW"/>
        </w:rPr>
        <w:t xml:space="preserve">שהגיע הוא ייתן לו את 4 הנק' האלה. </w:t>
      </w:r>
    </w:p>
    <w:p w14:paraId="7DCF3506" w14:textId="575531A6" w:rsidR="00424A1D" w:rsidRPr="00AB2332" w:rsidRDefault="00424A1D" w:rsidP="00BB5FC9">
      <w:pPr>
        <w:bidi/>
        <w:spacing w:after="0" w:line="276" w:lineRule="auto"/>
        <w:jc w:val="both"/>
        <w:rPr>
          <w:rFonts w:ascii="Segoe UI" w:hAnsi="Segoe UI" w:cs="Segoe UI"/>
          <w:color w:val="7030A0"/>
          <w:rtl/>
          <w:lang w:val="en-ZW"/>
        </w:rPr>
      </w:pPr>
      <w:r w:rsidRPr="00AB2332">
        <w:rPr>
          <w:rFonts w:ascii="Segoe UI" w:hAnsi="Segoe UI" w:cs="Segoe UI" w:hint="cs"/>
          <w:color w:val="7030A0"/>
          <w:rtl/>
          <w:lang w:val="en-ZW"/>
        </w:rPr>
        <w:t xml:space="preserve">ציון </w:t>
      </w:r>
      <w:r w:rsidRPr="00AB2332">
        <w:rPr>
          <w:rFonts w:ascii="Segoe UI" w:hAnsi="Segoe UI" w:cs="Segoe UI"/>
          <w:color w:val="7030A0"/>
          <w:rtl/>
          <w:lang w:val="en-ZW"/>
        </w:rPr>
        <w:t>–</w:t>
      </w:r>
      <w:r w:rsidRPr="00AB2332">
        <w:rPr>
          <w:rFonts w:ascii="Segoe UI" w:hAnsi="Segoe UI" w:cs="Segoe UI" w:hint="cs"/>
          <w:color w:val="7030A0"/>
          <w:rtl/>
          <w:lang w:val="en-ZW"/>
        </w:rPr>
        <w:t xml:space="preserve"> מבחן 100% בחומר פתוח. </w:t>
      </w:r>
      <w:r w:rsidR="006401F8" w:rsidRPr="00AB2332">
        <w:rPr>
          <w:rFonts w:ascii="Segoe UI" w:hAnsi="Segoe UI" w:cs="Segoe UI" w:hint="cs"/>
          <w:color w:val="7030A0"/>
          <w:rtl/>
          <w:lang w:val="en-ZW"/>
        </w:rPr>
        <w:t>הבחינה תהיה הוגנת ואך ורק על מה שלמדנו.</w:t>
      </w:r>
    </w:p>
    <w:p w14:paraId="6F89FD3A" w14:textId="70D9BA7A" w:rsidR="006401F8" w:rsidRPr="00AB2332" w:rsidRDefault="006401F8" w:rsidP="00BB5FC9">
      <w:pPr>
        <w:bidi/>
        <w:spacing w:after="0" w:line="276" w:lineRule="auto"/>
        <w:jc w:val="both"/>
        <w:rPr>
          <w:rFonts w:ascii="Segoe UI" w:hAnsi="Segoe UI" w:cs="Segoe UI"/>
          <w:color w:val="7030A0"/>
          <w:rtl/>
          <w:lang w:val="en-US"/>
        </w:rPr>
      </w:pPr>
      <w:r w:rsidRPr="00AB2332">
        <w:rPr>
          <w:rFonts w:ascii="Segoe UI" w:hAnsi="Segoe UI" w:cs="Segoe UI" w:hint="cs"/>
          <w:color w:val="7030A0"/>
          <w:rtl/>
          <w:lang w:val="en-ZW"/>
        </w:rPr>
        <w:t xml:space="preserve">מייל של </w:t>
      </w:r>
      <w:r w:rsidR="007C2804" w:rsidRPr="00AB2332">
        <w:rPr>
          <w:rFonts w:ascii="Segoe UI" w:hAnsi="Segoe UI" w:cs="Segoe UI" w:hint="cs"/>
          <w:color w:val="7030A0"/>
          <w:rtl/>
          <w:lang w:val="en-ZW"/>
        </w:rPr>
        <w:t xml:space="preserve">המרצה </w:t>
      </w:r>
      <w:r w:rsidR="007C2804" w:rsidRPr="00AB2332">
        <w:rPr>
          <w:rFonts w:ascii="Segoe UI" w:hAnsi="Segoe UI" w:cs="Segoe UI"/>
          <w:color w:val="7030A0"/>
          <w:rtl/>
          <w:lang w:val="en-ZW"/>
        </w:rPr>
        <w:t>–</w:t>
      </w:r>
      <w:r w:rsidR="007C2804" w:rsidRPr="00AB2332">
        <w:rPr>
          <w:rFonts w:ascii="Segoe UI" w:hAnsi="Segoe UI" w:cs="Segoe UI" w:hint="cs"/>
          <w:color w:val="7030A0"/>
          <w:rtl/>
          <w:lang w:val="en-ZW"/>
        </w:rPr>
        <w:t xml:space="preserve"> </w:t>
      </w:r>
      <w:hyperlink r:id="rId15" w:history="1">
        <w:r w:rsidR="009D6C43" w:rsidRPr="00AB2332">
          <w:rPr>
            <w:rStyle w:val="Hyperlink"/>
            <w:rFonts w:ascii="Segoe UI" w:hAnsi="Segoe UI" w:cs="Segoe UI"/>
            <w:color w:val="7030A0"/>
            <w:lang w:val="en-US"/>
          </w:rPr>
          <w:t>farber.shay@gmail.com</w:t>
        </w:r>
      </w:hyperlink>
    </w:p>
    <w:p w14:paraId="07330986" w14:textId="210C5BCC" w:rsidR="009D6C43" w:rsidRPr="00AB2332" w:rsidRDefault="009D6C43" w:rsidP="00BB5FC9">
      <w:pPr>
        <w:tabs>
          <w:tab w:val="left" w:pos="6397"/>
        </w:tabs>
        <w:bidi/>
        <w:spacing w:after="0" w:line="276" w:lineRule="auto"/>
        <w:jc w:val="both"/>
        <w:rPr>
          <w:rFonts w:ascii="Segoe UI" w:hAnsi="Segoe UI" w:cs="Segoe UI"/>
          <w:color w:val="7030A0"/>
          <w:rtl/>
          <w:lang w:val="en-US"/>
        </w:rPr>
      </w:pPr>
      <w:r w:rsidRPr="00AB2332">
        <w:rPr>
          <w:rFonts w:ascii="Segoe UI" w:hAnsi="Segoe UI" w:cs="Segoe UI" w:hint="cs"/>
          <w:color w:val="7030A0"/>
          <w:rtl/>
          <w:lang w:val="en-US"/>
        </w:rPr>
        <w:t xml:space="preserve">ההרצאות </w:t>
      </w:r>
      <w:r w:rsidRPr="00AB2332">
        <w:rPr>
          <w:rFonts w:ascii="Segoe UI" w:hAnsi="Segoe UI" w:cs="Segoe UI"/>
          <w:color w:val="7030A0"/>
          <w:rtl/>
          <w:lang w:val="en-US"/>
        </w:rPr>
        <w:t>–</w:t>
      </w:r>
      <w:r w:rsidRPr="00AB2332">
        <w:rPr>
          <w:rFonts w:ascii="Segoe UI" w:hAnsi="Segoe UI" w:cs="Segoe UI" w:hint="cs"/>
          <w:color w:val="7030A0"/>
          <w:rtl/>
          <w:lang w:val="en-US"/>
        </w:rPr>
        <w:t xml:space="preserve"> שי מקליט את ההרצאות ומעלה אח"כ את ההקלטה.</w:t>
      </w:r>
      <w:r w:rsidR="0020710C" w:rsidRPr="00AB2332">
        <w:rPr>
          <w:rFonts w:ascii="Segoe UI" w:hAnsi="Segoe UI" w:cs="Segoe UI"/>
          <w:color w:val="7030A0"/>
          <w:rtl/>
          <w:lang w:val="en-US"/>
        </w:rPr>
        <w:tab/>
      </w:r>
    </w:p>
    <w:p w14:paraId="722A5901" w14:textId="5DA56888" w:rsidR="0020710C" w:rsidRPr="00AB2332" w:rsidRDefault="0020710C" w:rsidP="00BB5FC9">
      <w:pPr>
        <w:tabs>
          <w:tab w:val="left" w:pos="6397"/>
        </w:tabs>
        <w:bidi/>
        <w:spacing w:after="0" w:line="276" w:lineRule="auto"/>
        <w:jc w:val="both"/>
        <w:rPr>
          <w:rFonts w:ascii="Segoe UI" w:hAnsi="Segoe UI" w:cs="Segoe UI"/>
          <w:color w:val="7030A0"/>
          <w:rtl/>
          <w:lang w:val="en-US"/>
        </w:rPr>
      </w:pPr>
    </w:p>
    <w:p w14:paraId="6B396540" w14:textId="7DB34097" w:rsidR="00627CB6" w:rsidRPr="00091CD0" w:rsidRDefault="00627CB6" w:rsidP="00984952">
      <w:pPr>
        <w:pStyle w:val="ac"/>
        <w:rPr>
          <w:rtl w:val="0"/>
        </w:rPr>
      </w:pPr>
      <w:r w:rsidRPr="00091CD0">
        <w:rPr>
          <w:rFonts w:hint="cs"/>
        </w:rPr>
        <w:t>הנושאים המרכזיים שיילמדו בקורס</w:t>
      </w:r>
    </w:p>
    <w:p w14:paraId="1F1DDEF8" w14:textId="6362980F" w:rsidR="00627CB6" w:rsidRDefault="00627CB6"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סוגי ענישה (פיזית, מוות, קלון)</w:t>
      </w:r>
    </w:p>
    <w:p w14:paraId="58705269" w14:textId="40E4BF0B" w:rsidR="00627CB6" w:rsidRDefault="00627CB6"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הצדקות הענישה (</w:t>
      </w:r>
      <w:proofErr w:type="spellStart"/>
      <w:r>
        <w:rPr>
          <w:rFonts w:ascii="Segoe UI" w:hAnsi="Segoe UI" w:cs="Segoe UI" w:hint="cs"/>
          <w:rtl/>
          <w:lang w:val="en-ZW"/>
        </w:rPr>
        <w:t>גמוליות</w:t>
      </w:r>
      <w:proofErr w:type="spellEnd"/>
      <w:r>
        <w:rPr>
          <w:rFonts w:ascii="Segoe UI" w:hAnsi="Segoe UI" w:cs="Segoe UI" w:hint="cs"/>
          <w:rtl/>
          <w:lang w:val="en-ZW"/>
        </w:rPr>
        <w:t>, תועלתניות)</w:t>
      </w:r>
    </w:p>
    <w:p w14:paraId="2281EA7B" w14:textId="4F203C7F" w:rsidR="00627CB6" w:rsidRDefault="00627CB6"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מטרות הענישה (הלימה, שיקום)</w:t>
      </w:r>
    </w:p>
    <w:p w14:paraId="22BDBED6" w14:textId="3D79AF24" w:rsidR="00627CB6" w:rsidRDefault="00E72A55"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דרכי הענישה (מאסר, קנס, פיצויים)</w:t>
      </w:r>
    </w:p>
    <w:p w14:paraId="0040D6CB" w14:textId="2A1FD251" w:rsidR="00E72A55" w:rsidRDefault="00E72A55"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הבניית שיקול הדעת בענישה</w:t>
      </w:r>
    </w:p>
    <w:p w14:paraId="21D42C84" w14:textId="5D5E9BA7" w:rsidR="00E72A55" w:rsidRDefault="00E72A55"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הסדרי טיעון</w:t>
      </w:r>
    </w:p>
    <w:p w14:paraId="11863548" w14:textId="58822570" w:rsidR="00E72A55" w:rsidRDefault="00E72A55"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ענישת אישי ציבור</w:t>
      </w:r>
    </w:p>
    <w:p w14:paraId="13E321D7" w14:textId="0786C1D8" w:rsidR="00E72A55" w:rsidRDefault="00E72A55"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ענישת קטינים</w:t>
      </w:r>
    </w:p>
    <w:p w14:paraId="57C74220" w14:textId="56BB407B" w:rsidR="00E72A55" w:rsidRDefault="00E72A55"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ענישת פעילי טרור</w:t>
      </w:r>
    </w:p>
    <w:p w14:paraId="0F5F733A" w14:textId="50C5FAA8" w:rsidR="00E72A55" w:rsidRDefault="00E72A55"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ענישה בבתי משפט טיפוליים</w:t>
      </w:r>
    </w:p>
    <w:p w14:paraId="562DEAED" w14:textId="34C20BE4" w:rsidR="00E72A55" w:rsidRDefault="00E72A55" w:rsidP="00BB5FC9">
      <w:pPr>
        <w:pStyle w:val="ab"/>
        <w:numPr>
          <w:ilvl w:val="0"/>
          <w:numId w:val="1"/>
        </w:numPr>
        <w:bidi/>
        <w:spacing w:after="0" w:line="276" w:lineRule="auto"/>
        <w:jc w:val="both"/>
        <w:rPr>
          <w:rFonts w:ascii="Segoe UI" w:hAnsi="Segoe UI" w:cs="Segoe UI"/>
          <w:lang w:val="en-ZW"/>
        </w:rPr>
      </w:pPr>
      <w:r>
        <w:rPr>
          <w:rFonts w:ascii="Segoe UI" w:hAnsi="Segoe UI" w:cs="Segoe UI" w:hint="cs"/>
          <w:rtl/>
          <w:lang w:val="en-ZW"/>
        </w:rPr>
        <w:t>מעמד נפגעי העבירה בענישה</w:t>
      </w:r>
    </w:p>
    <w:p w14:paraId="134F0BB0" w14:textId="6D999C3A" w:rsidR="00E72A55" w:rsidRPr="00627CB6" w:rsidRDefault="00E72A55" w:rsidP="00BB5FC9">
      <w:pPr>
        <w:pStyle w:val="ab"/>
        <w:numPr>
          <w:ilvl w:val="0"/>
          <w:numId w:val="1"/>
        </w:numPr>
        <w:bidi/>
        <w:spacing w:after="0" w:line="276" w:lineRule="auto"/>
        <w:jc w:val="both"/>
        <w:rPr>
          <w:rFonts w:ascii="Segoe UI" w:hAnsi="Segoe UI" w:cs="Segoe UI"/>
          <w:rtl/>
          <w:lang w:val="en-ZW"/>
        </w:rPr>
      </w:pPr>
      <w:r>
        <w:rPr>
          <w:rFonts w:ascii="Segoe UI" w:hAnsi="Segoe UI" w:cs="Segoe UI" w:hint="cs"/>
          <w:rtl/>
          <w:lang w:val="en-ZW"/>
        </w:rPr>
        <w:t>זכויות אסירים</w:t>
      </w:r>
    </w:p>
    <w:p w14:paraId="35F14C3D" w14:textId="38AD80B9" w:rsidR="00627CB6" w:rsidRDefault="00627CB6" w:rsidP="00BB5FC9">
      <w:pPr>
        <w:bidi/>
        <w:spacing w:after="0" w:line="276" w:lineRule="auto"/>
        <w:jc w:val="both"/>
        <w:rPr>
          <w:rFonts w:ascii="Segoe UI" w:hAnsi="Segoe UI" w:cs="Segoe UI"/>
          <w:rtl/>
          <w:lang w:val="en-ZW"/>
        </w:rPr>
      </w:pPr>
    </w:p>
    <w:p w14:paraId="73300B7A" w14:textId="1ACA363A" w:rsidR="000B5953" w:rsidRDefault="000B5953" w:rsidP="000B5953">
      <w:pPr>
        <w:bidi/>
        <w:spacing w:after="0" w:line="276" w:lineRule="auto"/>
        <w:jc w:val="both"/>
        <w:rPr>
          <w:rFonts w:ascii="Segoe UI" w:hAnsi="Segoe UI" w:cs="Segoe UI"/>
          <w:rtl/>
          <w:lang w:val="en-ZW"/>
        </w:rPr>
      </w:pPr>
    </w:p>
    <w:p w14:paraId="5A8F211E" w14:textId="3FF97B10" w:rsidR="000B5953" w:rsidRDefault="000B5953" w:rsidP="000B5953">
      <w:pPr>
        <w:bidi/>
        <w:spacing w:after="0" w:line="276" w:lineRule="auto"/>
        <w:jc w:val="both"/>
        <w:rPr>
          <w:rFonts w:ascii="Segoe UI" w:hAnsi="Segoe UI" w:cs="Segoe UI"/>
          <w:rtl/>
          <w:lang w:val="en-ZW"/>
        </w:rPr>
      </w:pPr>
    </w:p>
    <w:p w14:paraId="60F2F58B" w14:textId="3C702F84" w:rsidR="000B5953" w:rsidRDefault="000B5953" w:rsidP="000B5953">
      <w:pPr>
        <w:bidi/>
        <w:spacing w:after="0" w:line="276" w:lineRule="auto"/>
        <w:jc w:val="both"/>
        <w:rPr>
          <w:rFonts w:ascii="Segoe UI" w:hAnsi="Segoe UI" w:cs="Segoe UI"/>
          <w:rtl/>
          <w:lang w:val="en-ZW"/>
        </w:rPr>
      </w:pPr>
    </w:p>
    <w:p w14:paraId="36DBBBFC" w14:textId="51A56F08" w:rsidR="000B5953" w:rsidRDefault="000B5953" w:rsidP="000B5953">
      <w:pPr>
        <w:bidi/>
        <w:spacing w:after="0" w:line="276" w:lineRule="auto"/>
        <w:jc w:val="both"/>
        <w:rPr>
          <w:rFonts w:ascii="Segoe UI" w:hAnsi="Segoe UI" w:cs="Segoe UI"/>
          <w:rtl/>
          <w:lang w:val="en-ZW"/>
        </w:rPr>
      </w:pPr>
    </w:p>
    <w:p w14:paraId="52A158DA" w14:textId="35217FAD" w:rsidR="000B5953" w:rsidRDefault="000B5953" w:rsidP="000B5953">
      <w:pPr>
        <w:bidi/>
        <w:spacing w:after="0" w:line="276" w:lineRule="auto"/>
        <w:jc w:val="both"/>
        <w:rPr>
          <w:rFonts w:ascii="Segoe UI" w:hAnsi="Segoe UI" w:cs="Segoe UI"/>
          <w:rtl/>
          <w:lang w:val="en-ZW"/>
        </w:rPr>
      </w:pPr>
    </w:p>
    <w:p w14:paraId="612BECAF" w14:textId="6A96D439" w:rsidR="000B5953" w:rsidRDefault="000B5953" w:rsidP="000B5953">
      <w:pPr>
        <w:bidi/>
        <w:spacing w:after="0" w:line="276" w:lineRule="auto"/>
        <w:jc w:val="both"/>
        <w:rPr>
          <w:rFonts w:ascii="Segoe UI" w:hAnsi="Segoe UI" w:cs="Segoe UI"/>
          <w:rtl/>
          <w:lang w:val="en-ZW"/>
        </w:rPr>
      </w:pPr>
    </w:p>
    <w:p w14:paraId="37586E04" w14:textId="28BB8523" w:rsidR="000B5953" w:rsidRDefault="000B5953" w:rsidP="000B5953">
      <w:pPr>
        <w:bidi/>
        <w:spacing w:after="0" w:line="276" w:lineRule="auto"/>
        <w:jc w:val="both"/>
        <w:rPr>
          <w:rFonts w:ascii="Segoe UI" w:hAnsi="Segoe UI" w:cs="Segoe UI"/>
          <w:rtl/>
          <w:lang w:val="en-ZW"/>
        </w:rPr>
      </w:pPr>
    </w:p>
    <w:p w14:paraId="3CEF66EF" w14:textId="45EC4447" w:rsidR="000B5953" w:rsidRDefault="000B5953" w:rsidP="000B5953">
      <w:pPr>
        <w:bidi/>
        <w:spacing w:after="0" w:line="276" w:lineRule="auto"/>
        <w:jc w:val="both"/>
        <w:rPr>
          <w:rFonts w:ascii="Segoe UI" w:hAnsi="Segoe UI" w:cs="Segoe UI"/>
          <w:rtl/>
          <w:lang w:val="en-ZW"/>
        </w:rPr>
      </w:pPr>
    </w:p>
    <w:p w14:paraId="14042BB7" w14:textId="7D0203E4" w:rsidR="000B5953" w:rsidRDefault="000B5953" w:rsidP="000B5953">
      <w:pPr>
        <w:bidi/>
        <w:spacing w:after="0" w:line="276" w:lineRule="auto"/>
        <w:jc w:val="both"/>
        <w:rPr>
          <w:rFonts w:ascii="Segoe UI" w:hAnsi="Segoe UI" w:cs="Segoe UI"/>
          <w:rtl/>
          <w:lang w:val="en-ZW"/>
        </w:rPr>
      </w:pPr>
    </w:p>
    <w:p w14:paraId="515C4B8C" w14:textId="4C91634A" w:rsidR="000B5953" w:rsidRDefault="000B5953" w:rsidP="000B5953">
      <w:pPr>
        <w:bidi/>
        <w:spacing w:after="0" w:line="276" w:lineRule="auto"/>
        <w:jc w:val="both"/>
        <w:rPr>
          <w:rFonts w:ascii="Segoe UI" w:hAnsi="Segoe UI" w:cs="Segoe UI"/>
          <w:rtl/>
          <w:lang w:val="en-ZW"/>
        </w:rPr>
      </w:pPr>
    </w:p>
    <w:p w14:paraId="009AE794" w14:textId="011EB547" w:rsidR="000B5953" w:rsidRDefault="000B5953" w:rsidP="000B5953">
      <w:pPr>
        <w:bidi/>
        <w:spacing w:after="0" w:line="276" w:lineRule="auto"/>
        <w:jc w:val="both"/>
        <w:rPr>
          <w:rFonts w:ascii="Segoe UI" w:hAnsi="Segoe UI" w:cs="Segoe UI"/>
          <w:rtl/>
          <w:lang w:val="en-ZW"/>
        </w:rPr>
      </w:pPr>
    </w:p>
    <w:p w14:paraId="121D0936" w14:textId="1361E061" w:rsidR="000B5953" w:rsidRDefault="000B5953" w:rsidP="000B5953">
      <w:pPr>
        <w:bidi/>
        <w:spacing w:after="0" w:line="276" w:lineRule="auto"/>
        <w:jc w:val="both"/>
        <w:rPr>
          <w:rFonts w:ascii="Segoe UI" w:hAnsi="Segoe UI" w:cs="Segoe UI"/>
          <w:rtl/>
          <w:lang w:val="en-ZW"/>
        </w:rPr>
      </w:pPr>
    </w:p>
    <w:p w14:paraId="2CE9B704" w14:textId="7DA33A58" w:rsidR="000B5953" w:rsidRDefault="000B5953" w:rsidP="000B5953">
      <w:pPr>
        <w:bidi/>
        <w:spacing w:after="0" w:line="276" w:lineRule="auto"/>
        <w:jc w:val="both"/>
        <w:rPr>
          <w:rFonts w:ascii="Segoe UI" w:hAnsi="Segoe UI" w:cs="Segoe UI"/>
          <w:rtl/>
          <w:lang w:val="en-ZW"/>
        </w:rPr>
      </w:pPr>
    </w:p>
    <w:p w14:paraId="7A022B9D" w14:textId="12044D15" w:rsidR="000B5953" w:rsidRDefault="000B5953" w:rsidP="000B5953">
      <w:pPr>
        <w:bidi/>
        <w:spacing w:after="0" w:line="276" w:lineRule="auto"/>
        <w:jc w:val="both"/>
        <w:rPr>
          <w:rFonts w:ascii="Segoe UI" w:hAnsi="Segoe UI" w:cs="Segoe UI"/>
          <w:rtl/>
          <w:lang w:val="en-ZW"/>
        </w:rPr>
      </w:pPr>
    </w:p>
    <w:p w14:paraId="4A0DD8D9" w14:textId="2DACA061" w:rsidR="000B5953" w:rsidRDefault="000B5953" w:rsidP="000B5953">
      <w:pPr>
        <w:bidi/>
        <w:spacing w:after="0" w:line="276" w:lineRule="auto"/>
        <w:jc w:val="both"/>
        <w:rPr>
          <w:rFonts w:ascii="Segoe UI" w:hAnsi="Segoe UI" w:cs="Segoe UI"/>
          <w:rtl/>
          <w:lang w:val="en-ZW"/>
        </w:rPr>
      </w:pPr>
    </w:p>
    <w:p w14:paraId="52916AF3" w14:textId="74EB89B2" w:rsidR="000B5953" w:rsidRDefault="000B5953" w:rsidP="000B5953">
      <w:pPr>
        <w:bidi/>
        <w:spacing w:after="0" w:line="276" w:lineRule="auto"/>
        <w:jc w:val="both"/>
        <w:rPr>
          <w:rFonts w:ascii="Segoe UI" w:hAnsi="Segoe UI" w:cs="Segoe UI"/>
          <w:rtl/>
          <w:lang w:val="en-ZW"/>
        </w:rPr>
      </w:pPr>
    </w:p>
    <w:p w14:paraId="0B0E7937" w14:textId="22559B7B" w:rsidR="000B5953" w:rsidRDefault="000B5953" w:rsidP="000B5953">
      <w:pPr>
        <w:bidi/>
        <w:spacing w:after="0" w:line="276" w:lineRule="auto"/>
        <w:jc w:val="both"/>
        <w:rPr>
          <w:rFonts w:ascii="Segoe UI" w:hAnsi="Segoe UI" w:cs="Segoe UI"/>
          <w:rtl/>
          <w:lang w:val="en-ZW"/>
        </w:rPr>
      </w:pPr>
    </w:p>
    <w:p w14:paraId="493A8A09" w14:textId="0651844C" w:rsidR="007B644D" w:rsidRDefault="007B644D" w:rsidP="007B644D">
      <w:pPr>
        <w:bidi/>
        <w:spacing w:after="0" w:line="276" w:lineRule="auto"/>
        <w:jc w:val="both"/>
        <w:rPr>
          <w:rFonts w:ascii="Segoe UI" w:hAnsi="Segoe UI" w:cs="Segoe UI"/>
          <w:rtl/>
          <w:lang w:val="en-ZW"/>
        </w:rPr>
      </w:pPr>
    </w:p>
    <w:p w14:paraId="004D01A6" w14:textId="13EA37DF" w:rsidR="004B13C5" w:rsidRDefault="004B13C5" w:rsidP="004B13C5">
      <w:pPr>
        <w:bidi/>
        <w:spacing w:after="0" w:line="276" w:lineRule="auto"/>
        <w:jc w:val="both"/>
        <w:rPr>
          <w:rFonts w:ascii="Segoe UI" w:hAnsi="Segoe UI" w:cs="Segoe UI"/>
          <w:rtl/>
          <w:lang w:val="en-ZW"/>
        </w:rPr>
      </w:pPr>
    </w:p>
    <w:p w14:paraId="1B6E1C56" w14:textId="3E984ABF" w:rsidR="004B13C5" w:rsidRDefault="004B13C5" w:rsidP="004B13C5">
      <w:pPr>
        <w:bidi/>
        <w:spacing w:after="0" w:line="276" w:lineRule="auto"/>
        <w:jc w:val="both"/>
        <w:rPr>
          <w:rFonts w:ascii="Segoe UI" w:hAnsi="Segoe UI" w:cs="Segoe UI"/>
          <w:rtl/>
          <w:lang w:val="en-ZW"/>
        </w:rPr>
      </w:pPr>
    </w:p>
    <w:p w14:paraId="737860EB" w14:textId="067FC2AE" w:rsidR="004B13C5" w:rsidRDefault="004B13C5" w:rsidP="004B13C5">
      <w:pPr>
        <w:bidi/>
        <w:spacing w:after="0" w:line="276" w:lineRule="auto"/>
        <w:jc w:val="both"/>
        <w:rPr>
          <w:rFonts w:ascii="Segoe UI" w:hAnsi="Segoe UI" w:cs="Segoe UI"/>
          <w:rtl/>
          <w:lang w:val="en-ZW"/>
        </w:rPr>
      </w:pPr>
    </w:p>
    <w:p w14:paraId="6E5C305A" w14:textId="062A2CED" w:rsidR="004B13C5" w:rsidRDefault="004B13C5" w:rsidP="004B13C5">
      <w:pPr>
        <w:bidi/>
        <w:spacing w:after="0" w:line="276" w:lineRule="auto"/>
        <w:jc w:val="both"/>
        <w:rPr>
          <w:rFonts w:ascii="Segoe UI" w:hAnsi="Segoe UI" w:cs="Segoe UI"/>
          <w:rtl/>
          <w:lang w:val="en-ZW"/>
        </w:rPr>
      </w:pPr>
    </w:p>
    <w:p w14:paraId="3418F6CF" w14:textId="77777777" w:rsidR="00DE3BAC" w:rsidRDefault="00DE3BAC" w:rsidP="00DE3BAC">
      <w:pPr>
        <w:bidi/>
        <w:spacing w:after="0" w:line="276" w:lineRule="auto"/>
        <w:jc w:val="both"/>
        <w:rPr>
          <w:rFonts w:ascii="Segoe UI" w:hAnsi="Segoe UI" w:cs="Segoe UI"/>
          <w:rtl/>
          <w:lang w:val="en-ZW"/>
        </w:rPr>
      </w:pPr>
    </w:p>
    <w:p w14:paraId="672F7C1D" w14:textId="0C87DB23" w:rsidR="00627CB6" w:rsidRPr="00BD5DE8" w:rsidRDefault="00E72A55" w:rsidP="004E26A9">
      <w:pPr>
        <w:pStyle w:val="1"/>
        <w:rPr>
          <w:rtl/>
        </w:rPr>
      </w:pPr>
      <w:bookmarkStart w:id="1" w:name="_Toc108218170"/>
      <w:r w:rsidRPr="00BD5DE8">
        <w:rPr>
          <w:rFonts w:hint="cs"/>
          <w:rtl/>
        </w:rPr>
        <w:lastRenderedPageBreak/>
        <w:t>מבוא והקדמה</w:t>
      </w:r>
      <w:bookmarkEnd w:id="1"/>
    </w:p>
    <w:p w14:paraId="1ADAC2BF" w14:textId="1260980A" w:rsidR="004B13C5" w:rsidRDefault="004B13C5" w:rsidP="004E26A9">
      <w:pPr>
        <w:tabs>
          <w:tab w:val="left" w:pos="6397"/>
        </w:tabs>
        <w:bidi/>
        <w:spacing w:after="0" w:line="276" w:lineRule="auto"/>
        <w:jc w:val="both"/>
        <w:rPr>
          <w:rFonts w:ascii="Segoe UI" w:hAnsi="Segoe UI" w:cs="Segoe UI"/>
          <w:color w:val="7030A0"/>
          <w:rtl/>
          <w:lang w:val="en-US"/>
        </w:rPr>
      </w:pPr>
      <w:r w:rsidRPr="00AB2332">
        <w:rPr>
          <w:rFonts w:ascii="Segoe UI" w:hAnsi="Segoe UI" w:cs="Segoe UI" w:hint="cs"/>
          <w:color w:val="7030A0"/>
          <w:rtl/>
          <w:lang w:val="en-US"/>
        </w:rPr>
        <w:t>אין מושג כזה של שוויון בחוק, צדק במשפט זה דבר יחסי בעיקר כאשר מגיעים לענישה. ענישה</w:t>
      </w:r>
      <w:r>
        <w:rPr>
          <w:rFonts w:ascii="Segoe UI" w:hAnsi="Segoe UI" w:cs="Segoe UI" w:hint="cs"/>
          <w:color w:val="7030A0"/>
          <w:rtl/>
          <w:lang w:val="en-US"/>
        </w:rPr>
        <w:t xml:space="preserve"> זה</w:t>
      </w:r>
      <w:r w:rsidRPr="00AB2332">
        <w:rPr>
          <w:rFonts w:ascii="Segoe UI" w:hAnsi="Segoe UI" w:cs="Segoe UI" w:hint="cs"/>
          <w:color w:val="7030A0"/>
          <w:rtl/>
          <w:lang w:val="en-US"/>
        </w:rPr>
        <w:t xml:space="preserve"> המקום הכי בולט </w:t>
      </w:r>
      <w:r>
        <w:rPr>
          <w:rFonts w:ascii="Segoe UI" w:hAnsi="Segoe UI" w:cs="Segoe UI" w:hint="cs"/>
          <w:color w:val="7030A0"/>
          <w:rtl/>
          <w:lang w:val="en-US"/>
        </w:rPr>
        <w:t>ל</w:t>
      </w:r>
      <w:r w:rsidRPr="00AB2332">
        <w:rPr>
          <w:rFonts w:ascii="Segoe UI" w:hAnsi="Segoe UI" w:cs="Segoe UI" w:hint="cs"/>
          <w:color w:val="7030A0"/>
          <w:rtl/>
          <w:lang w:val="en-US"/>
        </w:rPr>
        <w:t>חוסר צדק, בסוף מישהו צריך לתת מספר 5, 2, 3, וכו'..</w:t>
      </w:r>
    </w:p>
    <w:p w14:paraId="1EB56C62" w14:textId="77777777" w:rsidR="00082361" w:rsidRPr="004B13C5" w:rsidRDefault="00082361" w:rsidP="004E26A9">
      <w:pPr>
        <w:tabs>
          <w:tab w:val="left" w:pos="6397"/>
        </w:tabs>
        <w:bidi/>
        <w:spacing w:after="0" w:line="276" w:lineRule="auto"/>
        <w:jc w:val="both"/>
        <w:rPr>
          <w:rFonts w:ascii="Segoe UI" w:hAnsi="Segoe UI" w:cs="Segoe UI"/>
          <w:color w:val="7030A0"/>
          <w:rtl/>
          <w:lang w:val="en-US"/>
        </w:rPr>
      </w:pPr>
    </w:p>
    <w:p w14:paraId="16470748" w14:textId="3FC86BA4" w:rsidR="00627CB6" w:rsidRPr="00082361" w:rsidRDefault="008C72D2" w:rsidP="004E26A9">
      <w:pPr>
        <w:pStyle w:val="2"/>
        <w:rPr>
          <w:color w:val="7030A0"/>
          <w:rtl/>
        </w:rPr>
      </w:pPr>
      <w:bookmarkStart w:id="2" w:name="_Toc108218171"/>
      <w:r w:rsidRPr="00082361">
        <w:rPr>
          <w:rFonts w:hint="cs"/>
          <w:rtl/>
        </w:rPr>
        <w:t>מהו עונש?</w:t>
      </w:r>
      <w:bookmarkEnd w:id="2"/>
      <w:r w:rsidR="009F1FAD" w:rsidRPr="00082361">
        <w:rPr>
          <w:rFonts w:hint="cs"/>
          <w:rtl/>
        </w:rPr>
        <w:t xml:space="preserve"> </w:t>
      </w:r>
    </w:p>
    <w:p w14:paraId="35733F7D" w14:textId="7664771E" w:rsidR="0007292E" w:rsidRPr="0007292E" w:rsidRDefault="0007292E" w:rsidP="004E26A9">
      <w:pPr>
        <w:pStyle w:val="ab"/>
        <w:numPr>
          <w:ilvl w:val="0"/>
          <w:numId w:val="2"/>
        </w:numPr>
        <w:bidi/>
        <w:spacing w:after="0" w:line="276" w:lineRule="auto"/>
        <w:jc w:val="both"/>
        <w:rPr>
          <w:rFonts w:ascii="Segoe UI" w:hAnsi="Segoe UI" w:cs="Segoe UI"/>
          <w:rtl/>
          <w:lang w:val="en-ZW"/>
        </w:rPr>
      </w:pPr>
      <w:r w:rsidRPr="0007292E">
        <w:rPr>
          <w:rFonts w:ascii="Segoe UI" w:hAnsi="Segoe UI" w:cs="Segoe UI"/>
          <w:rtl/>
          <w:lang w:val="en-ZW"/>
        </w:rPr>
        <w:t>הקורס עוסק בענישה פלילית. לא בענישה של ילדים או בגירויים לא נעימים המופעלים על בני אדם או חיות</w:t>
      </w:r>
      <w:r w:rsidRPr="0007292E">
        <w:rPr>
          <w:rFonts w:ascii="Segoe UI" w:hAnsi="Segoe UI" w:cs="Segoe UI"/>
          <w:lang w:val="en-ZW"/>
        </w:rPr>
        <w:t>.</w:t>
      </w:r>
      <w:r w:rsidR="009F1FAD">
        <w:rPr>
          <w:rFonts w:ascii="Segoe UI" w:hAnsi="Segoe UI" w:cs="Segoe UI" w:hint="cs"/>
          <w:rtl/>
          <w:lang w:val="en-ZW"/>
        </w:rPr>
        <w:t xml:space="preserve"> </w:t>
      </w:r>
    </w:p>
    <w:p w14:paraId="2157710F" w14:textId="450075AE" w:rsidR="0007292E" w:rsidRPr="0007292E" w:rsidRDefault="0007292E" w:rsidP="004E26A9">
      <w:pPr>
        <w:pStyle w:val="ab"/>
        <w:numPr>
          <w:ilvl w:val="0"/>
          <w:numId w:val="2"/>
        </w:numPr>
        <w:bidi/>
        <w:spacing w:after="0" w:line="276" w:lineRule="auto"/>
        <w:jc w:val="both"/>
        <w:rPr>
          <w:rFonts w:ascii="Segoe UI" w:hAnsi="Segoe UI" w:cs="Segoe UI"/>
          <w:rtl/>
          <w:lang w:val="en-ZW"/>
        </w:rPr>
      </w:pPr>
      <w:r w:rsidRPr="0007292E">
        <w:rPr>
          <w:rFonts w:ascii="Segoe UI" w:hAnsi="Segoe UI" w:cs="Segoe UI"/>
          <w:rtl/>
          <w:lang w:val="en-ZW"/>
        </w:rPr>
        <w:t>הקורס לא עוסק בהיבטים סוציולוגיים של עונשים: רכילות, גינוי, החרמות, ביוש. (הגם שהם אפקטיביי</w:t>
      </w:r>
      <w:r>
        <w:rPr>
          <w:rFonts w:ascii="Segoe UI" w:hAnsi="Segoe UI" w:cs="Segoe UI" w:hint="cs"/>
          <w:rtl/>
          <w:lang w:val="en-ZW"/>
        </w:rPr>
        <w:t>ם</w:t>
      </w:r>
      <w:r w:rsidR="00460F81">
        <w:rPr>
          <w:rFonts w:ascii="Segoe UI" w:hAnsi="Segoe UI" w:cs="Segoe UI" w:hint="cs"/>
          <w:rtl/>
          <w:lang w:val="en-ZW"/>
        </w:rPr>
        <w:t xml:space="preserve">, </w:t>
      </w:r>
      <w:r w:rsidR="00460F81">
        <w:rPr>
          <w:rFonts w:ascii="Segoe UI" w:hAnsi="Segoe UI" w:cs="Segoe UI" w:hint="cs"/>
          <w:color w:val="7030A0"/>
          <w:rtl/>
          <w:lang w:val="en-ZW"/>
        </w:rPr>
        <w:t>אלה עונשים מאוד 'קטלניים' אבל אנחנו נעסוק אך ורק בענישה הפלילית לגווניה</w:t>
      </w:r>
      <w:r>
        <w:rPr>
          <w:rFonts w:ascii="Segoe UI" w:hAnsi="Segoe UI" w:cs="Segoe UI" w:hint="cs"/>
          <w:rtl/>
          <w:lang w:val="en-ZW"/>
        </w:rPr>
        <w:t>)</w:t>
      </w:r>
      <w:r w:rsidRPr="0007292E">
        <w:rPr>
          <w:rFonts w:ascii="Segoe UI" w:hAnsi="Segoe UI" w:cs="Segoe UI"/>
          <w:lang w:val="en-ZW"/>
        </w:rPr>
        <w:t>.</w:t>
      </w:r>
    </w:p>
    <w:p w14:paraId="011D41A0" w14:textId="276A6106" w:rsidR="008C72D2" w:rsidRDefault="0007292E" w:rsidP="004E26A9">
      <w:pPr>
        <w:pStyle w:val="ab"/>
        <w:numPr>
          <w:ilvl w:val="0"/>
          <w:numId w:val="2"/>
        </w:numPr>
        <w:bidi/>
        <w:spacing w:after="0" w:line="276" w:lineRule="auto"/>
        <w:jc w:val="both"/>
        <w:rPr>
          <w:rFonts w:ascii="Segoe UI" w:hAnsi="Segoe UI" w:cs="Segoe UI"/>
          <w:lang w:val="en-ZW"/>
        </w:rPr>
      </w:pPr>
      <w:r w:rsidRPr="0007292E">
        <w:rPr>
          <w:rFonts w:ascii="Segoe UI" w:hAnsi="Segoe UI" w:cs="Segoe UI"/>
          <w:rtl/>
          <w:lang w:val="en-ZW"/>
        </w:rPr>
        <w:t>תורת הענישה הפלילית – "</w:t>
      </w:r>
      <w:proofErr w:type="spellStart"/>
      <w:r w:rsidRPr="0007292E">
        <w:rPr>
          <w:rFonts w:ascii="Segoe UI" w:hAnsi="Segoe UI" w:cs="Segoe UI"/>
          <w:rtl/>
          <w:lang w:val="en-ZW"/>
        </w:rPr>
        <w:t>פנולוגיה</w:t>
      </w:r>
      <w:proofErr w:type="spellEnd"/>
      <w:r w:rsidRPr="0007292E">
        <w:rPr>
          <w:rFonts w:ascii="Segoe UI" w:hAnsi="Segoe UI" w:cs="Segoe UI"/>
          <w:rtl/>
          <w:lang w:val="en-ZW"/>
        </w:rPr>
        <w:t>" - תחום מדעי עצמאי שנמצא בתווך שבין משפט פלילי לקרימינולוגיה.</w:t>
      </w:r>
    </w:p>
    <w:p w14:paraId="3718DA41" w14:textId="2BE43C4F" w:rsidR="0007292E" w:rsidRDefault="0007292E" w:rsidP="004E26A9">
      <w:pPr>
        <w:pStyle w:val="ab"/>
        <w:numPr>
          <w:ilvl w:val="1"/>
          <w:numId w:val="2"/>
        </w:numPr>
        <w:bidi/>
        <w:spacing w:after="0" w:line="276" w:lineRule="auto"/>
        <w:ind w:left="1080"/>
        <w:jc w:val="both"/>
        <w:rPr>
          <w:rFonts w:ascii="Segoe UI" w:hAnsi="Segoe UI" w:cs="Segoe UI"/>
          <w:lang w:val="en-ZW"/>
        </w:rPr>
      </w:pPr>
      <w:r>
        <w:rPr>
          <w:rFonts w:ascii="Segoe UI" w:hAnsi="Segoe UI" w:cs="Segoe UI" w:hint="cs"/>
          <w:rtl/>
          <w:lang w:val="en-ZW"/>
        </w:rPr>
        <w:t xml:space="preserve">"תורת הענישה" </w:t>
      </w:r>
      <w:r>
        <w:rPr>
          <w:rFonts w:ascii="Segoe UI" w:hAnsi="Segoe UI" w:cs="Segoe UI"/>
          <w:rtl/>
          <w:lang w:val="en-ZW"/>
        </w:rPr>
        <w:t>–</w:t>
      </w:r>
      <w:r>
        <w:rPr>
          <w:rFonts w:ascii="Segoe UI" w:hAnsi="Segoe UI" w:cs="Segoe UI" w:hint="cs"/>
          <w:rtl/>
          <w:lang w:val="en-ZW"/>
        </w:rPr>
        <w:t xml:space="preserve"> תחום מדעי עם הוצאת ספרו של הפילוסוף האיטלקי </w:t>
      </w:r>
      <w:proofErr w:type="spellStart"/>
      <w:r>
        <w:rPr>
          <w:rFonts w:ascii="Segoe UI" w:hAnsi="Segoe UI" w:cs="Segoe UI" w:hint="cs"/>
          <w:rtl/>
          <w:lang w:val="en-ZW"/>
        </w:rPr>
        <w:t>בקאריה</w:t>
      </w:r>
      <w:proofErr w:type="spellEnd"/>
      <w:r>
        <w:rPr>
          <w:rFonts w:ascii="Segoe UI" w:hAnsi="Segoe UI" w:cs="Segoe UI" w:hint="cs"/>
          <w:rtl/>
          <w:lang w:val="en-ZW"/>
        </w:rPr>
        <w:t xml:space="preserve"> "העבירות והעונשים" (1964).</w:t>
      </w:r>
    </w:p>
    <w:p w14:paraId="6DEA6755" w14:textId="484FF8C6" w:rsidR="0007292E" w:rsidRDefault="0007292E" w:rsidP="004E26A9">
      <w:pPr>
        <w:pStyle w:val="ab"/>
        <w:numPr>
          <w:ilvl w:val="2"/>
          <w:numId w:val="2"/>
        </w:numPr>
        <w:bidi/>
        <w:spacing w:after="0" w:line="276" w:lineRule="auto"/>
        <w:ind w:left="1443"/>
        <w:jc w:val="both"/>
        <w:rPr>
          <w:rFonts w:ascii="Segoe UI" w:hAnsi="Segoe UI" w:cs="Segoe UI"/>
          <w:lang w:val="en-ZW"/>
        </w:rPr>
      </w:pPr>
      <w:proofErr w:type="spellStart"/>
      <w:r w:rsidRPr="00A128BB">
        <w:rPr>
          <w:rFonts w:ascii="Segoe UI" w:hAnsi="Segoe UI" w:cs="Segoe UI" w:hint="cs"/>
          <w:highlight w:val="green"/>
          <w:rtl/>
          <w:lang w:val="en-ZW"/>
        </w:rPr>
        <w:t>בקאריה</w:t>
      </w:r>
      <w:proofErr w:type="spellEnd"/>
      <w:r>
        <w:rPr>
          <w:rFonts w:ascii="Segoe UI" w:hAnsi="Segoe UI" w:cs="Segoe UI" w:hint="cs"/>
          <w:rtl/>
          <w:lang w:val="en-ZW"/>
        </w:rPr>
        <w:t>:</w:t>
      </w:r>
    </w:p>
    <w:p w14:paraId="3F079B4C" w14:textId="15138F52" w:rsidR="0007292E" w:rsidRDefault="0007292E" w:rsidP="004E26A9">
      <w:pPr>
        <w:pStyle w:val="ab"/>
        <w:numPr>
          <w:ilvl w:val="3"/>
          <w:numId w:val="2"/>
        </w:numPr>
        <w:bidi/>
        <w:spacing w:after="0" w:line="276" w:lineRule="auto"/>
        <w:ind w:left="1800"/>
        <w:jc w:val="both"/>
        <w:rPr>
          <w:rFonts w:ascii="Segoe UI" w:hAnsi="Segoe UI" w:cs="Segoe UI"/>
          <w:lang w:val="en-ZW"/>
        </w:rPr>
      </w:pPr>
      <w:r>
        <w:rPr>
          <w:rFonts w:ascii="Segoe UI" w:hAnsi="Segoe UI" w:cs="Segoe UI" w:hint="cs"/>
          <w:rtl/>
          <w:lang w:val="en-ZW"/>
        </w:rPr>
        <w:t>הענישה איננה נקמה אלא כלי הגנה על החברה</w:t>
      </w:r>
    </w:p>
    <w:p w14:paraId="2A6E0180" w14:textId="604F5C4B" w:rsidR="0007292E" w:rsidRDefault="0007292E" w:rsidP="004E26A9">
      <w:pPr>
        <w:pStyle w:val="ab"/>
        <w:numPr>
          <w:ilvl w:val="3"/>
          <w:numId w:val="2"/>
        </w:numPr>
        <w:bidi/>
        <w:spacing w:after="0" w:line="276" w:lineRule="auto"/>
        <w:ind w:left="1800"/>
        <w:jc w:val="both"/>
        <w:rPr>
          <w:rFonts w:ascii="Segoe UI" w:hAnsi="Segoe UI" w:cs="Segoe UI"/>
          <w:lang w:val="en-ZW"/>
        </w:rPr>
      </w:pPr>
      <w:r>
        <w:rPr>
          <w:rFonts w:ascii="Segoe UI" w:hAnsi="Segoe UI" w:cs="Segoe UI" w:hint="cs"/>
          <w:rtl/>
          <w:lang w:val="en-ZW"/>
        </w:rPr>
        <w:t>על ההליכים הפליליים להיות שיטתיים ומדעיים</w:t>
      </w:r>
    </w:p>
    <w:p w14:paraId="5F948B40" w14:textId="3802A8D2" w:rsidR="0007292E" w:rsidRDefault="0007292E" w:rsidP="004E26A9">
      <w:pPr>
        <w:pStyle w:val="ab"/>
        <w:numPr>
          <w:ilvl w:val="3"/>
          <w:numId w:val="2"/>
        </w:numPr>
        <w:bidi/>
        <w:spacing w:after="0" w:line="276" w:lineRule="auto"/>
        <w:ind w:left="1800"/>
        <w:jc w:val="both"/>
        <w:rPr>
          <w:rFonts w:ascii="Segoe UI" w:hAnsi="Segoe UI" w:cs="Segoe UI"/>
          <w:lang w:val="en-ZW"/>
        </w:rPr>
      </w:pPr>
      <w:r>
        <w:rPr>
          <w:rFonts w:ascii="Segoe UI" w:hAnsi="Segoe UI" w:cs="Segoe UI" w:hint="cs"/>
          <w:rtl/>
          <w:lang w:val="en-ZW"/>
        </w:rPr>
        <w:t>העונשים צריכים להיות תואמים לחומרת העבירה</w:t>
      </w:r>
      <w:r w:rsidR="00C15E8D">
        <w:rPr>
          <w:rFonts w:ascii="Segoe UI" w:hAnsi="Segoe UI" w:cs="Segoe UI" w:hint="cs"/>
          <w:rtl/>
          <w:lang w:val="en-ZW"/>
        </w:rPr>
        <w:t xml:space="preserve"> </w:t>
      </w:r>
      <w:r w:rsidR="00C15E8D">
        <w:rPr>
          <w:rFonts w:ascii="Segoe UI" w:hAnsi="Segoe UI" w:cs="Segoe UI"/>
          <w:rtl/>
          <w:lang w:val="en-ZW"/>
        </w:rPr>
        <w:t>–</w:t>
      </w:r>
      <w:r w:rsidR="00C15E8D">
        <w:rPr>
          <w:rFonts w:ascii="Segoe UI" w:hAnsi="Segoe UI" w:cs="Segoe UI" w:hint="cs"/>
          <w:rtl/>
          <w:lang w:val="en-ZW"/>
        </w:rPr>
        <w:t xml:space="preserve"> </w:t>
      </w:r>
      <w:r w:rsidR="00C15E8D">
        <w:rPr>
          <w:rFonts w:ascii="Segoe UI" w:hAnsi="Segoe UI" w:cs="Segoe UI" w:hint="cs"/>
          <w:color w:val="7030A0"/>
          <w:rtl/>
          <w:lang w:val="en-ZW"/>
        </w:rPr>
        <w:t>עונש על רצח ועל גניבה לא יכול להיות אותו הדבר</w:t>
      </w:r>
    </w:p>
    <w:p w14:paraId="2286F94E" w14:textId="1F2EC8EA" w:rsidR="0007292E" w:rsidRDefault="0007292E" w:rsidP="004E26A9">
      <w:pPr>
        <w:pStyle w:val="ab"/>
        <w:numPr>
          <w:ilvl w:val="3"/>
          <w:numId w:val="2"/>
        </w:numPr>
        <w:bidi/>
        <w:spacing w:after="0" w:line="276" w:lineRule="auto"/>
        <w:ind w:left="1800"/>
        <w:jc w:val="both"/>
        <w:rPr>
          <w:rFonts w:ascii="Segoe UI" w:hAnsi="Segoe UI" w:cs="Segoe UI"/>
          <w:lang w:val="en-ZW"/>
        </w:rPr>
      </w:pPr>
      <w:r>
        <w:rPr>
          <w:rFonts w:ascii="Segoe UI" w:hAnsi="Segoe UI" w:cs="Segoe UI" w:hint="cs"/>
          <w:rtl/>
          <w:lang w:val="en-ZW"/>
        </w:rPr>
        <w:t>יש לשים קץ לפעולות שרירות של השלטון</w:t>
      </w:r>
      <w:r w:rsidR="00C15E8D">
        <w:rPr>
          <w:rFonts w:ascii="Segoe UI" w:hAnsi="Segoe UI" w:cs="Segoe UI" w:hint="cs"/>
          <w:rtl/>
          <w:lang w:val="en-ZW"/>
        </w:rPr>
        <w:t xml:space="preserve"> </w:t>
      </w:r>
      <w:r w:rsidR="00C15E8D">
        <w:rPr>
          <w:rFonts w:ascii="Segoe UI" w:hAnsi="Segoe UI" w:cs="Segoe UI"/>
          <w:rtl/>
          <w:lang w:val="en-ZW"/>
        </w:rPr>
        <w:t>–</w:t>
      </w:r>
      <w:r w:rsidR="00C15E8D">
        <w:rPr>
          <w:rFonts w:ascii="Segoe UI" w:hAnsi="Segoe UI" w:cs="Segoe UI" w:hint="cs"/>
          <w:rtl/>
          <w:lang w:val="en-ZW"/>
        </w:rPr>
        <w:t xml:space="preserve"> </w:t>
      </w:r>
      <w:r w:rsidR="00C15E8D">
        <w:rPr>
          <w:rFonts w:ascii="Segoe UI" w:hAnsi="Segoe UI" w:cs="Segoe UI" w:hint="cs"/>
          <w:color w:val="7030A0"/>
          <w:rtl/>
          <w:lang w:val="en-ZW"/>
        </w:rPr>
        <w:t>זה עדיין קיים בכל מיני מדינות בעולם</w:t>
      </w:r>
    </w:p>
    <w:p w14:paraId="39BC4094" w14:textId="2FBC4332" w:rsidR="0007292E" w:rsidRDefault="0007292E" w:rsidP="004E26A9">
      <w:pPr>
        <w:pStyle w:val="ab"/>
        <w:numPr>
          <w:ilvl w:val="3"/>
          <w:numId w:val="2"/>
        </w:numPr>
        <w:bidi/>
        <w:spacing w:after="0" w:line="276" w:lineRule="auto"/>
        <w:ind w:left="1800"/>
        <w:jc w:val="both"/>
        <w:rPr>
          <w:rFonts w:ascii="Segoe UI" w:hAnsi="Segoe UI" w:cs="Segoe UI"/>
          <w:lang w:val="en-ZW"/>
        </w:rPr>
      </w:pPr>
      <w:r>
        <w:rPr>
          <w:rFonts w:ascii="Segoe UI" w:hAnsi="Segoe UI" w:cs="Segoe UI" w:hint="cs"/>
          <w:rtl/>
          <w:lang w:val="en-ZW"/>
        </w:rPr>
        <w:t>יש להפסיק להשתמש בעינויים</w:t>
      </w:r>
      <w:r w:rsidR="00C15E8D">
        <w:rPr>
          <w:rFonts w:ascii="Segoe UI" w:hAnsi="Segoe UI" w:cs="Segoe UI" w:hint="cs"/>
          <w:rtl/>
          <w:lang w:val="en-ZW"/>
        </w:rPr>
        <w:t xml:space="preserve"> </w:t>
      </w:r>
      <w:r w:rsidR="00C15E8D">
        <w:rPr>
          <w:rFonts w:ascii="Segoe UI" w:hAnsi="Segoe UI" w:cs="Segoe UI"/>
          <w:rtl/>
          <w:lang w:val="en-ZW"/>
        </w:rPr>
        <w:t>–</w:t>
      </w:r>
      <w:r w:rsidR="00C15E8D">
        <w:rPr>
          <w:rFonts w:ascii="Segoe UI" w:hAnsi="Segoe UI" w:cs="Segoe UI" w:hint="cs"/>
          <w:rtl/>
          <w:lang w:val="en-ZW"/>
        </w:rPr>
        <w:t xml:space="preserve"> </w:t>
      </w:r>
      <w:r w:rsidR="00C15E8D">
        <w:rPr>
          <w:rFonts w:ascii="Segoe UI" w:hAnsi="Segoe UI" w:cs="Segoe UI" w:hint="cs"/>
          <w:color w:val="7030A0"/>
          <w:rtl/>
          <w:lang w:val="en-ZW"/>
        </w:rPr>
        <w:t>כי בעינויים כל אחד יודה בעבירה</w:t>
      </w:r>
    </w:p>
    <w:p w14:paraId="1AB125CD" w14:textId="075E3808" w:rsidR="0007292E" w:rsidRPr="0007292E" w:rsidRDefault="0007292E" w:rsidP="004E26A9">
      <w:pPr>
        <w:pStyle w:val="ab"/>
        <w:numPr>
          <w:ilvl w:val="2"/>
          <w:numId w:val="2"/>
        </w:numPr>
        <w:bidi/>
        <w:spacing w:after="0" w:line="276" w:lineRule="auto"/>
        <w:ind w:left="1443"/>
        <w:jc w:val="both"/>
        <w:rPr>
          <w:rFonts w:ascii="Segoe UI" w:hAnsi="Segoe UI" w:cs="Segoe UI"/>
          <w:lang w:val="en-ZW"/>
        </w:rPr>
      </w:pPr>
      <w:r w:rsidRPr="00A128BB">
        <w:rPr>
          <w:rFonts w:ascii="Segoe UI" w:hAnsi="Segoe UI" w:cs="Segoe UI" w:hint="cs"/>
          <w:highlight w:val="green"/>
          <w:rtl/>
          <w:lang w:val="en-ZW"/>
        </w:rPr>
        <w:t>הארט</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לענישה פלילית חמישה אפיונים מרכזיים:</w:t>
      </w:r>
    </w:p>
    <w:p w14:paraId="5A46D38C" w14:textId="21B88D61" w:rsidR="0007292E" w:rsidRDefault="0007292E" w:rsidP="004E26A9">
      <w:pPr>
        <w:pStyle w:val="ab"/>
        <w:numPr>
          <w:ilvl w:val="3"/>
          <w:numId w:val="3"/>
        </w:numPr>
        <w:bidi/>
        <w:spacing w:after="0" w:line="276" w:lineRule="auto"/>
        <w:ind w:left="1800"/>
        <w:jc w:val="both"/>
        <w:rPr>
          <w:rFonts w:ascii="Segoe UI" w:hAnsi="Segoe UI" w:cs="Segoe UI"/>
          <w:lang w:val="en-ZW"/>
        </w:rPr>
      </w:pPr>
      <w:r>
        <w:rPr>
          <w:rFonts w:ascii="Segoe UI" w:hAnsi="Segoe UI" w:cs="Segoe UI" w:hint="cs"/>
          <w:rtl/>
          <w:lang w:val="en-ZW"/>
        </w:rPr>
        <w:t>הוא גורם סבל (כאב, מצוקה, השפלה, ויתור על חיי נוחות)</w:t>
      </w:r>
      <w:r w:rsidR="00C15E8D">
        <w:rPr>
          <w:rFonts w:ascii="Segoe UI" w:hAnsi="Segoe UI" w:cs="Segoe UI" w:hint="cs"/>
          <w:rtl/>
          <w:lang w:val="en-ZW"/>
        </w:rPr>
        <w:t xml:space="preserve"> </w:t>
      </w:r>
      <w:r w:rsidR="00C15E8D">
        <w:rPr>
          <w:rFonts w:ascii="Segoe UI" w:hAnsi="Segoe UI" w:cs="Segoe UI"/>
          <w:rtl/>
          <w:lang w:val="en-ZW"/>
        </w:rPr>
        <w:t>–</w:t>
      </w:r>
      <w:r w:rsidR="00C15E8D">
        <w:rPr>
          <w:rFonts w:ascii="Segoe UI" w:hAnsi="Segoe UI" w:cs="Segoe UI" w:hint="cs"/>
          <w:rtl/>
          <w:lang w:val="en-ZW"/>
        </w:rPr>
        <w:t xml:space="preserve"> </w:t>
      </w:r>
      <w:r w:rsidR="00C15E8D">
        <w:rPr>
          <w:rFonts w:ascii="Segoe UI" w:hAnsi="Segoe UI" w:cs="Segoe UI" w:hint="cs"/>
          <w:color w:val="7030A0"/>
          <w:rtl/>
          <w:lang w:val="en-ZW"/>
        </w:rPr>
        <w:t xml:space="preserve">עונש שהוא 'פוצי </w:t>
      </w:r>
      <w:proofErr w:type="spellStart"/>
      <w:r w:rsidR="00C15E8D">
        <w:rPr>
          <w:rFonts w:ascii="Segoe UI" w:hAnsi="Segoe UI" w:cs="Segoe UI" w:hint="cs"/>
          <w:color w:val="7030A0"/>
          <w:rtl/>
          <w:lang w:val="en-ZW"/>
        </w:rPr>
        <w:t>מוצי</w:t>
      </w:r>
      <w:proofErr w:type="spellEnd"/>
      <w:r w:rsidR="00C15E8D">
        <w:rPr>
          <w:rFonts w:ascii="Segoe UI" w:hAnsi="Segoe UI" w:cs="Segoe UI" w:hint="cs"/>
          <w:color w:val="7030A0"/>
          <w:rtl/>
          <w:lang w:val="en-ZW"/>
        </w:rPr>
        <w:t>' הוא לא עונש, ההגדרה הפשוטה של עונש זה משהו שגורם סבל לאדם אחר</w:t>
      </w:r>
      <w:r w:rsidR="003B16B1">
        <w:rPr>
          <w:rFonts w:ascii="Segoe UI" w:hAnsi="Segoe UI" w:cs="Segoe UI" w:hint="cs"/>
          <w:color w:val="7030A0"/>
          <w:rtl/>
          <w:lang w:val="en-ZW"/>
        </w:rPr>
        <w:t>, נראה כל מיני סוגים של סבל ונלמד על כך בהמשך בעיקר בזכויות אסירים. יש מושג מאוד מוכר בקרימינולוגיה "כאבי מאסר"</w:t>
      </w:r>
      <w:r w:rsidR="00240D06">
        <w:rPr>
          <w:rFonts w:ascii="Segoe UI" w:hAnsi="Segoe UI" w:cs="Segoe UI" w:hint="cs"/>
          <w:color w:val="7030A0"/>
          <w:rtl/>
          <w:lang w:val="en-ZW"/>
        </w:rPr>
        <w:t xml:space="preserve">. אחד הדברים ההכי פופולרי זה לקיחת הזכות של קיום יחסי מין וזה כואב מאוד לאסירים </w:t>
      </w:r>
      <w:proofErr w:type="spellStart"/>
      <w:r w:rsidR="00240D06">
        <w:rPr>
          <w:rFonts w:ascii="Segoe UI" w:hAnsi="Segoe UI" w:cs="Segoe UI" w:hint="cs"/>
          <w:color w:val="7030A0"/>
          <w:rtl/>
          <w:lang w:val="en-ZW"/>
        </w:rPr>
        <w:t>ספיצפיים</w:t>
      </w:r>
      <w:proofErr w:type="spellEnd"/>
    </w:p>
    <w:p w14:paraId="3894C357" w14:textId="3DFCD6CE" w:rsidR="0007292E" w:rsidRDefault="0007292E" w:rsidP="004E26A9">
      <w:pPr>
        <w:pStyle w:val="ab"/>
        <w:numPr>
          <w:ilvl w:val="3"/>
          <w:numId w:val="3"/>
        </w:numPr>
        <w:bidi/>
        <w:spacing w:after="0" w:line="276" w:lineRule="auto"/>
        <w:ind w:left="1800"/>
        <w:jc w:val="both"/>
        <w:rPr>
          <w:rFonts w:ascii="Segoe UI" w:hAnsi="Segoe UI" w:cs="Segoe UI"/>
          <w:lang w:val="en-ZW"/>
        </w:rPr>
      </w:pPr>
      <w:r>
        <w:rPr>
          <w:rFonts w:ascii="Segoe UI" w:hAnsi="Segoe UI" w:cs="Segoe UI" w:hint="cs"/>
          <w:rtl/>
          <w:lang w:val="en-ZW"/>
        </w:rPr>
        <w:t>הוא מוטל כתוצאה מהליך משפטי פורמלי</w:t>
      </w:r>
      <w:r w:rsidR="00240D06">
        <w:rPr>
          <w:rFonts w:ascii="Segoe UI" w:hAnsi="Segoe UI" w:cs="Segoe UI" w:hint="cs"/>
          <w:rtl/>
          <w:lang w:val="en-ZW"/>
        </w:rPr>
        <w:t xml:space="preserve"> </w:t>
      </w:r>
      <w:r w:rsidR="00240D06">
        <w:rPr>
          <w:rFonts w:ascii="Segoe UI" w:hAnsi="Segoe UI" w:cs="Segoe UI"/>
          <w:rtl/>
          <w:lang w:val="en-ZW"/>
        </w:rPr>
        <w:t>–</w:t>
      </w:r>
      <w:r w:rsidR="00240D06">
        <w:rPr>
          <w:rFonts w:ascii="Segoe UI" w:hAnsi="Segoe UI" w:cs="Segoe UI" w:hint="cs"/>
          <w:rtl/>
          <w:lang w:val="en-ZW"/>
        </w:rPr>
        <w:t xml:space="preserve"> </w:t>
      </w:r>
      <w:r w:rsidR="00240D06">
        <w:rPr>
          <w:rFonts w:ascii="Segoe UI" w:hAnsi="Segoe UI" w:cs="Segoe UI" w:hint="cs"/>
          <w:color w:val="7030A0"/>
          <w:rtl/>
          <w:lang w:val="en-ZW"/>
        </w:rPr>
        <w:t>יש פרוצדורות וצריך לעבוד לפיהן</w:t>
      </w:r>
    </w:p>
    <w:p w14:paraId="3845E52C" w14:textId="27B7B043" w:rsidR="0007292E" w:rsidRDefault="0007292E" w:rsidP="004E26A9">
      <w:pPr>
        <w:pStyle w:val="ab"/>
        <w:numPr>
          <w:ilvl w:val="3"/>
          <w:numId w:val="3"/>
        </w:numPr>
        <w:bidi/>
        <w:spacing w:after="0" w:line="276" w:lineRule="auto"/>
        <w:ind w:left="1800"/>
        <w:jc w:val="both"/>
        <w:rPr>
          <w:rFonts w:ascii="Segoe UI" w:hAnsi="Segoe UI" w:cs="Segoe UI"/>
          <w:lang w:val="en-ZW"/>
        </w:rPr>
      </w:pPr>
      <w:r>
        <w:rPr>
          <w:rFonts w:ascii="Segoe UI" w:hAnsi="Segoe UI" w:cs="Segoe UI" w:hint="cs"/>
          <w:rtl/>
          <w:lang w:val="en-ZW"/>
        </w:rPr>
        <w:t>הוא מוטל על העבריין במתכוון על ידי גורם נוסף</w:t>
      </w:r>
      <w:r w:rsidR="00240D06">
        <w:rPr>
          <w:rFonts w:ascii="Segoe UI" w:hAnsi="Segoe UI" w:cs="Segoe UI" w:hint="cs"/>
          <w:rtl/>
          <w:lang w:val="en-ZW"/>
        </w:rPr>
        <w:t xml:space="preserve"> </w:t>
      </w:r>
      <w:r w:rsidR="00240D06">
        <w:rPr>
          <w:rFonts w:ascii="Segoe UI" w:hAnsi="Segoe UI" w:cs="Segoe UI"/>
          <w:rtl/>
          <w:lang w:val="en-ZW"/>
        </w:rPr>
        <w:t>–</w:t>
      </w:r>
      <w:r w:rsidR="00240D06">
        <w:rPr>
          <w:rFonts w:ascii="Segoe UI" w:hAnsi="Segoe UI" w:cs="Segoe UI" w:hint="cs"/>
          <w:rtl/>
          <w:lang w:val="en-ZW"/>
        </w:rPr>
        <w:t xml:space="preserve"> </w:t>
      </w:r>
      <w:r w:rsidR="00240D06">
        <w:rPr>
          <w:rFonts w:ascii="Segoe UI" w:hAnsi="Segoe UI" w:cs="Segoe UI" w:hint="cs"/>
          <w:color w:val="7030A0"/>
          <w:rtl/>
          <w:lang w:val="en-ZW"/>
        </w:rPr>
        <w:t>גורם שיפוטי שמכיר את ההליך</w:t>
      </w:r>
    </w:p>
    <w:p w14:paraId="33A2A596" w14:textId="55E685CA" w:rsidR="0007292E" w:rsidRDefault="0007292E" w:rsidP="004E26A9">
      <w:pPr>
        <w:pStyle w:val="ab"/>
        <w:numPr>
          <w:ilvl w:val="3"/>
          <w:numId w:val="3"/>
        </w:numPr>
        <w:bidi/>
        <w:spacing w:after="0" w:line="276" w:lineRule="auto"/>
        <w:ind w:left="1800"/>
        <w:jc w:val="both"/>
        <w:rPr>
          <w:rFonts w:ascii="Segoe UI" w:hAnsi="Segoe UI" w:cs="Segoe UI"/>
          <w:lang w:val="en-ZW"/>
        </w:rPr>
      </w:pPr>
      <w:r>
        <w:rPr>
          <w:rFonts w:ascii="Segoe UI" w:hAnsi="Segoe UI" w:cs="Segoe UI" w:hint="cs"/>
          <w:rtl/>
          <w:lang w:val="en-ZW"/>
        </w:rPr>
        <w:t>העונש מוטל על מי שנקבע שעבר את העבירה (אינדיווידואלי)</w:t>
      </w:r>
      <w:r w:rsidR="00240D06">
        <w:rPr>
          <w:rFonts w:ascii="Segoe UI" w:hAnsi="Segoe UI" w:cs="Segoe UI" w:hint="cs"/>
          <w:rtl/>
          <w:lang w:val="en-ZW"/>
        </w:rPr>
        <w:t xml:space="preserve"> </w:t>
      </w:r>
      <w:r w:rsidR="00240D06">
        <w:rPr>
          <w:rFonts w:ascii="Segoe UI" w:hAnsi="Segoe UI" w:cs="Segoe UI"/>
          <w:rtl/>
          <w:lang w:val="en-ZW"/>
        </w:rPr>
        <w:t>–</w:t>
      </w:r>
      <w:r w:rsidR="00240D06">
        <w:rPr>
          <w:rFonts w:ascii="Segoe UI" w:hAnsi="Segoe UI" w:cs="Segoe UI" w:hint="cs"/>
          <w:rtl/>
          <w:lang w:val="en-ZW"/>
        </w:rPr>
        <w:t xml:space="preserve"> </w:t>
      </w:r>
      <w:r w:rsidR="00240D06">
        <w:rPr>
          <w:rFonts w:ascii="Segoe UI" w:hAnsi="Segoe UI" w:cs="Segoe UI" w:hint="cs"/>
          <w:color w:val="7030A0"/>
          <w:rtl/>
          <w:lang w:val="en-ZW"/>
        </w:rPr>
        <w:t>בשונה מענישה קולקטיבית</w:t>
      </w:r>
    </w:p>
    <w:p w14:paraId="049AA99E" w14:textId="45641D16" w:rsidR="0007292E" w:rsidRDefault="0007292E" w:rsidP="004E26A9">
      <w:pPr>
        <w:pStyle w:val="ab"/>
        <w:numPr>
          <w:ilvl w:val="3"/>
          <w:numId w:val="3"/>
        </w:numPr>
        <w:bidi/>
        <w:spacing w:after="0" w:line="276" w:lineRule="auto"/>
        <w:ind w:left="1800"/>
        <w:jc w:val="both"/>
        <w:rPr>
          <w:rFonts w:ascii="Segoe UI" w:hAnsi="Segoe UI" w:cs="Segoe UI"/>
          <w:lang w:val="en-ZW"/>
        </w:rPr>
      </w:pPr>
      <w:r>
        <w:rPr>
          <w:rFonts w:ascii="Segoe UI" w:hAnsi="Segoe UI" w:cs="Segoe UI" w:hint="cs"/>
          <w:rtl/>
          <w:lang w:val="en-ZW"/>
        </w:rPr>
        <w:t>העונש מוטל על ידי רשות מוסמכת לפי החוק</w:t>
      </w:r>
      <w:r w:rsidR="00D5130C">
        <w:rPr>
          <w:rFonts w:ascii="Segoe UI" w:hAnsi="Segoe UI" w:cs="Segoe UI" w:hint="cs"/>
          <w:rtl/>
          <w:lang w:val="en-ZW"/>
        </w:rPr>
        <w:t xml:space="preserve"> </w:t>
      </w:r>
    </w:p>
    <w:p w14:paraId="31429503" w14:textId="33330AA7" w:rsidR="00D26D8F" w:rsidRDefault="00D26D8F" w:rsidP="004E26A9">
      <w:pPr>
        <w:pStyle w:val="ab"/>
        <w:numPr>
          <w:ilvl w:val="0"/>
          <w:numId w:val="3"/>
        </w:numPr>
        <w:bidi/>
        <w:spacing w:after="0" w:line="276" w:lineRule="auto"/>
        <w:jc w:val="both"/>
        <w:rPr>
          <w:rFonts w:ascii="Segoe UI" w:hAnsi="Segoe UI" w:cs="Segoe UI"/>
          <w:lang w:val="en-ZW"/>
        </w:rPr>
      </w:pPr>
      <w:r>
        <w:rPr>
          <w:rFonts w:ascii="Segoe UI" w:hAnsi="Segoe UI" w:cs="Segoe UI" w:hint="cs"/>
          <w:rtl/>
          <w:lang w:val="en-ZW"/>
        </w:rPr>
        <w:t>ההגדרות המקובלות בפסיקה לעונש:</w:t>
      </w:r>
    </w:p>
    <w:p w14:paraId="482C85BB" w14:textId="67081C2E" w:rsidR="00D26D8F" w:rsidRDefault="00D26D8F" w:rsidP="004E26A9">
      <w:pPr>
        <w:pStyle w:val="ab"/>
        <w:numPr>
          <w:ilvl w:val="1"/>
          <w:numId w:val="3"/>
        </w:numPr>
        <w:bidi/>
        <w:spacing w:after="0" w:line="276" w:lineRule="auto"/>
        <w:ind w:left="1080"/>
        <w:jc w:val="both"/>
        <w:rPr>
          <w:rFonts w:ascii="Segoe UI" w:hAnsi="Segoe UI" w:cs="Segoe UI"/>
          <w:lang w:val="en-ZW"/>
        </w:rPr>
      </w:pPr>
      <w:r>
        <w:rPr>
          <w:rFonts w:ascii="Segoe UI" w:hAnsi="Segoe UI" w:cs="Segoe UI" w:hint="cs"/>
          <w:rtl/>
          <w:lang w:val="en-ZW"/>
        </w:rPr>
        <w:t>אמצעי המוגדר בחוק</w:t>
      </w:r>
    </w:p>
    <w:p w14:paraId="3D2DFBDC" w14:textId="09239ECC" w:rsidR="005756E5" w:rsidRDefault="005756E5" w:rsidP="004E26A9">
      <w:pPr>
        <w:pStyle w:val="ab"/>
        <w:numPr>
          <w:ilvl w:val="2"/>
          <w:numId w:val="3"/>
        </w:numPr>
        <w:bidi/>
        <w:spacing w:after="0" w:line="276" w:lineRule="auto"/>
        <w:ind w:left="1443"/>
        <w:jc w:val="both"/>
        <w:rPr>
          <w:rFonts w:ascii="Segoe UI" w:hAnsi="Segoe UI" w:cs="Segoe UI"/>
          <w:lang w:val="en-ZW"/>
        </w:rPr>
      </w:pPr>
      <w:r>
        <w:rPr>
          <w:rFonts w:ascii="Segoe UI" w:hAnsi="Segoe UI" w:cs="Segoe UI" w:hint="cs"/>
          <w:rtl/>
          <w:lang w:val="en-ZW"/>
        </w:rPr>
        <w:t>קריטריון ראשון: "אמצעי המוגדר בחוק"</w:t>
      </w:r>
      <w:r w:rsidR="00B2050E">
        <w:rPr>
          <w:rFonts w:ascii="Segoe UI" w:hAnsi="Segoe UI" w:cs="Segoe UI" w:hint="cs"/>
          <w:rtl/>
          <w:lang w:val="en-ZW"/>
        </w:rPr>
        <w:t xml:space="preserve"> </w:t>
      </w:r>
      <w:r w:rsidR="00B2050E">
        <w:rPr>
          <w:rFonts w:ascii="Segoe UI" w:hAnsi="Segoe UI" w:cs="Segoe UI"/>
          <w:rtl/>
          <w:lang w:val="en-ZW"/>
        </w:rPr>
        <w:t>–</w:t>
      </w:r>
      <w:r w:rsidR="00B2050E">
        <w:rPr>
          <w:rFonts w:ascii="Segoe UI" w:hAnsi="Segoe UI" w:cs="Segoe UI" w:hint="cs"/>
          <w:rtl/>
          <w:lang w:val="en-ZW"/>
        </w:rPr>
        <w:t xml:space="preserve"> </w:t>
      </w:r>
      <w:r w:rsidR="00B2050E">
        <w:rPr>
          <w:rFonts w:ascii="Segoe UI" w:hAnsi="Segoe UI" w:cs="Segoe UI" w:hint="cs"/>
          <w:color w:val="7030A0"/>
          <w:rtl/>
          <w:lang w:val="en-ZW"/>
        </w:rPr>
        <w:t xml:space="preserve">עונש זה רק מה שכתוב בחוק! (מאסר, מע"ת, פיצויים, התחייבות, קנס וכו') ומה שלא שם אי אפשר לתת כעונש. </w:t>
      </w:r>
      <w:r w:rsidR="0070795A">
        <w:rPr>
          <w:rFonts w:ascii="Segoe UI" w:hAnsi="Segoe UI" w:cs="Segoe UI" w:hint="cs"/>
          <w:color w:val="7030A0"/>
          <w:rtl/>
          <w:lang w:val="en-ZW"/>
        </w:rPr>
        <w:t xml:space="preserve">נראה הרבה פסקי דין ששופטים נתנו פיצויים מעל 258 </w:t>
      </w:r>
      <w:proofErr w:type="spellStart"/>
      <w:r w:rsidR="0070795A">
        <w:rPr>
          <w:rFonts w:ascii="Segoe UI" w:hAnsi="Segoe UI" w:cs="Segoe UI" w:hint="cs"/>
          <w:color w:val="7030A0"/>
          <w:rtl/>
          <w:lang w:val="en-ZW"/>
        </w:rPr>
        <w:t>אש"ח</w:t>
      </w:r>
      <w:proofErr w:type="spellEnd"/>
      <w:r w:rsidR="0070795A">
        <w:rPr>
          <w:rFonts w:ascii="Segoe UI" w:hAnsi="Segoe UI" w:cs="Segoe UI" w:hint="cs"/>
          <w:color w:val="7030A0"/>
          <w:rtl/>
          <w:lang w:val="en-ZW"/>
        </w:rPr>
        <w:t xml:space="preserve"> וביטלו להם את פס"ד לגבי רכיב הפיצויים. </w:t>
      </w:r>
    </w:p>
    <w:p w14:paraId="0761892A" w14:textId="77777777" w:rsidR="00C3676F" w:rsidRPr="00C3676F" w:rsidRDefault="005756E5" w:rsidP="004E26A9">
      <w:pPr>
        <w:pStyle w:val="ab"/>
        <w:numPr>
          <w:ilvl w:val="2"/>
          <w:numId w:val="3"/>
        </w:numPr>
        <w:bidi/>
        <w:spacing w:after="0" w:line="276" w:lineRule="auto"/>
        <w:ind w:left="1443"/>
        <w:jc w:val="both"/>
        <w:rPr>
          <w:rFonts w:ascii="Segoe UI" w:hAnsi="Segoe UI" w:cs="Segoe UI"/>
          <w:lang w:val="en-ZW"/>
        </w:rPr>
      </w:pPr>
      <w:r>
        <w:rPr>
          <w:rFonts w:ascii="Segoe UI" w:hAnsi="Segoe UI" w:cs="Segoe UI" w:hint="cs"/>
          <w:rtl/>
          <w:lang w:val="en-ZW"/>
        </w:rPr>
        <w:t xml:space="preserve">אופי העונש ומידת העונש, צריך שייקבעו בחוק ולא יהיו נתונים </w:t>
      </w:r>
      <w:r>
        <w:rPr>
          <w:rFonts w:ascii="Segoe UI" w:hAnsi="Segoe UI" w:cs="Segoe UI" w:hint="cs"/>
          <w:b/>
          <w:bCs/>
          <w:rtl/>
          <w:lang w:val="en-ZW"/>
        </w:rPr>
        <w:t>לגמרי</w:t>
      </w:r>
      <w:r>
        <w:rPr>
          <w:rFonts w:ascii="Segoe UI" w:hAnsi="Segoe UI" w:cs="Segoe UI" w:hint="cs"/>
          <w:rtl/>
          <w:lang w:val="en-ZW"/>
        </w:rPr>
        <w:t xml:space="preserve"> לשיקול הדעת של בתי המשפט.</w:t>
      </w:r>
      <w:r w:rsidR="00DB1E32">
        <w:rPr>
          <w:rFonts w:ascii="Segoe UI" w:hAnsi="Segoe UI" w:cs="Segoe UI" w:hint="cs"/>
          <w:rtl/>
          <w:lang w:val="en-ZW"/>
        </w:rPr>
        <w:t xml:space="preserve"> </w:t>
      </w:r>
      <w:r w:rsidR="00DB1E32">
        <w:rPr>
          <w:rFonts w:ascii="Segoe UI" w:hAnsi="Segoe UI" w:cs="Segoe UI" w:hint="cs"/>
          <w:color w:val="7030A0"/>
          <w:rtl/>
          <w:lang w:val="en-ZW"/>
        </w:rPr>
        <w:t xml:space="preserve">זאת אומרת, העיקרון אומר שנכון לשופט יש שיקול דעת והוא לא טייס או רובוט, אבל יש לו טווח מסוים שבו הוא צריך להיות, לדוג' לשוד 20 שנות מאסר ולרצח מאסר עולם. לא יכול להיות מצב שבתיק אחד רצח יהיה שנתיים ובתיק אחר מאסר עולם. </w:t>
      </w:r>
    </w:p>
    <w:p w14:paraId="3FABCD5C" w14:textId="77777777" w:rsidR="00C3676F" w:rsidRDefault="005756E5" w:rsidP="004E26A9">
      <w:pPr>
        <w:pStyle w:val="ab"/>
        <w:bidi/>
        <w:spacing w:after="0" w:line="276" w:lineRule="auto"/>
        <w:ind w:left="1443"/>
        <w:jc w:val="both"/>
        <w:rPr>
          <w:rFonts w:ascii="Segoe UI" w:hAnsi="Segoe UI" w:cs="Segoe UI"/>
          <w:rtl/>
          <w:lang w:val="en-ZW"/>
        </w:rPr>
      </w:pPr>
      <w:r w:rsidRPr="00C3676F">
        <w:rPr>
          <w:rFonts w:ascii="Segoe UI" w:hAnsi="Segoe UI" w:cs="Segoe UI" w:hint="cs"/>
          <w:rtl/>
          <w:lang w:val="en-ZW"/>
        </w:rPr>
        <w:t xml:space="preserve">מצד אחד </w:t>
      </w:r>
      <w:r w:rsidRPr="00C3676F">
        <w:rPr>
          <w:rFonts w:ascii="Segoe UI" w:hAnsi="Segoe UI" w:cs="Segoe UI"/>
          <w:rtl/>
          <w:lang w:val="en-ZW"/>
        </w:rPr>
        <w:t>–</w:t>
      </w:r>
      <w:r w:rsidRPr="00C3676F">
        <w:rPr>
          <w:rFonts w:ascii="Segoe UI" w:hAnsi="Segoe UI" w:cs="Segoe UI" w:hint="cs"/>
          <w:rtl/>
          <w:lang w:val="en-ZW"/>
        </w:rPr>
        <w:t xml:space="preserve"> מצמצם את שיקול הדעת של בית המשפט.</w:t>
      </w:r>
    </w:p>
    <w:p w14:paraId="38C6DD23" w14:textId="77777777" w:rsidR="00C3676F" w:rsidRDefault="005756E5" w:rsidP="004E26A9">
      <w:pPr>
        <w:pStyle w:val="ab"/>
        <w:bidi/>
        <w:spacing w:after="0" w:line="276" w:lineRule="auto"/>
        <w:ind w:left="1443"/>
        <w:jc w:val="both"/>
        <w:rPr>
          <w:rFonts w:ascii="Segoe UI" w:hAnsi="Segoe UI" w:cs="Segoe UI"/>
          <w:rtl/>
          <w:lang w:val="en-ZW"/>
        </w:rPr>
      </w:pPr>
      <w:r w:rsidRPr="00C3676F">
        <w:rPr>
          <w:rFonts w:ascii="Segoe UI" w:hAnsi="Segoe UI" w:cs="Segoe UI" w:hint="cs"/>
          <w:rtl/>
          <w:lang w:val="en-ZW"/>
        </w:rPr>
        <w:t xml:space="preserve">מצד שני </w:t>
      </w:r>
      <w:r w:rsidRPr="00C3676F">
        <w:rPr>
          <w:rFonts w:ascii="Segoe UI" w:hAnsi="Segoe UI" w:cs="Segoe UI"/>
          <w:rtl/>
          <w:lang w:val="en-ZW"/>
        </w:rPr>
        <w:t>–</w:t>
      </w:r>
      <w:r w:rsidRPr="00C3676F">
        <w:rPr>
          <w:rFonts w:ascii="Segoe UI" w:hAnsi="Segoe UI" w:cs="Segoe UI" w:hint="cs"/>
          <w:rtl/>
          <w:lang w:val="en-ZW"/>
        </w:rPr>
        <w:t xml:space="preserve"> מונע שרירות לב והתעללות בעבריין. מסייע לשוויון.</w:t>
      </w:r>
    </w:p>
    <w:p w14:paraId="26FAE331" w14:textId="38CD5872" w:rsidR="005756E5" w:rsidRPr="00C3676F" w:rsidRDefault="005756E5" w:rsidP="004E26A9">
      <w:pPr>
        <w:pStyle w:val="ab"/>
        <w:bidi/>
        <w:spacing w:after="0" w:line="276" w:lineRule="auto"/>
        <w:ind w:left="1443"/>
        <w:jc w:val="both"/>
        <w:rPr>
          <w:rFonts w:ascii="Segoe UI" w:hAnsi="Segoe UI" w:cs="Segoe UI"/>
          <w:rtl/>
          <w:lang w:val="en-ZW"/>
        </w:rPr>
      </w:pPr>
      <w:r w:rsidRPr="00C3676F">
        <w:rPr>
          <w:rFonts w:ascii="Segoe UI" w:hAnsi="Segoe UI" w:cs="Segoe UI" w:hint="cs"/>
          <w:rtl/>
          <w:lang w:val="en-ZW"/>
        </w:rPr>
        <w:t xml:space="preserve">(בעבר </w:t>
      </w:r>
      <w:r w:rsidRPr="00C3676F">
        <w:rPr>
          <w:rFonts w:ascii="Segoe UI" w:hAnsi="Segoe UI" w:cs="Segoe UI"/>
          <w:rtl/>
          <w:lang w:val="en-ZW"/>
        </w:rPr>
        <w:t>–</w:t>
      </w:r>
      <w:r w:rsidRPr="00C3676F">
        <w:rPr>
          <w:rFonts w:ascii="Segoe UI" w:hAnsi="Segoe UI" w:cs="Segoe UI" w:hint="cs"/>
          <w:rtl/>
          <w:lang w:val="en-ZW"/>
        </w:rPr>
        <w:t xml:space="preserve"> עונשים לפי "קפריזה" של שופט)</w:t>
      </w:r>
    </w:p>
    <w:p w14:paraId="0D7845AF" w14:textId="0E6D0EF7" w:rsidR="00E47DC8" w:rsidRPr="00F55F68" w:rsidRDefault="00AC5FF4" w:rsidP="004E26A9">
      <w:pPr>
        <w:pStyle w:val="ab"/>
        <w:numPr>
          <w:ilvl w:val="0"/>
          <w:numId w:val="4"/>
        </w:numPr>
        <w:bidi/>
        <w:spacing w:after="0" w:line="276" w:lineRule="auto"/>
        <w:ind w:left="1443"/>
        <w:jc w:val="both"/>
        <w:rPr>
          <w:rFonts w:ascii="Segoe UI" w:hAnsi="Segoe UI" w:cs="Segoe UI"/>
          <w:lang w:val="en-ZW"/>
        </w:rPr>
      </w:pPr>
      <w:r w:rsidRPr="003F41EC">
        <w:rPr>
          <w:rFonts w:ascii="Segoe UI" w:hAnsi="Segoe UI" w:cs="Segoe UI" w:hint="cs"/>
          <w:highlight w:val="yellow"/>
          <w:rtl/>
          <w:lang w:val="en-ZW"/>
        </w:rPr>
        <w:lastRenderedPageBreak/>
        <w:t xml:space="preserve">בג"ץ 305/77 </w:t>
      </w:r>
      <w:r w:rsidRPr="003F41EC">
        <w:rPr>
          <w:rFonts w:ascii="Segoe UI" w:hAnsi="Segoe UI" w:cs="Segoe UI" w:hint="cs"/>
          <w:b/>
          <w:bCs/>
          <w:highlight w:val="yellow"/>
          <w:rtl/>
          <w:lang w:val="en-ZW"/>
        </w:rPr>
        <w:t>סלאמה נ' מנהל כלא שטה</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אסיר שעבר עבירות משמעת בכלא. נגזר עליו "שלילת קנטינה".</w:t>
      </w:r>
      <w:r w:rsidR="00DB1E32">
        <w:rPr>
          <w:rFonts w:ascii="Segoe UI" w:hAnsi="Segoe UI" w:cs="Segoe UI" w:hint="cs"/>
          <w:rtl/>
          <w:lang w:val="en-ZW"/>
        </w:rPr>
        <w:t xml:space="preserve"> </w:t>
      </w:r>
    </w:p>
    <w:p w14:paraId="0CEEF16A" w14:textId="77777777" w:rsidR="00C3676F" w:rsidRDefault="00C958A2" w:rsidP="004E26A9">
      <w:pPr>
        <w:pStyle w:val="ab"/>
        <w:bidi/>
        <w:spacing w:after="0" w:line="276" w:lineRule="auto"/>
        <w:ind w:left="1443"/>
        <w:jc w:val="both"/>
        <w:rPr>
          <w:rFonts w:ascii="Segoe UI" w:hAnsi="Segoe UI" w:cs="Segoe UI"/>
          <w:color w:val="7030A0"/>
          <w:rtl/>
          <w:lang w:val="en-ZW"/>
        </w:rPr>
      </w:pPr>
      <w:r w:rsidRPr="00C3676F">
        <w:rPr>
          <w:rFonts w:ascii="Segoe UI" w:hAnsi="Segoe UI" w:cs="Segoe UI" w:hint="cs"/>
          <w:color w:val="7030A0"/>
          <w:rtl/>
          <w:lang w:val="en-ZW"/>
        </w:rPr>
        <w:t xml:space="preserve">סלאמה עותר לבג"ץ וטוען שאין למפקד הכלא סמכות להטיל עליו עונש כזה משום שהוא אינו קבוע בחוק ולכן הוא בטל. </w:t>
      </w:r>
    </w:p>
    <w:p w14:paraId="0824D3B1" w14:textId="77777777" w:rsidR="00C3676F" w:rsidRDefault="00AC5FF4" w:rsidP="004E26A9">
      <w:pPr>
        <w:pStyle w:val="ab"/>
        <w:bidi/>
        <w:spacing w:after="0" w:line="276" w:lineRule="auto"/>
        <w:ind w:left="1443"/>
        <w:jc w:val="both"/>
        <w:rPr>
          <w:rFonts w:ascii="Segoe UI" w:hAnsi="Segoe UI" w:cs="Segoe UI"/>
          <w:rtl/>
          <w:lang w:val="en-ZW"/>
        </w:rPr>
      </w:pPr>
      <w:r w:rsidRPr="00C3676F">
        <w:rPr>
          <w:rFonts w:ascii="Segoe UI" w:hAnsi="Segoe UI" w:cs="Segoe UI" w:hint="cs"/>
          <w:rtl/>
          <w:lang w:val="en-ZW"/>
        </w:rPr>
        <w:t xml:space="preserve">בג"ץ: למרות </w:t>
      </w:r>
      <w:proofErr w:type="spellStart"/>
      <w:r w:rsidRPr="00C3676F">
        <w:rPr>
          <w:rFonts w:ascii="Segoe UI" w:hAnsi="Segoe UI" w:cs="Segoe UI" w:hint="cs"/>
          <w:rtl/>
          <w:lang w:val="en-ZW"/>
        </w:rPr>
        <w:t>שהקש"ב</w:t>
      </w:r>
      <w:proofErr w:type="spellEnd"/>
      <w:r w:rsidR="003F41EC" w:rsidRPr="00C3676F">
        <w:rPr>
          <w:rFonts w:ascii="Segoe UI" w:hAnsi="Segoe UI" w:cs="Segoe UI" w:hint="cs"/>
          <w:rtl/>
          <w:lang w:val="en-ZW"/>
        </w:rPr>
        <w:t xml:space="preserve"> (קצין שב"ס) התכוון להקל עם האסיר </w:t>
      </w:r>
      <w:r w:rsidR="003F41EC" w:rsidRPr="00C3676F">
        <w:rPr>
          <w:rFonts w:ascii="Segoe UI" w:hAnsi="Segoe UI" w:cs="Segoe UI"/>
          <w:rtl/>
          <w:lang w:val="en-ZW"/>
        </w:rPr>
        <w:t>–</w:t>
      </w:r>
      <w:r w:rsidR="003F41EC" w:rsidRPr="00C3676F">
        <w:rPr>
          <w:rFonts w:ascii="Segoe UI" w:hAnsi="Segoe UI" w:cs="Segoe UI" w:hint="cs"/>
          <w:rtl/>
          <w:lang w:val="en-ZW"/>
        </w:rPr>
        <w:t xml:space="preserve"> הוא לא היה מוסמך לעשות כן.</w:t>
      </w:r>
    </w:p>
    <w:p w14:paraId="043F8C73" w14:textId="0A30AB35" w:rsidR="003F41EC" w:rsidRPr="00C3676F" w:rsidRDefault="003F41EC" w:rsidP="004E26A9">
      <w:pPr>
        <w:pStyle w:val="ab"/>
        <w:bidi/>
        <w:spacing w:after="0" w:line="276" w:lineRule="auto"/>
        <w:ind w:left="1443"/>
        <w:jc w:val="both"/>
        <w:rPr>
          <w:rFonts w:ascii="Segoe UI" w:hAnsi="Segoe UI" w:cs="Segoe UI"/>
          <w:lang w:val="en-ZW"/>
        </w:rPr>
      </w:pPr>
      <w:r w:rsidRPr="00C3676F">
        <w:rPr>
          <w:rFonts w:ascii="Segoe UI" w:hAnsi="Segoe UI" w:cs="Segoe UI" w:hint="cs"/>
          <w:rtl/>
          <w:lang w:val="en-ZW"/>
        </w:rPr>
        <w:t xml:space="preserve">"הרשות מנועה ובלתי מוסמכת מלהטיל עונשים כל שהם שאינם מפורשים בחוק" (הש' חיים כהן). </w:t>
      </w:r>
      <w:r w:rsidR="00A80782" w:rsidRPr="00C3676F">
        <w:rPr>
          <w:rFonts w:ascii="Segoe UI" w:hAnsi="Segoe UI" w:cs="Segoe UI" w:hint="cs"/>
          <w:color w:val="7030A0"/>
          <w:rtl/>
          <w:lang w:val="en-ZW"/>
        </w:rPr>
        <w:t>אי אפשר לתת עונש למישהו אם הוא לא כתוב שחור על גבי לבן בחוק.</w:t>
      </w:r>
      <w:r w:rsidR="005D7890" w:rsidRPr="00C3676F">
        <w:rPr>
          <w:rFonts w:ascii="Segoe UI" w:hAnsi="Segoe UI" w:cs="Segoe UI" w:hint="cs"/>
          <w:color w:val="7030A0"/>
          <w:rtl/>
          <w:lang w:val="en-ZW"/>
        </w:rPr>
        <w:t xml:space="preserve"> </w:t>
      </w:r>
    </w:p>
    <w:p w14:paraId="54902CA6" w14:textId="4169472D" w:rsidR="00D26D8F" w:rsidRDefault="00D26D8F" w:rsidP="004E26A9">
      <w:pPr>
        <w:pStyle w:val="ab"/>
        <w:numPr>
          <w:ilvl w:val="1"/>
          <w:numId w:val="3"/>
        </w:numPr>
        <w:bidi/>
        <w:spacing w:after="0" w:line="276" w:lineRule="auto"/>
        <w:ind w:left="1080"/>
        <w:jc w:val="both"/>
        <w:rPr>
          <w:rFonts w:ascii="Segoe UI" w:hAnsi="Segoe UI" w:cs="Segoe UI"/>
          <w:lang w:val="en-ZW"/>
        </w:rPr>
      </w:pPr>
      <w:r>
        <w:rPr>
          <w:rFonts w:ascii="Segoe UI" w:hAnsi="Segoe UI" w:cs="Segoe UI" w:hint="cs"/>
          <w:rtl/>
          <w:lang w:val="en-ZW"/>
        </w:rPr>
        <w:t>אמצעי  בעל אופי מרתיע</w:t>
      </w:r>
    </w:p>
    <w:p w14:paraId="7EDC6C8D" w14:textId="3278B40F" w:rsidR="00BE1FC3" w:rsidRDefault="00BE1FC3" w:rsidP="004E26A9">
      <w:pPr>
        <w:pStyle w:val="ab"/>
        <w:numPr>
          <w:ilvl w:val="2"/>
          <w:numId w:val="3"/>
        </w:numPr>
        <w:bidi/>
        <w:spacing w:after="0" w:line="276" w:lineRule="auto"/>
        <w:ind w:left="1443"/>
        <w:jc w:val="both"/>
        <w:rPr>
          <w:rFonts w:ascii="Segoe UI" w:hAnsi="Segoe UI" w:cs="Segoe UI"/>
          <w:lang w:val="en-ZW"/>
        </w:rPr>
      </w:pPr>
      <w:r>
        <w:rPr>
          <w:rFonts w:ascii="Segoe UI" w:hAnsi="Segoe UI" w:cs="Segoe UI" w:hint="cs"/>
          <w:rtl/>
          <w:lang w:val="en-ZW"/>
        </w:rPr>
        <w:t>החוק קובע עונשים מתוך הנחה שאיום בעונש מרתיע את הציבור ומרתיע את העבריין הספציפי.</w:t>
      </w:r>
    </w:p>
    <w:p w14:paraId="5BA0792A" w14:textId="63FEEF32" w:rsidR="00BE1FC3" w:rsidRDefault="00BE1FC3" w:rsidP="004E26A9">
      <w:pPr>
        <w:pStyle w:val="ab"/>
        <w:numPr>
          <w:ilvl w:val="2"/>
          <w:numId w:val="3"/>
        </w:numPr>
        <w:bidi/>
        <w:spacing w:after="0" w:line="276" w:lineRule="auto"/>
        <w:ind w:left="1443"/>
        <w:jc w:val="both"/>
        <w:rPr>
          <w:rFonts w:ascii="Segoe UI" w:hAnsi="Segoe UI" w:cs="Segoe UI"/>
          <w:lang w:val="en-ZW"/>
        </w:rPr>
      </w:pPr>
      <w:r>
        <w:rPr>
          <w:rFonts w:ascii="Segoe UI" w:hAnsi="Segoe UI" w:cs="Segoe UI" w:hint="cs"/>
          <w:rtl/>
          <w:lang w:val="en-ZW"/>
        </w:rPr>
        <w:t>שאלה: האם ענישה מרתיעה? כייסים?</w:t>
      </w:r>
      <w:r w:rsidR="00CC4405">
        <w:rPr>
          <w:rFonts w:ascii="Segoe UI" w:hAnsi="Segoe UI" w:cs="Segoe UI" w:hint="cs"/>
          <w:rtl/>
          <w:lang w:val="en-ZW"/>
        </w:rPr>
        <w:t xml:space="preserve"> </w:t>
      </w:r>
      <w:r w:rsidR="003A2037">
        <w:rPr>
          <w:rFonts w:ascii="Segoe UI" w:hAnsi="Segoe UI" w:cs="Segoe UI" w:hint="cs"/>
          <w:color w:val="7030A0"/>
          <w:rtl/>
          <w:lang w:val="en-ZW"/>
        </w:rPr>
        <w:t xml:space="preserve">הדוג' של הכייסים היא כזו </w:t>
      </w:r>
      <w:r w:rsidR="003A2037">
        <w:rPr>
          <w:rFonts w:ascii="Segoe UI" w:hAnsi="Segoe UI" w:cs="Segoe UI"/>
          <w:color w:val="7030A0"/>
          <w:rtl/>
          <w:lang w:val="en-ZW"/>
        </w:rPr>
        <w:t>–</w:t>
      </w:r>
      <w:r w:rsidR="003A2037">
        <w:rPr>
          <w:rFonts w:ascii="Segoe UI" w:hAnsi="Segoe UI" w:cs="Segoe UI" w:hint="cs"/>
          <w:color w:val="7030A0"/>
          <w:rtl/>
          <w:lang w:val="en-ZW"/>
        </w:rPr>
        <w:t xml:space="preserve"> בימי הביניים תלו את הכייסים וכאשר תלו אותם זה היה יום חג שכולם באו לראות את התלייה, אנשים האמינו שזה מביא להם מזל טוב, אבל הסיפור המעניין הוא כזה </w:t>
      </w:r>
      <w:r w:rsidR="003A2037">
        <w:rPr>
          <w:rFonts w:ascii="Segoe UI" w:hAnsi="Segoe UI" w:cs="Segoe UI"/>
          <w:color w:val="7030A0"/>
          <w:rtl/>
          <w:lang w:val="en-ZW"/>
        </w:rPr>
        <w:t>–</w:t>
      </w:r>
      <w:r w:rsidR="003A2037">
        <w:rPr>
          <w:rFonts w:ascii="Segoe UI" w:hAnsi="Segoe UI" w:cs="Segoe UI" w:hint="cs"/>
          <w:color w:val="7030A0"/>
          <w:rtl/>
          <w:lang w:val="en-ZW"/>
        </w:rPr>
        <w:t xml:space="preserve"> בזמן תליית הכייסים היו מלא כייסים בקהל שכייסו את כולם. </w:t>
      </w:r>
      <w:r w:rsidR="00201943">
        <w:rPr>
          <w:rFonts w:ascii="Segoe UI" w:hAnsi="Segoe UI" w:cs="Segoe UI" w:hint="cs"/>
          <w:color w:val="7030A0"/>
          <w:rtl/>
          <w:lang w:val="en-ZW"/>
        </w:rPr>
        <w:t>אז מה בדיוק מרתיע? מה הדוג' הזו באה לומר? שהנה מישהו רואה מה עושים לכייס והוא ממשיך לכייס. למה אנשים עושים עבירות למרות שהם יודעים מה העונש?</w:t>
      </w:r>
      <w:r w:rsidR="00192AE3">
        <w:rPr>
          <w:rFonts w:ascii="Segoe UI" w:hAnsi="Segoe UI" w:cs="Segoe UI" w:hint="cs"/>
          <w:color w:val="7030A0"/>
          <w:rtl/>
          <w:lang w:val="en-ZW"/>
        </w:rPr>
        <w:t xml:space="preserve"> אנשים סובלים מאופטימיות יתר ומאמינים שלהם זה לא יקרה</w:t>
      </w:r>
      <w:r w:rsidR="0048301F">
        <w:rPr>
          <w:rFonts w:ascii="Segoe UI" w:hAnsi="Segoe UI" w:cs="Segoe UI" w:hint="cs"/>
          <w:color w:val="7030A0"/>
          <w:rtl/>
          <w:lang w:val="en-ZW"/>
        </w:rPr>
        <w:t xml:space="preserve"> ואותם לא יתפסו.</w:t>
      </w:r>
    </w:p>
    <w:p w14:paraId="6C73A28F" w14:textId="74597054" w:rsidR="00BE1FC3" w:rsidRDefault="00BE1FC3" w:rsidP="004E26A9">
      <w:pPr>
        <w:pStyle w:val="ab"/>
        <w:numPr>
          <w:ilvl w:val="2"/>
          <w:numId w:val="3"/>
        </w:numPr>
        <w:bidi/>
        <w:spacing w:after="0" w:line="276" w:lineRule="auto"/>
        <w:ind w:left="1443"/>
        <w:jc w:val="both"/>
        <w:rPr>
          <w:rFonts w:ascii="Segoe UI" w:hAnsi="Segoe UI" w:cs="Segoe UI"/>
          <w:lang w:val="en-ZW"/>
        </w:rPr>
      </w:pPr>
      <w:r>
        <w:rPr>
          <w:rFonts w:ascii="Segoe UI" w:hAnsi="Segoe UI" w:cs="Segoe UI" w:hint="cs"/>
          <w:rtl/>
          <w:lang w:val="en-ZW"/>
        </w:rPr>
        <w:t xml:space="preserve">מאחר שעונש הוא בעל אופי מרתיע </w:t>
      </w:r>
      <w:r>
        <w:rPr>
          <w:rFonts w:ascii="Segoe UI" w:hAnsi="Segoe UI" w:cs="Segoe UI"/>
          <w:rtl/>
          <w:lang w:val="en-ZW"/>
        </w:rPr>
        <w:t>–</w:t>
      </w:r>
      <w:r>
        <w:rPr>
          <w:rFonts w:ascii="Segoe UI" w:hAnsi="Segoe UI" w:cs="Segoe UI" w:hint="cs"/>
          <w:rtl/>
          <w:lang w:val="en-ZW"/>
        </w:rPr>
        <w:t xml:space="preserve"> לא רואים בצו אשפוז לפי חוק לטיפול בחולי נפש כעונש.</w:t>
      </w:r>
    </w:p>
    <w:p w14:paraId="26373ACE" w14:textId="37EC4AC7" w:rsidR="00BE1FC3" w:rsidRPr="008F624F" w:rsidRDefault="00BE1FC3" w:rsidP="004E26A9">
      <w:pPr>
        <w:pStyle w:val="ab"/>
        <w:bidi/>
        <w:spacing w:after="0" w:line="276" w:lineRule="auto"/>
        <w:ind w:left="2160"/>
        <w:jc w:val="both"/>
        <w:rPr>
          <w:rFonts w:ascii="Segoe UI" w:hAnsi="Segoe UI" w:cs="Segoe UI"/>
          <w:color w:val="7030A0"/>
          <w:lang w:val="en-ZW"/>
        </w:rPr>
      </w:pPr>
      <w:r>
        <w:rPr>
          <w:rFonts w:ascii="Segoe UI" w:hAnsi="Segoe UI" w:cs="Segoe UI" w:hint="cs"/>
          <w:rtl/>
          <w:lang w:val="en-ZW"/>
        </w:rPr>
        <w:t>הסיבה: הוא לא נועד להרתיע אלא כדי להגן על החברה (ועל הנאשם עצמו).</w:t>
      </w:r>
      <w:r w:rsidR="008F624F">
        <w:rPr>
          <w:rFonts w:ascii="Segoe UI" w:hAnsi="Segoe UI" w:cs="Segoe UI" w:hint="cs"/>
          <w:rtl/>
          <w:lang w:val="en-ZW"/>
        </w:rPr>
        <w:t xml:space="preserve"> </w:t>
      </w:r>
      <w:r w:rsidR="008F624F">
        <w:rPr>
          <w:rFonts w:ascii="Segoe UI" w:hAnsi="Segoe UI" w:cs="Segoe UI" w:hint="cs"/>
          <w:color w:val="7030A0"/>
          <w:rtl/>
          <w:lang w:val="en-ZW"/>
        </w:rPr>
        <w:t xml:space="preserve">אין היבט הרתעתי ואי אפשר להרתיע אדם לוקה בנפשו. </w:t>
      </w:r>
    </w:p>
    <w:p w14:paraId="2AC974D5" w14:textId="31CB04C2" w:rsidR="00D26D8F" w:rsidRDefault="00D26D8F" w:rsidP="004E26A9">
      <w:pPr>
        <w:pStyle w:val="ab"/>
        <w:numPr>
          <w:ilvl w:val="1"/>
          <w:numId w:val="3"/>
        </w:numPr>
        <w:bidi/>
        <w:spacing w:after="0" w:line="276" w:lineRule="auto"/>
        <w:ind w:left="1080"/>
        <w:jc w:val="both"/>
        <w:rPr>
          <w:rFonts w:ascii="Segoe UI" w:hAnsi="Segoe UI" w:cs="Segoe UI"/>
          <w:lang w:val="en-ZW"/>
        </w:rPr>
      </w:pPr>
      <w:r>
        <w:rPr>
          <w:rFonts w:ascii="Segoe UI" w:hAnsi="Segoe UI" w:cs="Segoe UI" w:hint="cs"/>
          <w:rtl/>
          <w:lang w:val="en-ZW"/>
        </w:rPr>
        <w:t>מוטל על אדם על פי החלטת הרשות השיפוטית במדינה בעקבות הרשעה בפלילים</w:t>
      </w:r>
    </w:p>
    <w:p w14:paraId="548256B9" w14:textId="4A43CF41" w:rsidR="00D26D8F" w:rsidRDefault="00AC0FFC" w:rsidP="004E26A9">
      <w:pPr>
        <w:pStyle w:val="ab"/>
        <w:numPr>
          <w:ilvl w:val="2"/>
          <w:numId w:val="3"/>
        </w:numPr>
        <w:bidi/>
        <w:spacing w:after="0" w:line="276" w:lineRule="auto"/>
        <w:ind w:left="1443"/>
        <w:jc w:val="both"/>
        <w:rPr>
          <w:rFonts w:ascii="Segoe UI" w:hAnsi="Segoe UI" w:cs="Segoe UI"/>
          <w:lang w:val="en-ZW"/>
        </w:rPr>
      </w:pPr>
      <w:r>
        <w:rPr>
          <w:rFonts w:ascii="Segoe UI" w:hAnsi="Segoe UI" w:cs="Segoe UI" w:hint="cs"/>
          <w:rtl/>
          <w:lang w:val="en-ZW"/>
        </w:rPr>
        <w:t>העונש מוטל בעקבות הרשעה על פי החלטה שיפוטית</w:t>
      </w:r>
      <w:r w:rsidR="00B2114C">
        <w:rPr>
          <w:rFonts w:ascii="Segoe UI" w:hAnsi="Segoe UI" w:cs="Segoe UI" w:hint="cs"/>
          <w:rtl/>
          <w:lang w:val="en-ZW"/>
        </w:rPr>
        <w:t xml:space="preserve"> </w:t>
      </w:r>
      <w:r w:rsidR="00B2114C">
        <w:rPr>
          <w:rFonts w:ascii="Segoe UI" w:hAnsi="Segoe UI" w:cs="Segoe UI"/>
          <w:rtl/>
          <w:lang w:val="en-ZW"/>
        </w:rPr>
        <w:t>–</w:t>
      </w:r>
      <w:r w:rsidR="00B2114C">
        <w:rPr>
          <w:rFonts w:ascii="Segoe UI" w:hAnsi="Segoe UI" w:cs="Segoe UI" w:hint="cs"/>
          <w:rtl/>
          <w:lang w:val="en-ZW"/>
        </w:rPr>
        <w:t xml:space="preserve"> </w:t>
      </w:r>
      <w:r w:rsidR="00B2114C">
        <w:rPr>
          <w:rFonts w:ascii="Segoe UI" w:hAnsi="Segoe UI" w:cs="Segoe UI" w:hint="cs"/>
          <w:color w:val="7030A0"/>
          <w:rtl/>
          <w:lang w:val="en-ZW"/>
        </w:rPr>
        <w:t>זה לא עונש כי מי שמטיל אותו הוא לא שופט.</w:t>
      </w:r>
    </w:p>
    <w:p w14:paraId="4DEFF225" w14:textId="5B4065E1" w:rsidR="00AC0FFC" w:rsidRDefault="00AC0FFC" w:rsidP="004E26A9">
      <w:pPr>
        <w:pStyle w:val="ab"/>
        <w:numPr>
          <w:ilvl w:val="2"/>
          <w:numId w:val="3"/>
        </w:numPr>
        <w:bidi/>
        <w:spacing w:after="0" w:line="276" w:lineRule="auto"/>
        <w:ind w:left="1443"/>
        <w:jc w:val="both"/>
        <w:rPr>
          <w:rFonts w:ascii="Segoe UI" w:hAnsi="Segoe UI" w:cs="Segoe UI"/>
          <w:lang w:val="en-ZW"/>
        </w:rPr>
      </w:pPr>
      <w:r>
        <w:rPr>
          <w:rFonts w:ascii="Segoe UI" w:hAnsi="Segoe UI" w:cs="Segoe UI" w:hint="cs"/>
          <w:rtl/>
          <w:lang w:val="en-ZW"/>
        </w:rPr>
        <w:t>הגדרה זו מוציאה עונשים משמעתיים (</w:t>
      </w:r>
      <w:proofErr w:type="spellStart"/>
      <w:r>
        <w:rPr>
          <w:rFonts w:ascii="Segoe UI" w:hAnsi="Segoe UI" w:cs="Segoe UI" w:hint="cs"/>
          <w:rtl/>
          <w:lang w:val="en-ZW"/>
        </w:rPr>
        <w:t>אונ</w:t>
      </w:r>
      <w:proofErr w:type="spellEnd"/>
      <w:r>
        <w:rPr>
          <w:rFonts w:ascii="Segoe UI" w:hAnsi="Segoe UI" w:cs="Segoe UI" w:hint="cs"/>
          <w:rtl/>
          <w:lang w:val="en-ZW"/>
        </w:rPr>
        <w:t xml:space="preserve">'; בית הדין להתאחדות לספורט; </w:t>
      </w:r>
      <w:proofErr w:type="spellStart"/>
      <w:r>
        <w:rPr>
          <w:rFonts w:ascii="Segoe UI" w:hAnsi="Segoe UI" w:cs="Segoe UI" w:hint="cs"/>
          <w:rtl/>
          <w:lang w:val="en-ZW"/>
        </w:rPr>
        <w:t>דמ"ש</w:t>
      </w:r>
      <w:proofErr w:type="spellEnd"/>
      <w:r>
        <w:rPr>
          <w:rFonts w:ascii="Segoe UI" w:hAnsi="Segoe UI" w:cs="Segoe UI" w:hint="cs"/>
          <w:rtl/>
          <w:lang w:val="en-ZW"/>
        </w:rPr>
        <w:t xml:space="preserve"> בצה"ל; שירות המדינה).</w:t>
      </w:r>
    </w:p>
    <w:p w14:paraId="50914E7D" w14:textId="233D7CDC" w:rsidR="00AC0FFC" w:rsidRDefault="00AC0FFC" w:rsidP="004E26A9">
      <w:pPr>
        <w:pStyle w:val="ab"/>
        <w:numPr>
          <w:ilvl w:val="2"/>
          <w:numId w:val="3"/>
        </w:numPr>
        <w:bidi/>
        <w:spacing w:after="0" w:line="276" w:lineRule="auto"/>
        <w:ind w:left="1443"/>
        <w:jc w:val="both"/>
        <w:rPr>
          <w:rFonts w:ascii="Segoe UI" w:hAnsi="Segoe UI" w:cs="Segoe UI"/>
          <w:lang w:val="en-ZW"/>
        </w:rPr>
      </w:pPr>
      <w:r>
        <w:rPr>
          <w:rFonts w:ascii="Segoe UI" w:hAnsi="Segoe UI" w:cs="Segoe UI" w:hint="cs"/>
          <w:rtl/>
          <w:lang w:val="en-ZW"/>
        </w:rPr>
        <w:t xml:space="preserve">דוג': צו אשפוז בבית חולים סגור </w:t>
      </w:r>
      <w:r>
        <w:rPr>
          <w:rFonts w:ascii="Segoe UI" w:hAnsi="Segoe UI" w:cs="Segoe UI"/>
          <w:rtl/>
          <w:lang w:val="en-ZW"/>
        </w:rPr>
        <w:t>–</w:t>
      </w:r>
      <w:r>
        <w:rPr>
          <w:rFonts w:ascii="Segoe UI" w:hAnsi="Segoe UI" w:cs="Segoe UI" w:hint="cs"/>
          <w:rtl/>
          <w:lang w:val="en-ZW"/>
        </w:rPr>
        <w:t xml:space="preserve"> לא עונש. לא עומד בקריטריון השלישי ("ניתן כתוצאה מפס"ד) מאחר שהוא פטור מהדין.</w:t>
      </w:r>
    </w:p>
    <w:p w14:paraId="08EBC26A" w14:textId="11F7B09D" w:rsidR="00C30FBB" w:rsidRDefault="00C30FBB" w:rsidP="00BB5FC9">
      <w:pPr>
        <w:bidi/>
        <w:spacing w:after="0" w:line="276" w:lineRule="auto"/>
        <w:jc w:val="both"/>
        <w:rPr>
          <w:rFonts w:ascii="Segoe UI" w:hAnsi="Segoe UI" w:cs="Segoe UI"/>
          <w:rtl/>
          <w:lang w:val="en-ZW"/>
        </w:rPr>
      </w:pPr>
    </w:p>
    <w:p w14:paraId="663F2F28" w14:textId="2913D4BB" w:rsidR="00072950" w:rsidRDefault="00072950" w:rsidP="00072950">
      <w:pPr>
        <w:bidi/>
        <w:spacing w:after="0" w:line="276" w:lineRule="auto"/>
        <w:jc w:val="both"/>
        <w:rPr>
          <w:rFonts w:ascii="Segoe UI" w:hAnsi="Segoe UI" w:cs="Segoe UI"/>
          <w:rtl/>
          <w:lang w:val="en-ZW"/>
        </w:rPr>
      </w:pPr>
    </w:p>
    <w:p w14:paraId="78D4E186" w14:textId="2588F863" w:rsidR="00072950" w:rsidRDefault="00072950" w:rsidP="00072950">
      <w:pPr>
        <w:bidi/>
        <w:spacing w:after="0" w:line="276" w:lineRule="auto"/>
        <w:jc w:val="both"/>
        <w:rPr>
          <w:rFonts w:ascii="Segoe UI" w:hAnsi="Segoe UI" w:cs="Segoe UI"/>
          <w:rtl/>
          <w:lang w:val="en-ZW"/>
        </w:rPr>
      </w:pPr>
    </w:p>
    <w:p w14:paraId="12ADB048" w14:textId="42DAB2F4" w:rsidR="00072950" w:rsidRDefault="00072950" w:rsidP="00072950">
      <w:pPr>
        <w:bidi/>
        <w:spacing w:after="0" w:line="276" w:lineRule="auto"/>
        <w:jc w:val="both"/>
        <w:rPr>
          <w:rFonts w:ascii="Segoe UI" w:hAnsi="Segoe UI" w:cs="Segoe UI"/>
          <w:rtl/>
          <w:lang w:val="en-ZW"/>
        </w:rPr>
      </w:pPr>
    </w:p>
    <w:p w14:paraId="5B102603" w14:textId="56A00973" w:rsidR="00072950" w:rsidRDefault="00072950" w:rsidP="00072950">
      <w:pPr>
        <w:bidi/>
        <w:spacing w:after="0" w:line="276" w:lineRule="auto"/>
        <w:jc w:val="both"/>
        <w:rPr>
          <w:rFonts w:ascii="Segoe UI" w:hAnsi="Segoe UI" w:cs="Segoe UI"/>
          <w:rtl/>
          <w:lang w:val="en-ZW"/>
        </w:rPr>
      </w:pPr>
    </w:p>
    <w:p w14:paraId="54976076" w14:textId="5567E080" w:rsidR="00072950" w:rsidRDefault="00072950" w:rsidP="00072950">
      <w:pPr>
        <w:bidi/>
        <w:spacing w:after="0" w:line="276" w:lineRule="auto"/>
        <w:jc w:val="both"/>
        <w:rPr>
          <w:rFonts w:ascii="Segoe UI" w:hAnsi="Segoe UI" w:cs="Segoe UI"/>
          <w:rtl/>
          <w:lang w:val="en-ZW"/>
        </w:rPr>
      </w:pPr>
    </w:p>
    <w:p w14:paraId="0D1C7A7A" w14:textId="7B180E5E" w:rsidR="00072950" w:rsidRDefault="00072950" w:rsidP="00072950">
      <w:pPr>
        <w:bidi/>
        <w:spacing w:after="0" w:line="276" w:lineRule="auto"/>
        <w:jc w:val="both"/>
        <w:rPr>
          <w:rFonts w:ascii="Segoe UI" w:hAnsi="Segoe UI" w:cs="Segoe UI"/>
          <w:rtl/>
          <w:lang w:val="en-ZW"/>
        </w:rPr>
      </w:pPr>
    </w:p>
    <w:p w14:paraId="64EC1605" w14:textId="2F0F76D3" w:rsidR="00072950" w:rsidRDefault="00072950" w:rsidP="00072950">
      <w:pPr>
        <w:bidi/>
        <w:spacing w:after="0" w:line="276" w:lineRule="auto"/>
        <w:jc w:val="both"/>
        <w:rPr>
          <w:rFonts w:ascii="Segoe UI" w:hAnsi="Segoe UI" w:cs="Segoe UI"/>
          <w:rtl/>
          <w:lang w:val="en-ZW"/>
        </w:rPr>
      </w:pPr>
    </w:p>
    <w:p w14:paraId="7F4E567D" w14:textId="38271BE1" w:rsidR="00072950" w:rsidRDefault="00072950" w:rsidP="00072950">
      <w:pPr>
        <w:bidi/>
        <w:spacing w:after="0" w:line="276" w:lineRule="auto"/>
        <w:jc w:val="both"/>
        <w:rPr>
          <w:rFonts w:ascii="Segoe UI" w:hAnsi="Segoe UI" w:cs="Segoe UI"/>
          <w:rtl/>
          <w:lang w:val="en-ZW"/>
        </w:rPr>
      </w:pPr>
    </w:p>
    <w:p w14:paraId="4F655137" w14:textId="7C7B84EC" w:rsidR="00072950" w:rsidRDefault="00072950" w:rsidP="00072950">
      <w:pPr>
        <w:bidi/>
        <w:spacing w:after="0" w:line="276" w:lineRule="auto"/>
        <w:jc w:val="both"/>
        <w:rPr>
          <w:rFonts w:ascii="Segoe UI" w:hAnsi="Segoe UI" w:cs="Segoe UI"/>
          <w:rtl/>
          <w:lang w:val="en-ZW"/>
        </w:rPr>
      </w:pPr>
    </w:p>
    <w:p w14:paraId="29A73CE2" w14:textId="650E2017" w:rsidR="00072950" w:rsidRDefault="00072950" w:rsidP="00072950">
      <w:pPr>
        <w:bidi/>
        <w:spacing w:after="0" w:line="276" w:lineRule="auto"/>
        <w:jc w:val="both"/>
        <w:rPr>
          <w:rFonts w:ascii="Segoe UI" w:hAnsi="Segoe UI" w:cs="Segoe UI"/>
          <w:rtl/>
          <w:lang w:val="en-ZW"/>
        </w:rPr>
      </w:pPr>
    </w:p>
    <w:p w14:paraId="69F1FD5A" w14:textId="60E7A702" w:rsidR="00072950" w:rsidRDefault="00072950" w:rsidP="00072950">
      <w:pPr>
        <w:bidi/>
        <w:spacing w:after="0" w:line="276" w:lineRule="auto"/>
        <w:jc w:val="both"/>
        <w:rPr>
          <w:rFonts w:ascii="Segoe UI" w:hAnsi="Segoe UI" w:cs="Segoe UI"/>
          <w:rtl/>
          <w:lang w:val="en-ZW"/>
        </w:rPr>
      </w:pPr>
    </w:p>
    <w:p w14:paraId="31FEE918" w14:textId="75FDFB19" w:rsidR="00072950" w:rsidRDefault="00072950" w:rsidP="00072950">
      <w:pPr>
        <w:bidi/>
        <w:spacing w:after="0" w:line="276" w:lineRule="auto"/>
        <w:jc w:val="both"/>
        <w:rPr>
          <w:rFonts w:ascii="Segoe UI" w:hAnsi="Segoe UI" w:cs="Segoe UI"/>
          <w:rtl/>
          <w:lang w:val="en-ZW"/>
        </w:rPr>
      </w:pPr>
    </w:p>
    <w:p w14:paraId="2B96E6F1" w14:textId="1783A10C" w:rsidR="00072950" w:rsidRDefault="00072950" w:rsidP="00072950">
      <w:pPr>
        <w:bidi/>
        <w:spacing w:after="0" w:line="276" w:lineRule="auto"/>
        <w:jc w:val="both"/>
        <w:rPr>
          <w:rFonts w:ascii="Segoe UI" w:hAnsi="Segoe UI" w:cs="Segoe UI"/>
          <w:rtl/>
          <w:lang w:val="en-ZW"/>
        </w:rPr>
      </w:pPr>
    </w:p>
    <w:p w14:paraId="35495DD3" w14:textId="703E5F58" w:rsidR="00E47DC8" w:rsidRDefault="00E47DC8" w:rsidP="00E47DC8">
      <w:pPr>
        <w:bidi/>
        <w:spacing w:after="0" w:line="276" w:lineRule="auto"/>
        <w:jc w:val="both"/>
        <w:rPr>
          <w:rFonts w:ascii="Segoe UI" w:hAnsi="Segoe UI" w:cs="Segoe UI"/>
          <w:rtl/>
          <w:lang w:val="en-ZW"/>
        </w:rPr>
      </w:pPr>
    </w:p>
    <w:p w14:paraId="23DC99FF" w14:textId="08E3E3EA" w:rsidR="00F217B7" w:rsidRDefault="00F217B7" w:rsidP="00F217B7">
      <w:pPr>
        <w:bidi/>
        <w:spacing w:after="0" w:line="276" w:lineRule="auto"/>
        <w:jc w:val="both"/>
        <w:rPr>
          <w:rFonts w:ascii="Segoe UI" w:hAnsi="Segoe UI" w:cs="Segoe UI"/>
          <w:rtl/>
          <w:lang w:val="en-ZW"/>
        </w:rPr>
      </w:pPr>
    </w:p>
    <w:p w14:paraId="29AB34BE" w14:textId="2813215C" w:rsidR="00F55F68" w:rsidRDefault="00F55F68" w:rsidP="00F55F68">
      <w:pPr>
        <w:bidi/>
        <w:spacing w:after="0" w:line="276" w:lineRule="auto"/>
        <w:jc w:val="both"/>
        <w:rPr>
          <w:rFonts w:ascii="Segoe UI" w:hAnsi="Segoe UI" w:cs="Segoe UI"/>
          <w:rtl/>
          <w:lang w:val="en-ZW"/>
        </w:rPr>
      </w:pPr>
    </w:p>
    <w:p w14:paraId="00F39314" w14:textId="77777777" w:rsidR="00F55F68" w:rsidRDefault="00F55F68" w:rsidP="00F55F68">
      <w:pPr>
        <w:bidi/>
        <w:spacing w:after="0" w:line="276" w:lineRule="auto"/>
        <w:jc w:val="both"/>
        <w:rPr>
          <w:rFonts w:ascii="Segoe UI" w:hAnsi="Segoe UI" w:cs="Segoe UI"/>
          <w:rtl/>
          <w:lang w:val="en-ZW"/>
        </w:rPr>
      </w:pPr>
    </w:p>
    <w:p w14:paraId="229664CC" w14:textId="1EFEBD6F" w:rsidR="00C30FBB" w:rsidRPr="00BD5DE8" w:rsidRDefault="00C30FBB" w:rsidP="00BB5FC9">
      <w:pPr>
        <w:pStyle w:val="1"/>
        <w:rPr>
          <w:rtl/>
        </w:rPr>
      </w:pPr>
      <w:bookmarkStart w:id="3" w:name="_Toc108218172"/>
      <w:r w:rsidRPr="00BD5DE8">
        <w:rPr>
          <w:rFonts w:hint="cs"/>
          <w:rtl/>
        </w:rPr>
        <w:lastRenderedPageBreak/>
        <w:t xml:space="preserve">סוגי הענישה </w:t>
      </w:r>
      <w:r w:rsidRPr="00BD5DE8">
        <w:rPr>
          <w:rtl/>
        </w:rPr>
        <w:t>–</w:t>
      </w:r>
      <w:r w:rsidRPr="00BD5DE8">
        <w:rPr>
          <w:rFonts w:hint="cs"/>
          <w:rtl/>
        </w:rPr>
        <w:t xml:space="preserve"> כללי</w:t>
      </w:r>
      <w:bookmarkEnd w:id="3"/>
    </w:p>
    <w:p w14:paraId="12DD6A0D" w14:textId="2CAA8F54" w:rsidR="00C30FBB" w:rsidRDefault="00C30FBB" w:rsidP="004E26A9">
      <w:pPr>
        <w:bidi/>
        <w:spacing w:after="0" w:line="276" w:lineRule="auto"/>
        <w:jc w:val="both"/>
        <w:rPr>
          <w:rFonts w:ascii="Segoe UI" w:hAnsi="Segoe UI" w:cs="Segoe UI"/>
          <w:rtl/>
          <w:lang w:val="en-ZW"/>
        </w:rPr>
      </w:pPr>
      <w:r>
        <w:rPr>
          <w:rFonts w:ascii="Segoe UI" w:hAnsi="Segoe UI" w:cs="Segoe UI" w:hint="cs"/>
          <w:rtl/>
          <w:lang w:val="en-ZW"/>
        </w:rPr>
        <w:t>נהוג לסווג את דרכי הענישה הפלילית לשמונה קבוצות "קלאסיות".</w:t>
      </w:r>
    </w:p>
    <w:p w14:paraId="2649592B" w14:textId="77777777" w:rsidR="00914FC0" w:rsidRDefault="00914FC0" w:rsidP="004E26A9">
      <w:pPr>
        <w:bidi/>
        <w:spacing w:after="0" w:line="276" w:lineRule="auto"/>
        <w:jc w:val="both"/>
        <w:rPr>
          <w:rFonts w:ascii="Segoe UI" w:hAnsi="Segoe UI" w:cs="Segoe UI"/>
          <w:rtl/>
          <w:lang w:val="en-ZW"/>
        </w:rPr>
      </w:pPr>
    </w:p>
    <w:p w14:paraId="46BFF6C0" w14:textId="3E9C9800" w:rsidR="00C30FBB" w:rsidRPr="00914FC0" w:rsidRDefault="00C30FBB" w:rsidP="004E26A9">
      <w:pPr>
        <w:pStyle w:val="110"/>
        <w:spacing w:line="276" w:lineRule="auto"/>
        <w:jc w:val="center"/>
      </w:pPr>
      <w:r w:rsidRPr="00914FC0">
        <w:rPr>
          <w:rFonts w:hint="cs"/>
          <w:rtl/>
        </w:rPr>
        <w:t>עונשי מוות</w:t>
      </w:r>
    </w:p>
    <w:p w14:paraId="36046202" w14:textId="6870094B" w:rsidR="00362E46" w:rsidRPr="00362E46" w:rsidRDefault="00362E46" w:rsidP="004E26A9">
      <w:pPr>
        <w:pStyle w:val="ab"/>
        <w:numPr>
          <w:ilvl w:val="1"/>
          <w:numId w:val="8"/>
        </w:numPr>
        <w:bidi/>
        <w:spacing w:after="0" w:line="276" w:lineRule="auto"/>
        <w:jc w:val="both"/>
        <w:rPr>
          <w:rFonts w:ascii="Segoe UI" w:hAnsi="Segoe UI" w:cs="Segoe UI"/>
          <w:u w:val="single"/>
          <w:lang w:val="en-ZW"/>
        </w:rPr>
      </w:pPr>
      <w:r>
        <w:rPr>
          <w:rFonts w:ascii="Segoe UI" w:hAnsi="Segoe UI" w:cs="Segoe UI" w:hint="cs"/>
          <w:rtl/>
          <w:lang w:val="en-ZW"/>
        </w:rPr>
        <w:t xml:space="preserve">בעבר </w:t>
      </w:r>
      <w:r>
        <w:rPr>
          <w:rFonts w:ascii="Segoe UI" w:hAnsi="Segoe UI" w:cs="Segoe UI"/>
          <w:rtl/>
          <w:lang w:val="en-ZW"/>
        </w:rPr>
        <w:t>–</w:t>
      </w:r>
      <w:r>
        <w:rPr>
          <w:rFonts w:ascii="Segoe UI" w:hAnsi="Segoe UI" w:cs="Segoe UI" w:hint="cs"/>
          <w:rtl/>
          <w:lang w:val="en-ZW"/>
        </w:rPr>
        <w:t xml:space="preserve"> בדרכים אכזריות </w:t>
      </w:r>
      <w:r>
        <w:rPr>
          <w:rFonts w:ascii="Segoe UI" w:hAnsi="Segoe UI" w:cs="Segoe UI"/>
          <w:rtl/>
          <w:lang w:val="en-ZW"/>
        </w:rPr>
        <w:t>–</w:t>
      </w:r>
      <w:r>
        <w:rPr>
          <w:rFonts w:ascii="Segoe UI" w:hAnsi="Segoe UI" w:cs="Segoe UI" w:hint="cs"/>
          <w:rtl/>
          <w:lang w:val="en-ZW"/>
        </w:rPr>
        <w:t xml:space="preserve"> תלייה, שריפה והטבעה.</w:t>
      </w:r>
    </w:p>
    <w:p w14:paraId="2D218393" w14:textId="62A2E5F3" w:rsidR="00362E46" w:rsidRPr="00362E46" w:rsidRDefault="00362E46" w:rsidP="004E26A9">
      <w:pPr>
        <w:pStyle w:val="ab"/>
        <w:numPr>
          <w:ilvl w:val="1"/>
          <w:numId w:val="8"/>
        </w:numPr>
        <w:bidi/>
        <w:spacing w:after="0" w:line="276" w:lineRule="auto"/>
        <w:jc w:val="both"/>
        <w:rPr>
          <w:rFonts w:ascii="Segoe UI" w:hAnsi="Segoe UI" w:cs="Segoe UI"/>
          <w:u w:val="single"/>
          <w:lang w:val="en-ZW"/>
        </w:rPr>
      </w:pPr>
      <w:r>
        <w:rPr>
          <w:rFonts w:ascii="Segoe UI" w:hAnsi="Segoe UI" w:cs="Segoe UI" w:hint="cs"/>
          <w:rtl/>
          <w:lang w:val="en-ZW"/>
        </w:rPr>
        <w:t>עדיין קיים בעולם (סין, ארה"ב, סעודיה והפיליפינים).</w:t>
      </w:r>
    </w:p>
    <w:p w14:paraId="1E5C7C3D" w14:textId="0275B65E" w:rsidR="00362E46" w:rsidRPr="00362E46" w:rsidRDefault="00362E46" w:rsidP="004E26A9">
      <w:pPr>
        <w:pStyle w:val="ab"/>
        <w:numPr>
          <w:ilvl w:val="1"/>
          <w:numId w:val="8"/>
        </w:numPr>
        <w:bidi/>
        <w:spacing w:after="0" w:line="276" w:lineRule="auto"/>
        <w:jc w:val="both"/>
        <w:rPr>
          <w:rFonts w:ascii="Segoe UI" w:hAnsi="Segoe UI" w:cs="Segoe UI"/>
          <w:u w:val="single"/>
          <w:lang w:val="en-ZW"/>
        </w:rPr>
      </w:pPr>
      <w:r>
        <w:rPr>
          <w:rFonts w:ascii="Segoe UI" w:hAnsi="Segoe UI" w:cs="Segoe UI" w:hint="cs"/>
          <w:rtl/>
          <w:lang w:val="en-ZW"/>
        </w:rPr>
        <w:t>העונש הפופולרי ביותר בעת העתיקה ובימי הביניים.</w:t>
      </w:r>
    </w:p>
    <w:p w14:paraId="78E1DCD5" w14:textId="35A00ADB" w:rsidR="00362E46" w:rsidRPr="00CD090A" w:rsidRDefault="00362E46" w:rsidP="004E26A9">
      <w:pPr>
        <w:pStyle w:val="ab"/>
        <w:numPr>
          <w:ilvl w:val="1"/>
          <w:numId w:val="8"/>
        </w:numPr>
        <w:bidi/>
        <w:spacing w:after="0" w:line="276" w:lineRule="auto"/>
        <w:jc w:val="both"/>
        <w:rPr>
          <w:rFonts w:ascii="Segoe UI" w:hAnsi="Segoe UI" w:cs="Segoe UI"/>
          <w:u w:val="single"/>
          <w:lang w:val="en-ZW"/>
        </w:rPr>
      </w:pPr>
      <w:r>
        <w:rPr>
          <w:rFonts w:ascii="Segoe UI" w:hAnsi="Segoe UI" w:cs="Segoe UI" w:hint="cs"/>
          <w:rtl/>
          <w:lang w:val="en-ZW"/>
        </w:rPr>
        <w:t xml:space="preserve">אנגליה (1816) </w:t>
      </w:r>
      <w:r>
        <w:rPr>
          <w:rFonts w:ascii="Segoe UI" w:hAnsi="Segoe UI" w:cs="Segoe UI"/>
          <w:rtl/>
          <w:lang w:val="en-ZW"/>
        </w:rPr>
        <w:t>–</w:t>
      </w:r>
      <w:r>
        <w:rPr>
          <w:rFonts w:ascii="Segoe UI" w:hAnsi="Segoe UI" w:cs="Segoe UI" w:hint="cs"/>
          <w:rtl/>
          <w:lang w:val="en-ZW"/>
        </w:rPr>
        <w:t xml:space="preserve"> על 220 עבירות היו עונשי מוות. </w:t>
      </w:r>
      <w:r w:rsidR="00CD090A">
        <w:rPr>
          <w:rFonts w:ascii="Segoe UI" w:hAnsi="Segoe UI" w:cs="Segoe UI" w:hint="cs"/>
          <w:rtl/>
          <w:lang w:val="en-ZW"/>
        </w:rPr>
        <w:t>גניבת רכוש שעולה על שילינג אחד.</w:t>
      </w:r>
    </w:p>
    <w:p w14:paraId="57CD41B5" w14:textId="37DE3C54" w:rsidR="00CD090A" w:rsidRPr="00CD090A" w:rsidRDefault="00CD090A" w:rsidP="004E26A9">
      <w:pPr>
        <w:pStyle w:val="ab"/>
        <w:numPr>
          <w:ilvl w:val="1"/>
          <w:numId w:val="8"/>
        </w:numPr>
        <w:bidi/>
        <w:spacing w:after="0" w:line="276" w:lineRule="auto"/>
        <w:jc w:val="both"/>
        <w:rPr>
          <w:rFonts w:ascii="Segoe UI" w:hAnsi="Segoe UI" w:cs="Segoe UI"/>
          <w:u w:val="single"/>
          <w:lang w:val="en-ZW"/>
        </w:rPr>
      </w:pPr>
      <w:r>
        <w:rPr>
          <w:rFonts w:ascii="Segoe UI" w:hAnsi="Segoe UI" w:cs="Segoe UI" w:hint="cs"/>
          <w:rtl/>
          <w:lang w:val="en-ZW"/>
        </w:rPr>
        <w:t>ההצדקות המרכזיות לעונש מוות:</w:t>
      </w:r>
    </w:p>
    <w:p w14:paraId="63BD30D0" w14:textId="4AC74D49" w:rsidR="00CD090A" w:rsidRPr="00CD090A" w:rsidRDefault="00CD090A" w:rsidP="004E26A9">
      <w:pPr>
        <w:pStyle w:val="ab"/>
        <w:numPr>
          <w:ilvl w:val="0"/>
          <w:numId w:val="6"/>
        </w:numPr>
        <w:bidi/>
        <w:spacing w:after="0" w:line="276" w:lineRule="auto"/>
        <w:ind w:left="1080"/>
        <w:jc w:val="both"/>
        <w:rPr>
          <w:rFonts w:ascii="Segoe UI" w:hAnsi="Segoe UI" w:cs="Segoe UI"/>
          <w:u w:val="single"/>
          <w:lang w:val="en-ZW"/>
        </w:rPr>
      </w:pPr>
      <w:r>
        <w:rPr>
          <w:rFonts w:ascii="Segoe UI" w:hAnsi="Segoe UI" w:cs="Segoe UI" w:hint="cs"/>
          <w:rtl/>
          <w:lang w:val="en-ZW"/>
        </w:rPr>
        <w:t>גמול הולם לעבירות קשות</w:t>
      </w:r>
    </w:p>
    <w:p w14:paraId="5AECD8F0" w14:textId="529DEB17" w:rsidR="00CD090A" w:rsidRPr="00CD090A" w:rsidRDefault="00CD090A" w:rsidP="004E26A9">
      <w:pPr>
        <w:pStyle w:val="ab"/>
        <w:numPr>
          <w:ilvl w:val="0"/>
          <w:numId w:val="6"/>
        </w:numPr>
        <w:bidi/>
        <w:spacing w:after="0" w:line="276" w:lineRule="auto"/>
        <w:ind w:left="1080"/>
        <w:jc w:val="both"/>
        <w:rPr>
          <w:rFonts w:ascii="Segoe UI" w:hAnsi="Segoe UI" w:cs="Segoe UI"/>
          <w:u w:val="single"/>
          <w:lang w:val="en-ZW"/>
        </w:rPr>
      </w:pPr>
      <w:r>
        <w:rPr>
          <w:rFonts w:ascii="Segoe UI" w:hAnsi="Segoe UI" w:cs="Segoe UI" w:hint="cs"/>
          <w:rtl/>
          <w:lang w:val="en-ZW"/>
        </w:rPr>
        <w:t>עונש מרתיע</w:t>
      </w:r>
    </w:p>
    <w:p w14:paraId="0F50B4CA" w14:textId="5AC1F341" w:rsidR="00CD090A" w:rsidRDefault="00CD090A" w:rsidP="004E26A9">
      <w:pPr>
        <w:pStyle w:val="ab"/>
        <w:numPr>
          <w:ilvl w:val="0"/>
          <w:numId w:val="6"/>
        </w:numPr>
        <w:bidi/>
        <w:spacing w:after="0" w:line="276" w:lineRule="auto"/>
        <w:ind w:left="1080"/>
        <w:jc w:val="both"/>
        <w:rPr>
          <w:rFonts w:ascii="Segoe UI" w:hAnsi="Segoe UI" w:cs="Segoe UI"/>
          <w:u w:val="single"/>
          <w:lang w:val="en-ZW"/>
        </w:rPr>
      </w:pPr>
      <w:r>
        <w:rPr>
          <w:rFonts w:ascii="Segoe UI" w:hAnsi="Segoe UI" w:cs="Segoe UI" w:hint="cs"/>
          <w:rtl/>
          <w:lang w:val="en-ZW"/>
        </w:rPr>
        <w:t>זול לעומת חלופות אחרות</w:t>
      </w:r>
    </w:p>
    <w:p w14:paraId="5D9DDD67" w14:textId="7E64E472" w:rsidR="00440FFC" w:rsidRPr="00BF72CE" w:rsidRDefault="00440FFC" w:rsidP="004E26A9">
      <w:pPr>
        <w:pStyle w:val="ab"/>
        <w:numPr>
          <w:ilvl w:val="0"/>
          <w:numId w:val="7"/>
        </w:numPr>
        <w:bidi/>
        <w:spacing w:after="0" w:line="276" w:lineRule="auto"/>
        <w:jc w:val="both"/>
        <w:rPr>
          <w:rFonts w:ascii="Segoe UI" w:hAnsi="Segoe UI" w:cs="Segoe UI"/>
          <w:u w:val="single"/>
          <w:lang w:val="en-ZW"/>
        </w:rPr>
      </w:pPr>
      <w:r>
        <w:rPr>
          <w:rFonts w:ascii="Segoe UI" w:hAnsi="Segoe UI" w:cs="Segoe UI" w:hint="cs"/>
          <w:rtl/>
          <w:lang w:val="en-ZW"/>
        </w:rPr>
        <w:t xml:space="preserve">טקסי ההוצאה למוות </w:t>
      </w:r>
      <w:r w:rsidR="00BF72CE">
        <w:rPr>
          <w:rFonts w:ascii="Segoe UI" w:hAnsi="Segoe UI" w:cs="Segoe UI" w:hint="cs"/>
          <w:rtl/>
          <w:lang w:val="en-ZW"/>
        </w:rPr>
        <w:t>בימי הביניים היו "אירוע חג". אנשים צפו בדריכות בתהליכי הגסיסה של הנאשמים.</w:t>
      </w:r>
    </w:p>
    <w:p w14:paraId="7F9CD588" w14:textId="007AD102" w:rsidR="00BF72CE" w:rsidRPr="00BF72CE" w:rsidRDefault="00BF72CE" w:rsidP="004E26A9">
      <w:pPr>
        <w:pStyle w:val="ab"/>
        <w:numPr>
          <w:ilvl w:val="0"/>
          <w:numId w:val="7"/>
        </w:numPr>
        <w:bidi/>
        <w:spacing w:after="0" w:line="276" w:lineRule="auto"/>
        <w:jc w:val="both"/>
        <w:rPr>
          <w:rFonts w:ascii="Segoe UI" w:hAnsi="Segoe UI" w:cs="Segoe UI"/>
          <w:u w:val="single"/>
          <w:lang w:val="en-ZW"/>
        </w:rPr>
      </w:pPr>
      <w:r>
        <w:rPr>
          <w:rFonts w:ascii="Segoe UI" w:hAnsi="Segoe UI" w:cs="Segoe UI" w:hint="cs"/>
          <w:rtl/>
          <w:lang w:val="en-ZW"/>
        </w:rPr>
        <w:t>אימהות היו מביאות את ילדיהן ומנסות לגעת בחבלי התלייה (סמל למזל ואריכות ימים).</w:t>
      </w:r>
    </w:p>
    <w:p w14:paraId="02B0D96D" w14:textId="3A6360B9" w:rsidR="00BF72CE" w:rsidRPr="00BF72CE" w:rsidRDefault="00BF72CE" w:rsidP="004E26A9">
      <w:pPr>
        <w:pStyle w:val="ab"/>
        <w:numPr>
          <w:ilvl w:val="0"/>
          <w:numId w:val="7"/>
        </w:numPr>
        <w:bidi/>
        <w:spacing w:after="0" w:line="276" w:lineRule="auto"/>
        <w:jc w:val="both"/>
        <w:rPr>
          <w:rFonts w:ascii="Segoe UI" w:hAnsi="Segoe UI" w:cs="Segoe UI"/>
          <w:u w:val="single"/>
          <w:lang w:val="en-ZW"/>
        </w:rPr>
      </w:pPr>
      <w:r>
        <w:rPr>
          <w:rFonts w:ascii="Segoe UI" w:hAnsi="Segoe UI" w:cs="Segoe UI" w:hint="cs"/>
          <w:rtl/>
          <w:lang w:val="en-ZW"/>
        </w:rPr>
        <w:t>סטודנטים לרפואה נלחמו על חלקי גופות. סוחרים מכרו גופות לפקולטות לרפואה.</w:t>
      </w:r>
    </w:p>
    <w:p w14:paraId="1182687C" w14:textId="248B0565" w:rsidR="00BF72CE" w:rsidRPr="00BF72CE" w:rsidRDefault="00BF72CE" w:rsidP="004E26A9">
      <w:pPr>
        <w:pStyle w:val="ab"/>
        <w:numPr>
          <w:ilvl w:val="0"/>
          <w:numId w:val="7"/>
        </w:numPr>
        <w:bidi/>
        <w:spacing w:after="0" w:line="276" w:lineRule="auto"/>
        <w:jc w:val="both"/>
        <w:rPr>
          <w:rFonts w:ascii="Segoe UI" w:hAnsi="Segoe UI" w:cs="Segoe UI"/>
          <w:u w:val="single"/>
          <w:lang w:val="en-ZW"/>
        </w:rPr>
      </w:pPr>
      <w:proofErr w:type="spellStart"/>
      <w:r w:rsidRPr="00B52FCB">
        <w:rPr>
          <w:rFonts w:ascii="Segoe UI" w:hAnsi="Segoe UI" w:cs="Segoe UI" w:hint="cs"/>
          <w:highlight w:val="green"/>
          <w:rtl/>
          <w:lang w:val="en-ZW"/>
        </w:rPr>
        <w:t>צ'זרה</w:t>
      </w:r>
      <w:proofErr w:type="spellEnd"/>
      <w:r w:rsidRPr="00B52FCB">
        <w:rPr>
          <w:rFonts w:ascii="Segoe UI" w:hAnsi="Segoe UI" w:cs="Segoe UI" w:hint="cs"/>
          <w:highlight w:val="green"/>
          <w:rtl/>
          <w:lang w:val="en-ZW"/>
        </w:rPr>
        <w:t xml:space="preserve"> </w:t>
      </w:r>
      <w:proofErr w:type="spellStart"/>
      <w:r w:rsidRPr="00B52FCB">
        <w:rPr>
          <w:rFonts w:ascii="Segoe UI" w:hAnsi="Segoe UI" w:cs="Segoe UI" w:hint="cs"/>
          <w:highlight w:val="green"/>
          <w:rtl/>
          <w:lang w:val="en-ZW"/>
        </w:rPr>
        <w:t>באקריה</w:t>
      </w:r>
      <w:proofErr w:type="spellEnd"/>
      <w:r>
        <w:rPr>
          <w:rFonts w:ascii="Segoe UI" w:hAnsi="Segoe UI" w:cs="Segoe UI" w:hint="cs"/>
          <w:rtl/>
          <w:lang w:val="en-ZW"/>
        </w:rPr>
        <w:t xml:space="preserve"> </w:t>
      </w:r>
      <w:r>
        <w:rPr>
          <w:rFonts w:ascii="Segoe UI" w:hAnsi="Segoe UI" w:cs="Segoe UI"/>
          <w:rtl/>
          <w:lang w:val="en-ZW"/>
        </w:rPr>
        <w:t>–</w:t>
      </w:r>
      <w:r w:rsidR="00470891">
        <w:rPr>
          <w:rFonts w:ascii="Segoe UI" w:hAnsi="Segoe UI" w:cs="Segoe UI" w:hint="cs"/>
          <w:rtl/>
          <w:lang w:val="en-ZW"/>
        </w:rPr>
        <w:t xml:space="preserve"> </w:t>
      </w:r>
      <w:r w:rsidR="00470891">
        <w:rPr>
          <w:rFonts w:ascii="Segoe UI" w:hAnsi="Segoe UI" w:cs="Segoe UI" w:hint="cs"/>
          <w:b/>
          <w:bCs/>
          <w:color w:val="7030A0"/>
          <w:u w:val="single"/>
          <w:rtl/>
          <w:lang w:val="en-ZW"/>
        </w:rPr>
        <w:t>מתנגד לעונש המוות</w:t>
      </w:r>
    </w:p>
    <w:p w14:paraId="365CA750" w14:textId="78BB8E2A" w:rsidR="00BF72CE" w:rsidRPr="00BF72CE" w:rsidRDefault="00BF72CE" w:rsidP="004E26A9">
      <w:pPr>
        <w:pStyle w:val="ab"/>
        <w:numPr>
          <w:ilvl w:val="1"/>
          <w:numId w:val="7"/>
        </w:numPr>
        <w:bidi/>
        <w:spacing w:after="0" w:line="276" w:lineRule="auto"/>
        <w:ind w:left="1080"/>
        <w:jc w:val="both"/>
        <w:rPr>
          <w:rFonts w:ascii="Segoe UI" w:hAnsi="Segoe UI" w:cs="Segoe UI"/>
          <w:u w:val="single"/>
          <w:lang w:val="en-ZW"/>
        </w:rPr>
      </w:pPr>
      <w:r>
        <w:rPr>
          <w:rFonts w:ascii="Segoe UI" w:hAnsi="Segoe UI" w:cs="Segoe UI" w:hint="cs"/>
          <w:rtl/>
          <w:lang w:val="en-ZW"/>
        </w:rPr>
        <w:t>באיזו זכות מוציאים השלטונות אנשים להורג?</w:t>
      </w:r>
    </w:p>
    <w:p w14:paraId="4E49CAE8" w14:textId="68CF45BD" w:rsidR="00BF72CE" w:rsidRPr="00F72672" w:rsidRDefault="00BF72CE" w:rsidP="004E26A9">
      <w:pPr>
        <w:pStyle w:val="ab"/>
        <w:numPr>
          <w:ilvl w:val="1"/>
          <w:numId w:val="7"/>
        </w:numPr>
        <w:bidi/>
        <w:spacing w:after="0" w:line="276" w:lineRule="auto"/>
        <w:ind w:left="1080"/>
        <w:jc w:val="both"/>
        <w:rPr>
          <w:rFonts w:ascii="Segoe UI" w:hAnsi="Segoe UI" w:cs="Segoe UI"/>
          <w:color w:val="7030A0"/>
          <w:u w:val="single"/>
          <w:lang w:val="en-ZW"/>
        </w:rPr>
      </w:pPr>
      <w:r>
        <w:rPr>
          <w:rFonts w:ascii="Segoe UI" w:hAnsi="Segoe UI" w:cs="Segoe UI" w:hint="cs"/>
          <w:rtl/>
          <w:lang w:val="en-ZW"/>
        </w:rPr>
        <w:t xml:space="preserve">זה לא יעיל </w:t>
      </w:r>
      <w:r>
        <w:rPr>
          <w:rFonts w:ascii="Segoe UI" w:hAnsi="Segoe UI" w:cs="Segoe UI"/>
          <w:rtl/>
          <w:lang w:val="en-ZW"/>
        </w:rPr>
        <w:t>–</w:t>
      </w:r>
      <w:r>
        <w:rPr>
          <w:rFonts w:ascii="Segoe UI" w:hAnsi="Segoe UI" w:cs="Segoe UI" w:hint="cs"/>
          <w:rtl/>
          <w:lang w:val="en-ZW"/>
        </w:rPr>
        <w:t xml:space="preserve"> עונש מוות לא מפחית עבריינות</w:t>
      </w:r>
      <w:r w:rsidR="00F72672">
        <w:rPr>
          <w:rFonts w:ascii="Segoe UI" w:hAnsi="Segoe UI" w:cs="Segoe UI" w:hint="cs"/>
          <w:i/>
          <w:iCs/>
          <w:rtl/>
          <w:lang w:val="en-ZW"/>
        </w:rPr>
        <w:t xml:space="preserve"> </w:t>
      </w:r>
      <w:r w:rsidR="00F72672" w:rsidRPr="00F72672">
        <w:rPr>
          <w:rFonts w:ascii="Segoe UI" w:hAnsi="Segoe UI" w:cs="Segoe UI" w:hint="cs"/>
          <w:color w:val="7030A0"/>
          <w:rtl/>
          <w:lang w:val="en-ZW"/>
        </w:rPr>
        <w:t>(הדוג' מעלה של הכייסים שהיו רואים הוצאות להורג והמשיכו לכייס).</w:t>
      </w:r>
    </w:p>
    <w:p w14:paraId="642E7B53" w14:textId="4D63C48D" w:rsidR="00BF72CE" w:rsidRPr="00BF72CE" w:rsidRDefault="00BF72CE" w:rsidP="004E26A9">
      <w:pPr>
        <w:pStyle w:val="ab"/>
        <w:numPr>
          <w:ilvl w:val="0"/>
          <w:numId w:val="7"/>
        </w:numPr>
        <w:bidi/>
        <w:spacing w:after="0" w:line="276" w:lineRule="auto"/>
        <w:jc w:val="both"/>
        <w:rPr>
          <w:rFonts w:ascii="Segoe UI" w:hAnsi="Segoe UI" w:cs="Segoe UI"/>
          <w:u w:val="single"/>
          <w:lang w:val="en-ZW"/>
        </w:rPr>
      </w:pPr>
      <w:r>
        <w:rPr>
          <w:rFonts w:ascii="Segoe UI" w:hAnsi="Segoe UI" w:cs="Segoe UI" w:hint="cs"/>
          <w:rtl/>
          <w:lang w:val="en-ZW"/>
        </w:rPr>
        <w:t xml:space="preserve">תחילת הריכוך של עונש המוות בעולם המערבי </w:t>
      </w:r>
      <w:r>
        <w:rPr>
          <w:rFonts w:ascii="Segoe UI" w:hAnsi="Segoe UI" w:cs="Segoe UI"/>
          <w:rtl/>
          <w:lang w:val="en-ZW"/>
        </w:rPr>
        <w:t>–</w:t>
      </w:r>
      <w:r>
        <w:rPr>
          <w:rFonts w:ascii="Segoe UI" w:hAnsi="Segoe UI" w:cs="Segoe UI" w:hint="cs"/>
          <w:rtl/>
          <w:lang w:val="en-ZW"/>
        </w:rPr>
        <w:t xml:space="preserve"> אנגליה </w:t>
      </w:r>
      <w:r>
        <w:rPr>
          <w:rFonts w:ascii="Segoe UI" w:hAnsi="Segoe UI" w:cs="Segoe UI"/>
          <w:rtl/>
          <w:lang w:val="en-ZW"/>
        </w:rPr>
        <w:t>–</w:t>
      </w:r>
      <w:r>
        <w:rPr>
          <w:rFonts w:ascii="Segoe UI" w:hAnsi="Segoe UI" w:cs="Segoe UI" w:hint="cs"/>
          <w:rtl/>
          <w:lang w:val="en-ZW"/>
        </w:rPr>
        <w:t xml:space="preserve"> דו"ח מלכותי משנת 1953 קבע שנכון להשאיר את עונש המוות רק לעבירת רצח (הלימה בין העבירות לעונש).</w:t>
      </w:r>
      <w:r w:rsidR="00526168">
        <w:rPr>
          <w:rFonts w:ascii="Segoe UI" w:hAnsi="Segoe UI" w:cs="Segoe UI" w:hint="cs"/>
          <w:rtl/>
          <w:lang w:val="en-ZW"/>
        </w:rPr>
        <w:t xml:space="preserve"> </w:t>
      </w:r>
      <w:r w:rsidR="00526168" w:rsidRPr="00526168">
        <w:rPr>
          <w:rFonts w:ascii="Segoe UI" w:hAnsi="Segoe UI" w:cs="Segoe UI" w:hint="cs"/>
          <w:color w:val="002060"/>
          <w:rtl/>
          <w:lang w:val="en-ZW"/>
        </w:rPr>
        <w:t xml:space="preserve">תוספת מענבר: אמנם לאנגלים היו קולוניות רבות ברחבי העולם ובכך היה מצופה כי השינוי יושת גם בהן, אך האנגלים בחרו להשאיר את עונש המוות בקולוניות. </w:t>
      </w:r>
    </w:p>
    <w:p w14:paraId="7176F46F" w14:textId="71B42944" w:rsidR="00BF72CE" w:rsidRPr="00A24A86" w:rsidRDefault="00A24A86" w:rsidP="004E26A9">
      <w:pPr>
        <w:pStyle w:val="ab"/>
        <w:numPr>
          <w:ilvl w:val="0"/>
          <w:numId w:val="7"/>
        </w:numPr>
        <w:bidi/>
        <w:spacing w:after="0" w:line="276" w:lineRule="auto"/>
        <w:jc w:val="both"/>
        <w:rPr>
          <w:rFonts w:ascii="Segoe UI" w:hAnsi="Segoe UI" w:cs="Segoe UI"/>
          <w:u w:val="single"/>
          <w:lang w:val="en-ZW"/>
        </w:rPr>
      </w:pPr>
      <w:r>
        <w:rPr>
          <w:rFonts w:ascii="Segoe UI" w:hAnsi="Segoe UI" w:cs="Segoe UI" w:hint="cs"/>
          <w:rtl/>
          <w:lang w:val="en-ZW"/>
        </w:rPr>
        <w:t>הנימוקים העיקריים נגד עונש המוות:</w:t>
      </w:r>
    </w:p>
    <w:p w14:paraId="279FFC22" w14:textId="4D129A90" w:rsidR="00A24A86" w:rsidRPr="00CA6E7D" w:rsidRDefault="00A24A86" w:rsidP="004E26A9">
      <w:pPr>
        <w:pStyle w:val="ab"/>
        <w:numPr>
          <w:ilvl w:val="1"/>
          <w:numId w:val="15"/>
        </w:numPr>
        <w:bidi/>
        <w:spacing w:after="0" w:line="276" w:lineRule="auto"/>
        <w:ind w:left="1080"/>
        <w:jc w:val="both"/>
        <w:rPr>
          <w:rFonts w:ascii="Segoe UI" w:hAnsi="Segoe UI" w:cs="Segoe UI"/>
          <w:u w:val="single"/>
          <w:lang w:val="en-ZW"/>
        </w:rPr>
      </w:pPr>
      <w:r w:rsidRPr="00CA6E7D">
        <w:rPr>
          <w:rFonts w:ascii="Segoe UI" w:hAnsi="Segoe UI" w:cs="Segoe UI" w:hint="cs"/>
          <w:u w:val="single"/>
          <w:rtl/>
          <w:lang w:val="en-ZW"/>
        </w:rPr>
        <w:t>טיעונים מוסריים</w:t>
      </w:r>
    </w:p>
    <w:p w14:paraId="5DC05D74" w14:textId="198708FC" w:rsidR="00A24A86" w:rsidRPr="00A24A86" w:rsidRDefault="00A24A86" w:rsidP="004E26A9">
      <w:pPr>
        <w:pStyle w:val="ab"/>
        <w:numPr>
          <w:ilvl w:val="3"/>
          <w:numId w:val="16"/>
        </w:numPr>
        <w:bidi/>
        <w:spacing w:after="0" w:line="276" w:lineRule="auto"/>
        <w:ind w:left="1443"/>
        <w:jc w:val="both"/>
        <w:rPr>
          <w:rFonts w:ascii="Segoe UI" w:hAnsi="Segoe UI" w:cs="Segoe UI"/>
          <w:u w:val="single"/>
          <w:lang w:val="en-ZW"/>
        </w:rPr>
      </w:pPr>
      <w:r>
        <w:rPr>
          <w:rFonts w:ascii="Segoe UI" w:hAnsi="Segoe UI" w:cs="Segoe UI" w:hint="cs"/>
          <w:rtl/>
          <w:lang w:val="en-ZW"/>
        </w:rPr>
        <w:t>המתת אדם מנוגדת לתפיסת קדושת החיים</w:t>
      </w:r>
    </w:p>
    <w:p w14:paraId="6C70665D" w14:textId="1031D9EE" w:rsidR="00A24A86" w:rsidRPr="0041443E" w:rsidRDefault="00A24A86" w:rsidP="004E26A9">
      <w:pPr>
        <w:pStyle w:val="ab"/>
        <w:numPr>
          <w:ilvl w:val="3"/>
          <w:numId w:val="16"/>
        </w:numPr>
        <w:bidi/>
        <w:spacing w:after="0" w:line="276" w:lineRule="auto"/>
        <w:ind w:left="1443"/>
        <w:jc w:val="both"/>
        <w:rPr>
          <w:rFonts w:ascii="Segoe UI" w:hAnsi="Segoe UI" w:cs="Segoe UI"/>
          <w:color w:val="002060"/>
          <w:lang w:val="en-ZW"/>
        </w:rPr>
      </w:pPr>
      <w:r>
        <w:rPr>
          <w:rFonts w:ascii="Segoe UI" w:hAnsi="Segoe UI" w:cs="Segoe UI" w:hint="cs"/>
          <w:rtl/>
          <w:lang w:val="en-ZW"/>
        </w:rPr>
        <w:t>חשש שהנאשם חף מפשע</w:t>
      </w:r>
      <w:r w:rsidR="00C507BE">
        <w:rPr>
          <w:rFonts w:ascii="Segoe UI" w:hAnsi="Segoe UI" w:cs="Segoe UI" w:hint="cs"/>
          <w:rtl/>
          <w:lang w:val="en-ZW"/>
        </w:rPr>
        <w:t xml:space="preserve"> והענישה היא לא הפיכה (</w:t>
      </w:r>
      <w:r w:rsidR="00C507BE" w:rsidRPr="008B74AD">
        <w:rPr>
          <w:rFonts w:ascii="Segoe UI" w:hAnsi="Segoe UI" w:cs="Segoe UI" w:hint="cs"/>
          <w:highlight w:val="yellow"/>
          <w:rtl/>
          <w:lang w:val="en-ZW"/>
        </w:rPr>
        <w:t xml:space="preserve">מאיר </w:t>
      </w:r>
      <w:proofErr w:type="spellStart"/>
      <w:r w:rsidR="00C507BE" w:rsidRPr="008B74AD">
        <w:rPr>
          <w:rFonts w:ascii="Segoe UI" w:hAnsi="Segoe UI" w:cs="Segoe UI" w:hint="cs"/>
          <w:highlight w:val="yellow"/>
          <w:rtl/>
          <w:lang w:val="en-ZW"/>
        </w:rPr>
        <w:t>טוביאנסקי</w:t>
      </w:r>
      <w:proofErr w:type="spellEnd"/>
      <w:r w:rsidR="0041443E">
        <w:rPr>
          <w:rFonts w:ascii="Segoe UI" w:hAnsi="Segoe UI" w:cs="Segoe UI" w:hint="cs"/>
          <w:rtl/>
          <w:lang w:val="en-ZW"/>
        </w:rPr>
        <w:t xml:space="preserve"> - </w:t>
      </w:r>
      <w:r w:rsidR="0041443E" w:rsidRPr="0041443E">
        <w:rPr>
          <w:rFonts w:ascii="Segoe UI" w:hAnsi="Segoe UI" w:cs="Segoe UI"/>
          <w:color w:val="7030A0"/>
          <w:rtl/>
          <w:lang w:val="en-ZW"/>
        </w:rPr>
        <w:t xml:space="preserve">סיפור </w:t>
      </w:r>
      <w:hyperlink r:id="rId16" w:tooltip="הוצאה להורג" w:history="1">
        <w:r w:rsidR="0041443E" w:rsidRPr="0041443E">
          <w:rPr>
            <w:rStyle w:val="Hyperlink"/>
            <w:rFonts w:ascii="Segoe UI" w:hAnsi="Segoe UI" w:cs="Segoe UI"/>
            <w:color w:val="7030A0"/>
            <w:u w:val="none"/>
            <w:rtl/>
            <w:lang w:val="en-ZW"/>
          </w:rPr>
          <w:t>הוצאתו להורג</w:t>
        </w:r>
      </w:hyperlink>
      <w:r w:rsidR="0041443E" w:rsidRPr="0041443E">
        <w:rPr>
          <w:rFonts w:ascii="Segoe UI" w:hAnsi="Segoe UI" w:cs="Segoe UI"/>
          <w:color w:val="7030A0"/>
        </w:rPr>
        <w:t xml:space="preserve"> </w:t>
      </w:r>
      <w:r w:rsidR="0041443E" w:rsidRPr="0041443E">
        <w:rPr>
          <w:rFonts w:ascii="Segoe UI" w:hAnsi="Segoe UI" w:cs="Segoe UI"/>
          <w:color w:val="7030A0"/>
          <w:rtl/>
          <w:lang w:val="en-ZW"/>
        </w:rPr>
        <w:t xml:space="preserve">של </w:t>
      </w:r>
      <w:hyperlink r:id="rId17" w:tooltip="קצין" w:history="1">
        <w:r w:rsidR="0041443E" w:rsidRPr="0041443E">
          <w:rPr>
            <w:rStyle w:val="Hyperlink"/>
            <w:rFonts w:ascii="Segoe UI" w:hAnsi="Segoe UI" w:cs="Segoe UI"/>
            <w:color w:val="7030A0"/>
            <w:u w:val="none"/>
            <w:rtl/>
            <w:lang w:val="en-ZW"/>
          </w:rPr>
          <w:t>קצין</w:t>
        </w:r>
      </w:hyperlink>
      <w:r w:rsidR="0041443E" w:rsidRPr="0041443E">
        <w:rPr>
          <w:rFonts w:ascii="Segoe UI" w:hAnsi="Segoe UI" w:cs="Segoe UI"/>
          <w:color w:val="7030A0"/>
        </w:rPr>
        <w:t xml:space="preserve"> </w:t>
      </w:r>
      <w:hyperlink r:id="rId18" w:tooltip="צה&quot;ל" w:history="1">
        <w:r w:rsidR="0041443E" w:rsidRPr="0041443E">
          <w:rPr>
            <w:rStyle w:val="Hyperlink"/>
            <w:rFonts w:ascii="Segoe UI" w:hAnsi="Segoe UI" w:cs="Segoe UI"/>
            <w:color w:val="7030A0"/>
            <w:u w:val="none"/>
            <w:rtl/>
            <w:lang w:val="en-ZW"/>
          </w:rPr>
          <w:t>צה"ל</w:t>
        </w:r>
      </w:hyperlink>
      <w:r w:rsidR="0041443E" w:rsidRPr="0041443E">
        <w:rPr>
          <w:rFonts w:ascii="Segoe UI" w:hAnsi="Segoe UI" w:cs="Segoe UI"/>
          <w:color w:val="7030A0"/>
        </w:rPr>
        <w:t xml:space="preserve">, </w:t>
      </w:r>
      <w:r w:rsidR="0041443E" w:rsidRPr="0041443E">
        <w:rPr>
          <w:rFonts w:ascii="Segoe UI" w:hAnsi="Segoe UI" w:cs="Segoe UI" w:hint="cs"/>
          <w:color w:val="7030A0"/>
          <w:rtl/>
          <w:lang w:val="en-ZW"/>
        </w:rPr>
        <w:t xml:space="preserve">הואשם </w:t>
      </w:r>
      <w:r w:rsidR="0041443E" w:rsidRPr="0041443E">
        <w:rPr>
          <w:rFonts w:ascii="Segoe UI" w:hAnsi="Segoe UI" w:cs="Segoe UI"/>
          <w:color w:val="7030A0"/>
          <w:rtl/>
          <w:lang w:val="en-ZW"/>
        </w:rPr>
        <w:t>על לא עוול בכפו, כפי שהתברר לאחר מעשה, ב</w:t>
      </w:r>
      <w:hyperlink r:id="rId19" w:tooltip="ריגול" w:history="1">
        <w:r w:rsidR="0041443E" w:rsidRPr="0041443E">
          <w:rPr>
            <w:rStyle w:val="Hyperlink"/>
            <w:rFonts w:ascii="Segoe UI" w:hAnsi="Segoe UI" w:cs="Segoe UI"/>
            <w:color w:val="7030A0"/>
            <w:u w:val="none"/>
            <w:rtl/>
            <w:lang w:val="en-ZW"/>
          </w:rPr>
          <w:t>ריגול</w:t>
        </w:r>
      </w:hyperlink>
      <w:r w:rsidR="0041443E" w:rsidRPr="0041443E">
        <w:rPr>
          <w:rFonts w:ascii="Segoe UI" w:hAnsi="Segoe UI" w:cs="Segoe UI"/>
          <w:color w:val="7030A0"/>
        </w:rPr>
        <w:t xml:space="preserve"> </w:t>
      </w:r>
      <w:r w:rsidR="0041443E" w:rsidRPr="0041443E">
        <w:rPr>
          <w:rFonts w:ascii="Segoe UI" w:hAnsi="Segoe UI" w:cs="Segoe UI"/>
          <w:color w:val="7030A0"/>
          <w:rtl/>
          <w:lang w:val="en-ZW"/>
        </w:rPr>
        <w:t xml:space="preserve">נגד </w:t>
      </w:r>
      <w:hyperlink r:id="rId20" w:tooltip="ישראל" w:history="1">
        <w:r w:rsidR="0041443E" w:rsidRPr="0041443E">
          <w:rPr>
            <w:rStyle w:val="Hyperlink"/>
            <w:rFonts w:ascii="Segoe UI" w:hAnsi="Segoe UI" w:cs="Segoe UI"/>
            <w:color w:val="7030A0"/>
            <w:u w:val="none"/>
            <w:rtl/>
            <w:lang w:val="en-ZW"/>
          </w:rPr>
          <w:t>ישראל</w:t>
        </w:r>
      </w:hyperlink>
      <w:r w:rsidR="0041443E" w:rsidRPr="0041443E">
        <w:rPr>
          <w:rFonts w:ascii="Segoe UI" w:hAnsi="Segoe UI" w:cs="Segoe UI"/>
          <w:color w:val="7030A0"/>
        </w:rPr>
        <w:t>,</w:t>
      </w:r>
      <w:r w:rsidR="0041443E" w:rsidRPr="0041443E">
        <w:rPr>
          <w:rFonts w:ascii="Segoe UI" w:hAnsi="Segoe UI" w:cs="Segoe UI" w:hint="cs"/>
          <w:color w:val="7030A0"/>
          <w:rtl/>
          <w:lang w:val="en-ZW"/>
        </w:rPr>
        <w:t xml:space="preserve"> </w:t>
      </w:r>
      <w:r w:rsidR="0041443E" w:rsidRPr="0041443E">
        <w:rPr>
          <w:rFonts w:ascii="Segoe UI" w:hAnsi="Segoe UI" w:cs="Segoe UI"/>
          <w:color w:val="7030A0"/>
          <w:rtl/>
          <w:lang w:val="en-ZW"/>
        </w:rPr>
        <w:t xml:space="preserve">במהלך </w:t>
      </w:r>
      <w:hyperlink r:id="rId21" w:tooltip="מלחמת העצמאות" w:history="1">
        <w:r w:rsidR="0041443E" w:rsidRPr="0041443E">
          <w:rPr>
            <w:rStyle w:val="Hyperlink"/>
            <w:rFonts w:ascii="Segoe UI" w:hAnsi="Segoe UI" w:cs="Segoe UI" w:hint="cs"/>
            <w:color w:val="7030A0"/>
            <w:u w:val="none"/>
            <w:rtl/>
            <w:lang w:val="en-ZW"/>
          </w:rPr>
          <w:t>מלחמת</w:t>
        </w:r>
      </w:hyperlink>
      <w:r w:rsidR="0041443E" w:rsidRPr="0041443E">
        <w:rPr>
          <w:rFonts w:ascii="Segoe UI" w:hAnsi="Segoe UI" w:cs="Segoe UI" w:hint="cs"/>
          <w:color w:val="7030A0"/>
          <w:rtl/>
          <w:lang w:val="en-ZW"/>
        </w:rPr>
        <w:t xml:space="preserve"> העצמאות.</w:t>
      </w:r>
      <w:r w:rsidR="0041443E" w:rsidRPr="0041443E">
        <w:rPr>
          <w:rFonts w:ascii="Segoe UI" w:hAnsi="Segoe UI" w:cs="Segoe UI"/>
          <w:color w:val="7030A0"/>
        </w:rPr>
        <w:t xml:space="preserve"> </w:t>
      </w:r>
      <w:r w:rsidR="0041443E" w:rsidRPr="0041443E">
        <w:rPr>
          <w:rFonts w:ascii="Segoe UI" w:hAnsi="Segoe UI" w:cs="Segoe UI"/>
          <w:color w:val="7030A0"/>
          <w:rtl/>
          <w:lang w:val="en-ZW"/>
        </w:rPr>
        <w:t xml:space="preserve">הוא הועמד בפני </w:t>
      </w:r>
      <w:hyperlink r:id="rId22" w:tooltip="בית דין שדה" w:history="1">
        <w:r w:rsidR="0041443E" w:rsidRPr="0041443E">
          <w:rPr>
            <w:rStyle w:val="Hyperlink"/>
            <w:rFonts w:ascii="Segoe UI" w:hAnsi="Segoe UI" w:cs="Segoe UI"/>
            <w:color w:val="7030A0"/>
            <w:u w:val="none"/>
            <w:rtl/>
            <w:lang w:val="en-ZW"/>
          </w:rPr>
          <w:t>בית דין שדה</w:t>
        </w:r>
      </w:hyperlink>
      <w:r w:rsidR="0041443E" w:rsidRPr="0041443E">
        <w:rPr>
          <w:rFonts w:ascii="Segoe UI" w:hAnsi="Segoe UI" w:cs="Segoe UI" w:hint="cs"/>
          <w:color w:val="7030A0"/>
          <w:rtl/>
          <w:lang w:val="en-US"/>
        </w:rPr>
        <w:t xml:space="preserve">, </w:t>
      </w:r>
      <w:r w:rsidR="0041443E" w:rsidRPr="0041443E">
        <w:rPr>
          <w:rFonts w:ascii="Segoe UI" w:hAnsi="Segoe UI" w:cs="Segoe UI"/>
          <w:color w:val="7030A0"/>
          <w:rtl/>
          <w:lang w:val="en-ZW"/>
        </w:rPr>
        <w:t>הורשע והוצא להורג בהחלטה יחידה מסוגה בתולדות מדינת ישראל</w:t>
      </w:r>
      <w:r w:rsidR="0041443E" w:rsidRPr="0041443E">
        <w:rPr>
          <w:rFonts w:ascii="Segoe UI" w:hAnsi="Segoe UI" w:cs="Segoe UI"/>
          <w:color w:val="7030A0"/>
        </w:rPr>
        <w:t>.</w:t>
      </w:r>
      <w:r w:rsidR="0041443E" w:rsidRPr="0041443E">
        <w:rPr>
          <w:rFonts w:ascii="Segoe UI" w:hAnsi="Segoe UI" w:cs="Segoe UI" w:hint="cs"/>
          <w:color w:val="7030A0"/>
          <w:rtl/>
          <w:lang w:val="en-ZW"/>
        </w:rPr>
        <w:t>)</w:t>
      </w:r>
    </w:p>
    <w:p w14:paraId="39AFE237" w14:textId="550DEABE" w:rsidR="00C507BE" w:rsidRPr="00A24A86" w:rsidRDefault="00C507BE" w:rsidP="004E26A9">
      <w:pPr>
        <w:pStyle w:val="ab"/>
        <w:numPr>
          <w:ilvl w:val="3"/>
          <w:numId w:val="16"/>
        </w:numPr>
        <w:bidi/>
        <w:spacing w:after="0" w:line="276" w:lineRule="auto"/>
        <w:ind w:left="1443"/>
        <w:jc w:val="both"/>
        <w:rPr>
          <w:rFonts w:ascii="Segoe UI" w:hAnsi="Segoe UI" w:cs="Segoe UI"/>
          <w:u w:val="single"/>
          <w:lang w:val="en-ZW"/>
        </w:rPr>
      </w:pPr>
      <w:r>
        <w:rPr>
          <w:rFonts w:ascii="Segoe UI" w:hAnsi="Segoe UI" w:cs="Segoe UI" w:hint="cs"/>
          <w:rtl/>
          <w:lang w:val="en-ZW"/>
        </w:rPr>
        <w:t xml:space="preserve">עונש מוות איננו פרופורציונאלי לשום עבירה </w:t>
      </w:r>
      <w:r>
        <w:rPr>
          <w:rFonts w:ascii="Segoe UI" w:hAnsi="Segoe UI" w:cs="Segoe UI"/>
          <w:rtl/>
          <w:lang w:val="en-ZW"/>
        </w:rPr>
        <w:t>–</w:t>
      </w:r>
      <w:r>
        <w:rPr>
          <w:rFonts w:ascii="Segoe UI" w:hAnsi="Segoe UI" w:cs="Segoe UI" w:hint="cs"/>
          <w:rtl/>
          <w:lang w:val="en-ZW"/>
        </w:rPr>
        <w:t xml:space="preserve"> זלזול בחיי אדם </w:t>
      </w:r>
    </w:p>
    <w:p w14:paraId="7CCBB074" w14:textId="6A525F39" w:rsidR="00A24A86" w:rsidRPr="00CA6E7D" w:rsidRDefault="00A24A86" w:rsidP="004E26A9">
      <w:pPr>
        <w:pStyle w:val="ab"/>
        <w:numPr>
          <w:ilvl w:val="1"/>
          <w:numId w:val="15"/>
        </w:numPr>
        <w:bidi/>
        <w:spacing w:after="0" w:line="276" w:lineRule="auto"/>
        <w:ind w:left="1080"/>
        <w:jc w:val="both"/>
        <w:rPr>
          <w:rFonts w:ascii="Segoe UI" w:hAnsi="Segoe UI" w:cs="Segoe UI"/>
          <w:u w:val="single"/>
          <w:lang w:val="en-ZW"/>
        </w:rPr>
      </w:pPr>
      <w:r w:rsidRPr="00CA6E7D">
        <w:rPr>
          <w:rFonts w:ascii="Segoe UI" w:hAnsi="Segoe UI" w:cs="Segoe UI" w:hint="cs"/>
          <w:u w:val="single"/>
          <w:rtl/>
          <w:lang w:val="en-ZW"/>
        </w:rPr>
        <w:t>טיעונים תועלתניים</w:t>
      </w:r>
    </w:p>
    <w:p w14:paraId="5E6914BE" w14:textId="2FF9BB8D" w:rsidR="00C507BE" w:rsidRDefault="00C507BE" w:rsidP="004E26A9">
      <w:pPr>
        <w:pStyle w:val="ab"/>
        <w:numPr>
          <w:ilvl w:val="3"/>
          <w:numId w:val="17"/>
        </w:numPr>
        <w:bidi/>
        <w:spacing w:after="0" w:line="276" w:lineRule="auto"/>
        <w:ind w:left="1443"/>
        <w:jc w:val="both"/>
        <w:rPr>
          <w:rFonts w:ascii="Segoe UI" w:hAnsi="Segoe UI" w:cs="Segoe UI"/>
          <w:u w:val="single"/>
          <w:lang w:val="en-ZW"/>
        </w:rPr>
      </w:pPr>
      <w:r>
        <w:rPr>
          <w:rFonts w:ascii="Segoe UI" w:hAnsi="Segoe UI" w:cs="Segoe UI" w:hint="cs"/>
          <w:rtl/>
          <w:lang w:val="en-ZW"/>
        </w:rPr>
        <w:t xml:space="preserve">עונש </w:t>
      </w:r>
      <w:r w:rsidRPr="00C507BE">
        <w:rPr>
          <w:rFonts w:ascii="Segoe UI" w:hAnsi="Segoe UI" w:cs="Segoe UI" w:hint="cs"/>
          <w:rtl/>
          <w:lang w:val="en-ZW"/>
        </w:rPr>
        <w:t xml:space="preserve">מוות </w:t>
      </w:r>
      <w:r w:rsidRPr="00C507BE">
        <w:rPr>
          <w:rFonts w:ascii="Segoe UI" w:hAnsi="Segoe UI" w:cs="Segoe UI"/>
          <w:rtl/>
          <w:lang w:val="en-ZW"/>
        </w:rPr>
        <w:t>אינו יעיל ואינו מפחית עבריינות. במדינות שיש עונש מוות (כגון: בארה"ב) יש פשיעה רבה</w:t>
      </w:r>
    </w:p>
    <w:p w14:paraId="1A9CE280" w14:textId="4CB0E9CC" w:rsidR="00D701D3" w:rsidRDefault="00D701D3" w:rsidP="004E26A9">
      <w:pPr>
        <w:pStyle w:val="ab"/>
        <w:numPr>
          <w:ilvl w:val="3"/>
          <w:numId w:val="17"/>
        </w:numPr>
        <w:bidi/>
        <w:spacing w:after="0" w:line="276" w:lineRule="auto"/>
        <w:ind w:left="1443"/>
        <w:jc w:val="both"/>
        <w:rPr>
          <w:rFonts w:ascii="Segoe UI" w:hAnsi="Segoe UI" w:cs="Segoe UI"/>
          <w:lang w:val="en-ZW"/>
        </w:rPr>
      </w:pPr>
      <w:r w:rsidRPr="00D701D3">
        <w:rPr>
          <w:rFonts w:ascii="Segoe UI" w:hAnsi="Segoe UI" w:cs="Segoe UI"/>
          <w:rtl/>
          <w:lang w:val="en-ZW"/>
        </w:rPr>
        <w:t>חוסר אפשרות להטיל עונש מוות באופן שוויוני (ייצוג כושל, גזע הנאשם, מוצא, תנאים סביבתיים)</w:t>
      </w:r>
    </w:p>
    <w:p w14:paraId="3A06258E" w14:textId="798BC302" w:rsidR="00D701D3" w:rsidRDefault="00D701D3" w:rsidP="004E26A9">
      <w:pPr>
        <w:pStyle w:val="ab"/>
        <w:numPr>
          <w:ilvl w:val="3"/>
          <w:numId w:val="17"/>
        </w:numPr>
        <w:bidi/>
        <w:spacing w:after="0" w:line="276" w:lineRule="auto"/>
        <w:ind w:left="1443"/>
        <w:jc w:val="both"/>
        <w:rPr>
          <w:rFonts w:ascii="Segoe UI" w:hAnsi="Segoe UI" w:cs="Segoe UI"/>
          <w:lang w:val="en-ZW"/>
        </w:rPr>
      </w:pPr>
      <w:r w:rsidRPr="00D701D3">
        <w:rPr>
          <w:rFonts w:ascii="Segoe UI" w:hAnsi="Segoe UI" w:cs="Segoe UI"/>
          <w:rtl/>
          <w:lang w:val="en-ZW"/>
        </w:rPr>
        <w:t>לא זול בהכרח.</w:t>
      </w:r>
      <w:r w:rsidR="00E268EF">
        <w:rPr>
          <w:rFonts w:ascii="Segoe UI" w:hAnsi="Segoe UI" w:cs="Segoe UI" w:hint="cs"/>
          <w:rtl/>
          <w:lang w:val="en-ZW"/>
        </w:rPr>
        <w:t xml:space="preserve"> </w:t>
      </w:r>
      <w:r w:rsidR="00E268EF">
        <w:rPr>
          <w:rFonts w:ascii="Segoe UI" w:hAnsi="Segoe UI" w:cs="Segoe UI" w:hint="cs"/>
          <w:color w:val="7030A0"/>
          <w:rtl/>
          <w:lang w:val="en-ZW"/>
        </w:rPr>
        <w:t xml:space="preserve">לוקח הרבה זמן עד שמוציאים להורג, בזמן הזה יש מלא משפטים, יש הפגנות וכו'. כלכלן בארה"ב עשה מחקר וגילה שכל הוצאה עולה בערך 20 מיליון דולר (מושבעים בכל ערכאה, ביהמ"ש העליון וכו'). </w:t>
      </w:r>
    </w:p>
    <w:p w14:paraId="1DAE34B7" w14:textId="085AEED0" w:rsidR="00D701D3" w:rsidRDefault="00D701D3" w:rsidP="004E26A9">
      <w:pPr>
        <w:pStyle w:val="ab"/>
        <w:numPr>
          <w:ilvl w:val="0"/>
          <w:numId w:val="7"/>
        </w:numPr>
        <w:bidi/>
        <w:spacing w:after="0" w:line="276" w:lineRule="auto"/>
        <w:jc w:val="both"/>
        <w:rPr>
          <w:rFonts w:ascii="Segoe UI" w:hAnsi="Segoe UI" w:cs="Segoe UI"/>
          <w:lang w:val="en-ZW"/>
        </w:rPr>
      </w:pPr>
      <w:r>
        <w:rPr>
          <w:rFonts w:ascii="Segoe UI" w:hAnsi="Segoe UI" w:cs="Segoe UI" w:hint="cs"/>
          <w:rtl/>
          <w:lang w:val="en-ZW"/>
        </w:rPr>
        <w:t xml:space="preserve">מדוע ארה"ב לא מפחיתה את עונש המוות כמו </w:t>
      </w:r>
      <w:r w:rsidR="003D5D87">
        <w:rPr>
          <w:rFonts w:ascii="Segoe UI" w:hAnsi="Segoe UI" w:cs="Segoe UI" w:hint="cs"/>
          <w:rtl/>
          <w:lang w:val="en-ZW"/>
        </w:rPr>
        <w:t>אירופה? (דוג': חברת בנטון)</w:t>
      </w:r>
    </w:p>
    <w:p w14:paraId="238857AA" w14:textId="4ED65543" w:rsidR="003D5D87" w:rsidRDefault="003D5D87" w:rsidP="004E26A9">
      <w:pPr>
        <w:pStyle w:val="ab"/>
        <w:numPr>
          <w:ilvl w:val="1"/>
          <w:numId w:val="7"/>
        </w:numPr>
        <w:bidi/>
        <w:spacing w:after="0" w:line="276" w:lineRule="auto"/>
        <w:ind w:left="1443"/>
        <w:jc w:val="both"/>
        <w:rPr>
          <w:rFonts w:ascii="Segoe UI" w:hAnsi="Segoe UI" w:cs="Segoe UI"/>
          <w:lang w:val="en-ZW"/>
        </w:rPr>
      </w:pPr>
      <w:r>
        <w:rPr>
          <w:rFonts w:ascii="Segoe UI" w:hAnsi="Segoe UI" w:cs="Segoe UI" w:hint="cs"/>
          <w:rtl/>
          <w:lang w:val="en-ZW"/>
        </w:rPr>
        <w:t xml:space="preserve">דעת קהל </w:t>
      </w:r>
      <w:r>
        <w:rPr>
          <w:rFonts w:ascii="Segoe UI" w:hAnsi="Segoe UI" w:cs="Segoe UI"/>
          <w:rtl/>
          <w:lang w:val="en-ZW"/>
        </w:rPr>
        <w:t>–</w:t>
      </w:r>
      <w:r>
        <w:rPr>
          <w:rFonts w:ascii="Segoe UI" w:hAnsi="Segoe UI" w:cs="Segoe UI" w:hint="cs"/>
          <w:rtl/>
          <w:lang w:val="en-ZW"/>
        </w:rPr>
        <w:t xml:space="preserve"> החל מאמצע שנות השבעים יש תמיכה חזקה בעונש מוות.</w:t>
      </w:r>
      <w:r w:rsidR="00AB4469">
        <w:rPr>
          <w:rFonts w:ascii="Segoe UI" w:hAnsi="Segoe UI" w:cs="Segoe UI" w:hint="cs"/>
          <w:rtl/>
          <w:lang w:val="en-ZW"/>
        </w:rPr>
        <w:t xml:space="preserve"> </w:t>
      </w:r>
      <w:r w:rsidR="0042076A">
        <w:rPr>
          <w:rFonts w:ascii="Segoe UI" w:hAnsi="Segoe UI" w:cs="Segoe UI" w:hint="cs"/>
          <w:color w:val="7030A0"/>
          <w:rtl/>
          <w:lang w:val="en-ZW"/>
        </w:rPr>
        <w:t xml:space="preserve">כלומר, יכול להיות שהרבה אנשים (יש חיבור בין 1 ל-2) שאמנם מתנגדים אבל </w:t>
      </w:r>
      <w:proofErr w:type="spellStart"/>
      <w:r w:rsidR="0042076A">
        <w:rPr>
          <w:rFonts w:ascii="Segoe UI" w:hAnsi="Segoe UI" w:cs="Segoe UI" w:hint="cs"/>
          <w:color w:val="7030A0"/>
          <w:rtl/>
          <w:lang w:val="en-ZW"/>
        </w:rPr>
        <w:t>הבייס</w:t>
      </w:r>
      <w:proofErr w:type="spellEnd"/>
      <w:r w:rsidR="0042076A">
        <w:rPr>
          <w:rFonts w:ascii="Segoe UI" w:hAnsi="Segoe UI" w:cs="Segoe UI" w:hint="cs"/>
          <w:color w:val="7030A0"/>
          <w:rtl/>
          <w:lang w:val="en-ZW"/>
        </w:rPr>
        <w:t xml:space="preserve"> הפוליטי כן בעד זה ואז כדי שיצביעו לו </w:t>
      </w:r>
      <w:r w:rsidR="0042076A">
        <w:rPr>
          <w:rFonts w:ascii="Segoe UI" w:hAnsi="Segoe UI" w:cs="Segoe UI" w:hint="cs"/>
          <w:color w:val="7030A0"/>
          <w:rtl/>
          <w:lang w:val="en-ZW"/>
        </w:rPr>
        <w:lastRenderedPageBreak/>
        <w:t xml:space="preserve">הוא לא מדבר על ביטול העונש. כל פוליטיקאי רוצה לצאת חזק ואם יצא נגד עונש המוות הוא </w:t>
      </w:r>
      <w:proofErr w:type="spellStart"/>
      <w:r w:rsidR="0042076A">
        <w:rPr>
          <w:rFonts w:ascii="Segoe UI" w:hAnsi="Segoe UI" w:cs="Segoe UI" w:hint="cs"/>
          <w:color w:val="7030A0"/>
          <w:rtl/>
          <w:lang w:val="en-ZW"/>
        </w:rPr>
        <w:t>יתפס</w:t>
      </w:r>
      <w:proofErr w:type="spellEnd"/>
      <w:r w:rsidR="0042076A">
        <w:rPr>
          <w:rFonts w:ascii="Segoe UI" w:hAnsi="Segoe UI" w:cs="Segoe UI" w:hint="cs"/>
          <w:color w:val="7030A0"/>
          <w:rtl/>
          <w:lang w:val="en-ZW"/>
        </w:rPr>
        <w:t xml:space="preserve"> כ"חלשלוש". בעצם לפוליטיקאי אין כוח ללכת נגד </w:t>
      </w:r>
      <w:proofErr w:type="spellStart"/>
      <w:r w:rsidR="0042076A">
        <w:rPr>
          <w:rFonts w:ascii="Segoe UI" w:hAnsi="Segoe UI" w:cs="Segoe UI" w:hint="cs"/>
          <w:color w:val="7030A0"/>
          <w:rtl/>
          <w:lang w:val="en-ZW"/>
        </w:rPr>
        <w:t>הבייס</w:t>
      </w:r>
      <w:proofErr w:type="spellEnd"/>
      <w:r w:rsidR="0042076A">
        <w:rPr>
          <w:rFonts w:ascii="Segoe UI" w:hAnsi="Segoe UI" w:cs="Segoe UI" w:hint="cs"/>
          <w:color w:val="7030A0"/>
          <w:rtl/>
          <w:lang w:val="en-ZW"/>
        </w:rPr>
        <w:t xml:space="preserve"> שלו והוא לא יעשה זאת. </w:t>
      </w:r>
    </w:p>
    <w:p w14:paraId="58773479" w14:textId="4C9CC853" w:rsidR="003D5D87" w:rsidRDefault="003D5D87" w:rsidP="004E26A9">
      <w:pPr>
        <w:pStyle w:val="ab"/>
        <w:numPr>
          <w:ilvl w:val="1"/>
          <w:numId w:val="7"/>
        </w:numPr>
        <w:bidi/>
        <w:spacing w:after="0" w:line="276" w:lineRule="auto"/>
        <w:ind w:left="1443"/>
        <w:jc w:val="both"/>
        <w:rPr>
          <w:rFonts w:ascii="Segoe UI" w:hAnsi="Segoe UI" w:cs="Segoe UI"/>
          <w:lang w:val="en-ZW"/>
        </w:rPr>
      </w:pPr>
      <w:r>
        <w:rPr>
          <w:rFonts w:ascii="Segoe UI" w:hAnsi="Segoe UI" w:cs="Segoe UI" w:hint="cs"/>
          <w:rtl/>
          <w:lang w:val="en-ZW"/>
        </w:rPr>
        <w:t xml:space="preserve">עמדת הפוליטיקאים </w:t>
      </w:r>
      <w:r>
        <w:rPr>
          <w:rFonts w:ascii="Segoe UI" w:hAnsi="Segoe UI" w:cs="Segoe UI"/>
          <w:rtl/>
          <w:lang w:val="en-ZW"/>
        </w:rPr>
        <w:t>–</w:t>
      </w:r>
      <w:r>
        <w:rPr>
          <w:rFonts w:ascii="Segoe UI" w:hAnsi="Segoe UI" w:cs="Segoe UI" w:hint="cs"/>
          <w:rtl/>
          <w:lang w:val="en-ZW"/>
        </w:rPr>
        <w:t xml:space="preserve"> עונש מוות הוא "קרש קפיצה" פוליטי.</w:t>
      </w:r>
    </w:p>
    <w:p w14:paraId="35BDE481" w14:textId="1FACBE81" w:rsidR="003D5D87" w:rsidRDefault="003D5D87" w:rsidP="004E26A9">
      <w:pPr>
        <w:pStyle w:val="ab"/>
        <w:numPr>
          <w:ilvl w:val="1"/>
          <w:numId w:val="7"/>
        </w:numPr>
        <w:bidi/>
        <w:spacing w:after="0" w:line="276" w:lineRule="auto"/>
        <w:ind w:left="1443"/>
        <w:jc w:val="both"/>
        <w:rPr>
          <w:rFonts w:ascii="Segoe UI" w:hAnsi="Segoe UI" w:cs="Segoe UI"/>
          <w:lang w:val="en-ZW"/>
        </w:rPr>
      </w:pPr>
      <w:r>
        <w:rPr>
          <w:rFonts w:ascii="Segoe UI" w:hAnsi="Segoe UI" w:cs="Segoe UI" w:hint="cs"/>
          <w:rtl/>
          <w:lang w:val="en-ZW"/>
        </w:rPr>
        <w:t>בית המשפט העליון קבע שניתן להפעיל את עונש המוות כאשר כל מקרה נשקל לגופו.</w:t>
      </w:r>
      <w:r w:rsidR="007119FA">
        <w:rPr>
          <w:rFonts w:ascii="Segoe UI" w:hAnsi="Segoe UI" w:cs="Segoe UI" w:hint="cs"/>
          <w:rtl/>
          <w:lang w:val="en-ZW"/>
        </w:rPr>
        <w:t xml:space="preserve"> </w:t>
      </w:r>
      <w:r w:rsidR="00EB5FD7">
        <w:rPr>
          <w:rFonts w:ascii="Segoe UI" w:hAnsi="Segoe UI" w:cs="Segoe UI" w:hint="cs"/>
          <w:color w:val="7030A0"/>
          <w:rtl/>
          <w:lang w:val="en-ZW"/>
        </w:rPr>
        <w:t>יש הרבה מאוד פסקי דין בארה"ב ששאלו האם זה אפשרי לא אפשרי וביהמ"ש העליון קבע שכל מדינה ממדינות ארה"ב יכול לקבוע לעצמה אם זה אפשרי או לא אפ</w:t>
      </w:r>
      <w:r w:rsidR="0048373C">
        <w:rPr>
          <w:rFonts w:ascii="Segoe UI" w:hAnsi="Segoe UI" w:cs="Segoe UI" w:hint="cs"/>
          <w:color w:val="7030A0"/>
          <w:rtl/>
          <w:lang w:val="en-ZW"/>
        </w:rPr>
        <w:t>שרי.</w:t>
      </w:r>
    </w:p>
    <w:p w14:paraId="751BF854" w14:textId="04C24B79" w:rsidR="00A24A86" w:rsidRDefault="003D5D87" w:rsidP="004E26A9">
      <w:pPr>
        <w:pStyle w:val="ab"/>
        <w:numPr>
          <w:ilvl w:val="1"/>
          <w:numId w:val="7"/>
        </w:numPr>
        <w:bidi/>
        <w:spacing w:after="0" w:line="276" w:lineRule="auto"/>
        <w:ind w:left="1443"/>
        <w:jc w:val="both"/>
        <w:rPr>
          <w:rFonts w:ascii="Segoe UI" w:hAnsi="Segoe UI" w:cs="Segoe UI"/>
          <w:lang w:val="en-ZW"/>
        </w:rPr>
      </w:pPr>
      <w:r>
        <w:rPr>
          <w:rFonts w:ascii="Segoe UI" w:hAnsi="Segoe UI" w:cs="Segoe UI" w:hint="cs"/>
          <w:rtl/>
          <w:lang w:val="en-ZW"/>
        </w:rPr>
        <w:t>ארגוני נפגעי עבירה.</w:t>
      </w:r>
      <w:r w:rsidR="00333813">
        <w:rPr>
          <w:rFonts w:ascii="Segoe UI" w:hAnsi="Segoe UI" w:cs="Segoe UI" w:hint="cs"/>
          <w:rtl/>
          <w:lang w:val="en-ZW"/>
        </w:rPr>
        <w:t xml:space="preserve"> </w:t>
      </w:r>
      <w:r w:rsidR="00333813">
        <w:rPr>
          <w:rFonts w:ascii="Segoe UI" w:hAnsi="Segoe UI" w:cs="Segoe UI" w:hint="cs"/>
          <w:color w:val="7030A0"/>
          <w:rtl/>
          <w:lang w:val="en-ZW"/>
        </w:rPr>
        <w:t xml:space="preserve">הארגונים נהיו מאוד חזקים בשנים האחרונות בכל העולם ולא רק בישראל. ארגונים עם כסף, תקשורת, דעת קהל חיובית עליהם כי כולם </w:t>
      </w:r>
      <w:r w:rsidR="00A0239E">
        <w:rPr>
          <w:rFonts w:ascii="Segoe UI" w:hAnsi="Segoe UI" w:cs="Segoe UI" w:hint="cs"/>
          <w:color w:val="7030A0"/>
          <w:rtl/>
          <w:lang w:val="en-ZW"/>
        </w:rPr>
        <w:t>מסמפתים</w:t>
      </w:r>
      <w:r w:rsidR="00333813">
        <w:rPr>
          <w:rFonts w:ascii="Segoe UI" w:hAnsi="Segoe UI" w:cs="Segoe UI" w:hint="cs"/>
          <w:color w:val="7030A0"/>
          <w:rtl/>
          <w:lang w:val="en-ZW"/>
        </w:rPr>
        <w:t xml:space="preserve"> נפגעי עבירה ושונאים עבריינים. זה גורם לכך שמשאירים את הדבר הזה.</w:t>
      </w:r>
    </w:p>
    <w:p w14:paraId="0D05777F" w14:textId="77777777" w:rsidR="00333813" w:rsidRPr="00333813" w:rsidRDefault="00333813" w:rsidP="004E26A9">
      <w:pPr>
        <w:pStyle w:val="ab"/>
        <w:bidi/>
        <w:spacing w:after="0" w:line="276" w:lineRule="auto"/>
        <w:ind w:left="1443"/>
        <w:jc w:val="both"/>
        <w:rPr>
          <w:rFonts w:ascii="Segoe UI" w:hAnsi="Segoe UI" w:cs="Segoe UI"/>
          <w:lang w:val="en-ZW"/>
        </w:rPr>
      </w:pPr>
    </w:p>
    <w:p w14:paraId="3EB544F3" w14:textId="45D2A391" w:rsidR="00333813" w:rsidRDefault="00333813" w:rsidP="004E26A9">
      <w:pPr>
        <w:pStyle w:val="ab"/>
        <w:bidi/>
        <w:spacing w:after="0" w:line="276" w:lineRule="auto"/>
        <w:ind w:left="0"/>
        <w:jc w:val="both"/>
        <w:rPr>
          <w:rFonts w:ascii="Segoe UI" w:hAnsi="Segoe UI" w:cs="Segoe UI"/>
          <w:color w:val="7030A0"/>
          <w:rtl/>
          <w:lang w:val="en-ZW"/>
        </w:rPr>
      </w:pPr>
      <w:r w:rsidRPr="00333813">
        <w:rPr>
          <w:rFonts w:ascii="Segoe UI" w:hAnsi="Segoe UI" w:cs="Segoe UI" w:hint="cs"/>
          <w:color w:val="7030A0"/>
          <w:rtl/>
          <w:lang w:val="en-ZW"/>
        </w:rPr>
        <w:t xml:space="preserve">בנטון </w:t>
      </w:r>
      <w:r w:rsidRPr="00333813">
        <w:rPr>
          <w:rFonts w:ascii="Segoe UI" w:hAnsi="Segoe UI" w:cs="Segoe UI"/>
          <w:color w:val="7030A0"/>
          <w:rtl/>
          <w:lang w:val="en-ZW"/>
        </w:rPr>
        <w:t>–</w:t>
      </w:r>
      <w:r w:rsidRPr="00333813">
        <w:rPr>
          <w:rFonts w:ascii="Segoe UI" w:hAnsi="Segoe UI" w:cs="Segoe UI" w:hint="cs"/>
          <w:color w:val="7030A0"/>
          <w:rtl/>
          <w:lang w:val="en-ZW"/>
        </w:rPr>
        <w:t xml:space="preserve"> חב' אופנה </w:t>
      </w:r>
      <w:r w:rsidRPr="00333813">
        <w:rPr>
          <w:rFonts w:ascii="Segoe UI" w:hAnsi="Segoe UI" w:cs="Segoe UI"/>
          <w:color w:val="7030A0"/>
          <w:rtl/>
          <w:lang w:val="en-ZW"/>
        </w:rPr>
        <w:t>–</w:t>
      </w:r>
      <w:r w:rsidRPr="00333813">
        <w:rPr>
          <w:rFonts w:ascii="Segoe UI" w:hAnsi="Segoe UI" w:cs="Segoe UI" w:hint="cs"/>
          <w:color w:val="7030A0"/>
          <w:rtl/>
          <w:lang w:val="en-ZW"/>
        </w:rPr>
        <w:t xml:space="preserve"> חילקה חולצות חינמיות שבהן היה כתוב של כל הנידונים למוות שהוציאו אותם להורג בשנים האחרונות. מה זה גרם? לכאורה, פעולה מסחרית אבל זה גרם לאנשים לחשוב על האנשים. כאשר רואים את הפנים של הבן אדם אתה מתחיל לחשוב על הדברים קצת אחרת. </w:t>
      </w:r>
    </w:p>
    <w:p w14:paraId="729A6B4F" w14:textId="5934904F" w:rsidR="00A53ACA" w:rsidRDefault="00A53ACA" w:rsidP="004E26A9">
      <w:pPr>
        <w:bidi/>
        <w:spacing w:after="0" w:line="276" w:lineRule="auto"/>
        <w:jc w:val="both"/>
        <w:rPr>
          <w:rFonts w:ascii="Segoe UI" w:hAnsi="Segoe UI" w:cs="Segoe UI"/>
          <w:rtl/>
          <w:lang w:val="en-ZW"/>
        </w:rPr>
      </w:pPr>
    </w:p>
    <w:p w14:paraId="5A434C6D" w14:textId="70A1E113" w:rsidR="00D344AC" w:rsidRPr="00914FC0" w:rsidRDefault="00C30FBB" w:rsidP="004E26A9">
      <w:pPr>
        <w:pStyle w:val="110"/>
        <w:spacing w:line="276" w:lineRule="auto"/>
        <w:jc w:val="center"/>
      </w:pPr>
      <w:r w:rsidRPr="00914FC0">
        <w:rPr>
          <w:rFonts w:hint="cs"/>
          <w:rtl/>
        </w:rPr>
        <w:t>עונשי גו</w:t>
      </w:r>
      <w:r w:rsidR="00D344AC" w:rsidRPr="00914FC0">
        <w:rPr>
          <w:rFonts w:hint="cs"/>
          <w:rtl/>
        </w:rPr>
        <w:t>ף</w:t>
      </w:r>
    </w:p>
    <w:p w14:paraId="13619D80" w14:textId="3CC21B4A" w:rsidR="00691996" w:rsidRPr="00691996" w:rsidRDefault="00691996" w:rsidP="004E26A9">
      <w:pPr>
        <w:pStyle w:val="ab"/>
        <w:numPr>
          <w:ilvl w:val="0"/>
          <w:numId w:val="9"/>
        </w:numPr>
        <w:bidi/>
        <w:spacing w:after="0" w:line="276" w:lineRule="auto"/>
        <w:jc w:val="both"/>
        <w:rPr>
          <w:rFonts w:ascii="Segoe UI" w:hAnsi="Segoe UI" w:cs="Segoe UI"/>
          <w:lang w:val="en-ZW"/>
        </w:rPr>
      </w:pPr>
      <w:r w:rsidRPr="00691996">
        <w:rPr>
          <w:rFonts w:ascii="Segoe UI" w:hAnsi="Segoe UI" w:cs="Segoe UI"/>
          <w:rtl/>
          <w:lang w:val="en-ZW"/>
        </w:rPr>
        <w:t>מטרתם סבל גופני. בישראל - מלקות היו בתוקף במנדט הבריטי ללוחמי מחתרות</w:t>
      </w:r>
      <w:r w:rsidR="00476C3D">
        <w:rPr>
          <w:rFonts w:ascii="Segoe UI" w:hAnsi="Segoe UI" w:cs="Segoe UI" w:hint="cs"/>
          <w:rtl/>
          <w:lang w:val="en-ZW"/>
        </w:rPr>
        <w:t>.</w:t>
      </w:r>
      <w:r w:rsidR="00536716">
        <w:rPr>
          <w:rFonts w:ascii="Segoe UI" w:hAnsi="Segoe UI" w:cs="Segoe UI" w:hint="cs"/>
          <w:rtl/>
          <w:lang w:val="en-ZW"/>
        </w:rPr>
        <w:t xml:space="preserve"> </w:t>
      </w:r>
      <w:r w:rsidR="00536716">
        <w:rPr>
          <w:rFonts w:ascii="Segoe UI" w:hAnsi="Segoe UI" w:cs="Segoe UI" w:hint="cs"/>
          <w:color w:val="7030A0"/>
          <w:rtl/>
          <w:lang w:val="en-ZW"/>
        </w:rPr>
        <w:t>(העונש בוטל באמצעות חוק ביטול עונש מלקות).</w:t>
      </w:r>
    </w:p>
    <w:p w14:paraId="58628AB1" w14:textId="7F4E0961" w:rsidR="00476C3D" w:rsidRPr="00476C3D" w:rsidRDefault="00476C3D" w:rsidP="004E26A9">
      <w:pPr>
        <w:pStyle w:val="ab"/>
        <w:numPr>
          <w:ilvl w:val="0"/>
          <w:numId w:val="9"/>
        </w:numPr>
        <w:bidi/>
        <w:spacing w:after="0" w:line="276" w:lineRule="auto"/>
        <w:jc w:val="both"/>
        <w:rPr>
          <w:rFonts w:ascii="Segoe UI" w:hAnsi="Segoe UI" w:cs="Segoe UI"/>
          <w:lang w:val="en-US"/>
        </w:rPr>
      </w:pPr>
      <w:r w:rsidRPr="00476C3D">
        <w:rPr>
          <w:rFonts w:ascii="Segoe UI" w:hAnsi="Segoe UI" w:cs="Segoe UI"/>
          <w:rtl/>
          <w:lang w:val="en-ZW"/>
        </w:rPr>
        <w:t>היום – עונש מלקות קיים למשל בסינגפור ובמדינות לא מערביות. (השלכת מסטיקים ברחוב)</w:t>
      </w:r>
      <w:r>
        <w:rPr>
          <w:rFonts w:ascii="Segoe UI" w:hAnsi="Segoe UI" w:cs="Segoe UI" w:hint="cs"/>
          <w:rtl/>
          <w:lang w:val="en-US"/>
        </w:rPr>
        <w:t>.</w:t>
      </w:r>
    </w:p>
    <w:p w14:paraId="23BCFD1E" w14:textId="5856454D" w:rsidR="00D344AC" w:rsidRDefault="00476C3D" w:rsidP="004E26A9">
      <w:pPr>
        <w:pStyle w:val="ab"/>
        <w:numPr>
          <w:ilvl w:val="0"/>
          <w:numId w:val="9"/>
        </w:numPr>
        <w:bidi/>
        <w:spacing w:after="0" w:line="276" w:lineRule="auto"/>
        <w:jc w:val="both"/>
        <w:rPr>
          <w:rFonts w:ascii="Segoe UI" w:hAnsi="Segoe UI" w:cs="Segoe UI"/>
          <w:lang w:val="en-US"/>
        </w:rPr>
      </w:pPr>
      <w:r w:rsidRPr="00476C3D">
        <w:rPr>
          <w:rFonts w:ascii="Segoe UI" w:hAnsi="Segoe UI" w:cs="Segoe UI"/>
          <w:rtl/>
          <w:lang w:val="en-ZW"/>
        </w:rPr>
        <w:t xml:space="preserve">באנגליה - מלקות עם שוט בפומבי כדי "להפעיל טרור על האזרחים" (מישל פוקו). בוטל </w:t>
      </w:r>
      <w:r w:rsidRPr="00476C3D">
        <w:rPr>
          <w:rFonts w:ascii="Segoe UI" w:hAnsi="Segoe UI" w:cs="Segoe UI"/>
          <w:b/>
          <w:bCs/>
          <w:rtl/>
          <w:lang w:val="en-ZW"/>
        </w:rPr>
        <w:t>רשמית</w:t>
      </w:r>
      <w:r w:rsidRPr="00476C3D">
        <w:rPr>
          <w:rFonts w:ascii="Segoe UI" w:hAnsi="Segoe UI" w:cs="Segoe UI"/>
          <w:rtl/>
          <w:lang w:val="en-ZW"/>
        </w:rPr>
        <w:t xml:space="preserve"> רק ב-1967 (עד אז, היה מופעל בתוך בתי הכלא כעונש משמעתי)</w:t>
      </w:r>
      <w:r>
        <w:rPr>
          <w:rFonts w:ascii="Segoe UI" w:hAnsi="Segoe UI" w:cs="Segoe UI" w:hint="cs"/>
          <w:rtl/>
          <w:lang w:val="en-US"/>
        </w:rPr>
        <w:t>.</w:t>
      </w:r>
    </w:p>
    <w:p w14:paraId="00AD92DD" w14:textId="31D76611" w:rsidR="00B2796F" w:rsidRDefault="00B2796F" w:rsidP="004E26A9">
      <w:pPr>
        <w:pStyle w:val="ab"/>
        <w:numPr>
          <w:ilvl w:val="0"/>
          <w:numId w:val="9"/>
        </w:numPr>
        <w:bidi/>
        <w:spacing w:after="0" w:line="276" w:lineRule="auto"/>
        <w:jc w:val="both"/>
        <w:rPr>
          <w:rFonts w:ascii="Segoe UI" w:hAnsi="Segoe UI" w:cs="Segoe UI"/>
          <w:lang w:val="en-US"/>
        </w:rPr>
      </w:pPr>
      <w:r w:rsidRPr="00B52FCB">
        <w:rPr>
          <w:rFonts w:ascii="Segoe UI" w:hAnsi="Segoe UI" w:cs="Segoe UI" w:hint="cs"/>
          <w:highlight w:val="green"/>
          <w:rtl/>
          <w:lang w:val="en-US"/>
        </w:rPr>
        <w:t>מישל פוקו:</w:t>
      </w:r>
    </w:p>
    <w:p w14:paraId="2F73707F" w14:textId="2F7FAA64" w:rsidR="00B2796F" w:rsidRDefault="00B2796F" w:rsidP="004E26A9">
      <w:pPr>
        <w:pStyle w:val="ab"/>
        <w:numPr>
          <w:ilvl w:val="1"/>
          <w:numId w:val="9"/>
        </w:numPr>
        <w:bidi/>
        <w:spacing w:after="0" w:line="276" w:lineRule="auto"/>
        <w:jc w:val="both"/>
        <w:rPr>
          <w:rFonts w:ascii="Segoe UI" w:hAnsi="Segoe UI" w:cs="Segoe UI"/>
          <w:lang w:val="en-US"/>
        </w:rPr>
      </w:pPr>
      <w:r>
        <w:rPr>
          <w:rFonts w:ascii="Segoe UI" w:hAnsi="Segoe UI" w:cs="Segoe UI" w:hint="cs"/>
          <w:rtl/>
          <w:lang w:val="en-US"/>
        </w:rPr>
        <w:t xml:space="preserve">מטרת הריבון "לשלוט" </w:t>
      </w:r>
      <w:r>
        <w:rPr>
          <w:rFonts w:ascii="Segoe UI" w:hAnsi="Segoe UI" w:cs="Segoe UI"/>
          <w:rtl/>
          <w:lang w:val="en-US"/>
        </w:rPr>
        <w:t>–</w:t>
      </w:r>
      <w:r>
        <w:rPr>
          <w:rFonts w:ascii="Segoe UI" w:hAnsi="Segoe UI" w:cs="Segoe UI" w:hint="cs"/>
          <w:rtl/>
          <w:lang w:val="en-US"/>
        </w:rPr>
        <w:t xml:space="preserve"> באמצעות הפגנת "הכוח העודף" של הריבון.</w:t>
      </w:r>
    </w:p>
    <w:p w14:paraId="4FB87E3E" w14:textId="5F52855B" w:rsidR="00B2796F" w:rsidRDefault="00B2796F" w:rsidP="004E26A9">
      <w:pPr>
        <w:pStyle w:val="ab"/>
        <w:numPr>
          <w:ilvl w:val="0"/>
          <w:numId w:val="9"/>
        </w:numPr>
        <w:bidi/>
        <w:spacing w:after="0" w:line="276" w:lineRule="auto"/>
        <w:jc w:val="both"/>
        <w:rPr>
          <w:rFonts w:ascii="Segoe UI" w:hAnsi="Segoe UI" w:cs="Segoe UI"/>
          <w:lang w:val="en-US"/>
        </w:rPr>
      </w:pPr>
      <w:r>
        <w:rPr>
          <w:rFonts w:ascii="Segoe UI" w:hAnsi="Segoe UI" w:cs="Segoe UI" w:hint="cs"/>
          <w:rtl/>
          <w:lang w:val="en-US"/>
        </w:rPr>
        <w:t>המדינה השתמשה בעונשים פומביים</w:t>
      </w:r>
      <w:r w:rsidR="002841B5">
        <w:rPr>
          <w:rFonts w:ascii="Segoe UI" w:hAnsi="Segoe UI" w:cs="Segoe UI" w:hint="cs"/>
          <w:rtl/>
          <w:lang w:val="en-US"/>
        </w:rPr>
        <w:t>, אלימים וראוותניים כדי להראות את הכוח שלה ולהרתיע מפני בגידה, הפיכות וכו'.</w:t>
      </w:r>
    </w:p>
    <w:p w14:paraId="7BD2DC35" w14:textId="35E4EB91" w:rsidR="002841B5" w:rsidRDefault="002841B5" w:rsidP="004E26A9">
      <w:pPr>
        <w:pStyle w:val="ab"/>
        <w:numPr>
          <w:ilvl w:val="0"/>
          <w:numId w:val="9"/>
        </w:numPr>
        <w:bidi/>
        <w:spacing w:after="0" w:line="276" w:lineRule="auto"/>
        <w:jc w:val="both"/>
        <w:rPr>
          <w:rFonts w:ascii="Segoe UI" w:hAnsi="Segoe UI" w:cs="Segoe UI"/>
          <w:lang w:val="en-US"/>
        </w:rPr>
      </w:pPr>
      <w:r>
        <w:rPr>
          <w:rFonts w:ascii="Segoe UI" w:hAnsi="Segoe UI" w:cs="Segoe UI" w:hint="cs"/>
          <w:rtl/>
          <w:lang w:val="en-US"/>
        </w:rPr>
        <w:t xml:space="preserve">במאה ה-19 תחילת שינוי, כתוצאה מהתפתחויות דמוקרטיות, המטרה של הענישה הייתה שמירת הסדר הציבורי (ולא צייתנות לריבון). התוצאה </w:t>
      </w:r>
      <w:r>
        <w:rPr>
          <w:rFonts w:ascii="Segoe UI" w:hAnsi="Segoe UI" w:cs="Segoe UI"/>
          <w:rtl/>
          <w:lang w:val="en-US"/>
        </w:rPr>
        <w:t>–</w:t>
      </w:r>
      <w:r>
        <w:rPr>
          <w:rFonts w:ascii="Segoe UI" w:hAnsi="Segoe UI" w:cs="Segoe UI" w:hint="cs"/>
          <w:rtl/>
          <w:lang w:val="en-US"/>
        </w:rPr>
        <w:t xml:space="preserve"> ירידה בעונשי גוף. </w:t>
      </w:r>
    </w:p>
    <w:p w14:paraId="2A2DF3BE" w14:textId="48906672" w:rsidR="002841B5" w:rsidRDefault="002841B5" w:rsidP="004E26A9">
      <w:pPr>
        <w:pStyle w:val="ab"/>
        <w:numPr>
          <w:ilvl w:val="0"/>
          <w:numId w:val="9"/>
        </w:numPr>
        <w:bidi/>
        <w:spacing w:after="0" w:line="276" w:lineRule="auto"/>
        <w:jc w:val="both"/>
        <w:rPr>
          <w:rFonts w:ascii="Segoe UI" w:hAnsi="Segoe UI" w:cs="Segoe UI"/>
          <w:lang w:val="en-US"/>
        </w:rPr>
      </w:pPr>
      <w:r>
        <w:rPr>
          <w:rFonts w:ascii="Segoe UI" w:hAnsi="Segoe UI" w:cs="Segoe UI" w:hint="cs"/>
          <w:rtl/>
          <w:lang w:val="en-US"/>
        </w:rPr>
        <w:t xml:space="preserve">ביהדות </w:t>
      </w:r>
      <w:r>
        <w:rPr>
          <w:rFonts w:ascii="Segoe UI" w:hAnsi="Segoe UI" w:cs="Segoe UI"/>
          <w:rtl/>
          <w:lang w:val="en-US"/>
        </w:rPr>
        <w:t>–</w:t>
      </w:r>
      <w:r>
        <w:rPr>
          <w:rFonts w:ascii="Segoe UI" w:hAnsi="Segoe UI" w:cs="Segoe UI" w:hint="cs"/>
          <w:rtl/>
          <w:lang w:val="en-US"/>
        </w:rPr>
        <w:t xml:space="preserve"> עונ</w:t>
      </w:r>
      <w:r w:rsidR="003944CB">
        <w:rPr>
          <w:rFonts w:ascii="Segoe UI" w:hAnsi="Segoe UI" w:cs="Segoe UI" w:hint="cs"/>
          <w:rtl/>
          <w:lang w:val="en-US"/>
        </w:rPr>
        <w:t>שי גוף היו עונשים מקובלים:</w:t>
      </w:r>
    </w:p>
    <w:p w14:paraId="018515E0" w14:textId="77777777" w:rsidR="003944CB" w:rsidRPr="003944CB" w:rsidRDefault="003944CB" w:rsidP="004E26A9">
      <w:pPr>
        <w:pStyle w:val="ab"/>
        <w:numPr>
          <w:ilvl w:val="1"/>
          <w:numId w:val="9"/>
        </w:numPr>
        <w:bidi/>
        <w:spacing w:after="0" w:line="276" w:lineRule="auto"/>
        <w:jc w:val="both"/>
        <w:rPr>
          <w:rFonts w:ascii="Segoe UI" w:hAnsi="Segoe UI" w:cs="Segoe UI"/>
          <w:lang w:val="en-US"/>
        </w:rPr>
      </w:pPr>
      <w:proofErr w:type="spellStart"/>
      <w:r w:rsidRPr="003944CB">
        <w:rPr>
          <w:rFonts w:ascii="Segoe UI" w:hAnsi="Segoe UI" w:cs="Segoe UI"/>
          <w:rtl/>
          <w:lang w:val="en-US"/>
        </w:rPr>
        <w:t>מהר"ם</w:t>
      </w:r>
      <w:proofErr w:type="spellEnd"/>
      <w:r w:rsidRPr="003944CB">
        <w:rPr>
          <w:rFonts w:ascii="Segoe UI" w:hAnsi="Segoe UI" w:cs="Segoe UI"/>
          <w:rtl/>
          <w:lang w:val="en-US"/>
        </w:rPr>
        <w:t xml:space="preserve"> מרוטנברג: "מי שהכה את אשתו - יש להחרימו, לנדותו ולהלקותו." </w:t>
      </w:r>
    </w:p>
    <w:p w14:paraId="56C69FC3" w14:textId="77777777" w:rsidR="003944CB" w:rsidRPr="003944CB" w:rsidRDefault="003944CB" w:rsidP="004E26A9">
      <w:pPr>
        <w:pStyle w:val="ab"/>
        <w:numPr>
          <w:ilvl w:val="1"/>
          <w:numId w:val="9"/>
        </w:numPr>
        <w:bidi/>
        <w:spacing w:after="0" w:line="276" w:lineRule="auto"/>
        <w:jc w:val="both"/>
        <w:rPr>
          <w:rFonts w:ascii="Segoe UI" w:hAnsi="Segoe UI" w:cs="Segoe UI"/>
          <w:lang w:val="en-US"/>
        </w:rPr>
      </w:pPr>
      <w:r w:rsidRPr="003944CB">
        <w:rPr>
          <w:rFonts w:ascii="Segoe UI" w:hAnsi="Segoe UI" w:cs="Segoe UI"/>
          <w:rtl/>
          <w:lang w:val="en-US"/>
        </w:rPr>
        <w:t xml:space="preserve">חוץ ממלקות על "האיברים שביצעו את העבירה" היו עונשים פיזיים נוספים. (הסד של ימי הביניים - היה קיים גם ביהדות (עלילת הרב </w:t>
      </w:r>
      <w:proofErr w:type="spellStart"/>
      <w:r w:rsidRPr="003944CB">
        <w:rPr>
          <w:rFonts w:ascii="Segoe UI" w:hAnsi="Segoe UI" w:cs="Segoe UI"/>
          <w:rtl/>
          <w:lang w:val="en-US"/>
        </w:rPr>
        <w:t>לידא</w:t>
      </w:r>
      <w:proofErr w:type="spellEnd"/>
      <w:r w:rsidRPr="003944CB">
        <w:rPr>
          <w:rFonts w:ascii="Segoe UI" w:hAnsi="Segoe UI" w:cs="Segoe UI"/>
          <w:rtl/>
          <w:lang w:val="en-US"/>
        </w:rPr>
        <w:t xml:space="preserve"> 1781).</w:t>
      </w:r>
    </w:p>
    <w:p w14:paraId="0A2CAFC5" w14:textId="20CF3409" w:rsidR="00866A79" w:rsidRPr="00866A79" w:rsidRDefault="003944CB" w:rsidP="004E26A9">
      <w:pPr>
        <w:pStyle w:val="ab"/>
        <w:numPr>
          <w:ilvl w:val="0"/>
          <w:numId w:val="9"/>
        </w:numPr>
        <w:bidi/>
        <w:spacing w:after="0" w:line="276" w:lineRule="auto"/>
        <w:jc w:val="both"/>
        <w:rPr>
          <w:rFonts w:ascii="Segoe UI" w:hAnsi="Segoe UI" w:cs="Segoe UI"/>
          <w:lang w:val="en-US"/>
        </w:rPr>
      </w:pPr>
      <w:r w:rsidRPr="003944CB">
        <w:rPr>
          <w:rFonts w:ascii="Segoe UI" w:hAnsi="Segoe UI" w:cs="Segoe UI"/>
          <w:rtl/>
          <w:lang w:val="en-US"/>
        </w:rPr>
        <w:t>באסלאם - התאמה בין האיבר לבין העבירה: מי שבגד וגילה סודות מדינה – לשון; אנס - סירוס; גנב – כריתת יד.</w:t>
      </w:r>
    </w:p>
    <w:p w14:paraId="38F67358" w14:textId="77777777" w:rsidR="003944CB" w:rsidRPr="003944CB" w:rsidRDefault="003944CB" w:rsidP="004E26A9">
      <w:pPr>
        <w:pStyle w:val="ab"/>
        <w:numPr>
          <w:ilvl w:val="0"/>
          <w:numId w:val="9"/>
        </w:numPr>
        <w:bidi/>
        <w:spacing w:after="0" w:line="276" w:lineRule="auto"/>
        <w:jc w:val="both"/>
        <w:rPr>
          <w:rFonts w:ascii="Segoe UI" w:hAnsi="Segoe UI" w:cs="Segoe UI"/>
          <w:b/>
          <w:bCs/>
          <w:u w:val="single"/>
          <w:lang w:val="en-US"/>
        </w:rPr>
      </w:pPr>
      <w:r w:rsidRPr="003944CB">
        <w:rPr>
          <w:rFonts w:ascii="Segoe UI" w:hAnsi="Segoe UI" w:cs="Segoe UI"/>
          <w:b/>
          <w:bCs/>
          <w:u w:val="single"/>
          <w:rtl/>
          <w:lang w:val="en-US"/>
        </w:rPr>
        <w:t>רוב הוגי הדעות בימי הביניים סברו שעונש של קטיעת איברים הוא עונש הומני ואנושי</w:t>
      </w:r>
    </w:p>
    <w:p w14:paraId="3A493912" w14:textId="77777777" w:rsidR="00D344AC" w:rsidRPr="00D344AC" w:rsidRDefault="00D344AC" w:rsidP="004E26A9">
      <w:pPr>
        <w:bidi/>
        <w:spacing w:after="0" w:line="276" w:lineRule="auto"/>
        <w:jc w:val="both"/>
        <w:rPr>
          <w:rFonts w:ascii="Segoe UI" w:hAnsi="Segoe UI" w:cs="Segoe UI"/>
          <w:lang w:val="en-ZW"/>
        </w:rPr>
      </w:pPr>
    </w:p>
    <w:p w14:paraId="5C65B6CD" w14:textId="7CD8F33D" w:rsidR="00C30FBB" w:rsidRDefault="00C30FBB" w:rsidP="004E26A9">
      <w:pPr>
        <w:pStyle w:val="110"/>
        <w:spacing w:line="276" w:lineRule="auto"/>
        <w:jc w:val="center"/>
      </w:pPr>
      <w:r w:rsidRPr="00323927">
        <w:rPr>
          <w:rFonts w:hint="cs"/>
          <w:rtl/>
        </w:rPr>
        <w:t>עונשי הרחקה</w:t>
      </w:r>
    </w:p>
    <w:p w14:paraId="3B3D5F49" w14:textId="77777777" w:rsidR="00437D8E" w:rsidRPr="00437D8E" w:rsidRDefault="00437D8E" w:rsidP="004E26A9">
      <w:pPr>
        <w:pStyle w:val="ab"/>
        <w:numPr>
          <w:ilvl w:val="0"/>
          <w:numId w:val="10"/>
        </w:numPr>
        <w:bidi/>
        <w:spacing w:after="0" w:line="276" w:lineRule="auto"/>
        <w:jc w:val="both"/>
        <w:rPr>
          <w:rFonts w:ascii="Segoe UI" w:hAnsi="Segoe UI" w:cs="Segoe UI"/>
          <w:lang w:val="en-US"/>
        </w:rPr>
      </w:pPr>
      <w:r w:rsidRPr="00437D8E">
        <w:rPr>
          <w:rFonts w:ascii="Segoe UI" w:hAnsi="Segoe UI" w:cs="Segoe UI"/>
          <w:rtl/>
          <w:lang w:val="en-ZW"/>
        </w:rPr>
        <w:t xml:space="preserve">הגליה באוניות לאוסטרליה או לקולוניות אחרות. שימוש באסירים לשם השטת ספינות וניצול כלכלי של כוח העבודה. (פוקו) </w:t>
      </w:r>
    </w:p>
    <w:p w14:paraId="2E26EA33" w14:textId="77777777" w:rsidR="00437D8E" w:rsidRPr="00437D8E" w:rsidRDefault="00437D8E" w:rsidP="004E26A9">
      <w:pPr>
        <w:pStyle w:val="ab"/>
        <w:numPr>
          <w:ilvl w:val="0"/>
          <w:numId w:val="10"/>
        </w:numPr>
        <w:bidi/>
        <w:spacing w:after="0" w:line="276" w:lineRule="auto"/>
        <w:jc w:val="both"/>
        <w:rPr>
          <w:rFonts w:ascii="Segoe UI" w:hAnsi="Segoe UI" w:cs="Segoe UI"/>
          <w:lang w:val="en-US"/>
        </w:rPr>
      </w:pPr>
      <w:r w:rsidRPr="00437D8E">
        <w:rPr>
          <w:rFonts w:ascii="Segoe UI" w:hAnsi="Segoe UI" w:cs="Segoe UI"/>
          <w:rtl/>
          <w:lang w:val="en-ZW"/>
        </w:rPr>
        <w:t>במקרים מסוימים, הנצרות אימצה את "קרנות המזבח", עבריינים יכלו להינצל מעונש באמצעות חזרה בתשובה בכנסייה ובתום 40 ימים היה צריך לעזוב את המדינה במסלול מסוים שהגן עליו. הותר לנאשם לגלות לכפר מרוחק במדינה ולחיות שם  כאשר קעקעו את שם הישוב על היד לצורך זיהוי.</w:t>
      </w:r>
    </w:p>
    <w:p w14:paraId="7BD3F324" w14:textId="77777777" w:rsidR="00437D8E" w:rsidRPr="00437D8E" w:rsidRDefault="00437D8E" w:rsidP="004E26A9">
      <w:pPr>
        <w:pStyle w:val="ab"/>
        <w:numPr>
          <w:ilvl w:val="0"/>
          <w:numId w:val="10"/>
        </w:numPr>
        <w:bidi/>
        <w:spacing w:after="0" w:line="276" w:lineRule="auto"/>
        <w:jc w:val="both"/>
        <w:rPr>
          <w:rFonts w:ascii="Segoe UI" w:hAnsi="Segoe UI" w:cs="Segoe UI"/>
          <w:lang w:val="en-US"/>
        </w:rPr>
      </w:pPr>
      <w:r w:rsidRPr="00437D8E">
        <w:rPr>
          <w:rFonts w:ascii="Segoe UI" w:hAnsi="Segoe UI" w:cs="Segoe UI"/>
          <w:rtl/>
          <w:lang w:val="en-ZW"/>
        </w:rPr>
        <w:t xml:space="preserve">ביהדות - חרם וגלות מהעיר על "מכה נפש", נואפים, זונות וגנבים </w:t>
      </w:r>
    </w:p>
    <w:p w14:paraId="6D97E3F5" w14:textId="78B424C9" w:rsidR="00437D8E" w:rsidRDefault="00437D8E" w:rsidP="004E26A9">
      <w:pPr>
        <w:pStyle w:val="ab"/>
        <w:numPr>
          <w:ilvl w:val="0"/>
          <w:numId w:val="10"/>
        </w:numPr>
        <w:bidi/>
        <w:spacing w:after="0" w:line="276" w:lineRule="auto"/>
        <w:jc w:val="both"/>
        <w:rPr>
          <w:rFonts w:ascii="Segoe UI" w:hAnsi="Segoe UI" w:cs="Segoe UI"/>
          <w:lang w:val="en-US"/>
        </w:rPr>
      </w:pPr>
      <w:r w:rsidRPr="00437D8E">
        <w:rPr>
          <w:rFonts w:ascii="Segoe UI" w:hAnsi="Segoe UI" w:cs="Segoe UI"/>
          <w:rtl/>
          <w:lang w:val="en-ZW"/>
        </w:rPr>
        <w:t>מאסר - עונש קלאסי של הרחקה מהחברה</w:t>
      </w:r>
    </w:p>
    <w:p w14:paraId="3375206C" w14:textId="32D84731" w:rsidR="00D344AC" w:rsidRPr="004E26A9" w:rsidRDefault="00543167" w:rsidP="004E26A9">
      <w:pPr>
        <w:pStyle w:val="ab"/>
        <w:numPr>
          <w:ilvl w:val="0"/>
          <w:numId w:val="10"/>
        </w:numPr>
        <w:bidi/>
        <w:spacing w:after="0" w:line="276" w:lineRule="auto"/>
        <w:jc w:val="both"/>
        <w:rPr>
          <w:rFonts w:ascii="Segoe UI" w:hAnsi="Segoe UI" w:cs="Segoe UI"/>
          <w:lang w:val="en-US"/>
        </w:rPr>
      </w:pPr>
      <w:r>
        <w:rPr>
          <w:rFonts w:ascii="Segoe UI" w:hAnsi="Segoe UI" w:cs="Segoe UI" w:hint="cs"/>
          <w:color w:val="7030A0"/>
          <w:rtl/>
          <w:lang w:val="en-US"/>
        </w:rPr>
        <w:t xml:space="preserve">אוסטרליה לדוג' נוצרה כאשר היו מרחיקים אסירים מהחברה לאוסטרליה. </w:t>
      </w:r>
    </w:p>
    <w:p w14:paraId="29B8D73F" w14:textId="5D52704E" w:rsidR="00C30FBB" w:rsidRDefault="00C30FBB" w:rsidP="004E26A9">
      <w:pPr>
        <w:pStyle w:val="110"/>
        <w:spacing w:line="276" w:lineRule="auto"/>
        <w:jc w:val="center"/>
      </w:pPr>
      <w:r w:rsidRPr="00323927">
        <w:rPr>
          <w:rFonts w:hint="cs"/>
          <w:rtl/>
        </w:rPr>
        <w:lastRenderedPageBreak/>
        <w:t>עונשי קלון</w:t>
      </w:r>
    </w:p>
    <w:p w14:paraId="03B04DC5" w14:textId="0333B475" w:rsidR="00D344AC" w:rsidRDefault="005C07FF" w:rsidP="004E26A9">
      <w:pPr>
        <w:pStyle w:val="ab"/>
        <w:numPr>
          <w:ilvl w:val="0"/>
          <w:numId w:val="5"/>
        </w:numPr>
        <w:bidi/>
        <w:spacing w:after="0" w:line="276" w:lineRule="auto"/>
        <w:ind w:left="723"/>
        <w:jc w:val="both"/>
        <w:rPr>
          <w:rFonts w:ascii="Segoe UI" w:hAnsi="Segoe UI" w:cs="Segoe UI"/>
          <w:lang w:val="en-ZW"/>
        </w:rPr>
      </w:pPr>
      <w:r>
        <w:rPr>
          <w:rFonts w:ascii="Segoe UI" w:hAnsi="Segoe UI" w:cs="Segoe UI" w:hint="cs"/>
          <w:rtl/>
          <w:lang w:val="en-ZW"/>
        </w:rPr>
        <w:t>השפלת העבריין והוקעתו הפומבית</w:t>
      </w:r>
    </w:p>
    <w:p w14:paraId="1840F183" w14:textId="77777777" w:rsidR="005C07FF" w:rsidRPr="005C07FF" w:rsidRDefault="005C07FF" w:rsidP="004E26A9">
      <w:pPr>
        <w:pStyle w:val="ab"/>
        <w:numPr>
          <w:ilvl w:val="0"/>
          <w:numId w:val="5"/>
        </w:numPr>
        <w:bidi/>
        <w:spacing w:after="0" w:line="276" w:lineRule="auto"/>
        <w:ind w:left="723"/>
        <w:jc w:val="both"/>
        <w:rPr>
          <w:rFonts w:ascii="Segoe UI" w:hAnsi="Segoe UI" w:cs="Segoe UI"/>
          <w:lang w:val="en-US"/>
        </w:rPr>
      </w:pPr>
      <w:r w:rsidRPr="005C07FF">
        <w:rPr>
          <w:rFonts w:ascii="Segoe UI" w:hAnsi="Segoe UI" w:cs="Segoe UI"/>
          <w:rtl/>
          <w:lang w:val="en-ZW"/>
        </w:rPr>
        <w:t>לעם לא היה כסף לפצות את הריבון ועונש המוות לא היה מרתיע (כייסים בזמן הוצאה להורג של כייסים) -  עברו לעונשי השפלה.</w:t>
      </w:r>
    </w:p>
    <w:p w14:paraId="0BF98A9D" w14:textId="77777777" w:rsidR="005C07FF" w:rsidRPr="005C07FF" w:rsidRDefault="005C07FF" w:rsidP="004E26A9">
      <w:pPr>
        <w:pStyle w:val="ab"/>
        <w:numPr>
          <w:ilvl w:val="0"/>
          <w:numId w:val="5"/>
        </w:numPr>
        <w:bidi/>
        <w:spacing w:after="0" w:line="276" w:lineRule="auto"/>
        <w:ind w:left="723"/>
        <w:jc w:val="both"/>
        <w:rPr>
          <w:rFonts w:ascii="Segoe UI" w:hAnsi="Segoe UI" w:cs="Segoe UI"/>
          <w:lang w:val="en-US"/>
        </w:rPr>
      </w:pPr>
      <w:r w:rsidRPr="005C07FF">
        <w:rPr>
          <w:rFonts w:ascii="Segoe UI" w:hAnsi="Segoe UI" w:cs="Segoe UI"/>
          <w:rtl/>
          <w:lang w:val="en-ZW"/>
        </w:rPr>
        <w:t xml:space="preserve">הטבעת כתובת קעקע על המצח.  </w:t>
      </w:r>
    </w:p>
    <w:p w14:paraId="64D4D822" w14:textId="77777777" w:rsidR="005C07FF" w:rsidRPr="005C07FF" w:rsidRDefault="005C07FF" w:rsidP="004E26A9">
      <w:pPr>
        <w:pStyle w:val="ab"/>
        <w:numPr>
          <w:ilvl w:val="0"/>
          <w:numId w:val="5"/>
        </w:numPr>
        <w:bidi/>
        <w:spacing w:after="0" w:line="276" w:lineRule="auto"/>
        <w:ind w:left="723"/>
        <w:jc w:val="both"/>
        <w:rPr>
          <w:rFonts w:ascii="Segoe UI" w:hAnsi="Segoe UI" w:cs="Segoe UI"/>
          <w:lang w:val="en-US"/>
        </w:rPr>
      </w:pPr>
      <w:r w:rsidRPr="005C07FF">
        <w:rPr>
          <w:rFonts w:ascii="Segoe UI" w:hAnsi="Segoe UI" w:cs="Segoe UI"/>
          <w:rtl/>
          <w:lang w:val="en-ZW"/>
        </w:rPr>
        <w:t xml:space="preserve">ימי הביניים -  אות </w:t>
      </w:r>
      <w:r w:rsidRPr="005C07FF">
        <w:rPr>
          <w:rFonts w:ascii="Segoe UI" w:hAnsi="Segoe UI" w:cs="Segoe UI"/>
          <w:lang w:val="en-US"/>
        </w:rPr>
        <w:t xml:space="preserve">M </w:t>
      </w:r>
      <w:r w:rsidRPr="005C07FF">
        <w:rPr>
          <w:rFonts w:ascii="Segoe UI" w:hAnsi="Segoe UI" w:cs="Segoe UI"/>
          <w:rtl/>
          <w:lang w:val="en-ZW"/>
        </w:rPr>
        <w:t xml:space="preserve"> לרוצח ו-</w:t>
      </w:r>
      <w:r w:rsidRPr="005C07FF">
        <w:rPr>
          <w:rFonts w:ascii="Segoe UI" w:hAnsi="Segoe UI" w:cs="Segoe UI"/>
          <w:lang w:val="en-US"/>
        </w:rPr>
        <w:t xml:space="preserve">T </w:t>
      </w:r>
      <w:r w:rsidRPr="005C07FF">
        <w:rPr>
          <w:rFonts w:ascii="Segoe UI" w:hAnsi="Segoe UI" w:cs="Segoe UI"/>
          <w:rtl/>
          <w:lang w:val="en-ZW"/>
        </w:rPr>
        <w:t xml:space="preserve"> לגנב.</w:t>
      </w:r>
    </w:p>
    <w:p w14:paraId="591C7908" w14:textId="77777777" w:rsidR="005C07FF" w:rsidRPr="005C07FF" w:rsidRDefault="005C07FF" w:rsidP="004E26A9">
      <w:pPr>
        <w:pStyle w:val="ab"/>
        <w:numPr>
          <w:ilvl w:val="0"/>
          <w:numId w:val="5"/>
        </w:numPr>
        <w:bidi/>
        <w:spacing w:after="0" w:line="276" w:lineRule="auto"/>
        <w:ind w:left="723"/>
        <w:jc w:val="both"/>
        <w:rPr>
          <w:rFonts w:ascii="Segoe UI" w:hAnsi="Segoe UI" w:cs="Segoe UI"/>
          <w:lang w:val="en-US"/>
        </w:rPr>
      </w:pPr>
      <w:r w:rsidRPr="005C07FF">
        <w:rPr>
          <w:rFonts w:ascii="Segoe UI" w:hAnsi="Segoe UI" w:cs="Segoe UI"/>
          <w:rtl/>
          <w:lang w:val="en-ZW"/>
        </w:rPr>
        <w:t>העונש הקלאסי  - כליאה במקום פומבי בסד עליון והשפלתו.</w:t>
      </w:r>
    </w:p>
    <w:p w14:paraId="0CDDBB94" w14:textId="77777777" w:rsidR="005C07FF" w:rsidRPr="005C07FF" w:rsidRDefault="005C07FF" w:rsidP="004E26A9">
      <w:pPr>
        <w:pStyle w:val="ab"/>
        <w:numPr>
          <w:ilvl w:val="0"/>
          <w:numId w:val="5"/>
        </w:numPr>
        <w:bidi/>
        <w:spacing w:after="0" w:line="276" w:lineRule="auto"/>
        <w:ind w:left="723"/>
        <w:jc w:val="both"/>
        <w:rPr>
          <w:rFonts w:ascii="Segoe UI" w:hAnsi="Segoe UI" w:cs="Segoe UI"/>
          <w:lang w:val="en-US"/>
        </w:rPr>
      </w:pPr>
      <w:r w:rsidRPr="005C07FF">
        <w:rPr>
          <w:rFonts w:ascii="Segoe UI" w:hAnsi="Segoe UI" w:cs="Segoe UI"/>
          <w:rtl/>
          <w:lang w:val="en-ZW"/>
        </w:rPr>
        <w:t>ביהדות - תקנת חכמי פראג 1621 ביחס לזונות - "יתוו עליה תו קלון על ידי ברזל לוהט... ואל תשוב לעולמים לקהילתנו".</w:t>
      </w:r>
    </w:p>
    <w:p w14:paraId="4ED898DF" w14:textId="31124C12" w:rsidR="000F1DEA" w:rsidRPr="000F1DEA" w:rsidRDefault="000F1DEA" w:rsidP="004E26A9">
      <w:pPr>
        <w:pStyle w:val="ab"/>
        <w:numPr>
          <w:ilvl w:val="0"/>
          <w:numId w:val="5"/>
        </w:numPr>
        <w:bidi/>
        <w:spacing w:after="0" w:line="276" w:lineRule="auto"/>
        <w:ind w:left="723"/>
        <w:jc w:val="both"/>
        <w:rPr>
          <w:rFonts w:ascii="Segoe UI" w:hAnsi="Segoe UI" w:cs="Segoe UI"/>
          <w:lang w:val="en-US"/>
        </w:rPr>
      </w:pPr>
      <w:r w:rsidRPr="000F1DEA">
        <w:rPr>
          <w:rFonts w:ascii="Segoe UI" w:hAnsi="Segoe UI" w:cs="Segoe UI"/>
          <w:rtl/>
          <w:lang w:val="en-ZW"/>
        </w:rPr>
        <w:t>בשנת 1688 - מגילת הזכויות האנגלית מאמצת הגדרה לפיה לא יוטלו עוד עונשים אכזריים ויוצאי דופן ("</w:t>
      </w:r>
      <w:r w:rsidRPr="000F1DEA">
        <w:rPr>
          <w:rFonts w:ascii="Segoe UI" w:hAnsi="Segoe UI" w:cs="Segoe UI"/>
          <w:lang w:val="en-US"/>
        </w:rPr>
        <w:t>"Cruel and Unusual</w:t>
      </w:r>
      <w:r w:rsidRPr="000F1DEA">
        <w:rPr>
          <w:rFonts w:ascii="Segoe UI" w:hAnsi="Segoe UI" w:cs="Segoe UI"/>
          <w:rtl/>
          <w:lang w:val="en-ZW"/>
        </w:rPr>
        <w:t xml:space="preserve">). </w:t>
      </w:r>
      <w:r w:rsidR="002A5E24">
        <w:rPr>
          <w:rFonts w:ascii="Segoe UI" w:hAnsi="Segoe UI" w:cs="Segoe UI" w:hint="cs"/>
          <w:color w:val="7030A0"/>
          <w:rtl/>
          <w:lang w:val="en-US"/>
        </w:rPr>
        <w:t xml:space="preserve">האזרחים קבעו שאסור לתת עונש שהוא אכזרי ויוצא דופן. שי שואל האם עונש מוות באמצעות חשמול או זריקת רעל נופל בהגדרה זו? [ביהמ"ש העליון באמריקה אמר שלא ולכן בחצי מארה"ב יש עונש מוות עד היום]. </w:t>
      </w:r>
    </w:p>
    <w:p w14:paraId="035201C8" w14:textId="77777777" w:rsidR="000F1DEA" w:rsidRPr="000F1DEA" w:rsidRDefault="000F1DEA" w:rsidP="004E26A9">
      <w:pPr>
        <w:pStyle w:val="ab"/>
        <w:numPr>
          <w:ilvl w:val="0"/>
          <w:numId w:val="5"/>
        </w:numPr>
        <w:bidi/>
        <w:spacing w:after="0" w:line="276" w:lineRule="auto"/>
        <w:ind w:left="723"/>
        <w:jc w:val="both"/>
        <w:rPr>
          <w:rFonts w:ascii="Segoe UI" w:hAnsi="Segoe UI" w:cs="Segoe UI"/>
          <w:lang w:val="en-US"/>
        </w:rPr>
      </w:pPr>
      <w:r w:rsidRPr="000F1DEA">
        <w:rPr>
          <w:rFonts w:ascii="Segoe UI" w:hAnsi="Segoe UI" w:cs="Segoe UI"/>
          <w:rtl/>
          <w:lang w:val="en-ZW"/>
        </w:rPr>
        <w:t xml:space="preserve">אומץ בתיקון ה-8 בחוקה האמריקנית (האם כולל גם עונש מוות?) </w:t>
      </w:r>
    </w:p>
    <w:p w14:paraId="19C4C5D6" w14:textId="77777777" w:rsidR="000F1DEA" w:rsidRPr="000F1DEA" w:rsidRDefault="000F1DEA" w:rsidP="004E26A9">
      <w:pPr>
        <w:pStyle w:val="ab"/>
        <w:numPr>
          <w:ilvl w:val="0"/>
          <w:numId w:val="5"/>
        </w:numPr>
        <w:bidi/>
        <w:spacing w:after="0" w:line="276" w:lineRule="auto"/>
        <w:ind w:left="723"/>
        <w:jc w:val="both"/>
        <w:rPr>
          <w:rFonts w:ascii="Segoe UI" w:hAnsi="Segoe UI" w:cs="Segoe UI"/>
          <w:lang w:val="en-US"/>
        </w:rPr>
      </w:pPr>
      <w:r w:rsidRPr="000F1DEA">
        <w:rPr>
          <w:rFonts w:ascii="Segoe UI" w:hAnsi="Segoe UI" w:cs="Segoe UI"/>
          <w:b/>
          <w:bCs/>
          <w:rtl/>
          <w:lang w:val="en-ZW"/>
        </w:rPr>
        <w:t>לכל הרשעה פלילית נלווה "קלון".</w:t>
      </w:r>
    </w:p>
    <w:p w14:paraId="719EACDD" w14:textId="7D69287E" w:rsidR="005C07FF" w:rsidRDefault="000F1DEA" w:rsidP="004E26A9">
      <w:pPr>
        <w:pStyle w:val="ab"/>
        <w:numPr>
          <w:ilvl w:val="0"/>
          <w:numId w:val="5"/>
        </w:numPr>
        <w:bidi/>
        <w:spacing w:after="0" w:line="276" w:lineRule="auto"/>
        <w:ind w:left="723"/>
        <w:jc w:val="both"/>
        <w:rPr>
          <w:rFonts w:ascii="Segoe UI" w:hAnsi="Segoe UI" w:cs="Segoe UI"/>
          <w:lang w:val="en-US"/>
        </w:rPr>
      </w:pPr>
      <w:r w:rsidRPr="000F1DEA">
        <w:rPr>
          <w:rFonts w:ascii="Segoe UI" w:hAnsi="Segoe UI" w:cs="Segoe UI"/>
          <w:rtl/>
          <w:lang w:val="en-ZW"/>
        </w:rPr>
        <w:t>"מושג ה"קלון" אינו שאוב מתחום המשפט, אלא מתחום המוסר. השקפות מוסריות, שני פגמים להן מבחינת הקביעות והבהירות: מטבע הדברים הן משתנות מזמן לזמן וממקום למקום. בג"ץ 11243/02פייגלין נ' ועדת הבחירות</w:t>
      </w:r>
    </w:p>
    <w:p w14:paraId="46435632" w14:textId="34039F25" w:rsidR="00113776" w:rsidRPr="00961182" w:rsidRDefault="00113776" w:rsidP="004E26A9">
      <w:pPr>
        <w:pStyle w:val="ab"/>
        <w:numPr>
          <w:ilvl w:val="0"/>
          <w:numId w:val="5"/>
        </w:numPr>
        <w:bidi/>
        <w:spacing w:after="0" w:line="276" w:lineRule="auto"/>
        <w:ind w:left="723"/>
        <w:jc w:val="both"/>
        <w:rPr>
          <w:rFonts w:ascii="Segoe UI" w:hAnsi="Segoe UI" w:cs="Segoe UI"/>
          <w:rtl/>
          <w:lang w:val="en-US"/>
        </w:rPr>
      </w:pPr>
      <w:r>
        <w:rPr>
          <w:rFonts w:ascii="Segoe UI" w:hAnsi="Segoe UI" w:cs="Segoe UI" w:hint="cs"/>
          <w:color w:val="7030A0"/>
          <w:rtl/>
          <w:lang w:val="en-US"/>
        </w:rPr>
        <w:t xml:space="preserve">דוג' מהתקופה האחרונה </w:t>
      </w:r>
      <w:r>
        <w:rPr>
          <w:rFonts w:ascii="Segoe UI" w:hAnsi="Segoe UI" w:cs="Segoe UI"/>
          <w:color w:val="7030A0"/>
          <w:rtl/>
          <w:lang w:val="en-US"/>
        </w:rPr>
        <w:t>–</w:t>
      </w:r>
      <w:r>
        <w:rPr>
          <w:rFonts w:ascii="Segoe UI" w:hAnsi="Segoe UI" w:cs="Segoe UI" w:hint="cs"/>
          <w:color w:val="7030A0"/>
          <w:rtl/>
          <w:lang w:val="en-US"/>
        </w:rPr>
        <w:t xml:space="preserve"> תיקי נתניהו והדיבור על הסדרי טיעון, היה מוכן להודות אבל ללא קלון, אריה דרעי </w:t>
      </w:r>
      <w:r w:rsidR="0004572C">
        <w:rPr>
          <w:rFonts w:ascii="Segoe UI" w:hAnsi="Segoe UI" w:cs="Segoe UI"/>
          <w:color w:val="7030A0"/>
          <w:rtl/>
          <w:lang w:val="en-US"/>
        </w:rPr>
        <w:t>–</w:t>
      </w:r>
      <w:r>
        <w:rPr>
          <w:rFonts w:ascii="Segoe UI" w:hAnsi="Segoe UI" w:cs="Segoe UI" w:hint="cs"/>
          <w:color w:val="7030A0"/>
          <w:rtl/>
          <w:lang w:val="en-US"/>
        </w:rPr>
        <w:t xml:space="preserve"> </w:t>
      </w:r>
      <w:r w:rsidR="0004572C">
        <w:rPr>
          <w:rFonts w:ascii="Segoe UI" w:hAnsi="Segoe UI" w:cs="Segoe UI" w:hint="cs"/>
          <w:color w:val="7030A0"/>
          <w:rtl/>
          <w:lang w:val="en-US"/>
        </w:rPr>
        <w:t>יודה ויפרוש מהכנסת בתנאי שלא יקבל קלון</w:t>
      </w:r>
      <w:r w:rsidR="00841D07">
        <w:rPr>
          <w:rFonts w:ascii="Segoe UI" w:hAnsi="Segoe UI" w:cs="Segoe UI" w:hint="cs"/>
          <w:color w:val="7030A0"/>
          <w:rtl/>
          <w:lang w:val="en-US"/>
        </w:rPr>
        <w:t xml:space="preserve">, היום דרעי הוא יועץ למפלגה. </w:t>
      </w:r>
    </w:p>
    <w:p w14:paraId="378D8AB7" w14:textId="77777777" w:rsidR="00D344AC" w:rsidRPr="00D344AC" w:rsidRDefault="00D344AC" w:rsidP="004E26A9">
      <w:pPr>
        <w:bidi/>
        <w:spacing w:after="0" w:line="276" w:lineRule="auto"/>
        <w:jc w:val="both"/>
        <w:rPr>
          <w:rFonts w:ascii="Segoe UI" w:hAnsi="Segoe UI" w:cs="Segoe UI"/>
          <w:lang w:val="en-ZW"/>
        </w:rPr>
      </w:pPr>
    </w:p>
    <w:p w14:paraId="6E28C1CE" w14:textId="6DC93E6C" w:rsidR="00C30FBB" w:rsidRPr="0068498D" w:rsidRDefault="00C30FBB" w:rsidP="004E26A9">
      <w:pPr>
        <w:pStyle w:val="110"/>
        <w:spacing w:line="276" w:lineRule="auto"/>
        <w:jc w:val="center"/>
      </w:pPr>
      <w:r w:rsidRPr="00323927">
        <w:rPr>
          <w:rFonts w:hint="cs"/>
          <w:rtl/>
        </w:rPr>
        <w:t>עונשי שלילת זכויות אזרחיות</w:t>
      </w:r>
    </w:p>
    <w:p w14:paraId="655B7945" w14:textId="77777777" w:rsidR="00DF7F53" w:rsidRPr="00DF7F53" w:rsidRDefault="00DF7F53" w:rsidP="004E26A9">
      <w:pPr>
        <w:numPr>
          <w:ilvl w:val="0"/>
          <w:numId w:val="11"/>
        </w:numPr>
        <w:bidi/>
        <w:spacing w:after="0" w:line="276" w:lineRule="auto"/>
        <w:ind w:left="723"/>
        <w:jc w:val="both"/>
        <w:rPr>
          <w:rFonts w:ascii="Segoe UI" w:hAnsi="Segoe UI" w:cs="Segoe UI"/>
          <w:lang w:val="en-US"/>
        </w:rPr>
      </w:pPr>
      <w:r w:rsidRPr="00DF7F53">
        <w:rPr>
          <w:rFonts w:ascii="Segoe UI" w:hAnsi="Segoe UI" w:cs="Segoe UI"/>
          <w:b/>
          <w:bCs/>
          <w:u w:val="single"/>
          <w:rtl/>
          <w:lang w:val="en-ZW"/>
        </w:rPr>
        <w:t xml:space="preserve">שלילת זכויות אזרחיות </w:t>
      </w:r>
      <w:r w:rsidRPr="00DF7F53">
        <w:rPr>
          <w:rFonts w:ascii="Segoe UI" w:hAnsi="Segoe UI" w:cs="Segoe UI"/>
          <w:rtl/>
          <w:lang w:val="en-ZW"/>
        </w:rPr>
        <w:t xml:space="preserve">- כגון הזכות להיבחר למוסדות שלטון (אריה דרעי; צחי הנגבי; משה </w:t>
      </w:r>
      <w:proofErr w:type="spellStart"/>
      <w:r w:rsidRPr="00DF7F53">
        <w:rPr>
          <w:rFonts w:ascii="Segoe UI" w:hAnsi="Segoe UI" w:cs="Segoe UI"/>
          <w:rtl/>
          <w:lang w:val="en-ZW"/>
        </w:rPr>
        <w:t>פייגלין</w:t>
      </w:r>
      <w:proofErr w:type="spellEnd"/>
      <w:r w:rsidRPr="00DF7F53">
        <w:rPr>
          <w:rFonts w:ascii="Segoe UI" w:hAnsi="Segoe UI" w:cs="Segoe UI"/>
          <w:rtl/>
          <w:lang w:val="en-ZW"/>
        </w:rPr>
        <w:t>)</w:t>
      </w:r>
    </w:p>
    <w:p w14:paraId="0148424F" w14:textId="77777777" w:rsidR="00DF7F53" w:rsidRPr="00DF7F53" w:rsidRDefault="00DF7F53" w:rsidP="004E26A9">
      <w:pPr>
        <w:numPr>
          <w:ilvl w:val="0"/>
          <w:numId w:val="11"/>
        </w:numPr>
        <w:bidi/>
        <w:spacing w:after="0" w:line="276" w:lineRule="auto"/>
        <w:ind w:left="723"/>
        <w:jc w:val="both"/>
        <w:rPr>
          <w:rFonts w:ascii="Segoe UI" w:hAnsi="Segoe UI" w:cs="Segoe UI"/>
          <w:rtl/>
          <w:lang w:val="en-ZW"/>
        </w:rPr>
      </w:pPr>
      <w:r w:rsidRPr="00DF7F53">
        <w:rPr>
          <w:rFonts w:ascii="Segoe UI" w:hAnsi="Segoe UI" w:cs="Segoe UI"/>
          <w:rtl/>
          <w:lang w:val="en-ZW"/>
        </w:rPr>
        <w:t xml:space="preserve">מי שהורשע עם קלון לא יוכל להתמודד פעם נוספת בבחירות. </w:t>
      </w:r>
    </w:p>
    <w:p w14:paraId="4C2475F0" w14:textId="77777777" w:rsidR="00DF7F53" w:rsidRPr="00DF7F53" w:rsidRDefault="00DF7F53" w:rsidP="004E26A9">
      <w:pPr>
        <w:numPr>
          <w:ilvl w:val="0"/>
          <w:numId w:val="11"/>
        </w:numPr>
        <w:bidi/>
        <w:spacing w:after="0" w:line="276" w:lineRule="auto"/>
        <w:ind w:left="723"/>
        <w:jc w:val="both"/>
        <w:rPr>
          <w:rFonts w:ascii="Segoe UI" w:hAnsi="Segoe UI" w:cs="Segoe UI"/>
          <w:rtl/>
          <w:lang w:val="en-ZW"/>
        </w:rPr>
      </w:pPr>
      <w:r w:rsidRPr="00DF7F53">
        <w:rPr>
          <w:rFonts w:ascii="Segoe UI" w:hAnsi="Segoe UI" w:cs="Segoe UI"/>
          <w:rtl/>
          <w:lang w:val="en-ZW"/>
        </w:rPr>
        <w:t>ביהדות – שלילת זכויות דתיות כאמצעי ענישה; להיות "חברים בקהילה"; להצטרף למניין; נישואי ילדים; למכור ולקנות נכסים; גירוש הילדים מבית הספר; לא קברו בקבר ישראל.</w:t>
      </w:r>
    </w:p>
    <w:p w14:paraId="2DCD5C98" w14:textId="260F94DC" w:rsidR="00DF7F53" w:rsidRPr="00CD7318" w:rsidRDefault="00DF7F53" w:rsidP="004E26A9">
      <w:pPr>
        <w:numPr>
          <w:ilvl w:val="0"/>
          <w:numId w:val="11"/>
        </w:numPr>
        <w:bidi/>
        <w:spacing w:after="0" w:line="276" w:lineRule="auto"/>
        <w:ind w:left="723"/>
        <w:jc w:val="both"/>
        <w:rPr>
          <w:rFonts w:ascii="Segoe UI" w:hAnsi="Segoe UI" w:cs="Segoe UI"/>
          <w:lang w:val="en-ZW"/>
        </w:rPr>
      </w:pPr>
      <w:r w:rsidRPr="00DF7F53">
        <w:rPr>
          <w:rFonts w:ascii="Segoe UI" w:hAnsi="Segoe UI" w:cs="Segoe UI"/>
          <w:rtl/>
          <w:lang w:val="en-ZW"/>
        </w:rPr>
        <w:t xml:space="preserve">קיימות מדינות </w:t>
      </w:r>
      <w:r w:rsidRPr="00DF7F53">
        <w:rPr>
          <w:rFonts w:ascii="Segoe UI" w:hAnsi="Segoe UI" w:cs="Segoe UI"/>
          <w:b/>
          <w:bCs/>
          <w:rtl/>
          <w:lang w:val="en-ZW"/>
        </w:rPr>
        <w:t>שלאסירים אין זכות הצבעה</w:t>
      </w:r>
      <w:r w:rsidR="00047BA7">
        <w:rPr>
          <w:rFonts w:ascii="Segoe UI" w:hAnsi="Segoe UI" w:cs="Segoe UI" w:hint="cs"/>
          <w:color w:val="7030A0"/>
          <w:rtl/>
          <w:lang w:val="en-ZW"/>
        </w:rPr>
        <w:t xml:space="preserve">, שוללים ממך זכויות, אם אתה אסיר לא מגיע לך שתשתתף במשחק הפוליטי. </w:t>
      </w:r>
    </w:p>
    <w:p w14:paraId="3ECE8115" w14:textId="44A7BD74" w:rsidR="00CD7318" w:rsidRPr="00CD7318" w:rsidRDefault="00CD7318" w:rsidP="004E26A9">
      <w:pPr>
        <w:numPr>
          <w:ilvl w:val="0"/>
          <w:numId w:val="11"/>
        </w:numPr>
        <w:bidi/>
        <w:spacing w:after="0" w:line="276" w:lineRule="auto"/>
        <w:ind w:left="723"/>
        <w:jc w:val="both"/>
        <w:rPr>
          <w:rFonts w:ascii="Segoe UI" w:hAnsi="Segoe UI" w:cs="Segoe UI"/>
          <w:lang w:val="en-ZW"/>
        </w:rPr>
      </w:pPr>
      <w:r>
        <w:rPr>
          <w:rFonts w:ascii="Segoe UI" w:hAnsi="Segoe UI" w:cs="Segoe UI" w:hint="cs"/>
          <w:color w:val="7030A0"/>
          <w:rtl/>
          <w:lang w:val="en-ZW"/>
        </w:rPr>
        <w:t xml:space="preserve">שלילת זכויות </w:t>
      </w:r>
      <w:r>
        <w:rPr>
          <w:rFonts w:ascii="Segoe UI" w:hAnsi="Segoe UI" w:cs="Segoe UI"/>
          <w:color w:val="7030A0"/>
          <w:rtl/>
          <w:lang w:val="en-ZW"/>
        </w:rPr>
        <w:t>–</w:t>
      </w:r>
      <w:r>
        <w:rPr>
          <w:rFonts w:ascii="Segoe UI" w:hAnsi="Segoe UI" w:cs="Segoe UI" w:hint="cs"/>
          <w:color w:val="7030A0"/>
          <w:rtl/>
          <w:lang w:val="en-ZW"/>
        </w:rPr>
        <w:t xml:space="preserve"> חוץ מהעונשים האחרים לדוג' אין לך יכולת להיבחר בכנסת וכו'.</w:t>
      </w:r>
    </w:p>
    <w:p w14:paraId="721BD850" w14:textId="633C2681" w:rsidR="00CD7318" w:rsidRPr="00DF7F53" w:rsidRDefault="00CD7318" w:rsidP="004E26A9">
      <w:pPr>
        <w:numPr>
          <w:ilvl w:val="0"/>
          <w:numId w:val="11"/>
        </w:numPr>
        <w:bidi/>
        <w:spacing w:after="0" w:line="276" w:lineRule="auto"/>
        <w:ind w:left="723"/>
        <w:jc w:val="both"/>
        <w:rPr>
          <w:rFonts w:ascii="Segoe UI" w:hAnsi="Segoe UI" w:cs="Segoe UI"/>
          <w:rtl/>
          <w:lang w:val="en-ZW"/>
        </w:rPr>
      </w:pPr>
      <w:r>
        <w:rPr>
          <w:rFonts w:ascii="Segoe UI" w:hAnsi="Segoe UI" w:cs="Segoe UI" w:hint="cs"/>
          <w:color w:val="7030A0"/>
          <w:rtl/>
          <w:lang w:val="en-ZW"/>
        </w:rPr>
        <w:t xml:space="preserve">שלילית זכויות אזרחיות </w:t>
      </w:r>
      <w:r>
        <w:rPr>
          <w:rFonts w:ascii="Segoe UI" w:hAnsi="Segoe UI" w:cs="Segoe UI"/>
          <w:color w:val="7030A0"/>
          <w:rtl/>
          <w:lang w:val="en-ZW"/>
        </w:rPr>
        <w:t>–</w:t>
      </w:r>
      <w:r>
        <w:rPr>
          <w:rFonts w:ascii="Segoe UI" w:hAnsi="Segoe UI" w:cs="Segoe UI" w:hint="cs"/>
          <w:color w:val="7030A0"/>
          <w:rtl/>
          <w:lang w:val="en-ZW"/>
        </w:rPr>
        <w:t xml:space="preserve"> אם אתה חרדי לדוג' מנדים אותך, הרב מוציא הנחייה לא 'להתערבב' איתך, זה עונש מאוד חזק ומאוד מרתיע. זה עונש לא פורמלי ולכן לא נלמד אותו בקורס למרות שהוא יעיל מאוד בעיקר בחברות סגורות [גם בקהילה הבדואית].</w:t>
      </w:r>
    </w:p>
    <w:p w14:paraId="79F47D37" w14:textId="77777777" w:rsidR="00D344AC" w:rsidRPr="00D344AC" w:rsidRDefault="00D344AC" w:rsidP="004E26A9">
      <w:pPr>
        <w:bidi/>
        <w:spacing w:after="0" w:line="276" w:lineRule="auto"/>
        <w:jc w:val="both"/>
        <w:rPr>
          <w:rFonts w:ascii="Segoe UI" w:hAnsi="Segoe UI" w:cs="Segoe UI"/>
          <w:lang w:val="en-ZW"/>
        </w:rPr>
      </w:pPr>
    </w:p>
    <w:p w14:paraId="3EE95A32" w14:textId="637FE7F2" w:rsidR="00C30FBB" w:rsidRPr="0068498D" w:rsidRDefault="001023A4" w:rsidP="004E26A9">
      <w:pPr>
        <w:pStyle w:val="110"/>
        <w:spacing w:line="276" w:lineRule="auto"/>
        <w:jc w:val="center"/>
      </w:pPr>
      <w:r w:rsidRPr="00323927">
        <w:rPr>
          <w:rFonts w:hint="cs"/>
          <w:rtl/>
        </w:rPr>
        <w:t>עונשי ממון</w:t>
      </w:r>
    </w:p>
    <w:p w14:paraId="75E2EC6F" w14:textId="155C79AF" w:rsidR="00DF7F53" w:rsidRPr="005B1263" w:rsidRDefault="00DF7F53" w:rsidP="004E26A9">
      <w:pPr>
        <w:numPr>
          <w:ilvl w:val="0"/>
          <w:numId w:val="12"/>
        </w:numPr>
        <w:bidi/>
        <w:spacing w:after="0" w:line="276" w:lineRule="auto"/>
        <w:ind w:left="723"/>
        <w:jc w:val="both"/>
        <w:rPr>
          <w:rFonts w:ascii="Segoe UI" w:hAnsi="Segoe UI" w:cs="Segoe UI"/>
          <w:lang w:val="en-US"/>
        </w:rPr>
      </w:pPr>
      <w:r w:rsidRPr="00DF7F53">
        <w:rPr>
          <w:rFonts w:ascii="Segoe UI" w:hAnsi="Segoe UI" w:cs="Segoe UI"/>
          <w:rtl/>
          <w:lang w:val="en-ZW"/>
        </w:rPr>
        <w:t>הפסד כספי לנאשם כגון החרמת רכושו או חיובו בקנס</w:t>
      </w:r>
      <w:r w:rsidR="00D14B1F">
        <w:rPr>
          <w:rFonts w:ascii="Segoe UI" w:hAnsi="Segoe UI" w:cs="Segoe UI" w:hint="cs"/>
          <w:rtl/>
          <w:lang w:val="en-ZW"/>
        </w:rPr>
        <w:t xml:space="preserve">, </w:t>
      </w:r>
      <w:r w:rsidR="00D14B1F">
        <w:rPr>
          <w:rFonts w:ascii="Segoe UI" w:hAnsi="Segoe UI" w:cs="Segoe UI" w:hint="cs"/>
          <w:color w:val="7030A0"/>
          <w:rtl/>
          <w:lang w:val="en-ZW"/>
        </w:rPr>
        <w:t xml:space="preserve">כמעט כל ענישה בישראל היום יש רכיב כספי. </w:t>
      </w:r>
    </w:p>
    <w:p w14:paraId="17B4EE1E" w14:textId="0A8169A4" w:rsidR="005B1263" w:rsidRPr="00DF7F53" w:rsidRDefault="00921637" w:rsidP="004E26A9">
      <w:pPr>
        <w:numPr>
          <w:ilvl w:val="0"/>
          <w:numId w:val="12"/>
        </w:numPr>
        <w:bidi/>
        <w:spacing w:after="0" w:line="276" w:lineRule="auto"/>
        <w:ind w:left="723"/>
        <w:jc w:val="both"/>
        <w:rPr>
          <w:rFonts w:ascii="Segoe UI" w:hAnsi="Segoe UI" w:cs="Segoe UI"/>
          <w:lang w:val="en-US"/>
        </w:rPr>
      </w:pPr>
      <w:r>
        <w:rPr>
          <w:rFonts w:ascii="Segoe UI" w:hAnsi="Segoe UI" w:cs="Segoe UI" w:hint="cs"/>
          <w:color w:val="7030A0"/>
          <w:rtl/>
          <w:lang w:val="en-ZW"/>
        </w:rPr>
        <w:t xml:space="preserve">למה יש רכיב של קנס? כי אנשים לא אוהבים שנוגעים להם בכסף. </w:t>
      </w:r>
    </w:p>
    <w:p w14:paraId="1D9567E5" w14:textId="77777777" w:rsidR="00DF7F53" w:rsidRPr="00DF7F53" w:rsidRDefault="00DF7F53" w:rsidP="004E26A9">
      <w:pPr>
        <w:numPr>
          <w:ilvl w:val="0"/>
          <w:numId w:val="12"/>
        </w:numPr>
        <w:bidi/>
        <w:spacing w:after="0" w:line="276" w:lineRule="auto"/>
        <w:ind w:left="723"/>
        <w:jc w:val="both"/>
        <w:rPr>
          <w:rFonts w:ascii="Segoe UI" w:hAnsi="Segoe UI" w:cs="Segoe UI"/>
          <w:rtl/>
          <w:lang w:val="en-ZW"/>
        </w:rPr>
      </w:pPr>
      <w:r w:rsidRPr="00DF7F53">
        <w:rPr>
          <w:rFonts w:ascii="Segoe UI" w:hAnsi="Segoe UI" w:cs="Segoe UI"/>
          <w:rtl/>
          <w:lang w:val="en-ZW"/>
        </w:rPr>
        <w:t>באנגליה - גובה הקנס היה לפי חשיבות האיבר שנחבל: אגודל - 20 שילינג. כתף - 30 שילינג. אוזן - 12 שילינג.</w:t>
      </w:r>
    </w:p>
    <w:p w14:paraId="07BF828E" w14:textId="77777777" w:rsidR="00DF7F53" w:rsidRPr="00DF7F53" w:rsidRDefault="00DF7F53" w:rsidP="004E26A9">
      <w:pPr>
        <w:numPr>
          <w:ilvl w:val="0"/>
          <w:numId w:val="12"/>
        </w:numPr>
        <w:bidi/>
        <w:spacing w:after="0" w:line="276" w:lineRule="auto"/>
        <w:ind w:left="723"/>
        <w:jc w:val="both"/>
        <w:rPr>
          <w:rFonts w:ascii="Segoe UI" w:hAnsi="Segoe UI" w:cs="Segoe UI"/>
          <w:rtl/>
          <w:lang w:val="en-ZW"/>
        </w:rPr>
      </w:pPr>
      <w:r w:rsidRPr="00DF7F53">
        <w:rPr>
          <w:rFonts w:ascii="Segoe UI" w:hAnsi="Segoe UI" w:cs="Segoe UI"/>
          <w:rtl/>
          <w:lang w:val="en-ZW"/>
        </w:rPr>
        <w:t xml:space="preserve">ביהדות - גניבה רגילה - תשלום כפל. אם הגנב "טבח או מכר את הבהמה" - תשלום של פי 5 על הבקר ופי 4 על הצאן. </w:t>
      </w:r>
    </w:p>
    <w:p w14:paraId="59002434" w14:textId="77777777" w:rsidR="00DF7F53" w:rsidRPr="00DF7F53" w:rsidRDefault="00DF7F53" w:rsidP="004E26A9">
      <w:pPr>
        <w:numPr>
          <w:ilvl w:val="0"/>
          <w:numId w:val="12"/>
        </w:numPr>
        <w:bidi/>
        <w:spacing w:after="0" w:line="276" w:lineRule="auto"/>
        <w:ind w:left="723"/>
        <w:jc w:val="both"/>
        <w:rPr>
          <w:rFonts w:ascii="Segoe UI" w:hAnsi="Segoe UI" w:cs="Segoe UI"/>
          <w:rtl/>
          <w:lang w:val="en-ZW"/>
        </w:rPr>
      </w:pPr>
      <w:r w:rsidRPr="00DF7F53">
        <w:rPr>
          <w:rFonts w:ascii="Segoe UI" w:hAnsi="Segoe UI" w:cs="Segoe UI"/>
          <w:rtl/>
          <w:lang w:val="en-ZW"/>
        </w:rPr>
        <w:t xml:space="preserve">בעבר, חברה ענייה </w:t>
      </w:r>
      <w:r w:rsidRPr="00DF7F53">
        <w:rPr>
          <w:rFonts w:ascii="Segoe UI" w:hAnsi="Segoe UI" w:cs="Segoe UI"/>
          <w:b/>
          <w:bCs/>
          <w:rtl/>
          <w:lang w:val="en-ZW"/>
        </w:rPr>
        <w:t>ועונש ממון היה עונש מרתיע</w:t>
      </w:r>
      <w:r w:rsidRPr="00DF7F53">
        <w:rPr>
          <w:rFonts w:ascii="Segoe UI" w:hAnsi="Segoe UI" w:cs="Segoe UI"/>
          <w:rtl/>
          <w:lang w:val="en-ZW"/>
        </w:rPr>
        <w:t xml:space="preserve">. </w:t>
      </w:r>
    </w:p>
    <w:p w14:paraId="7579B594" w14:textId="25E99CE2" w:rsidR="00DF7F53" w:rsidRDefault="00DF7F53" w:rsidP="004E26A9">
      <w:pPr>
        <w:numPr>
          <w:ilvl w:val="0"/>
          <w:numId w:val="12"/>
        </w:numPr>
        <w:bidi/>
        <w:spacing w:after="0" w:line="276" w:lineRule="auto"/>
        <w:ind w:left="723"/>
        <w:jc w:val="both"/>
        <w:rPr>
          <w:rFonts w:ascii="Segoe UI" w:hAnsi="Segoe UI" w:cs="Segoe UI"/>
          <w:lang w:val="en-ZW"/>
        </w:rPr>
      </w:pPr>
      <w:r w:rsidRPr="00DF7F53">
        <w:rPr>
          <w:rFonts w:ascii="Segoe UI" w:hAnsi="Segoe UI" w:cs="Segoe UI"/>
          <w:rtl/>
          <w:lang w:val="en-ZW"/>
        </w:rPr>
        <w:t>"עין תחת עין" – עונש ממון לפי ערך האיבר</w:t>
      </w:r>
    </w:p>
    <w:p w14:paraId="4FD94F22" w14:textId="019BC85E" w:rsidR="004E32B6" w:rsidRPr="004E32B6" w:rsidRDefault="004E32B6" w:rsidP="004E26A9">
      <w:pPr>
        <w:numPr>
          <w:ilvl w:val="0"/>
          <w:numId w:val="12"/>
        </w:numPr>
        <w:bidi/>
        <w:spacing w:after="0" w:line="276" w:lineRule="auto"/>
        <w:ind w:left="723"/>
        <w:jc w:val="both"/>
        <w:rPr>
          <w:rFonts w:ascii="Segoe UI" w:hAnsi="Segoe UI" w:cs="Segoe UI"/>
          <w:lang w:val="en-US"/>
        </w:rPr>
      </w:pPr>
      <w:r w:rsidRPr="004E32B6">
        <w:rPr>
          <w:rFonts w:ascii="Segoe UI" w:hAnsi="Segoe UI" w:cs="Segoe UI"/>
          <w:rtl/>
          <w:lang w:val="en-ZW"/>
        </w:rPr>
        <w:t xml:space="preserve">(סעיף 61 לחוק העונשין). </w:t>
      </w:r>
      <w:r w:rsidR="00B90054">
        <w:rPr>
          <w:rFonts w:ascii="Segoe UI" w:hAnsi="Segoe UI" w:cs="Segoe UI" w:hint="cs"/>
          <w:color w:val="7030A0"/>
          <w:rtl/>
          <w:lang w:val="en-US"/>
        </w:rPr>
        <w:t xml:space="preserve">הסעיף שמפרט את שיעור הקנסות לגבי סוגי העבירות השונות. </w:t>
      </w:r>
    </w:p>
    <w:p w14:paraId="5EBD9EBF" w14:textId="77777777" w:rsidR="004E32B6" w:rsidRPr="004E32B6" w:rsidRDefault="004E32B6" w:rsidP="004E26A9">
      <w:pPr>
        <w:bidi/>
        <w:spacing w:after="0" w:line="276" w:lineRule="auto"/>
        <w:ind w:left="723"/>
        <w:jc w:val="both"/>
        <w:rPr>
          <w:rFonts w:ascii="Segoe UI" w:hAnsi="Segoe UI" w:cs="Segoe UI"/>
          <w:rtl/>
          <w:lang w:val="en-ZW"/>
        </w:rPr>
      </w:pPr>
      <w:r w:rsidRPr="004E32B6">
        <w:rPr>
          <w:rFonts w:ascii="Segoe UI" w:hAnsi="Segoe UI" w:cs="Segoe UI"/>
          <w:rtl/>
          <w:lang w:val="en-ZW"/>
        </w:rPr>
        <w:lastRenderedPageBreak/>
        <w:t>אם</w:t>
      </w:r>
      <w:r w:rsidRPr="004E32B6">
        <w:rPr>
          <w:rFonts w:ascii="Segoe UI" w:hAnsi="Segoe UI" w:cs="Segoe UI"/>
          <w:b/>
          <w:bCs/>
          <w:rtl/>
          <w:lang w:val="en-ZW"/>
        </w:rPr>
        <w:t xml:space="preserve"> קבוע </w:t>
      </w:r>
      <w:r w:rsidRPr="004E32B6">
        <w:rPr>
          <w:rFonts w:ascii="Segoe UI" w:hAnsi="Segoe UI" w:cs="Segoe UI"/>
          <w:rtl/>
          <w:lang w:val="en-ZW"/>
        </w:rPr>
        <w:t xml:space="preserve">לעבירה עונש מאסר עד ששה חדשים או </w:t>
      </w:r>
      <w:r w:rsidRPr="004E32B6">
        <w:rPr>
          <w:rFonts w:ascii="Segoe UI" w:hAnsi="Segoe UI" w:cs="Segoe UI"/>
          <w:u w:val="single"/>
          <w:rtl/>
          <w:lang w:val="en-ZW"/>
        </w:rPr>
        <w:t>קנס</w:t>
      </w:r>
      <w:r w:rsidRPr="004E32B6">
        <w:rPr>
          <w:rFonts w:ascii="Segoe UI" w:hAnsi="Segoe UI" w:cs="Segoe UI"/>
          <w:rtl/>
          <w:lang w:val="en-ZW"/>
        </w:rPr>
        <w:t xml:space="preserve"> בלבד, או קנס שלא נקבע לו סכום - קנס עד 14,400 שקלים חדשים;</w:t>
      </w:r>
    </w:p>
    <w:p w14:paraId="2B7FE599" w14:textId="47CF8F8E" w:rsidR="004E32B6" w:rsidRPr="004E32B6" w:rsidRDefault="004E32B6" w:rsidP="004E26A9">
      <w:pPr>
        <w:bidi/>
        <w:spacing w:after="0" w:line="276" w:lineRule="auto"/>
        <w:ind w:left="723"/>
        <w:jc w:val="both"/>
        <w:rPr>
          <w:rFonts w:ascii="Segoe UI" w:hAnsi="Segoe UI" w:cs="Segoe UI"/>
          <w:rtl/>
          <w:lang w:val="en-ZW"/>
        </w:rPr>
      </w:pPr>
      <w:r w:rsidRPr="004E32B6">
        <w:rPr>
          <w:rFonts w:ascii="Segoe UI" w:hAnsi="Segoe UI" w:cs="Segoe UI"/>
          <w:rtl/>
          <w:lang w:val="en-ZW"/>
        </w:rPr>
        <w:t>(2)   אם קבוע לעבירה עונש מאסר למעלה מששה חדשים ולא יותר משנה - קנס עד 29,200 שקלים חדשים;</w:t>
      </w:r>
      <w:r w:rsidR="005C3425">
        <w:rPr>
          <w:rFonts w:ascii="Segoe UI" w:hAnsi="Segoe UI" w:cs="Segoe UI" w:hint="cs"/>
          <w:rtl/>
          <w:lang w:val="en-ZW"/>
        </w:rPr>
        <w:t xml:space="preserve"> </w:t>
      </w:r>
    </w:p>
    <w:p w14:paraId="6497DABF" w14:textId="00C328A9" w:rsidR="004E32B6" w:rsidRPr="004E32B6" w:rsidRDefault="004E32B6" w:rsidP="004E26A9">
      <w:pPr>
        <w:bidi/>
        <w:spacing w:after="0" w:line="276" w:lineRule="auto"/>
        <w:ind w:left="723"/>
        <w:jc w:val="both"/>
        <w:rPr>
          <w:rFonts w:ascii="Segoe UI" w:hAnsi="Segoe UI" w:cs="Segoe UI"/>
          <w:rtl/>
          <w:lang w:val="en-ZW"/>
        </w:rPr>
      </w:pPr>
      <w:r w:rsidRPr="004E32B6">
        <w:rPr>
          <w:rFonts w:ascii="Segoe UI" w:hAnsi="Segoe UI" w:cs="Segoe UI"/>
          <w:rtl/>
          <w:lang w:val="en-ZW"/>
        </w:rPr>
        <w:t>(3)   אם קבוע לעבירה עונש מאסר למעלה משנה ולא יותר משלוש שנים - קנס עד 75,300 שקלים חדשים;</w:t>
      </w:r>
      <w:r w:rsidR="005C3425">
        <w:rPr>
          <w:rFonts w:ascii="Segoe UI" w:hAnsi="Segoe UI" w:cs="Segoe UI" w:hint="cs"/>
          <w:rtl/>
          <w:lang w:val="en-ZW"/>
        </w:rPr>
        <w:t xml:space="preserve"> </w:t>
      </w:r>
    </w:p>
    <w:p w14:paraId="12247E6B" w14:textId="59FB885A" w:rsidR="00D344AC" w:rsidRPr="005C3425" w:rsidRDefault="004E32B6" w:rsidP="004E26A9">
      <w:pPr>
        <w:bidi/>
        <w:spacing w:after="0" w:line="276" w:lineRule="auto"/>
        <w:ind w:left="723"/>
        <w:jc w:val="both"/>
        <w:rPr>
          <w:rFonts w:ascii="Segoe UI" w:hAnsi="Segoe UI" w:cs="Segoe UI"/>
          <w:color w:val="7030A0"/>
          <w:rtl/>
          <w:lang w:val="en-ZW"/>
        </w:rPr>
      </w:pPr>
      <w:r w:rsidRPr="004E32B6">
        <w:rPr>
          <w:rFonts w:ascii="Segoe UI" w:hAnsi="Segoe UI" w:cs="Segoe UI"/>
          <w:rtl/>
          <w:lang w:val="en-ZW"/>
        </w:rPr>
        <w:t>(4)   אם קבוע לעבירה עונש מאסר למעלה משלוש שנים - קנס עד 226,000 שקלים חדשים.</w:t>
      </w:r>
      <w:r w:rsidR="005C3425">
        <w:rPr>
          <w:rFonts w:ascii="Segoe UI" w:hAnsi="Segoe UI" w:cs="Segoe UI" w:hint="cs"/>
          <w:rtl/>
          <w:lang w:val="en-ZW"/>
        </w:rPr>
        <w:t xml:space="preserve">  </w:t>
      </w:r>
    </w:p>
    <w:p w14:paraId="602819BA" w14:textId="6943C5C8" w:rsidR="003C73EB" w:rsidRDefault="00BE0F1A" w:rsidP="004E26A9">
      <w:pPr>
        <w:bidi/>
        <w:spacing w:after="0" w:line="276" w:lineRule="auto"/>
        <w:jc w:val="both"/>
        <w:rPr>
          <w:rFonts w:ascii="Segoe UI" w:hAnsi="Segoe UI" w:cs="Segoe UI"/>
          <w:color w:val="7030A0"/>
          <w:rtl/>
          <w:lang w:val="en-ZW"/>
        </w:rPr>
      </w:pPr>
      <w:r>
        <w:rPr>
          <w:rFonts w:ascii="Segoe UI" w:hAnsi="Segoe UI" w:cs="Segoe UI" w:hint="cs"/>
          <w:color w:val="7030A0"/>
          <w:rtl/>
          <w:lang w:val="en-ZW"/>
        </w:rPr>
        <w:t xml:space="preserve">מה קורה כאשר שופט נותן מעבר לסכום שמותר לו לתת? הרכיב של הקנס מבוטל. </w:t>
      </w:r>
    </w:p>
    <w:p w14:paraId="269B86D2" w14:textId="21AABDF0" w:rsidR="000C22F7" w:rsidRDefault="00EB4896" w:rsidP="004E26A9">
      <w:pPr>
        <w:bidi/>
        <w:spacing w:after="0" w:line="276" w:lineRule="auto"/>
        <w:jc w:val="both"/>
        <w:rPr>
          <w:rFonts w:ascii="Segoe UI" w:hAnsi="Segoe UI" w:cs="Segoe UI"/>
          <w:color w:val="7030A0"/>
          <w:rtl/>
          <w:lang w:val="en-ZW"/>
        </w:rPr>
      </w:pPr>
      <w:r>
        <w:rPr>
          <w:rFonts w:ascii="Segoe UI" w:hAnsi="Segoe UI" w:cs="Segoe UI" w:hint="cs"/>
          <w:color w:val="7030A0"/>
          <w:rtl/>
          <w:lang w:val="en-ZW"/>
        </w:rPr>
        <w:t xml:space="preserve">ההבדל בין קנס לפיצוי </w:t>
      </w:r>
      <w:r>
        <w:rPr>
          <w:rFonts w:ascii="Segoe UI" w:hAnsi="Segoe UI" w:cs="Segoe UI"/>
          <w:color w:val="7030A0"/>
          <w:rtl/>
          <w:lang w:val="en-ZW"/>
        </w:rPr>
        <w:t>–</w:t>
      </w:r>
      <w:r>
        <w:rPr>
          <w:rFonts w:ascii="Segoe UI" w:hAnsi="Segoe UI" w:cs="Segoe UI" w:hint="cs"/>
          <w:color w:val="7030A0"/>
          <w:rtl/>
          <w:lang w:val="en-ZW"/>
        </w:rPr>
        <w:t xml:space="preserve"> קנס זה תשלום לקופת המדינה, פיצוי זה תשלום לנפגע העבירה או למי שיכול לקבל את הכסף במקומו. </w:t>
      </w:r>
    </w:p>
    <w:p w14:paraId="17F2FE94" w14:textId="77777777" w:rsidR="00BE0F1A" w:rsidRPr="00BE0F1A" w:rsidRDefault="00BE0F1A" w:rsidP="004E26A9">
      <w:pPr>
        <w:bidi/>
        <w:spacing w:after="0" w:line="276" w:lineRule="auto"/>
        <w:jc w:val="both"/>
        <w:rPr>
          <w:rFonts w:ascii="Segoe UI" w:hAnsi="Segoe UI" w:cs="Segoe UI"/>
          <w:color w:val="7030A0"/>
          <w:lang w:val="en-ZW"/>
        </w:rPr>
      </w:pPr>
    </w:p>
    <w:p w14:paraId="48D7BA31" w14:textId="67B3965B" w:rsidR="001023A4" w:rsidRPr="0068498D" w:rsidRDefault="001023A4" w:rsidP="004E26A9">
      <w:pPr>
        <w:pStyle w:val="110"/>
        <w:spacing w:line="276" w:lineRule="auto"/>
        <w:jc w:val="center"/>
      </w:pPr>
      <w:r w:rsidRPr="00323927">
        <w:rPr>
          <w:rFonts w:hint="cs"/>
          <w:rtl/>
        </w:rPr>
        <w:t>עונשי שלילת רישיונות/זכויות כלכליות</w:t>
      </w:r>
    </w:p>
    <w:p w14:paraId="7EF1AD63" w14:textId="77777777" w:rsidR="004E32B6" w:rsidRPr="004E32B6" w:rsidRDefault="004E32B6" w:rsidP="004E26A9">
      <w:pPr>
        <w:pStyle w:val="ab"/>
        <w:numPr>
          <w:ilvl w:val="0"/>
          <w:numId w:val="13"/>
        </w:numPr>
        <w:bidi/>
        <w:spacing w:after="0" w:line="276" w:lineRule="auto"/>
        <w:jc w:val="both"/>
        <w:rPr>
          <w:rFonts w:ascii="Segoe UI" w:hAnsi="Segoe UI" w:cs="Segoe UI"/>
          <w:rtl/>
          <w:lang w:val="en-ZW"/>
        </w:rPr>
      </w:pPr>
      <w:r w:rsidRPr="004E32B6">
        <w:rPr>
          <w:rFonts w:ascii="Segoe UI" w:hAnsi="Segoe UI" w:cs="Segoe UI"/>
          <w:rtl/>
          <w:lang w:val="en-ZW"/>
        </w:rPr>
        <w:t>שלילת רישיון נהיגה בשל עבירת תנועה חמורה על ידי בית משפט לתעבורה (לתקופה/לצמיתות).</w:t>
      </w:r>
    </w:p>
    <w:p w14:paraId="18959BB0" w14:textId="77777777" w:rsidR="004E32B6" w:rsidRPr="004E32B6" w:rsidRDefault="004E32B6" w:rsidP="004E26A9">
      <w:pPr>
        <w:pStyle w:val="ab"/>
        <w:numPr>
          <w:ilvl w:val="0"/>
          <w:numId w:val="13"/>
        </w:numPr>
        <w:bidi/>
        <w:spacing w:after="0" w:line="276" w:lineRule="auto"/>
        <w:jc w:val="both"/>
        <w:rPr>
          <w:rFonts w:ascii="Segoe UI" w:hAnsi="Segoe UI" w:cs="Segoe UI"/>
          <w:rtl/>
          <w:lang w:val="en-ZW"/>
        </w:rPr>
      </w:pPr>
      <w:r w:rsidRPr="004E32B6">
        <w:rPr>
          <w:rFonts w:ascii="Segoe UI" w:hAnsi="Segoe UI" w:cs="Segoe UI"/>
          <w:rtl/>
          <w:lang w:val="en-ZW"/>
        </w:rPr>
        <w:t>שלילת רישיון עו"ד</w:t>
      </w:r>
    </w:p>
    <w:p w14:paraId="3E8277FE" w14:textId="77777777" w:rsidR="004E32B6" w:rsidRPr="004E32B6" w:rsidRDefault="004E32B6" w:rsidP="004E26A9">
      <w:pPr>
        <w:pStyle w:val="ab"/>
        <w:numPr>
          <w:ilvl w:val="0"/>
          <w:numId w:val="13"/>
        </w:numPr>
        <w:bidi/>
        <w:spacing w:after="0" w:line="276" w:lineRule="auto"/>
        <w:jc w:val="both"/>
        <w:rPr>
          <w:rFonts w:ascii="Segoe UI" w:hAnsi="Segoe UI" w:cs="Segoe UI"/>
          <w:rtl/>
          <w:lang w:val="en-ZW"/>
        </w:rPr>
      </w:pPr>
      <w:r w:rsidRPr="004E32B6">
        <w:rPr>
          <w:rFonts w:ascii="Segoe UI" w:hAnsi="Segoe UI" w:cs="Segoe UI"/>
          <w:rtl/>
          <w:lang w:val="en-ZW"/>
        </w:rPr>
        <w:t>שלילת רישיון רפואה</w:t>
      </w:r>
    </w:p>
    <w:p w14:paraId="5A3D843C" w14:textId="63904EEA" w:rsidR="00323927" w:rsidRDefault="008B2E7B" w:rsidP="004E26A9">
      <w:pPr>
        <w:bidi/>
        <w:spacing w:after="0" w:line="276" w:lineRule="auto"/>
        <w:ind w:left="360"/>
        <w:jc w:val="both"/>
        <w:rPr>
          <w:rFonts w:ascii="Segoe UI" w:hAnsi="Segoe UI" w:cs="Segoe UI"/>
          <w:color w:val="7030A0"/>
          <w:rtl/>
          <w:lang w:val="en-ZW"/>
        </w:rPr>
      </w:pPr>
      <w:r>
        <w:rPr>
          <w:rFonts w:ascii="Segoe UI" w:hAnsi="Segoe UI" w:cs="Segoe UI" w:hint="cs"/>
          <w:color w:val="7030A0"/>
          <w:rtl/>
          <w:lang w:val="en-ZW"/>
        </w:rPr>
        <w:t xml:space="preserve">דוג' </w:t>
      </w:r>
      <w:r>
        <w:rPr>
          <w:rFonts w:ascii="Segoe UI" w:hAnsi="Segoe UI" w:cs="Segoe UI"/>
          <w:color w:val="7030A0"/>
          <w:rtl/>
          <w:lang w:val="en-ZW"/>
        </w:rPr>
        <w:t>–</w:t>
      </w:r>
      <w:r>
        <w:rPr>
          <w:rFonts w:ascii="Segoe UI" w:hAnsi="Segoe UI" w:cs="Segoe UI" w:hint="cs"/>
          <w:color w:val="7030A0"/>
          <w:rtl/>
          <w:lang w:val="en-ZW"/>
        </w:rPr>
        <w:t xml:space="preserve"> הרופאה המרדימה, רופאה מרדימה שהייתה בניתוח פזילה לילד והיא נרדמה תוך כדי, היא נכנסה לכלא ושללו לה את הרישיון. </w:t>
      </w:r>
    </w:p>
    <w:p w14:paraId="32304425" w14:textId="77777777" w:rsidR="00323927" w:rsidRPr="008B2E7B" w:rsidRDefault="00323927" w:rsidP="004E26A9">
      <w:pPr>
        <w:bidi/>
        <w:spacing w:after="0" w:line="276" w:lineRule="auto"/>
        <w:ind w:left="360"/>
        <w:jc w:val="both"/>
        <w:rPr>
          <w:rFonts w:ascii="Segoe UI" w:hAnsi="Segoe UI" w:cs="Segoe UI"/>
          <w:color w:val="7030A0"/>
          <w:lang w:val="en-ZW"/>
        </w:rPr>
      </w:pPr>
    </w:p>
    <w:p w14:paraId="792958A0" w14:textId="208F8C74" w:rsidR="001023A4" w:rsidRPr="00940E79" w:rsidRDefault="001023A4" w:rsidP="004E26A9">
      <w:pPr>
        <w:pStyle w:val="110"/>
        <w:spacing w:line="276" w:lineRule="auto"/>
        <w:jc w:val="center"/>
      </w:pPr>
      <w:r w:rsidRPr="00323927">
        <w:rPr>
          <w:rFonts w:hint="cs"/>
          <w:rtl/>
        </w:rPr>
        <w:t>עונשים מותנים</w:t>
      </w:r>
    </w:p>
    <w:p w14:paraId="620BFD68" w14:textId="77777777" w:rsidR="00D0707D" w:rsidRPr="00D0707D" w:rsidRDefault="00D0707D" w:rsidP="004E26A9">
      <w:pPr>
        <w:pStyle w:val="ab"/>
        <w:numPr>
          <w:ilvl w:val="0"/>
          <w:numId w:val="14"/>
        </w:numPr>
        <w:bidi/>
        <w:spacing w:after="0" w:line="276" w:lineRule="auto"/>
        <w:jc w:val="both"/>
        <w:rPr>
          <w:rFonts w:ascii="Segoe UI" w:hAnsi="Segoe UI" w:cs="Segoe UI"/>
          <w:lang w:val="en-US"/>
        </w:rPr>
      </w:pPr>
      <w:r w:rsidRPr="00D0707D">
        <w:rPr>
          <w:rFonts w:ascii="Segoe UI" w:hAnsi="Segoe UI" w:cs="Segoe UI"/>
          <w:rtl/>
          <w:lang w:val="en-ZW"/>
        </w:rPr>
        <w:t>מאסר על תנאי (נדבר על כך בהמשך)</w:t>
      </w:r>
    </w:p>
    <w:p w14:paraId="01056BCE" w14:textId="77777777" w:rsidR="00D0707D" w:rsidRPr="00D0707D" w:rsidRDefault="00D0707D" w:rsidP="004E26A9">
      <w:pPr>
        <w:pStyle w:val="ab"/>
        <w:numPr>
          <w:ilvl w:val="0"/>
          <w:numId w:val="14"/>
        </w:numPr>
        <w:bidi/>
        <w:spacing w:after="0" w:line="276" w:lineRule="auto"/>
        <w:jc w:val="both"/>
        <w:rPr>
          <w:rFonts w:ascii="Segoe UI" w:hAnsi="Segoe UI" w:cs="Segoe UI"/>
          <w:rtl/>
          <w:lang w:val="en-ZW"/>
        </w:rPr>
      </w:pPr>
      <w:r w:rsidRPr="00D0707D">
        <w:rPr>
          <w:rFonts w:ascii="Segoe UI" w:hAnsi="Segoe UI" w:cs="Segoe UI"/>
          <w:rtl/>
          <w:lang w:val="en-ZW"/>
        </w:rPr>
        <w:t>קנס על תנאי</w:t>
      </w:r>
    </w:p>
    <w:p w14:paraId="48057C53" w14:textId="77777777" w:rsidR="00D0707D" w:rsidRPr="00D0707D" w:rsidRDefault="00D0707D" w:rsidP="004E26A9">
      <w:pPr>
        <w:pStyle w:val="ab"/>
        <w:numPr>
          <w:ilvl w:val="0"/>
          <w:numId w:val="14"/>
        </w:numPr>
        <w:bidi/>
        <w:spacing w:after="0" w:line="276" w:lineRule="auto"/>
        <w:jc w:val="both"/>
        <w:rPr>
          <w:rFonts w:ascii="Segoe UI" w:hAnsi="Segoe UI" w:cs="Segoe UI"/>
          <w:rtl/>
          <w:lang w:val="en-ZW"/>
        </w:rPr>
      </w:pPr>
      <w:r w:rsidRPr="00D0707D">
        <w:rPr>
          <w:rFonts w:ascii="Segoe UI" w:hAnsi="Segoe UI" w:cs="Segoe UI"/>
          <w:b/>
          <w:bCs/>
          <w:rtl/>
          <w:lang w:val="en-ZW"/>
        </w:rPr>
        <w:t xml:space="preserve">כאשר מדברים על תיאוריות של הרתעה - עונש מאסר על תנאי הוא העונש הקלאסי:  </w:t>
      </w:r>
    </w:p>
    <w:p w14:paraId="157F68BA" w14:textId="77777777" w:rsidR="00D0707D" w:rsidRPr="00D0707D" w:rsidRDefault="00D0707D" w:rsidP="004E26A9">
      <w:pPr>
        <w:pStyle w:val="ab"/>
        <w:numPr>
          <w:ilvl w:val="0"/>
          <w:numId w:val="14"/>
        </w:numPr>
        <w:bidi/>
        <w:spacing w:after="0" w:line="276" w:lineRule="auto"/>
        <w:jc w:val="both"/>
        <w:rPr>
          <w:rFonts w:ascii="Segoe UI" w:hAnsi="Segoe UI" w:cs="Segoe UI"/>
          <w:rtl/>
          <w:lang w:val="en-ZW"/>
        </w:rPr>
      </w:pPr>
      <w:r w:rsidRPr="00D0707D">
        <w:rPr>
          <w:rFonts w:ascii="Segoe UI" w:hAnsi="Segoe UI" w:cs="Segoe UI"/>
          <w:rtl/>
          <w:lang w:val="en-ZW"/>
        </w:rPr>
        <w:t>המאסר - משנה את חייו של האדם, שם אותו בניתוק, מחבר אותו לעבריינים</w:t>
      </w:r>
    </w:p>
    <w:p w14:paraId="53E16E14" w14:textId="77777777" w:rsidR="00D0707D" w:rsidRPr="00D0707D" w:rsidRDefault="00D0707D" w:rsidP="004E26A9">
      <w:pPr>
        <w:pStyle w:val="ab"/>
        <w:numPr>
          <w:ilvl w:val="0"/>
          <w:numId w:val="14"/>
        </w:numPr>
        <w:bidi/>
        <w:spacing w:after="0" w:line="276" w:lineRule="auto"/>
        <w:jc w:val="both"/>
        <w:rPr>
          <w:rFonts w:ascii="Segoe UI" w:hAnsi="Segoe UI" w:cs="Segoe UI"/>
          <w:rtl/>
          <w:lang w:val="en-ZW"/>
        </w:rPr>
      </w:pPr>
      <w:r w:rsidRPr="00D0707D">
        <w:rPr>
          <w:rFonts w:ascii="Segoe UI" w:hAnsi="Segoe UI" w:cs="Segoe UI"/>
          <w:rtl/>
          <w:lang w:val="en-ZW"/>
        </w:rPr>
        <w:t>הקנס - משנה את מצבו הכלכלי של העבריין</w:t>
      </w:r>
    </w:p>
    <w:p w14:paraId="718F4F20" w14:textId="75183086" w:rsidR="008C72D2" w:rsidRDefault="00D0707D" w:rsidP="004E26A9">
      <w:pPr>
        <w:pStyle w:val="ab"/>
        <w:numPr>
          <w:ilvl w:val="0"/>
          <w:numId w:val="14"/>
        </w:numPr>
        <w:bidi/>
        <w:spacing w:after="0" w:line="276" w:lineRule="auto"/>
        <w:jc w:val="both"/>
        <w:rPr>
          <w:rFonts w:ascii="Segoe UI" w:hAnsi="Segoe UI" w:cs="Segoe UI"/>
          <w:lang w:val="en-ZW"/>
        </w:rPr>
      </w:pPr>
      <w:r w:rsidRPr="00D0707D">
        <w:rPr>
          <w:rFonts w:ascii="Segoe UI" w:hAnsi="Segoe UI" w:cs="Segoe UI"/>
          <w:rtl/>
          <w:lang w:val="en-ZW"/>
        </w:rPr>
        <w:t xml:space="preserve">מאסר על תנאי -  </w:t>
      </w:r>
      <w:r w:rsidRPr="00D0707D">
        <w:rPr>
          <w:rFonts w:ascii="Segoe UI" w:hAnsi="Segoe UI" w:cs="Segoe UI"/>
          <w:b/>
          <w:bCs/>
          <w:rtl/>
          <w:lang w:val="en-ZW"/>
        </w:rPr>
        <w:t>"חרב על צווארו של העבריין"</w:t>
      </w:r>
    </w:p>
    <w:p w14:paraId="3C0A7ED0" w14:textId="11F363A6" w:rsidR="00680FF6" w:rsidRPr="007A13A3" w:rsidRDefault="00680FF6" w:rsidP="004E26A9">
      <w:pPr>
        <w:pStyle w:val="ab"/>
        <w:numPr>
          <w:ilvl w:val="0"/>
          <w:numId w:val="14"/>
        </w:numPr>
        <w:bidi/>
        <w:spacing w:after="0" w:line="276" w:lineRule="auto"/>
        <w:jc w:val="both"/>
        <w:rPr>
          <w:rFonts w:ascii="Segoe UI" w:hAnsi="Segoe UI" w:cs="Segoe UI"/>
          <w:rtl/>
          <w:lang w:val="en-ZW"/>
        </w:rPr>
      </w:pPr>
      <w:r>
        <w:rPr>
          <w:rFonts w:ascii="Segoe UI" w:hAnsi="Segoe UI" w:cs="Segoe UI" w:hint="cs"/>
          <w:color w:val="7030A0"/>
          <w:rtl/>
          <w:lang w:val="en-ZW"/>
        </w:rPr>
        <w:t xml:space="preserve">הביטוי החזק ביותר לתאוריה ההרתעתית </w:t>
      </w:r>
      <w:r>
        <w:rPr>
          <w:rFonts w:ascii="Segoe UI" w:hAnsi="Segoe UI" w:cs="Segoe UI"/>
          <w:color w:val="7030A0"/>
          <w:rtl/>
          <w:lang w:val="en-ZW"/>
        </w:rPr>
        <w:t>–</w:t>
      </w:r>
      <w:r>
        <w:rPr>
          <w:rFonts w:ascii="Segoe UI" w:hAnsi="Segoe UI" w:cs="Segoe UI" w:hint="cs"/>
          <w:color w:val="7030A0"/>
          <w:rtl/>
          <w:lang w:val="en-ZW"/>
        </w:rPr>
        <w:t xml:space="preserve"> 'אם תבצע תיכנס לכלא, אבל כרגע אתה לא נכנס לכלא'. אם תפשל תיענש. </w:t>
      </w:r>
    </w:p>
    <w:p w14:paraId="7816F0CD" w14:textId="2FC627D4" w:rsidR="008C72D2" w:rsidRDefault="008C72D2" w:rsidP="004E26A9">
      <w:pPr>
        <w:bidi/>
        <w:spacing w:after="0" w:line="276" w:lineRule="auto"/>
        <w:jc w:val="both"/>
        <w:rPr>
          <w:rFonts w:ascii="Segoe UI" w:hAnsi="Segoe UI" w:cs="Segoe UI"/>
          <w:rtl/>
          <w:lang w:val="en-ZW"/>
        </w:rPr>
      </w:pPr>
    </w:p>
    <w:p w14:paraId="5FF2BD0A" w14:textId="5325B25A" w:rsidR="009A5BDE" w:rsidRDefault="009A5BDE" w:rsidP="009A5BDE">
      <w:pPr>
        <w:bidi/>
        <w:spacing w:after="0" w:line="276" w:lineRule="auto"/>
        <w:jc w:val="both"/>
        <w:rPr>
          <w:rFonts w:ascii="Segoe UI" w:hAnsi="Segoe UI" w:cs="Segoe UI"/>
          <w:rtl/>
          <w:lang w:val="en-ZW"/>
        </w:rPr>
      </w:pPr>
    </w:p>
    <w:p w14:paraId="68381B22" w14:textId="0F6E7E43" w:rsidR="009A5BDE" w:rsidRDefault="009A5BDE" w:rsidP="009A5BDE">
      <w:pPr>
        <w:bidi/>
        <w:spacing w:after="0" w:line="276" w:lineRule="auto"/>
        <w:jc w:val="both"/>
        <w:rPr>
          <w:rFonts w:ascii="Segoe UI" w:hAnsi="Segoe UI" w:cs="Segoe UI"/>
          <w:rtl/>
          <w:lang w:val="en-ZW"/>
        </w:rPr>
      </w:pPr>
    </w:p>
    <w:p w14:paraId="1CEE858B" w14:textId="1A27C991" w:rsidR="009A5BDE" w:rsidRDefault="009A5BDE" w:rsidP="009A5BDE">
      <w:pPr>
        <w:bidi/>
        <w:spacing w:after="0" w:line="276" w:lineRule="auto"/>
        <w:jc w:val="both"/>
        <w:rPr>
          <w:rFonts w:ascii="Segoe UI" w:hAnsi="Segoe UI" w:cs="Segoe UI"/>
          <w:rtl/>
          <w:lang w:val="en-ZW"/>
        </w:rPr>
      </w:pPr>
    </w:p>
    <w:p w14:paraId="036C740E" w14:textId="05FAB5E0" w:rsidR="009A5BDE" w:rsidRDefault="009A5BDE" w:rsidP="009A5BDE">
      <w:pPr>
        <w:bidi/>
        <w:spacing w:after="0" w:line="276" w:lineRule="auto"/>
        <w:jc w:val="both"/>
        <w:rPr>
          <w:rFonts w:ascii="Segoe UI" w:hAnsi="Segoe UI" w:cs="Segoe UI"/>
          <w:rtl/>
          <w:lang w:val="en-ZW"/>
        </w:rPr>
      </w:pPr>
    </w:p>
    <w:p w14:paraId="7E1FFAE8" w14:textId="7A87EB40" w:rsidR="009A5BDE" w:rsidRDefault="009A5BDE" w:rsidP="009A5BDE">
      <w:pPr>
        <w:bidi/>
        <w:spacing w:after="0" w:line="276" w:lineRule="auto"/>
        <w:jc w:val="both"/>
        <w:rPr>
          <w:rFonts w:ascii="Segoe UI" w:hAnsi="Segoe UI" w:cs="Segoe UI"/>
          <w:rtl/>
          <w:lang w:val="en-ZW"/>
        </w:rPr>
      </w:pPr>
    </w:p>
    <w:p w14:paraId="4B58F7CD" w14:textId="0AB4B969" w:rsidR="009A5BDE" w:rsidRDefault="009A5BDE" w:rsidP="009A5BDE">
      <w:pPr>
        <w:bidi/>
        <w:spacing w:after="0" w:line="276" w:lineRule="auto"/>
        <w:jc w:val="both"/>
        <w:rPr>
          <w:rFonts w:ascii="Segoe UI" w:hAnsi="Segoe UI" w:cs="Segoe UI"/>
          <w:rtl/>
          <w:lang w:val="en-ZW"/>
        </w:rPr>
      </w:pPr>
    </w:p>
    <w:p w14:paraId="5239A43F" w14:textId="0C7919B2" w:rsidR="009A5BDE" w:rsidRDefault="009A5BDE" w:rsidP="009A5BDE">
      <w:pPr>
        <w:bidi/>
        <w:spacing w:after="0" w:line="276" w:lineRule="auto"/>
        <w:jc w:val="both"/>
        <w:rPr>
          <w:rFonts w:ascii="Segoe UI" w:hAnsi="Segoe UI" w:cs="Segoe UI"/>
          <w:rtl/>
          <w:lang w:val="en-ZW"/>
        </w:rPr>
      </w:pPr>
    </w:p>
    <w:p w14:paraId="1CDB78AA" w14:textId="31A95ED6" w:rsidR="009A5BDE" w:rsidRDefault="009A5BDE" w:rsidP="009A5BDE">
      <w:pPr>
        <w:bidi/>
        <w:spacing w:after="0" w:line="276" w:lineRule="auto"/>
        <w:jc w:val="both"/>
        <w:rPr>
          <w:rFonts w:ascii="Segoe UI" w:hAnsi="Segoe UI" w:cs="Segoe UI"/>
          <w:rtl/>
          <w:lang w:val="en-ZW"/>
        </w:rPr>
      </w:pPr>
    </w:p>
    <w:p w14:paraId="49A7F76E" w14:textId="0EF7A4C0" w:rsidR="009A5BDE" w:rsidRDefault="009A5BDE" w:rsidP="009A5BDE">
      <w:pPr>
        <w:bidi/>
        <w:spacing w:after="0" w:line="276" w:lineRule="auto"/>
        <w:jc w:val="both"/>
        <w:rPr>
          <w:rFonts w:ascii="Segoe UI" w:hAnsi="Segoe UI" w:cs="Segoe UI"/>
          <w:rtl/>
          <w:lang w:val="en-ZW"/>
        </w:rPr>
      </w:pPr>
    </w:p>
    <w:p w14:paraId="4D7800A3" w14:textId="18942BAC" w:rsidR="009A5BDE" w:rsidRDefault="009A5BDE" w:rsidP="009A5BDE">
      <w:pPr>
        <w:bidi/>
        <w:spacing w:after="0" w:line="276" w:lineRule="auto"/>
        <w:jc w:val="both"/>
        <w:rPr>
          <w:rFonts w:ascii="Segoe UI" w:hAnsi="Segoe UI" w:cs="Segoe UI"/>
          <w:rtl/>
          <w:lang w:val="en-ZW"/>
        </w:rPr>
      </w:pPr>
    </w:p>
    <w:p w14:paraId="075C1B10" w14:textId="6594AE28" w:rsidR="009A5BDE" w:rsidRDefault="009A5BDE" w:rsidP="009A5BDE">
      <w:pPr>
        <w:bidi/>
        <w:spacing w:after="0" w:line="276" w:lineRule="auto"/>
        <w:jc w:val="both"/>
        <w:rPr>
          <w:rFonts w:ascii="Segoe UI" w:hAnsi="Segoe UI" w:cs="Segoe UI"/>
          <w:rtl/>
          <w:lang w:val="en-ZW"/>
        </w:rPr>
      </w:pPr>
    </w:p>
    <w:p w14:paraId="13EA17BD" w14:textId="7D89E4CC" w:rsidR="009A5BDE" w:rsidRDefault="009A5BDE" w:rsidP="009A5BDE">
      <w:pPr>
        <w:bidi/>
        <w:spacing w:after="0" w:line="276" w:lineRule="auto"/>
        <w:jc w:val="both"/>
        <w:rPr>
          <w:rFonts w:ascii="Segoe UI" w:hAnsi="Segoe UI" w:cs="Segoe UI"/>
          <w:rtl/>
          <w:lang w:val="en-ZW"/>
        </w:rPr>
      </w:pPr>
    </w:p>
    <w:p w14:paraId="2E1B6C62" w14:textId="43BA1BBD" w:rsidR="009A5BDE" w:rsidRDefault="009A5BDE" w:rsidP="009A5BDE">
      <w:pPr>
        <w:bidi/>
        <w:spacing w:after="0" w:line="276" w:lineRule="auto"/>
        <w:jc w:val="both"/>
        <w:rPr>
          <w:rFonts w:ascii="Segoe UI" w:hAnsi="Segoe UI" w:cs="Segoe UI"/>
          <w:rtl/>
          <w:lang w:val="en-ZW"/>
        </w:rPr>
      </w:pPr>
    </w:p>
    <w:p w14:paraId="139AD82D" w14:textId="7FFCC563" w:rsidR="009A5BDE" w:rsidRDefault="009A5BDE" w:rsidP="009A5BDE">
      <w:pPr>
        <w:bidi/>
        <w:spacing w:after="0" w:line="276" w:lineRule="auto"/>
        <w:jc w:val="both"/>
        <w:rPr>
          <w:rFonts w:ascii="Segoe UI" w:hAnsi="Segoe UI" w:cs="Segoe UI"/>
          <w:rtl/>
          <w:lang w:val="en-ZW"/>
        </w:rPr>
      </w:pPr>
    </w:p>
    <w:p w14:paraId="4E25159D" w14:textId="2E2FECAE" w:rsidR="00CB5F8D" w:rsidRDefault="00CB5F8D" w:rsidP="00CB5F8D">
      <w:pPr>
        <w:bidi/>
        <w:spacing w:after="0" w:line="276" w:lineRule="auto"/>
        <w:jc w:val="both"/>
        <w:rPr>
          <w:rFonts w:ascii="Segoe UI" w:hAnsi="Segoe UI" w:cs="Segoe UI"/>
          <w:rtl/>
          <w:lang w:val="en-ZW"/>
        </w:rPr>
      </w:pPr>
    </w:p>
    <w:p w14:paraId="7F97ACCB" w14:textId="77777777" w:rsidR="004E26A9" w:rsidRDefault="004E26A9" w:rsidP="004E26A9">
      <w:pPr>
        <w:bidi/>
        <w:spacing w:after="0" w:line="276" w:lineRule="auto"/>
        <w:jc w:val="both"/>
        <w:rPr>
          <w:rFonts w:ascii="Segoe UI" w:hAnsi="Segoe UI" w:cs="Segoe UI"/>
          <w:rtl/>
          <w:lang w:val="en-ZW"/>
        </w:rPr>
      </w:pPr>
    </w:p>
    <w:p w14:paraId="77C11F87" w14:textId="0B1E8C5B" w:rsidR="00113776" w:rsidRPr="00295F65" w:rsidRDefault="00113776" w:rsidP="00BB5FC9">
      <w:pPr>
        <w:pStyle w:val="1"/>
        <w:rPr>
          <w:rtl/>
        </w:rPr>
      </w:pPr>
      <w:bookmarkStart w:id="4" w:name="_Toc108218173"/>
      <w:r w:rsidRPr="00295F65">
        <w:rPr>
          <w:rtl/>
        </w:rPr>
        <w:lastRenderedPageBreak/>
        <w:t>התפתחות הענישה</w:t>
      </w:r>
      <w:bookmarkEnd w:id="4"/>
    </w:p>
    <w:p w14:paraId="70688594" w14:textId="3F53BB69" w:rsidR="008D648C" w:rsidRPr="008D648C" w:rsidRDefault="008D648C" w:rsidP="008F05D0">
      <w:pPr>
        <w:pStyle w:val="2"/>
        <w:rPr>
          <w:lang w:val="en-US"/>
        </w:rPr>
      </w:pPr>
      <w:bookmarkStart w:id="5" w:name="_Toc108218174"/>
      <w:r w:rsidRPr="008D648C">
        <w:rPr>
          <w:rtl/>
        </w:rPr>
        <w:t>התפתחות הענישה - כללי</w:t>
      </w:r>
      <w:bookmarkEnd w:id="5"/>
    </w:p>
    <w:p w14:paraId="74D95FCB" w14:textId="77777777" w:rsidR="008D648C" w:rsidRPr="00872C59" w:rsidRDefault="008D648C" w:rsidP="008F05D0">
      <w:pPr>
        <w:bidi/>
        <w:spacing w:after="0" w:line="276" w:lineRule="auto"/>
        <w:jc w:val="both"/>
        <w:rPr>
          <w:rFonts w:ascii="Segoe UI" w:hAnsi="Segoe UI" w:cs="Segoe UI"/>
          <w:b/>
          <w:bCs/>
          <w:rtl/>
          <w:lang w:val="en-ZW"/>
        </w:rPr>
      </w:pPr>
      <w:r w:rsidRPr="00872C59">
        <w:rPr>
          <w:rFonts w:ascii="Segoe UI" w:hAnsi="Segoe UI" w:cs="Segoe UI"/>
          <w:b/>
          <w:bCs/>
          <w:rtl/>
          <w:lang w:val="en-ZW"/>
        </w:rPr>
        <w:t>המגמה הכללית היא מגמת מיתון בדין</w:t>
      </w:r>
    </w:p>
    <w:p w14:paraId="523CF7A4" w14:textId="77777777" w:rsidR="008D648C" w:rsidRPr="008D648C" w:rsidRDefault="008D648C" w:rsidP="008F05D0">
      <w:pPr>
        <w:numPr>
          <w:ilvl w:val="0"/>
          <w:numId w:val="18"/>
        </w:numPr>
        <w:bidi/>
        <w:spacing w:after="0" w:line="276" w:lineRule="auto"/>
        <w:ind w:left="723"/>
        <w:jc w:val="both"/>
        <w:rPr>
          <w:rFonts w:ascii="Segoe UI" w:hAnsi="Segoe UI" w:cs="Segoe UI"/>
          <w:rtl/>
          <w:lang w:val="en-ZW"/>
        </w:rPr>
      </w:pPr>
      <w:r w:rsidRPr="008D648C">
        <w:rPr>
          <w:rFonts w:ascii="Segoe UI" w:hAnsi="Segoe UI" w:cs="Segoe UI"/>
          <w:rtl/>
          <w:lang w:val="en-ZW"/>
        </w:rPr>
        <w:t>בעולם העתיק - עונשי מוות ועונשי ממון דרסטיים היו העונשים הנפוצים על רוב העבירות.</w:t>
      </w:r>
    </w:p>
    <w:p w14:paraId="07F52307" w14:textId="77777777" w:rsidR="008D648C" w:rsidRPr="008D648C" w:rsidRDefault="008D648C" w:rsidP="008F05D0">
      <w:pPr>
        <w:numPr>
          <w:ilvl w:val="0"/>
          <w:numId w:val="18"/>
        </w:numPr>
        <w:bidi/>
        <w:spacing w:after="0" w:line="276" w:lineRule="auto"/>
        <w:ind w:left="723"/>
        <w:jc w:val="both"/>
        <w:rPr>
          <w:rFonts w:ascii="Segoe UI" w:hAnsi="Segoe UI" w:cs="Segoe UI"/>
          <w:rtl/>
          <w:lang w:val="en-ZW"/>
        </w:rPr>
      </w:pPr>
      <w:r w:rsidRPr="008D648C">
        <w:rPr>
          <w:rFonts w:ascii="Segoe UI" w:hAnsi="Segoe UI" w:cs="Segoe UI"/>
          <w:rtl/>
          <w:lang w:val="en-ZW"/>
        </w:rPr>
        <w:t>ימי הביניים - עונשים פיזיים ועונשי קלון</w:t>
      </w:r>
    </w:p>
    <w:p w14:paraId="624D6BDA" w14:textId="77777777" w:rsidR="008D648C" w:rsidRPr="008D648C" w:rsidRDefault="008D648C" w:rsidP="008F05D0">
      <w:pPr>
        <w:numPr>
          <w:ilvl w:val="0"/>
          <w:numId w:val="18"/>
        </w:numPr>
        <w:bidi/>
        <w:spacing w:after="0" w:line="276" w:lineRule="auto"/>
        <w:ind w:left="723"/>
        <w:jc w:val="both"/>
        <w:rPr>
          <w:rFonts w:ascii="Segoe UI" w:hAnsi="Segoe UI" w:cs="Segoe UI"/>
          <w:rtl/>
          <w:lang w:val="en-ZW"/>
        </w:rPr>
      </w:pPr>
      <w:r w:rsidRPr="008D648C">
        <w:rPr>
          <w:rFonts w:ascii="Segoe UI" w:hAnsi="Segoe UI" w:cs="Segoe UI"/>
          <w:rtl/>
          <w:lang w:val="en-ZW"/>
        </w:rPr>
        <w:t xml:space="preserve">החל מהמאה השמונה עשרה (תקופה של הומניות) - גברה הדרישה לעונשים </w:t>
      </w:r>
      <w:r w:rsidRPr="008D648C">
        <w:rPr>
          <w:rFonts w:ascii="Segoe UI" w:hAnsi="Segoe UI" w:cs="Segoe UI"/>
          <w:u w:val="single"/>
          <w:rtl/>
          <w:lang w:val="en-ZW"/>
        </w:rPr>
        <w:t>הומניים</w:t>
      </w:r>
      <w:r w:rsidRPr="008D648C">
        <w:rPr>
          <w:rFonts w:ascii="Segoe UI" w:hAnsi="Segoe UI" w:cs="Segoe UI"/>
          <w:rtl/>
          <w:lang w:val="en-ZW"/>
        </w:rPr>
        <w:t xml:space="preserve"> - מאסרים, קנס.</w:t>
      </w:r>
    </w:p>
    <w:p w14:paraId="4F2F7FC2" w14:textId="3C322BFF" w:rsidR="008D648C" w:rsidRPr="008126CD" w:rsidRDefault="008D648C" w:rsidP="008F05D0">
      <w:pPr>
        <w:numPr>
          <w:ilvl w:val="0"/>
          <w:numId w:val="18"/>
        </w:numPr>
        <w:bidi/>
        <w:spacing w:after="0" w:line="276" w:lineRule="auto"/>
        <w:ind w:left="723"/>
        <w:jc w:val="both"/>
        <w:rPr>
          <w:rFonts w:ascii="Segoe UI" w:hAnsi="Segoe UI" w:cs="Segoe UI"/>
          <w:lang w:val="en-ZW"/>
        </w:rPr>
      </w:pPr>
      <w:r w:rsidRPr="008D648C">
        <w:rPr>
          <w:rFonts w:ascii="Segoe UI" w:hAnsi="Segoe UI" w:cs="Segoe UI"/>
          <w:rtl/>
          <w:lang w:val="en-ZW"/>
        </w:rPr>
        <w:t>השימוש בעונשים חמורים היה רווח בתקופה שבה היה פער</w:t>
      </w:r>
      <w:r w:rsidR="006C7CE7">
        <w:rPr>
          <w:rFonts w:ascii="Segoe UI" w:hAnsi="Segoe UI" w:cs="Segoe UI" w:hint="cs"/>
          <w:rtl/>
          <w:lang w:val="en-ZW"/>
        </w:rPr>
        <w:t xml:space="preserve"> </w:t>
      </w:r>
      <w:r w:rsidRPr="008D648C">
        <w:rPr>
          <w:rFonts w:ascii="Segoe UI" w:hAnsi="Segoe UI" w:cs="Segoe UI"/>
          <w:rtl/>
          <w:lang w:val="en-ZW"/>
        </w:rPr>
        <w:t>בין המעמד של השופטים למעמד של העבריינים והשינוי התחולל כאשר הפערים החלו להצטמצם. הסבל של הנענשים הפך להיות קרוב יותר "לל</w:t>
      </w:r>
      <w:r>
        <w:rPr>
          <w:rFonts w:ascii="Segoe UI" w:hAnsi="Segoe UI" w:cs="Segoe UI" w:hint="cs"/>
          <w:rtl/>
          <w:lang w:val="en-ZW"/>
        </w:rPr>
        <w:t>י</w:t>
      </w:r>
      <w:r w:rsidRPr="008D648C">
        <w:rPr>
          <w:rFonts w:ascii="Segoe UI" w:hAnsi="Segoe UI" w:cs="Segoe UI"/>
          <w:rtl/>
          <w:lang w:val="en-ZW"/>
        </w:rPr>
        <w:t>בם" של המענישים.</w:t>
      </w:r>
      <w:r w:rsidR="008126CD">
        <w:rPr>
          <w:rFonts w:ascii="Segoe UI" w:hAnsi="Segoe UI" w:cs="Segoe UI" w:hint="cs"/>
          <w:rtl/>
          <w:lang w:val="en-ZW"/>
        </w:rPr>
        <w:t xml:space="preserve"> </w:t>
      </w:r>
      <w:r w:rsidR="008126CD">
        <w:rPr>
          <w:rFonts w:ascii="Segoe UI" w:hAnsi="Segoe UI" w:cs="Segoe UI" w:hint="cs"/>
          <w:color w:val="7030A0"/>
          <w:rtl/>
          <w:lang w:val="en-ZW"/>
        </w:rPr>
        <w:t>הקרבה הרעיונית בין השופט לבין הנאשם מובילה לסוג של הזדהות עם הנאשם. פעם השופטים היו לדוג' קיסר וכו'.</w:t>
      </w:r>
    </w:p>
    <w:p w14:paraId="529CC270" w14:textId="6F1BD471" w:rsidR="008D648C" w:rsidRPr="008D648C" w:rsidRDefault="007A42AE" w:rsidP="008F05D0">
      <w:pPr>
        <w:numPr>
          <w:ilvl w:val="0"/>
          <w:numId w:val="18"/>
        </w:numPr>
        <w:bidi/>
        <w:spacing w:after="0" w:line="276" w:lineRule="auto"/>
        <w:ind w:left="723"/>
        <w:jc w:val="both"/>
        <w:rPr>
          <w:rFonts w:ascii="Segoe UI" w:hAnsi="Segoe UI" w:cs="Segoe UI"/>
          <w:rtl/>
          <w:lang w:val="en-ZW"/>
        </w:rPr>
      </w:pPr>
      <w:r>
        <w:rPr>
          <w:rFonts w:ascii="Segoe UI" w:hAnsi="Segoe UI" w:cs="Segoe UI" w:hint="cs"/>
          <w:color w:val="7030A0"/>
          <w:rtl/>
          <w:lang w:val="en-ZW"/>
        </w:rPr>
        <w:t>אחת מן</w:t>
      </w:r>
      <w:r w:rsidR="007C652D">
        <w:rPr>
          <w:rFonts w:ascii="Segoe UI" w:hAnsi="Segoe UI" w:cs="Segoe UI" w:hint="cs"/>
          <w:color w:val="7030A0"/>
          <w:rtl/>
          <w:lang w:val="en-ZW"/>
        </w:rPr>
        <w:t xml:space="preserve"> מהטענות ל</w:t>
      </w:r>
      <w:r>
        <w:rPr>
          <w:rFonts w:ascii="Segoe UI" w:hAnsi="Segoe UI" w:cs="Segoe UI" w:hint="cs"/>
          <w:color w:val="7030A0"/>
          <w:rtl/>
          <w:lang w:val="en-ZW"/>
        </w:rPr>
        <w:t>שאלה מדוע</w:t>
      </w:r>
      <w:r w:rsidR="007C652D">
        <w:rPr>
          <w:rFonts w:ascii="Segoe UI" w:hAnsi="Segoe UI" w:cs="Segoe UI" w:hint="cs"/>
          <w:color w:val="7030A0"/>
          <w:rtl/>
          <w:lang w:val="en-ZW"/>
        </w:rPr>
        <w:t xml:space="preserve"> אנשי צווארון לבן מקבלים 'הנחה' בעונש</w:t>
      </w:r>
      <w:r>
        <w:rPr>
          <w:rFonts w:ascii="Segoe UI" w:hAnsi="Segoe UI" w:cs="Segoe UI" w:hint="cs"/>
          <w:color w:val="7030A0"/>
          <w:rtl/>
          <w:lang w:val="en-ZW"/>
        </w:rPr>
        <w:t xml:space="preserve"> היא </w:t>
      </w:r>
      <w:r w:rsidR="007C652D">
        <w:rPr>
          <w:rFonts w:ascii="Segoe UI" w:hAnsi="Segoe UI" w:cs="Segoe UI" w:hint="cs"/>
          <w:color w:val="7030A0"/>
          <w:rtl/>
          <w:lang w:val="en-ZW"/>
        </w:rPr>
        <w:t>כי השופטים רואים אותם כאנשים שדומים להם והשופטים מפתחים כלפיהם סימפטיה</w:t>
      </w:r>
      <w:r>
        <w:rPr>
          <w:rFonts w:ascii="Segoe UI" w:hAnsi="Segoe UI" w:cs="Segoe UI" w:hint="cs"/>
          <w:color w:val="7030A0"/>
          <w:rtl/>
          <w:lang w:val="en-ZW"/>
        </w:rPr>
        <w:t xml:space="preserve"> [במעמד שלהם, יש להם גם תיקי השקעות וכו'].</w:t>
      </w:r>
    </w:p>
    <w:p w14:paraId="215F61AF" w14:textId="2D630405" w:rsidR="00113776" w:rsidRDefault="00113776" w:rsidP="008F05D0">
      <w:pPr>
        <w:bidi/>
        <w:spacing w:after="0" w:line="276" w:lineRule="auto"/>
        <w:jc w:val="both"/>
        <w:rPr>
          <w:rFonts w:ascii="Segoe UI" w:hAnsi="Segoe UI" w:cs="Segoe UI"/>
          <w:rtl/>
          <w:lang w:val="en-ZW"/>
        </w:rPr>
      </w:pPr>
    </w:p>
    <w:p w14:paraId="580A08AC" w14:textId="502B637D" w:rsidR="00D04F19" w:rsidRPr="00914FC0" w:rsidRDefault="00D04F19" w:rsidP="008F05D0">
      <w:pPr>
        <w:pStyle w:val="110"/>
        <w:spacing w:line="276" w:lineRule="auto"/>
      </w:pPr>
      <w:r w:rsidRPr="00914FC0">
        <w:rPr>
          <w:rtl/>
        </w:rPr>
        <w:t>מי מעניש?</w:t>
      </w:r>
    </w:p>
    <w:p w14:paraId="37587F68" w14:textId="374293F2" w:rsidR="00D04F19" w:rsidRPr="00D04F19" w:rsidRDefault="00D04F19" w:rsidP="008F05D0">
      <w:pPr>
        <w:numPr>
          <w:ilvl w:val="0"/>
          <w:numId w:val="19"/>
        </w:numPr>
        <w:bidi/>
        <w:spacing w:after="0" w:line="276" w:lineRule="auto"/>
        <w:ind w:left="723"/>
        <w:jc w:val="both"/>
        <w:rPr>
          <w:rFonts w:ascii="Segoe UI" w:hAnsi="Segoe UI" w:cs="Segoe UI"/>
          <w:rtl/>
          <w:lang w:val="en-ZW"/>
        </w:rPr>
      </w:pPr>
      <w:r w:rsidRPr="00D04F19">
        <w:rPr>
          <w:rFonts w:ascii="Segoe UI" w:hAnsi="Segoe UI" w:cs="Segoe UI"/>
          <w:rtl/>
          <w:lang w:val="en-ZW"/>
        </w:rPr>
        <w:t xml:space="preserve">בעולם העתיק שרר העיקרון של עשיית דין עצמי - </w:t>
      </w:r>
      <w:r w:rsidRPr="00D04F19">
        <w:rPr>
          <w:rFonts w:ascii="Segoe UI" w:hAnsi="Segoe UI" w:cs="Segoe UI"/>
          <w:u w:val="single"/>
          <w:rtl/>
          <w:lang w:val="en-ZW"/>
        </w:rPr>
        <w:t xml:space="preserve">ענישה פרטית </w:t>
      </w:r>
      <w:r w:rsidRPr="00D04F19">
        <w:rPr>
          <w:rFonts w:ascii="Segoe UI" w:hAnsi="Segoe UI" w:cs="Segoe UI"/>
          <w:rtl/>
          <w:lang w:val="en-ZW"/>
        </w:rPr>
        <w:t xml:space="preserve">(יהודה הוציא להורג את כלתו תמר). </w:t>
      </w:r>
    </w:p>
    <w:p w14:paraId="591C892E" w14:textId="77777777" w:rsidR="00D04F19" w:rsidRPr="00D04F19" w:rsidRDefault="00D04F19" w:rsidP="008F05D0">
      <w:pPr>
        <w:numPr>
          <w:ilvl w:val="0"/>
          <w:numId w:val="19"/>
        </w:numPr>
        <w:bidi/>
        <w:spacing w:after="0" w:line="276" w:lineRule="auto"/>
        <w:ind w:left="723"/>
        <w:jc w:val="both"/>
        <w:rPr>
          <w:rFonts w:ascii="Segoe UI" w:hAnsi="Segoe UI" w:cs="Segoe UI"/>
          <w:rtl/>
          <w:lang w:val="en-ZW"/>
        </w:rPr>
      </w:pPr>
      <w:r w:rsidRPr="00D04F19">
        <w:rPr>
          <w:rFonts w:ascii="Segoe UI" w:hAnsi="Segoe UI" w:cs="Segoe UI"/>
          <w:rtl/>
          <w:lang w:val="en-ZW"/>
        </w:rPr>
        <w:t>ענישה פרטית הייתה מקובלת גם בימי הביניים בתחום של עבירות מין. אישה שנאפה - ההחלטה לגבי העונש היה מסור לבעלה.</w:t>
      </w:r>
    </w:p>
    <w:p w14:paraId="36C77FBB" w14:textId="77777777" w:rsidR="00D04F19" w:rsidRPr="00D04F19" w:rsidRDefault="00D04F19" w:rsidP="008F05D0">
      <w:pPr>
        <w:numPr>
          <w:ilvl w:val="0"/>
          <w:numId w:val="19"/>
        </w:numPr>
        <w:bidi/>
        <w:spacing w:after="0" w:line="276" w:lineRule="auto"/>
        <w:ind w:left="723"/>
        <w:jc w:val="both"/>
        <w:rPr>
          <w:rFonts w:ascii="Segoe UI" w:hAnsi="Segoe UI" w:cs="Segoe UI"/>
          <w:rtl/>
          <w:lang w:val="en-ZW"/>
        </w:rPr>
      </w:pPr>
      <w:r w:rsidRPr="00D04F19">
        <w:rPr>
          <w:rFonts w:ascii="Segoe UI" w:hAnsi="Segoe UI" w:cs="Segoe UI"/>
          <w:rtl/>
          <w:lang w:val="en-ZW"/>
        </w:rPr>
        <w:t xml:space="preserve">נקמת הדם (קיים גם היום באוכלוסיות מסוימות) הוא שריד של הענישה הפרטית. </w:t>
      </w:r>
    </w:p>
    <w:p w14:paraId="28F353CA" w14:textId="1BAB79D7" w:rsidR="00D04F19" w:rsidRPr="002F4620" w:rsidRDefault="00D04F19" w:rsidP="008F05D0">
      <w:pPr>
        <w:numPr>
          <w:ilvl w:val="0"/>
          <w:numId w:val="19"/>
        </w:numPr>
        <w:bidi/>
        <w:spacing w:after="0" w:line="276" w:lineRule="auto"/>
        <w:ind w:left="723"/>
        <w:jc w:val="both"/>
        <w:rPr>
          <w:rFonts w:ascii="Segoe UI" w:hAnsi="Segoe UI" w:cs="Segoe UI"/>
          <w:color w:val="7030A0"/>
          <w:lang w:val="en-ZW"/>
        </w:rPr>
      </w:pPr>
      <w:r w:rsidRPr="00D04F19">
        <w:rPr>
          <w:rFonts w:ascii="Segoe UI" w:hAnsi="Segoe UI" w:cs="Segoe UI"/>
          <w:rtl/>
          <w:lang w:val="en-ZW"/>
        </w:rPr>
        <w:t xml:space="preserve">בעבר - </w:t>
      </w:r>
      <w:r w:rsidRPr="00D04F19">
        <w:rPr>
          <w:rFonts w:ascii="Segoe UI" w:hAnsi="Segoe UI" w:cs="Segoe UI"/>
          <w:u w:val="single"/>
          <w:rtl/>
          <w:lang w:val="en-ZW"/>
        </w:rPr>
        <w:t>ענישה של קרובי המשפחה</w:t>
      </w:r>
      <w:r w:rsidRPr="00D04F19">
        <w:rPr>
          <w:rFonts w:ascii="Segoe UI" w:hAnsi="Segoe UI" w:cs="Segoe UI"/>
          <w:rtl/>
          <w:lang w:val="en-ZW"/>
        </w:rPr>
        <w:t xml:space="preserve"> (לדוג': החרמת הרכוש של בוגדים)</w:t>
      </w:r>
      <w:r w:rsidR="002F4620">
        <w:rPr>
          <w:rFonts w:ascii="Segoe UI" w:hAnsi="Segoe UI" w:cs="Segoe UI" w:hint="cs"/>
          <w:rtl/>
          <w:lang w:val="en-ZW"/>
        </w:rPr>
        <w:t xml:space="preserve">; </w:t>
      </w:r>
      <w:r w:rsidR="002F4620" w:rsidRPr="002F4620">
        <w:rPr>
          <w:rFonts w:ascii="Segoe UI" w:hAnsi="Segoe UI" w:cs="Segoe UI" w:hint="cs"/>
          <w:color w:val="7030A0"/>
          <w:rtl/>
          <w:lang w:val="en-ZW"/>
        </w:rPr>
        <w:t xml:space="preserve">(דוג' בימינו </w:t>
      </w:r>
      <w:r w:rsidR="002F4620" w:rsidRPr="002F4620">
        <w:rPr>
          <w:rFonts w:ascii="Segoe UI" w:hAnsi="Segoe UI" w:cs="Segoe UI"/>
          <w:color w:val="7030A0"/>
          <w:rtl/>
          <w:lang w:val="en-ZW"/>
        </w:rPr>
        <w:t>–</w:t>
      </w:r>
      <w:r w:rsidR="002F4620" w:rsidRPr="002F4620">
        <w:rPr>
          <w:rFonts w:ascii="Segoe UI" w:hAnsi="Segoe UI" w:cs="Segoe UI" w:hint="cs"/>
          <w:color w:val="7030A0"/>
          <w:rtl/>
          <w:lang w:val="en-ZW"/>
        </w:rPr>
        <w:t xml:space="preserve"> הריסת בתי מחבלים).</w:t>
      </w:r>
    </w:p>
    <w:p w14:paraId="67383D08" w14:textId="1B39EB2E" w:rsidR="00D04F19" w:rsidRPr="00D04F19" w:rsidRDefault="001E48FC" w:rsidP="008F05D0">
      <w:pPr>
        <w:numPr>
          <w:ilvl w:val="0"/>
          <w:numId w:val="19"/>
        </w:numPr>
        <w:bidi/>
        <w:spacing w:after="0" w:line="276" w:lineRule="auto"/>
        <w:ind w:left="723"/>
        <w:jc w:val="both"/>
        <w:rPr>
          <w:rFonts w:ascii="Segoe UI" w:hAnsi="Segoe UI" w:cs="Segoe UI"/>
          <w:rtl/>
          <w:lang w:val="en-ZW"/>
        </w:rPr>
      </w:pPr>
      <w:r>
        <w:rPr>
          <w:rFonts w:ascii="Segoe UI" w:hAnsi="Segoe UI" w:cs="Segoe UI" w:hint="cs"/>
          <w:color w:val="7030A0"/>
          <w:rtl/>
          <w:lang w:val="en-ZW"/>
        </w:rPr>
        <w:t xml:space="preserve">מקובל להגיד שענישה פרטית זה משהו ששייך לפעם אבל זה לא כזה נכון כי זה קיים גם כיום </w:t>
      </w:r>
      <w:r>
        <w:rPr>
          <w:rFonts w:ascii="Segoe UI" w:hAnsi="Segoe UI" w:cs="Segoe UI"/>
          <w:color w:val="7030A0"/>
          <w:rtl/>
          <w:lang w:val="en-ZW"/>
        </w:rPr>
        <w:t>–</w:t>
      </w:r>
      <w:r>
        <w:rPr>
          <w:rFonts w:ascii="Segoe UI" w:hAnsi="Segoe UI" w:cs="Segoe UI" w:hint="cs"/>
          <w:color w:val="7030A0"/>
          <w:rtl/>
          <w:lang w:val="en-ZW"/>
        </w:rPr>
        <w:t xml:space="preserve"> אנשים פרטיים לוקחים את הדין לידיים שלהם ומיישמים את </w:t>
      </w:r>
      <w:r w:rsidR="00FE0B8A">
        <w:rPr>
          <w:rFonts w:ascii="Segoe UI" w:hAnsi="Segoe UI" w:cs="Segoe UI" w:hint="cs"/>
          <w:color w:val="7030A0"/>
          <w:rtl/>
          <w:lang w:val="en-ZW"/>
        </w:rPr>
        <w:t xml:space="preserve">הענישה שלהם. </w:t>
      </w:r>
    </w:p>
    <w:p w14:paraId="4A9E0AE2" w14:textId="4ECE2C32" w:rsidR="00D04F19" w:rsidRDefault="00D04F19" w:rsidP="008F05D0">
      <w:pPr>
        <w:bidi/>
        <w:spacing w:after="0" w:line="276" w:lineRule="auto"/>
        <w:jc w:val="both"/>
        <w:rPr>
          <w:rFonts w:ascii="Segoe UI" w:hAnsi="Segoe UI" w:cs="Segoe UI"/>
          <w:rtl/>
          <w:lang w:val="en-ZW"/>
        </w:rPr>
      </w:pPr>
    </w:p>
    <w:p w14:paraId="1D6C373F" w14:textId="1ADD1C9D" w:rsidR="00497E9F" w:rsidRPr="00497E9F" w:rsidRDefault="00497E9F" w:rsidP="008F05D0">
      <w:pPr>
        <w:pStyle w:val="110"/>
        <w:spacing w:line="276" w:lineRule="auto"/>
      </w:pPr>
      <w:r w:rsidRPr="00497E9F">
        <w:rPr>
          <w:rtl/>
        </w:rPr>
        <w:t>התפתחות הענישה והשפעתה על נפגעי/</w:t>
      </w:r>
      <w:proofErr w:type="spellStart"/>
      <w:r w:rsidRPr="00497E9F">
        <w:rPr>
          <w:rtl/>
        </w:rPr>
        <w:t>ות</w:t>
      </w:r>
      <w:proofErr w:type="spellEnd"/>
      <w:r w:rsidRPr="00497E9F">
        <w:rPr>
          <w:rtl/>
        </w:rPr>
        <w:t xml:space="preserve"> העבירה</w:t>
      </w:r>
    </w:p>
    <w:p w14:paraId="5B90285A" w14:textId="77777777" w:rsidR="00497E9F" w:rsidRPr="00497E9F" w:rsidRDefault="00497E9F" w:rsidP="008F05D0">
      <w:pPr>
        <w:numPr>
          <w:ilvl w:val="0"/>
          <w:numId w:val="20"/>
        </w:numPr>
        <w:bidi/>
        <w:spacing w:after="0" w:line="276" w:lineRule="auto"/>
        <w:jc w:val="both"/>
        <w:rPr>
          <w:rFonts w:ascii="Segoe UI" w:hAnsi="Segoe UI" w:cs="Segoe UI"/>
          <w:rtl/>
          <w:lang w:val="en-ZW"/>
        </w:rPr>
      </w:pPr>
      <w:r w:rsidRPr="00497E9F">
        <w:rPr>
          <w:rFonts w:ascii="Segoe UI" w:hAnsi="Segoe UI" w:cs="Segoe UI"/>
          <w:rtl/>
          <w:lang w:val="en-ZW"/>
        </w:rPr>
        <w:t xml:space="preserve">בשבטים פרימיטיביים, המשפט הפלילי היה חלק מהמשפט הפרטי.  </w:t>
      </w:r>
    </w:p>
    <w:p w14:paraId="4468F4F0" w14:textId="77777777" w:rsidR="00497E9F" w:rsidRPr="00497E9F" w:rsidRDefault="00497E9F" w:rsidP="008F05D0">
      <w:pPr>
        <w:numPr>
          <w:ilvl w:val="0"/>
          <w:numId w:val="20"/>
        </w:numPr>
        <w:bidi/>
        <w:spacing w:after="0" w:line="276" w:lineRule="auto"/>
        <w:jc w:val="both"/>
        <w:rPr>
          <w:rFonts w:ascii="Segoe UI" w:hAnsi="Segoe UI" w:cs="Segoe UI"/>
          <w:rtl/>
          <w:lang w:val="en-ZW"/>
        </w:rPr>
      </w:pPr>
      <w:r w:rsidRPr="00497E9F">
        <w:rPr>
          <w:rFonts w:ascii="Segoe UI" w:hAnsi="Segoe UI" w:cs="Segoe UI"/>
          <w:rtl/>
          <w:lang w:val="en-ZW"/>
        </w:rPr>
        <w:t xml:space="preserve">לפני תקומתו של המלך, הסכסוכים הפליליים נדונו בין משפחת הנפגע למשפחת הפוגע.  </w:t>
      </w:r>
    </w:p>
    <w:p w14:paraId="098978C7" w14:textId="77777777" w:rsidR="00497E9F" w:rsidRPr="00497E9F" w:rsidRDefault="00497E9F" w:rsidP="008F05D0">
      <w:pPr>
        <w:numPr>
          <w:ilvl w:val="0"/>
          <w:numId w:val="20"/>
        </w:numPr>
        <w:bidi/>
        <w:spacing w:after="0" w:line="276" w:lineRule="auto"/>
        <w:jc w:val="both"/>
        <w:rPr>
          <w:rFonts w:ascii="Segoe UI" w:hAnsi="Segoe UI" w:cs="Segoe UI"/>
          <w:rtl/>
          <w:lang w:val="en-ZW"/>
        </w:rPr>
      </w:pPr>
      <w:r w:rsidRPr="00497E9F">
        <w:rPr>
          <w:rFonts w:ascii="Segoe UI" w:hAnsi="Segoe UI" w:cs="Segoe UI"/>
          <w:rtl/>
          <w:lang w:val="en-ZW"/>
        </w:rPr>
        <w:t>ניסו לשכנע את הנתינים שלא לקחת את החוק לידיים: תחילה, באמצעות החלפת מוסד נקמת הדם בתביעה פרטית ולאחר מכן בהחלפתה בציבורית.</w:t>
      </w:r>
    </w:p>
    <w:p w14:paraId="39233D5C" w14:textId="77777777" w:rsidR="00CE64E2" w:rsidRDefault="00497E9F" w:rsidP="008F05D0">
      <w:pPr>
        <w:numPr>
          <w:ilvl w:val="0"/>
          <w:numId w:val="20"/>
        </w:numPr>
        <w:bidi/>
        <w:spacing w:after="0" w:line="276" w:lineRule="auto"/>
        <w:jc w:val="both"/>
        <w:rPr>
          <w:rFonts w:ascii="Segoe UI" w:hAnsi="Segoe UI" w:cs="Segoe UI"/>
          <w:lang w:val="en-ZW"/>
        </w:rPr>
      </w:pPr>
      <w:r w:rsidRPr="00497E9F">
        <w:rPr>
          <w:rFonts w:ascii="Segoe UI" w:hAnsi="Segoe UI" w:cs="Segoe UI"/>
          <w:rtl/>
          <w:lang w:val="en-ZW"/>
        </w:rPr>
        <w:t xml:space="preserve"> עם עליית קרנה של המדינה הריבונית, עברה בהדרגה האחריות </w:t>
      </w:r>
      <w:r w:rsidRPr="00497E9F">
        <w:rPr>
          <w:rFonts w:ascii="Segoe UI" w:hAnsi="Segoe UI" w:cs="Segoe UI"/>
          <w:u w:val="single"/>
          <w:rtl/>
          <w:lang w:val="en-ZW"/>
        </w:rPr>
        <w:t>לידי רשויות אכיפת החוק</w:t>
      </w:r>
    </w:p>
    <w:p w14:paraId="74706AB5" w14:textId="77777777" w:rsidR="00CE64E2" w:rsidRDefault="00CE64E2" w:rsidP="008F05D0">
      <w:pPr>
        <w:numPr>
          <w:ilvl w:val="0"/>
          <w:numId w:val="20"/>
        </w:numPr>
        <w:bidi/>
        <w:spacing w:after="0" w:line="276" w:lineRule="auto"/>
        <w:jc w:val="both"/>
        <w:rPr>
          <w:rFonts w:ascii="Segoe UI" w:hAnsi="Segoe UI" w:cs="Segoe UI"/>
          <w:lang w:val="en-ZW"/>
        </w:rPr>
      </w:pPr>
      <w:r w:rsidRPr="00CE64E2">
        <w:rPr>
          <w:rFonts w:ascii="Segoe UI" w:hAnsi="Segoe UI" w:cs="Segoe UI"/>
          <w:rtl/>
          <w:lang w:val="en-ZW"/>
        </w:rPr>
        <w:t xml:space="preserve">נפגעי העבירה הורחקו ממרכז הבמה של ההליך הפלילי והם נותרו ללא מעמד פורמלי.  </w:t>
      </w:r>
    </w:p>
    <w:p w14:paraId="118E393F" w14:textId="77777777" w:rsidR="00A60F46" w:rsidRDefault="00CE64E2" w:rsidP="008F05D0">
      <w:pPr>
        <w:numPr>
          <w:ilvl w:val="0"/>
          <w:numId w:val="20"/>
        </w:numPr>
        <w:bidi/>
        <w:spacing w:after="0" w:line="276" w:lineRule="auto"/>
        <w:jc w:val="both"/>
        <w:rPr>
          <w:rFonts w:ascii="Segoe UI" w:hAnsi="Segoe UI" w:cs="Segoe UI"/>
          <w:lang w:val="en-ZW"/>
        </w:rPr>
      </w:pPr>
      <w:r w:rsidRPr="00CE64E2">
        <w:rPr>
          <w:rFonts w:ascii="Segoe UI" w:hAnsi="Segoe UI" w:cs="Segoe UI"/>
          <w:rtl/>
          <w:lang w:val="en-ZW"/>
        </w:rPr>
        <w:t>לא רק שמעמדם בהליך נלקח מהם אלא במקרים רבים אפילו חובת הפיצויים הומרה בגביית תשלום לריבון, ולא לנפגעים.  (או לכנסייה).</w:t>
      </w:r>
    </w:p>
    <w:p w14:paraId="049B7E0B" w14:textId="77777777" w:rsidR="00A60F46" w:rsidRDefault="00A60F46" w:rsidP="008F05D0">
      <w:pPr>
        <w:numPr>
          <w:ilvl w:val="0"/>
          <w:numId w:val="20"/>
        </w:numPr>
        <w:bidi/>
        <w:spacing w:after="0" w:line="276" w:lineRule="auto"/>
        <w:jc w:val="both"/>
        <w:rPr>
          <w:rFonts w:ascii="Segoe UI" w:hAnsi="Segoe UI" w:cs="Segoe UI"/>
          <w:lang w:val="en-ZW"/>
        </w:rPr>
      </w:pPr>
      <w:r w:rsidRPr="00A60F46">
        <w:rPr>
          <w:rFonts w:ascii="Segoe UI" w:hAnsi="Segoe UI" w:cs="Segoe UI"/>
          <w:rtl/>
          <w:lang w:val="en-ZW"/>
        </w:rPr>
        <w:t>בתהליך הדרגתי, המדינה הריבונית הלאימה את הפגיעה בקורבן, השתלטה על ההליך הפלילי, והדירה את הנפגעים.</w:t>
      </w:r>
    </w:p>
    <w:p w14:paraId="00BD10DC" w14:textId="7751CA8F" w:rsidR="004A169B" w:rsidRPr="004A169B" w:rsidRDefault="00A60F46" w:rsidP="008F05D0">
      <w:pPr>
        <w:numPr>
          <w:ilvl w:val="0"/>
          <w:numId w:val="20"/>
        </w:numPr>
        <w:bidi/>
        <w:spacing w:after="0" w:line="276" w:lineRule="auto"/>
        <w:jc w:val="both"/>
        <w:rPr>
          <w:rFonts w:ascii="Segoe UI" w:hAnsi="Segoe UI" w:cs="Segoe UI"/>
          <w:lang w:val="en-ZW"/>
        </w:rPr>
      </w:pPr>
      <w:r w:rsidRPr="00A60F46">
        <w:rPr>
          <w:rFonts w:ascii="Segoe UI" w:hAnsi="Segoe UI" w:cs="Segoe UI"/>
          <w:rtl/>
          <w:lang w:val="en-ZW"/>
        </w:rPr>
        <w:t>כתוצאה, נחלש מעמדם של נפגעי העבירה ותפקידם הצטמצם למסירת תלונה ולעדות בבית המשפט.</w:t>
      </w:r>
      <w:r w:rsidR="004A169B">
        <w:rPr>
          <w:rFonts w:ascii="Segoe UI" w:hAnsi="Segoe UI" w:cs="Segoe UI" w:hint="cs"/>
          <w:rtl/>
          <w:lang w:val="en-ZW"/>
        </w:rPr>
        <w:t xml:space="preserve"> </w:t>
      </w:r>
    </w:p>
    <w:p w14:paraId="7C28BC51" w14:textId="41CD64B0" w:rsidR="00A60F46" w:rsidRDefault="00A60F46" w:rsidP="008F05D0">
      <w:pPr>
        <w:bidi/>
        <w:spacing w:after="0" w:line="276" w:lineRule="auto"/>
        <w:jc w:val="both"/>
        <w:rPr>
          <w:rFonts w:ascii="Segoe UI" w:hAnsi="Segoe UI" w:cs="Segoe UI"/>
          <w:rtl/>
          <w:lang w:val="en-ZW"/>
        </w:rPr>
      </w:pPr>
    </w:p>
    <w:p w14:paraId="4125ED19" w14:textId="491B78B2" w:rsidR="00A60F46" w:rsidRPr="00872C59" w:rsidRDefault="00A60F46" w:rsidP="008F05D0">
      <w:pPr>
        <w:pStyle w:val="110"/>
        <w:spacing w:line="276" w:lineRule="auto"/>
      </w:pPr>
      <w:r w:rsidRPr="00872C59">
        <w:rPr>
          <w:rtl/>
        </w:rPr>
        <w:t>התפתחות הענישה - כללי</w:t>
      </w:r>
    </w:p>
    <w:p w14:paraId="67059EAA" w14:textId="66AFEA59" w:rsidR="00A60F46" w:rsidRPr="00A60F46" w:rsidRDefault="00A60F46" w:rsidP="008F05D0">
      <w:pPr>
        <w:numPr>
          <w:ilvl w:val="0"/>
          <w:numId w:val="21"/>
        </w:numPr>
        <w:bidi/>
        <w:spacing w:after="0" w:line="276" w:lineRule="auto"/>
        <w:jc w:val="both"/>
        <w:rPr>
          <w:rFonts w:ascii="Segoe UI" w:hAnsi="Segoe UI" w:cs="Segoe UI"/>
          <w:rtl/>
          <w:lang w:val="en-ZW"/>
        </w:rPr>
      </w:pPr>
      <w:r w:rsidRPr="00A60F46">
        <w:rPr>
          <w:rFonts w:ascii="Segoe UI" w:hAnsi="Segoe UI" w:cs="Segoe UI"/>
          <w:rtl/>
          <w:lang w:val="en-ZW"/>
        </w:rPr>
        <w:t>במאה ה-18 הגיעו נוהגי הענישה לשיא חומרתם ואכזריות</w:t>
      </w:r>
      <w:r w:rsidR="004F6423">
        <w:rPr>
          <w:rFonts w:ascii="Segoe UI" w:hAnsi="Segoe UI" w:cs="Segoe UI" w:hint="cs"/>
          <w:rtl/>
          <w:lang w:val="en-ZW"/>
        </w:rPr>
        <w:t>ם.</w:t>
      </w:r>
    </w:p>
    <w:p w14:paraId="5DA4BDA4" w14:textId="77777777" w:rsidR="00A60F46" w:rsidRPr="00A60F46" w:rsidRDefault="00A60F46" w:rsidP="008F05D0">
      <w:pPr>
        <w:numPr>
          <w:ilvl w:val="0"/>
          <w:numId w:val="21"/>
        </w:numPr>
        <w:bidi/>
        <w:spacing w:after="0" w:line="276" w:lineRule="auto"/>
        <w:jc w:val="both"/>
        <w:rPr>
          <w:rFonts w:ascii="Segoe UI" w:hAnsi="Segoe UI" w:cs="Segoe UI"/>
          <w:rtl/>
          <w:lang w:val="en-ZW"/>
        </w:rPr>
      </w:pPr>
      <w:r w:rsidRPr="00A60F46">
        <w:rPr>
          <w:rFonts w:ascii="Segoe UI" w:hAnsi="Segoe UI" w:cs="Segoe UI"/>
          <w:rtl/>
          <w:lang w:val="en-ZW"/>
        </w:rPr>
        <w:t>לא היה קשר בין סוג העבירה לעונש - עונשי מוות הוטלו על עבירות של גניבת 5 שילינג.</w:t>
      </w:r>
    </w:p>
    <w:p w14:paraId="140C2D46" w14:textId="77777777" w:rsidR="00A60F46" w:rsidRPr="00A60F46" w:rsidRDefault="00A60F46" w:rsidP="008F05D0">
      <w:pPr>
        <w:numPr>
          <w:ilvl w:val="0"/>
          <w:numId w:val="21"/>
        </w:numPr>
        <w:bidi/>
        <w:spacing w:after="0" w:line="276" w:lineRule="auto"/>
        <w:jc w:val="both"/>
        <w:rPr>
          <w:rFonts w:ascii="Segoe UI" w:hAnsi="Segoe UI" w:cs="Segoe UI"/>
          <w:rtl/>
          <w:lang w:val="en-ZW"/>
        </w:rPr>
      </w:pPr>
      <w:r w:rsidRPr="00A60F46">
        <w:rPr>
          <w:rFonts w:ascii="Segoe UI" w:hAnsi="Segoe UI" w:cs="Segoe UI"/>
          <w:rtl/>
          <w:lang w:val="en-ZW"/>
        </w:rPr>
        <w:t>עם זאת, דעת חלק מהציבור הייתה שעונשי מוות אינם מספיקים וצריך להחזיר את העינויים כדי להרתיע</w:t>
      </w:r>
    </w:p>
    <w:p w14:paraId="4AFA0ED5" w14:textId="4EBA2779" w:rsidR="00CF0890" w:rsidRPr="00CF0890" w:rsidRDefault="00A60F46" w:rsidP="008F05D0">
      <w:pPr>
        <w:numPr>
          <w:ilvl w:val="0"/>
          <w:numId w:val="21"/>
        </w:numPr>
        <w:bidi/>
        <w:spacing w:after="0" w:line="276" w:lineRule="auto"/>
        <w:jc w:val="both"/>
        <w:rPr>
          <w:rFonts w:ascii="Segoe UI" w:hAnsi="Segoe UI" w:cs="Segoe UI"/>
          <w:lang w:val="en-ZW"/>
        </w:rPr>
      </w:pPr>
      <w:r w:rsidRPr="00A60F46">
        <w:rPr>
          <w:rFonts w:ascii="Segoe UI" w:hAnsi="Segoe UI" w:cs="Segoe UI"/>
          <w:rtl/>
          <w:lang w:val="en-ZW"/>
        </w:rPr>
        <w:t xml:space="preserve">הספר: </w:t>
      </w:r>
      <w:r w:rsidRPr="00A60F46">
        <w:rPr>
          <w:rFonts w:ascii="Segoe UI" w:hAnsi="Segoe UI" w:cs="Segoe UI"/>
          <w:lang w:val="en-US"/>
        </w:rPr>
        <w:t>Hanging is Not Enough</w:t>
      </w:r>
      <w:r w:rsidR="007263CF">
        <w:rPr>
          <w:rFonts w:ascii="Segoe UI" w:hAnsi="Segoe UI" w:cs="Segoe UI" w:hint="cs"/>
          <w:rtl/>
          <w:lang w:val="en-ZW"/>
        </w:rPr>
        <w:t xml:space="preserve"> </w:t>
      </w:r>
      <w:r w:rsidR="007263CF">
        <w:rPr>
          <w:rFonts w:ascii="Segoe UI" w:hAnsi="Segoe UI" w:cs="Segoe UI" w:hint="cs"/>
          <w:color w:val="7030A0"/>
          <w:rtl/>
          <w:lang w:val="en-ZW"/>
        </w:rPr>
        <w:t>יצא בתקופה שבה חלק מהציבור סבר שיש להחזיר את עונשי הגוף.</w:t>
      </w:r>
    </w:p>
    <w:p w14:paraId="6CC810D4" w14:textId="77777777" w:rsidR="00CF0890" w:rsidRDefault="00CF0890" w:rsidP="008F05D0">
      <w:pPr>
        <w:numPr>
          <w:ilvl w:val="0"/>
          <w:numId w:val="21"/>
        </w:numPr>
        <w:bidi/>
        <w:spacing w:after="0" w:line="276" w:lineRule="auto"/>
        <w:jc w:val="both"/>
        <w:rPr>
          <w:rFonts w:ascii="Segoe UI" w:hAnsi="Segoe UI" w:cs="Segoe UI"/>
          <w:lang w:val="en-ZW"/>
        </w:rPr>
      </w:pPr>
      <w:r w:rsidRPr="00CF0890">
        <w:rPr>
          <w:rFonts w:ascii="Segoe UI" w:hAnsi="Segoe UI" w:cs="Segoe UI"/>
          <w:rtl/>
          <w:lang w:val="en-ZW"/>
        </w:rPr>
        <w:t>הוגי דעות התחילו להרגיש שאט נפש משיטת הענישה החמורה של הסוף המאה ה-18.</w:t>
      </w:r>
    </w:p>
    <w:p w14:paraId="6506ABA3" w14:textId="77777777" w:rsidR="00CF0890" w:rsidRDefault="00CF0890" w:rsidP="008F05D0">
      <w:pPr>
        <w:numPr>
          <w:ilvl w:val="0"/>
          <w:numId w:val="21"/>
        </w:numPr>
        <w:bidi/>
        <w:spacing w:after="0" w:line="276" w:lineRule="auto"/>
        <w:jc w:val="both"/>
        <w:rPr>
          <w:rFonts w:ascii="Segoe UI" w:hAnsi="Segoe UI" w:cs="Segoe UI"/>
          <w:lang w:val="en-ZW"/>
        </w:rPr>
      </w:pPr>
      <w:proofErr w:type="spellStart"/>
      <w:r w:rsidRPr="00A128BB">
        <w:rPr>
          <w:rFonts w:ascii="Segoe UI" w:hAnsi="Segoe UI" w:cs="Segoe UI"/>
          <w:b/>
          <w:bCs/>
          <w:highlight w:val="green"/>
          <w:rtl/>
          <w:lang w:val="en-ZW"/>
        </w:rPr>
        <w:lastRenderedPageBreak/>
        <w:t>מונטסקייה</w:t>
      </w:r>
      <w:proofErr w:type="spellEnd"/>
      <w:r w:rsidRPr="00CF0890">
        <w:rPr>
          <w:rFonts w:ascii="Segoe UI" w:hAnsi="Segoe UI" w:cs="Segoe UI"/>
          <w:rtl/>
          <w:lang w:val="en-ZW"/>
        </w:rPr>
        <w:t xml:space="preserve"> - הראשון שיצא נגד החומרה של הענישה - "מטרת החוק היא להשליט סדר בחברה". </w:t>
      </w:r>
    </w:p>
    <w:p w14:paraId="5263CFEC" w14:textId="77777777" w:rsidR="00CF0890" w:rsidRDefault="00CF0890" w:rsidP="008F05D0">
      <w:pPr>
        <w:numPr>
          <w:ilvl w:val="0"/>
          <w:numId w:val="21"/>
        </w:numPr>
        <w:bidi/>
        <w:spacing w:after="0" w:line="276" w:lineRule="auto"/>
        <w:jc w:val="both"/>
        <w:rPr>
          <w:rFonts w:ascii="Segoe UI" w:hAnsi="Segoe UI" w:cs="Segoe UI"/>
          <w:lang w:val="en-ZW"/>
        </w:rPr>
      </w:pPr>
      <w:r w:rsidRPr="00CF0890">
        <w:rPr>
          <w:rFonts w:ascii="Segoe UI" w:hAnsi="Segoe UI" w:cs="Segoe UI"/>
          <w:rtl/>
          <w:lang w:val="en-ZW"/>
        </w:rPr>
        <w:t>הוא קרא למתן את הענישה; להתאים אותה לעבירה; מידתיות; רחמים; להרבות בחינוך חברתי למניעת עבירות</w:t>
      </w:r>
    </w:p>
    <w:p w14:paraId="6A0075EB" w14:textId="2A2E66DC" w:rsidR="00CF0890" w:rsidRDefault="00CF0890" w:rsidP="008F05D0">
      <w:pPr>
        <w:numPr>
          <w:ilvl w:val="0"/>
          <w:numId w:val="21"/>
        </w:numPr>
        <w:bidi/>
        <w:spacing w:after="0" w:line="276" w:lineRule="auto"/>
        <w:jc w:val="both"/>
        <w:rPr>
          <w:rFonts w:ascii="Segoe UI" w:hAnsi="Segoe UI" w:cs="Segoe UI"/>
          <w:lang w:val="en-ZW"/>
        </w:rPr>
      </w:pPr>
      <w:proofErr w:type="spellStart"/>
      <w:r w:rsidRPr="00457D2A">
        <w:rPr>
          <w:rFonts w:ascii="Segoe UI" w:hAnsi="Segoe UI" w:cs="Segoe UI"/>
          <w:highlight w:val="green"/>
          <w:rtl/>
          <w:lang w:val="en-ZW"/>
        </w:rPr>
        <w:t>צ'זרה</w:t>
      </w:r>
      <w:proofErr w:type="spellEnd"/>
      <w:r w:rsidRPr="00457D2A">
        <w:rPr>
          <w:rFonts w:ascii="Segoe UI" w:hAnsi="Segoe UI" w:cs="Segoe UI"/>
          <w:highlight w:val="green"/>
          <w:rtl/>
          <w:lang w:val="en-ZW"/>
        </w:rPr>
        <w:t xml:space="preserve"> בקריה</w:t>
      </w:r>
      <w:r w:rsidRPr="00CF0890">
        <w:rPr>
          <w:rFonts w:ascii="Segoe UI" w:hAnsi="Segoe UI" w:cs="Segoe UI"/>
          <w:rtl/>
          <w:lang w:val="en-ZW"/>
        </w:rPr>
        <w:t xml:space="preserve"> נחשב לאבי תורת העונשין המודרנית (1764)</w:t>
      </w:r>
    </w:p>
    <w:p w14:paraId="512CDAE4" w14:textId="40D635EB" w:rsidR="00CF0890" w:rsidRDefault="00CF0890" w:rsidP="008F05D0">
      <w:pPr>
        <w:bidi/>
        <w:spacing w:after="0" w:line="276" w:lineRule="auto"/>
        <w:jc w:val="both"/>
        <w:rPr>
          <w:rFonts w:ascii="Segoe UI" w:hAnsi="Segoe UI" w:cs="Segoe UI"/>
          <w:rtl/>
          <w:lang w:val="en-ZW"/>
        </w:rPr>
      </w:pPr>
    </w:p>
    <w:p w14:paraId="26391151" w14:textId="49D85329" w:rsidR="00030D73" w:rsidRPr="00030D73" w:rsidRDefault="00030D73" w:rsidP="008F05D0">
      <w:pPr>
        <w:pStyle w:val="2"/>
        <w:rPr>
          <w:lang w:val="en-US"/>
        </w:rPr>
      </w:pPr>
      <w:bookmarkStart w:id="6" w:name="_Toc108218175"/>
      <w:r w:rsidRPr="00030D73">
        <w:rPr>
          <w:rtl/>
        </w:rPr>
        <w:t xml:space="preserve">תורת </w:t>
      </w:r>
      <w:r w:rsidRPr="00584C30">
        <w:rPr>
          <w:highlight w:val="green"/>
          <w:rtl/>
        </w:rPr>
        <w:t>בקריה</w:t>
      </w:r>
      <w:bookmarkEnd w:id="6"/>
    </w:p>
    <w:p w14:paraId="765A1129" w14:textId="77777777" w:rsidR="00030D73" w:rsidRPr="00030D73" w:rsidRDefault="00030D73" w:rsidP="008F05D0">
      <w:pPr>
        <w:numPr>
          <w:ilvl w:val="0"/>
          <w:numId w:val="22"/>
        </w:numPr>
        <w:bidi/>
        <w:spacing w:after="0" w:line="276" w:lineRule="auto"/>
        <w:jc w:val="both"/>
        <w:rPr>
          <w:rFonts w:ascii="Segoe UI" w:hAnsi="Segoe UI" w:cs="Segoe UI"/>
          <w:rtl/>
          <w:lang w:val="en-ZW"/>
        </w:rPr>
      </w:pPr>
      <w:r w:rsidRPr="00030D73">
        <w:rPr>
          <w:rFonts w:ascii="Segoe UI" w:hAnsi="Segoe UI" w:cs="Segoe UI"/>
          <w:rtl/>
          <w:lang w:val="en-ZW"/>
        </w:rPr>
        <w:t xml:space="preserve">העונשים הקשים - אינם מרתיעים את הציבור שהתרגל לטרור וההפחדות. </w:t>
      </w:r>
    </w:p>
    <w:p w14:paraId="78514FB2" w14:textId="77777777" w:rsidR="00030D73" w:rsidRPr="00030D73" w:rsidRDefault="00030D73" w:rsidP="008F05D0">
      <w:pPr>
        <w:numPr>
          <w:ilvl w:val="0"/>
          <w:numId w:val="22"/>
        </w:numPr>
        <w:bidi/>
        <w:spacing w:after="0" w:line="276" w:lineRule="auto"/>
        <w:jc w:val="both"/>
        <w:rPr>
          <w:rFonts w:ascii="Segoe UI" w:hAnsi="Segoe UI" w:cs="Segoe UI"/>
          <w:rtl/>
          <w:lang w:val="en-ZW"/>
        </w:rPr>
      </w:pPr>
      <w:r w:rsidRPr="00030D73">
        <w:rPr>
          <w:rFonts w:ascii="Segoe UI" w:hAnsi="Segoe UI" w:cs="Segoe UI"/>
          <w:rtl/>
          <w:lang w:val="en-ZW"/>
        </w:rPr>
        <w:t xml:space="preserve">יש לבטל את עונש המוות; יש להפסיק את העינויים; יש לאסור מעצרי שווא; יש לתת תנאים </w:t>
      </w:r>
      <w:proofErr w:type="spellStart"/>
      <w:r w:rsidRPr="00030D73">
        <w:rPr>
          <w:rFonts w:ascii="Segoe UI" w:hAnsi="Segoe UI" w:cs="Segoe UI"/>
          <w:rtl/>
          <w:lang w:val="en-ZW"/>
        </w:rPr>
        <w:t>מינמאלים</w:t>
      </w:r>
      <w:proofErr w:type="spellEnd"/>
      <w:r w:rsidRPr="00030D73">
        <w:rPr>
          <w:rFonts w:ascii="Segoe UI" w:hAnsi="Segoe UI" w:cs="Segoe UI"/>
          <w:rtl/>
          <w:lang w:val="en-ZW"/>
        </w:rPr>
        <w:t xml:space="preserve"> בכלא.</w:t>
      </w:r>
    </w:p>
    <w:p w14:paraId="626B5EF7" w14:textId="77777777" w:rsidR="00030D73" w:rsidRPr="00030D73" w:rsidRDefault="00030D73" w:rsidP="008F05D0">
      <w:pPr>
        <w:numPr>
          <w:ilvl w:val="0"/>
          <w:numId w:val="22"/>
        </w:numPr>
        <w:bidi/>
        <w:spacing w:after="0" w:line="276" w:lineRule="auto"/>
        <w:jc w:val="both"/>
        <w:rPr>
          <w:rFonts w:ascii="Segoe UI" w:hAnsi="Segoe UI" w:cs="Segoe UI"/>
          <w:rtl/>
          <w:lang w:val="en-ZW"/>
        </w:rPr>
      </w:pPr>
      <w:r w:rsidRPr="00030D73">
        <w:rPr>
          <w:rFonts w:ascii="Segoe UI" w:hAnsi="Segoe UI" w:cs="Segoe UI"/>
          <w:rtl/>
          <w:lang w:val="en-ZW"/>
        </w:rPr>
        <w:t>בקביעת העונש - יש להתחשב במידת הנזק הממשי שנגרם</w:t>
      </w:r>
    </w:p>
    <w:p w14:paraId="4C271AF2" w14:textId="77777777" w:rsidR="00030D73" w:rsidRPr="00030D73" w:rsidRDefault="00030D73" w:rsidP="008F05D0">
      <w:pPr>
        <w:numPr>
          <w:ilvl w:val="0"/>
          <w:numId w:val="22"/>
        </w:numPr>
        <w:bidi/>
        <w:spacing w:after="0" w:line="276" w:lineRule="auto"/>
        <w:jc w:val="both"/>
        <w:rPr>
          <w:rFonts w:ascii="Segoe UI" w:hAnsi="Segoe UI" w:cs="Segoe UI"/>
          <w:rtl/>
          <w:lang w:val="en-ZW"/>
        </w:rPr>
      </w:pPr>
      <w:r w:rsidRPr="00030D73">
        <w:rPr>
          <w:rFonts w:ascii="Segoe UI" w:hAnsi="Segoe UI" w:cs="Segoe UI"/>
          <w:rtl/>
          <w:lang w:val="en-ZW"/>
        </w:rPr>
        <w:t xml:space="preserve">יש להגדיל את כוח המשטרתי. </w:t>
      </w:r>
    </w:p>
    <w:p w14:paraId="1341A15D" w14:textId="77777777" w:rsidR="00030D73" w:rsidRPr="00030D73" w:rsidRDefault="00030D73" w:rsidP="008F05D0">
      <w:pPr>
        <w:numPr>
          <w:ilvl w:val="0"/>
          <w:numId w:val="22"/>
        </w:numPr>
        <w:bidi/>
        <w:spacing w:after="0" w:line="276" w:lineRule="auto"/>
        <w:jc w:val="both"/>
        <w:rPr>
          <w:rFonts w:ascii="Segoe UI" w:hAnsi="Segoe UI" w:cs="Segoe UI"/>
          <w:rtl/>
          <w:lang w:val="en-ZW"/>
        </w:rPr>
      </w:pPr>
      <w:r w:rsidRPr="00030D73">
        <w:rPr>
          <w:rFonts w:ascii="Segoe UI" w:hAnsi="Segoe UI" w:cs="Segoe UI"/>
          <w:rtl/>
          <w:lang w:val="en-ZW"/>
        </w:rPr>
        <w:t>חשיבות ההרתעה היא באכיפה ולא בעונש.</w:t>
      </w:r>
    </w:p>
    <w:p w14:paraId="57D83264" w14:textId="77777777" w:rsidR="00030D73" w:rsidRPr="00030D73" w:rsidRDefault="00030D73" w:rsidP="008F05D0">
      <w:pPr>
        <w:numPr>
          <w:ilvl w:val="0"/>
          <w:numId w:val="22"/>
        </w:numPr>
        <w:bidi/>
        <w:spacing w:after="0" w:line="276" w:lineRule="auto"/>
        <w:jc w:val="both"/>
        <w:rPr>
          <w:rFonts w:ascii="Segoe UI" w:hAnsi="Segoe UI" w:cs="Segoe UI"/>
          <w:rtl/>
          <w:lang w:val="en-ZW"/>
        </w:rPr>
      </w:pPr>
      <w:r w:rsidRPr="00030D73">
        <w:rPr>
          <w:rFonts w:ascii="Segoe UI" w:hAnsi="Segoe UI" w:cs="Segoe UI"/>
          <w:rtl/>
          <w:lang w:val="en-ZW"/>
        </w:rPr>
        <w:t xml:space="preserve">יש לקבוע את העונשים בחוק. השופט יבחר עונש מתוך החוק </w:t>
      </w:r>
    </w:p>
    <w:p w14:paraId="271D5700" w14:textId="77777777" w:rsidR="002326B8" w:rsidRDefault="00030D73" w:rsidP="008F05D0">
      <w:pPr>
        <w:numPr>
          <w:ilvl w:val="0"/>
          <w:numId w:val="22"/>
        </w:numPr>
        <w:bidi/>
        <w:spacing w:after="0" w:line="276" w:lineRule="auto"/>
        <w:jc w:val="both"/>
        <w:rPr>
          <w:rFonts w:ascii="Segoe UI" w:hAnsi="Segoe UI" w:cs="Segoe UI"/>
          <w:lang w:val="en-ZW"/>
        </w:rPr>
      </w:pPr>
      <w:r w:rsidRPr="00030D73">
        <w:rPr>
          <w:rFonts w:ascii="Segoe UI" w:hAnsi="Segoe UI" w:cs="Segoe UI"/>
          <w:rtl/>
          <w:lang w:val="en-ZW"/>
        </w:rPr>
        <w:t>יש להרבות בחינוך</w:t>
      </w:r>
    </w:p>
    <w:p w14:paraId="1F964446" w14:textId="05DA69E6" w:rsidR="002326B8" w:rsidRPr="002326B8" w:rsidRDefault="002326B8" w:rsidP="008F05D0">
      <w:pPr>
        <w:numPr>
          <w:ilvl w:val="0"/>
          <w:numId w:val="22"/>
        </w:numPr>
        <w:bidi/>
        <w:spacing w:after="0" w:line="276" w:lineRule="auto"/>
        <w:jc w:val="both"/>
        <w:rPr>
          <w:rFonts w:ascii="Segoe UI" w:hAnsi="Segoe UI" w:cs="Segoe UI"/>
          <w:lang w:val="en-ZW"/>
        </w:rPr>
      </w:pPr>
      <w:r w:rsidRPr="002326B8">
        <w:rPr>
          <w:rFonts w:ascii="Segoe UI" w:hAnsi="Segoe UI" w:cs="Segoe UI"/>
          <w:u w:val="single"/>
          <w:rtl/>
          <w:lang w:val="en-ZW"/>
        </w:rPr>
        <w:t>בקריה תבע להקפיד על 3 כללים מרכזיים בענישה:</w:t>
      </w:r>
    </w:p>
    <w:p w14:paraId="62C5FBE8" w14:textId="77777777" w:rsidR="002326B8" w:rsidRPr="002326B8" w:rsidRDefault="002326B8" w:rsidP="008F05D0">
      <w:pPr>
        <w:pStyle w:val="ab"/>
        <w:numPr>
          <w:ilvl w:val="0"/>
          <w:numId w:val="23"/>
        </w:numPr>
        <w:bidi/>
        <w:spacing w:after="0" w:line="276" w:lineRule="auto"/>
        <w:ind w:left="1080"/>
        <w:jc w:val="both"/>
        <w:rPr>
          <w:rFonts w:ascii="Segoe UI" w:hAnsi="Segoe UI" w:cs="Segoe UI"/>
          <w:rtl/>
          <w:lang w:val="en-ZW"/>
        </w:rPr>
      </w:pPr>
      <w:r w:rsidRPr="00584C30">
        <w:rPr>
          <w:rFonts w:ascii="Segoe UI" w:hAnsi="Segoe UI" w:cs="Segoe UI"/>
          <w:b/>
          <w:bCs/>
          <w:rtl/>
          <w:lang w:val="en-ZW"/>
        </w:rPr>
        <w:t>ודאות העונש</w:t>
      </w:r>
      <w:r w:rsidRPr="002326B8">
        <w:rPr>
          <w:rFonts w:ascii="Segoe UI" w:hAnsi="Segoe UI" w:cs="Segoe UI"/>
          <w:rtl/>
          <w:lang w:val="en-ZW"/>
        </w:rPr>
        <w:t xml:space="preserve"> -  היעילות של העונש קשורה יותר לוודאות שתיתפס ותשלם מחיר מאשר חומרת העונש</w:t>
      </w:r>
    </w:p>
    <w:p w14:paraId="605DE240" w14:textId="4BBE2755" w:rsidR="002326B8" w:rsidRPr="002326B8" w:rsidRDefault="00584C30" w:rsidP="008F05D0">
      <w:pPr>
        <w:pStyle w:val="ab"/>
        <w:numPr>
          <w:ilvl w:val="0"/>
          <w:numId w:val="23"/>
        </w:numPr>
        <w:bidi/>
        <w:spacing w:after="0" w:line="276" w:lineRule="auto"/>
        <w:ind w:left="1080"/>
        <w:jc w:val="both"/>
        <w:rPr>
          <w:rFonts w:ascii="Segoe UI" w:hAnsi="Segoe UI" w:cs="Segoe UI"/>
          <w:rtl/>
          <w:lang w:val="en-ZW"/>
        </w:rPr>
      </w:pPr>
      <w:r w:rsidRPr="00584C30">
        <w:rPr>
          <w:rFonts w:ascii="Segoe UI" w:hAnsi="Segoe UI" w:cs="Segoe UI" w:hint="cs"/>
          <w:b/>
          <w:bCs/>
          <w:color w:val="7030A0"/>
          <w:rtl/>
          <w:lang w:val="en-ZW"/>
        </w:rPr>
        <w:t>מידתיות</w:t>
      </w:r>
      <w:r w:rsidRPr="00584C30">
        <w:rPr>
          <w:rFonts w:ascii="Segoe UI" w:hAnsi="Segoe UI" w:cs="Segoe UI" w:hint="cs"/>
          <w:color w:val="7030A0"/>
          <w:rtl/>
          <w:lang w:val="en-ZW"/>
        </w:rPr>
        <w:t xml:space="preserve"> </w:t>
      </w:r>
      <w:r>
        <w:rPr>
          <w:rFonts w:ascii="Segoe UI" w:hAnsi="Segoe UI" w:cs="Segoe UI" w:hint="cs"/>
          <w:rtl/>
          <w:lang w:val="en-ZW"/>
        </w:rPr>
        <w:t xml:space="preserve">- </w:t>
      </w:r>
      <w:r w:rsidR="002326B8" w:rsidRPr="002326B8">
        <w:rPr>
          <w:rFonts w:ascii="Segoe UI" w:hAnsi="Segoe UI" w:cs="Segoe UI"/>
          <w:rtl/>
          <w:lang w:val="en-ZW"/>
        </w:rPr>
        <w:t>יחס הולם ומידתי בין חומרת העבירה לחומרת הענישה</w:t>
      </w:r>
      <w:r w:rsidR="0069188B">
        <w:rPr>
          <w:rFonts w:ascii="Segoe UI" w:hAnsi="Segoe UI" w:cs="Segoe UI" w:hint="cs"/>
          <w:rtl/>
          <w:lang w:val="en-ZW"/>
        </w:rPr>
        <w:t xml:space="preserve">. </w:t>
      </w:r>
      <w:r w:rsidR="0069188B">
        <w:rPr>
          <w:rFonts w:ascii="Segoe UI" w:hAnsi="Segoe UI" w:cs="Segoe UI" w:hint="cs"/>
          <w:color w:val="002060"/>
          <w:rtl/>
          <w:lang w:val="en-ZW"/>
        </w:rPr>
        <w:t xml:space="preserve">לדוג' על גניבה קלה העונש יהיה גם כן קל יחסית, בעוד שרצח יגרור עונש קשה. </w:t>
      </w:r>
    </w:p>
    <w:p w14:paraId="0CBD8B78" w14:textId="530043C8" w:rsidR="002326B8" w:rsidRPr="00B66A46" w:rsidRDefault="00584C30" w:rsidP="008F05D0">
      <w:pPr>
        <w:pStyle w:val="ab"/>
        <w:numPr>
          <w:ilvl w:val="0"/>
          <w:numId w:val="23"/>
        </w:numPr>
        <w:bidi/>
        <w:spacing w:after="0" w:line="276" w:lineRule="auto"/>
        <w:ind w:left="1080"/>
        <w:jc w:val="both"/>
        <w:rPr>
          <w:rFonts w:ascii="Segoe UI" w:hAnsi="Segoe UI" w:cs="Segoe UI"/>
          <w:color w:val="7030A0"/>
          <w:rtl/>
          <w:lang w:val="en-ZW"/>
        </w:rPr>
      </w:pPr>
      <w:r w:rsidRPr="00584C30">
        <w:rPr>
          <w:rFonts w:ascii="Segoe UI" w:hAnsi="Segoe UI" w:cs="Segoe UI" w:hint="cs"/>
          <w:b/>
          <w:bCs/>
          <w:color w:val="7030A0"/>
          <w:rtl/>
          <w:lang w:val="en-ZW"/>
        </w:rPr>
        <w:t>פומביות</w:t>
      </w:r>
      <w:r w:rsidRPr="00584C30">
        <w:rPr>
          <w:rFonts w:ascii="Segoe UI" w:hAnsi="Segoe UI" w:cs="Segoe UI" w:hint="cs"/>
          <w:color w:val="7030A0"/>
          <w:rtl/>
          <w:lang w:val="en-ZW"/>
        </w:rPr>
        <w:t xml:space="preserve"> </w:t>
      </w:r>
      <w:r w:rsidR="00082B79" w:rsidRPr="00082B79">
        <w:rPr>
          <w:rFonts w:ascii="Segoe UI" w:hAnsi="Segoe UI" w:cs="Segoe UI" w:hint="cs"/>
          <w:b/>
          <w:bCs/>
          <w:color w:val="7030A0"/>
          <w:rtl/>
          <w:lang w:val="en-ZW"/>
        </w:rPr>
        <w:t>ומידיות</w:t>
      </w:r>
      <w:r>
        <w:rPr>
          <w:rFonts w:ascii="Segoe UI" w:hAnsi="Segoe UI" w:cs="Segoe UI" w:hint="cs"/>
          <w:rtl/>
          <w:lang w:val="en-ZW"/>
        </w:rPr>
        <w:t xml:space="preserve">- </w:t>
      </w:r>
      <w:r w:rsidR="002326B8" w:rsidRPr="002326B8">
        <w:rPr>
          <w:rFonts w:ascii="Segoe UI" w:hAnsi="Segoe UI" w:cs="Segoe UI"/>
          <w:rtl/>
          <w:lang w:val="en-ZW"/>
        </w:rPr>
        <w:t>העונש צריך להיות פומבי ומידי</w:t>
      </w:r>
      <w:r w:rsidR="00CF74AF">
        <w:rPr>
          <w:rFonts w:ascii="Segoe UI" w:hAnsi="Segoe UI" w:cs="Segoe UI" w:hint="cs"/>
          <w:rtl/>
          <w:lang w:val="en-ZW"/>
        </w:rPr>
        <w:t xml:space="preserve"> </w:t>
      </w:r>
      <w:r w:rsidR="00CF74AF">
        <w:rPr>
          <w:rFonts w:ascii="Segoe UI" w:hAnsi="Segoe UI" w:cs="Segoe UI"/>
          <w:rtl/>
          <w:lang w:val="en-ZW"/>
        </w:rPr>
        <w:t>–</w:t>
      </w:r>
      <w:r w:rsidR="00CF74AF">
        <w:rPr>
          <w:rFonts w:ascii="Segoe UI" w:hAnsi="Segoe UI" w:cs="Segoe UI" w:hint="cs"/>
          <w:rtl/>
          <w:lang w:val="en-ZW"/>
        </w:rPr>
        <w:t xml:space="preserve"> </w:t>
      </w:r>
      <w:r w:rsidR="00CF74AF" w:rsidRPr="00CF74AF">
        <w:rPr>
          <w:rFonts w:ascii="Segoe UI" w:hAnsi="Segoe UI" w:cs="Segoe UI" w:hint="cs"/>
          <w:color w:val="7030A0"/>
          <w:rtl/>
          <w:lang w:val="en-ZW"/>
        </w:rPr>
        <w:t>כדי להרתיע</w:t>
      </w:r>
      <w:r w:rsidR="00CF74AF">
        <w:rPr>
          <w:rFonts w:ascii="Segoe UI" w:hAnsi="Segoe UI" w:cs="Segoe UI" w:hint="cs"/>
          <w:color w:val="7030A0"/>
          <w:rtl/>
          <w:lang w:val="en-ZW"/>
        </w:rPr>
        <w:t>, להעביר מסרים הרתעתיים</w:t>
      </w:r>
      <w:r w:rsidR="00B66A46">
        <w:rPr>
          <w:rFonts w:ascii="Segoe UI" w:hAnsi="Segoe UI" w:cs="Segoe UI" w:hint="cs"/>
          <w:rtl/>
          <w:lang w:val="en-ZW"/>
        </w:rPr>
        <w:t xml:space="preserve">. </w:t>
      </w:r>
      <w:r w:rsidR="00B66A46" w:rsidRPr="00B66A46">
        <w:rPr>
          <w:rFonts w:ascii="Segoe UI" w:hAnsi="Segoe UI" w:cs="Segoe UI" w:hint="cs"/>
          <w:color w:val="7030A0"/>
          <w:rtl/>
          <w:lang w:val="en-ZW"/>
        </w:rPr>
        <w:t>בפועל</w:t>
      </w:r>
      <w:r w:rsidR="00082B79">
        <w:rPr>
          <w:rFonts w:ascii="Segoe UI" w:hAnsi="Segoe UI" w:cs="Segoe UI" w:hint="cs"/>
          <w:color w:val="7030A0"/>
          <w:rtl/>
          <w:lang w:val="en-ZW"/>
        </w:rPr>
        <w:t xml:space="preserve"> </w:t>
      </w:r>
      <w:proofErr w:type="spellStart"/>
      <w:r w:rsidR="00082B79">
        <w:rPr>
          <w:rFonts w:ascii="Segoe UI" w:hAnsi="Segoe UI" w:cs="Segoe UI" w:hint="cs"/>
          <w:color w:val="7030A0"/>
          <w:rtl/>
          <w:lang w:val="en-ZW"/>
        </w:rPr>
        <w:t>המידיות</w:t>
      </w:r>
      <w:proofErr w:type="spellEnd"/>
      <w:r w:rsidR="00B66A46" w:rsidRPr="00B66A46">
        <w:rPr>
          <w:rFonts w:ascii="Segoe UI" w:hAnsi="Segoe UI" w:cs="Segoe UI" w:hint="cs"/>
          <w:color w:val="7030A0"/>
          <w:rtl/>
          <w:lang w:val="en-ZW"/>
        </w:rPr>
        <w:t xml:space="preserve">, זה לא קורה כי ההליכים מתמשכים מאוד ויש תיקים שנמשכים גם עשור. </w:t>
      </w:r>
    </w:p>
    <w:p w14:paraId="5C2D2822" w14:textId="3E4556F4" w:rsidR="00A60F46" w:rsidRDefault="00A60F46" w:rsidP="008F05D0">
      <w:pPr>
        <w:bidi/>
        <w:spacing w:after="0" w:line="276" w:lineRule="auto"/>
        <w:jc w:val="both"/>
        <w:rPr>
          <w:rFonts w:ascii="Segoe UI" w:hAnsi="Segoe UI" w:cs="Segoe UI"/>
          <w:rtl/>
          <w:lang w:val="en-ZW"/>
        </w:rPr>
      </w:pPr>
    </w:p>
    <w:p w14:paraId="4AAB154C" w14:textId="5BF0AAED" w:rsidR="00E8414F" w:rsidRPr="00E8414F" w:rsidRDefault="00E8414F" w:rsidP="008F05D0">
      <w:pPr>
        <w:pStyle w:val="110"/>
        <w:spacing w:line="276" w:lineRule="auto"/>
      </w:pPr>
      <w:r w:rsidRPr="00E8414F">
        <w:rPr>
          <w:rtl/>
        </w:rPr>
        <w:t>הביקורת על בקריה</w:t>
      </w:r>
    </w:p>
    <w:p w14:paraId="205CEFCC" w14:textId="2E4ED6C0" w:rsidR="00E8414F" w:rsidRPr="00E8414F" w:rsidRDefault="00E8414F" w:rsidP="008F05D0">
      <w:pPr>
        <w:numPr>
          <w:ilvl w:val="0"/>
          <w:numId w:val="24"/>
        </w:numPr>
        <w:bidi/>
        <w:spacing w:after="0" w:line="276" w:lineRule="auto"/>
        <w:jc w:val="both"/>
        <w:rPr>
          <w:rFonts w:ascii="Segoe UI" w:hAnsi="Segoe UI" w:cs="Segoe UI"/>
          <w:rtl/>
          <w:lang w:val="en-ZW"/>
        </w:rPr>
      </w:pPr>
      <w:r w:rsidRPr="00E8414F">
        <w:rPr>
          <w:rFonts w:ascii="Segoe UI" w:hAnsi="Segoe UI" w:cs="Segoe UI"/>
          <w:rtl/>
          <w:lang w:val="en-ZW"/>
        </w:rPr>
        <w:t>הגישה שלו מושתת על בחירה חופשית. לא לכולם יש בחירה חופשית</w:t>
      </w:r>
      <w:r w:rsidR="00D011C4">
        <w:rPr>
          <w:rFonts w:ascii="Segoe UI" w:hAnsi="Segoe UI" w:cs="Segoe UI" w:hint="cs"/>
          <w:rtl/>
          <w:lang w:val="en-ZW"/>
        </w:rPr>
        <w:t>.</w:t>
      </w:r>
    </w:p>
    <w:p w14:paraId="2868258D" w14:textId="5FDB3519" w:rsidR="00E8414F" w:rsidRPr="00E8414F" w:rsidRDefault="00E8414F" w:rsidP="008F05D0">
      <w:pPr>
        <w:numPr>
          <w:ilvl w:val="0"/>
          <w:numId w:val="24"/>
        </w:numPr>
        <w:bidi/>
        <w:spacing w:after="0" w:line="276" w:lineRule="auto"/>
        <w:jc w:val="both"/>
        <w:rPr>
          <w:rFonts w:ascii="Segoe UI" w:hAnsi="Segoe UI" w:cs="Segoe UI"/>
          <w:rtl/>
          <w:lang w:val="en-ZW"/>
        </w:rPr>
      </w:pPr>
      <w:r w:rsidRPr="00E8414F">
        <w:rPr>
          <w:rFonts w:ascii="Segoe UI" w:hAnsi="Segoe UI" w:cs="Segoe UI"/>
          <w:rtl/>
          <w:lang w:val="en-ZW"/>
        </w:rPr>
        <w:t>התיאוריות של בקריה התקבלו ברוב העולם המערבי (בתווך</w:t>
      </w:r>
      <w:r w:rsidR="00D011C4">
        <w:rPr>
          <w:rFonts w:ascii="Segoe UI" w:hAnsi="Segoe UI" w:cs="Segoe UI" w:hint="cs"/>
          <w:rtl/>
          <w:lang w:val="en-ZW"/>
        </w:rPr>
        <w:t xml:space="preserve"> - </w:t>
      </w:r>
      <w:r w:rsidRPr="00E8414F">
        <w:rPr>
          <w:rFonts w:ascii="Segoe UI" w:hAnsi="Segoe UI" w:cs="Segoe UI"/>
          <w:rtl/>
          <w:lang w:val="en-ZW"/>
        </w:rPr>
        <w:t>המהפכה הצרפתית, מלחמת העצמאות בארה"ב – דרישה לשוויון גם בענישה).</w:t>
      </w:r>
    </w:p>
    <w:p w14:paraId="3E754DCB" w14:textId="5C7531EF" w:rsidR="00E8414F" w:rsidRPr="00E8414F" w:rsidRDefault="00E8414F" w:rsidP="008F05D0">
      <w:pPr>
        <w:numPr>
          <w:ilvl w:val="0"/>
          <w:numId w:val="24"/>
        </w:numPr>
        <w:bidi/>
        <w:spacing w:after="0" w:line="276" w:lineRule="auto"/>
        <w:jc w:val="both"/>
        <w:rPr>
          <w:rFonts w:ascii="Segoe UI" w:hAnsi="Segoe UI" w:cs="Segoe UI"/>
          <w:rtl/>
          <w:lang w:val="en-ZW"/>
        </w:rPr>
      </w:pPr>
      <w:r w:rsidRPr="00E8414F">
        <w:rPr>
          <w:rFonts w:ascii="Segoe UI" w:hAnsi="Segoe UI" w:cs="Segoe UI"/>
          <w:rtl/>
          <w:lang w:val="en-ZW"/>
        </w:rPr>
        <w:t xml:space="preserve">התוצאה: בחלק מהמקומות הופסק עונש המוות אך מאחר שלשופטים לא ניתן </w:t>
      </w:r>
      <w:proofErr w:type="spellStart"/>
      <w:r w:rsidRPr="00E8414F">
        <w:rPr>
          <w:rFonts w:ascii="Segoe UI" w:hAnsi="Segoe UI" w:cs="Segoe UI"/>
          <w:rtl/>
          <w:lang w:val="en-ZW"/>
        </w:rPr>
        <w:t>שק"ד</w:t>
      </w:r>
      <w:proofErr w:type="spellEnd"/>
      <w:r w:rsidRPr="00E8414F">
        <w:rPr>
          <w:rFonts w:ascii="Segoe UI" w:hAnsi="Segoe UI" w:cs="Segoe UI"/>
          <w:rtl/>
          <w:lang w:val="en-ZW"/>
        </w:rPr>
        <w:t xml:space="preserve"> להתחשב בנסיבות - </w:t>
      </w:r>
      <w:r w:rsidRPr="00E8414F">
        <w:rPr>
          <w:rFonts w:ascii="Segoe UI" w:hAnsi="Segoe UI" w:cs="Segoe UI"/>
          <w:b/>
          <w:bCs/>
          <w:rtl/>
          <w:lang w:val="en-ZW"/>
        </w:rPr>
        <w:t>רמת הענישה עלתה</w:t>
      </w:r>
      <w:r w:rsidRPr="00E8414F">
        <w:rPr>
          <w:rFonts w:ascii="Segoe UI" w:hAnsi="Segoe UI" w:cs="Segoe UI"/>
          <w:rtl/>
          <w:lang w:val="en-ZW"/>
        </w:rPr>
        <w:t>...</w:t>
      </w:r>
      <w:r w:rsidR="00E1201C">
        <w:rPr>
          <w:rFonts w:ascii="Segoe UI" w:hAnsi="Segoe UI" w:cs="Segoe UI" w:hint="cs"/>
          <w:rtl/>
          <w:lang w:val="en-ZW"/>
        </w:rPr>
        <w:t xml:space="preserve"> </w:t>
      </w:r>
      <w:r w:rsidR="00E1201C">
        <w:rPr>
          <w:rFonts w:ascii="Segoe UI" w:hAnsi="Segoe UI" w:cs="Segoe UI" w:hint="cs"/>
          <w:color w:val="7030A0"/>
          <w:rtl/>
          <w:lang w:val="en-ZW"/>
        </w:rPr>
        <w:t xml:space="preserve">ברגע שהפסיקו את עונש המוות שלחו אנשים למאסרי עולם. </w:t>
      </w:r>
    </w:p>
    <w:p w14:paraId="0525AB2E" w14:textId="77777777" w:rsidR="00A60F46" w:rsidRPr="00A60F46" w:rsidRDefault="00A60F46" w:rsidP="008F05D0">
      <w:pPr>
        <w:bidi/>
        <w:spacing w:after="0" w:line="276" w:lineRule="auto"/>
        <w:jc w:val="both"/>
        <w:rPr>
          <w:rFonts w:ascii="Segoe UI" w:hAnsi="Segoe UI" w:cs="Segoe UI"/>
          <w:rtl/>
          <w:lang w:val="en-ZW"/>
        </w:rPr>
      </w:pPr>
    </w:p>
    <w:p w14:paraId="78B768C3" w14:textId="34D16EC1" w:rsidR="005D51C5" w:rsidRPr="005D51C5" w:rsidRDefault="005D51C5" w:rsidP="008F05D0">
      <w:pPr>
        <w:pStyle w:val="2"/>
        <w:rPr>
          <w:lang w:val="en-US"/>
        </w:rPr>
      </w:pPr>
      <w:bookmarkStart w:id="7" w:name="_Toc108218176"/>
      <w:r w:rsidRPr="005D51C5">
        <w:rPr>
          <w:rtl/>
        </w:rPr>
        <w:t xml:space="preserve">"קרימינולוגיה אנתרופולוגית" (הרופא היהודי </w:t>
      </w:r>
      <w:proofErr w:type="spellStart"/>
      <w:r w:rsidRPr="005D51C5">
        <w:rPr>
          <w:rtl/>
        </w:rPr>
        <w:t>לומברוזו</w:t>
      </w:r>
      <w:proofErr w:type="spellEnd"/>
      <w:r w:rsidRPr="005D51C5">
        <w:rPr>
          <w:rtl/>
        </w:rPr>
        <w:t xml:space="preserve"> (1880)</w:t>
      </w:r>
      <w:r w:rsidR="007476B8">
        <w:rPr>
          <w:rFonts w:hint="cs"/>
          <w:rtl/>
        </w:rPr>
        <w:t>)</w:t>
      </w:r>
      <w:bookmarkEnd w:id="7"/>
      <w:r w:rsidRPr="005D51C5">
        <w:rPr>
          <w:rtl/>
        </w:rPr>
        <w:t xml:space="preserve"> </w:t>
      </w:r>
    </w:p>
    <w:p w14:paraId="3D0382EF" w14:textId="35307DED" w:rsidR="00E87138" w:rsidRPr="00E87138" w:rsidRDefault="00E87138" w:rsidP="008F05D0">
      <w:pPr>
        <w:pStyle w:val="ab"/>
        <w:numPr>
          <w:ilvl w:val="0"/>
          <w:numId w:val="25"/>
        </w:numPr>
        <w:bidi/>
        <w:spacing w:after="0" w:line="276" w:lineRule="auto"/>
        <w:jc w:val="both"/>
        <w:rPr>
          <w:rFonts w:ascii="Segoe UI" w:hAnsi="Segoe UI" w:cs="Segoe UI"/>
          <w:lang w:val="en-ZW"/>
        </w:rPr>
      </w:pPr>
      <w:r>
        <w:rPr>
          <w:rFonts w:ascii="Segoe UI" w:hAnsi="Segoe UI" w:cs="Segoe UI" w:hint="cs"/>
          <w:color w:val="7030A0"/>
          <w:rtl/>
          <w:lang w:val="en-ZW"/>
        </w:rPr>
        <w:t xml:space="preserve">כמו שאדם חולה ואנחנו נותנים לו תרופה/כדור, האסכולה הזאת אומרת שאדם לא מבצע עבירה סתם אלא יש לכך סיבה. בואו נמצא את הסיבה וניתן לה תרופה. יכול להיות רקע עוני/קנאה/בצע כסף וכו'. לא לכל הדברים ניתן לתת תרופה אבל לחלק מהעבירות יש 'תרופות'. לדוג' אדם מסוים ביצע מעשה כי הוא </w:t>
      </w:r>
      <w:proofErr w:type="spellStart"/>
      <w:r>
        <w:rPr>
          <w:rFonts w:ascii="Segoe UI" w:hAnsi="Segoe UI" w:cs="Segoe UI" w:hint="cs"/>
          <w:color w:val="7030A0"/>
          <w:rtl/>
          <w:lang w:val="en-ZW"/>
        </w:rPr>
        <w:t>חנ"ש</w:t>
      </w:r>
      <w:proofErr w:type="spellEnd"/>
      <w:r>
        <w:rPr>
          <w:rFonts w:ascii="Segoe UI" w:hAnsi="Segoe UI" w:cs="Segoe UI" w:hint="cs"/>
          <w:color w:val="7030A0"/>
          <w:rtl/>
          <w:lang w:val="en-ZW"/>
        </w:rPr>
        <w:t xml:space="preserve"> בואו נרפא אותו </w:t>
      </w:r>
      <w:proofErr w:type="spellStart"/>
      <w:r>
        <w:rPr>
          <w:rFonts w:ascii="Segoe UI" w:hAnsi="Segoe UI" w:cs="Segoe UI" w:hint="cs"/>
          <w:color w:val="7030A0"/>
          <w:rtl/>
          <w:lang w:val="en-ZW"/>
        </w:rPr>
        <w:t>מחנ"ש</w:t>
      </w:r>
      <w:proofErr w:type="spellEnd"/>
      <w:r>
        <w:rPr>
          <w:rFonts w:ascii="Segoe UI" w:hAnsi="Segoe UI" w:cs="Segoe UI" w:hint="cs"/>
          <w:color w:val="7030A0"/>
          <w:rtl/>
          <w:lang w:val="en-ZW"/>
        </w:rPr>
        <w:t xml:space="preserve">. </w:t>
      </w:r>
      <w:r w:rsidR="00712369">
        <w:rPr>
          <w:rFonts w:ascii="Segoe UI" w:hAnsi="Segoe UI" w:cs="Segoe UI" w:hint="cs"/>
          <w:color w:val="7030A0"/>
          <w:rtl/>
          <w:lang w:val="en-ZW"/>
        </w:rPr>
        <w:t xml:space="preserve">האסכולה הזאת לא כל כך נפוצה כיום. </w:t>
      </w:r>
    </w:p>
    <w:p w14:paraId="2F3B09BC" w14:textId="543CD6A6" w:rsidR="005D51C5" w:rsidRPr="005D51C5" w:rsidRDefault="005D51C5" w:rsidP="008F05D0">
      <w:pPr>
        <w:pStyle w:val="ab"/>
        <w:numPr>
          <w:ilvl w:val="0"/>
          <w:numId w:val="25"/>
        </w:numPr>
        <w:bidi/>
        <w:spacing w:after="0" w:line="276" w:lineRule="auto"/>
        <w:jc w:val="both"/>
        <w:rPr>
          <w:rFonts w:ascii="Segoe UI" w:hAnsi="Segoe UI" w:cs="Segoe UI"/>
          <w:rtl/>
          <w:lang w:val="en-ZW"/>
        </w:rPr>
      </w:pPr>
      <w:r w:rsidRPr="005D51C5">
        <w:rPr>
          <w:rFonts w:ascii="Segoe UI" w:hAnsi="Segoe UI" w:cs="Segoe UI"/>
          <w:rtl/>
          <w:lang w:val="en-ZW"/>
        </w:rPr>
        <w:t>אין להעניש סתם ללא אבחנה מדעית. יש לבדוק מדעית מה מביא עבריינים לבצע עבירות.</w:t>
      </w:r>
    </w:p>
    <w:p w14:paraId="06F145BF" w14:textId="23297A15" w:rsidR="005D51C5" w:rsidRPr="00D011C4" w:rsidRDefault="005D51C5" w:rsidP="008F05D0">
      <w:pPr>
        <w:pStyle w:val="ab"/>
        <w:numPr>
          <w:ilvl w:val="0"/>
          <w:numId w:val="25"/>
        </w:numPr>
        <w:bidi/>
        <w:spacing w:after="0" w:line="276" w:lineRule="auto"/>
        <w:jc w:val="both"/>
        <w:rPr>
          <w:rFonts w:ascii="Segoe UI" w:hAnsi="Segoe UI" w:cs="Segoe UI"/>
          <w:color w:val="002060"/>
          <w:rtl/>
          <w:lang w:val="en-ZW"/>
        </w:rPr>
      </w:pPr>
      <w:r w:rsidRPr="005D51C5">
        <w:rPr>
          <w:rFonts w:ascii="Segoe UI" w:hAnsi="Segoe UI" w:cs="Segoe UI"/>
          <w:rtl/>
          <w:lang w:val="en-ZW"/>
        </w:rPr>
        <w:t xml:space="preserve">תכונות תורשתיות הן שמביאות עבריינים לפשע (אין להם יצר חופשי) </w:t>
      </w:r>
      <w:r w:rsidR="00D011C4">
        <w:rPr>
          <w:rFonts w:ascii="Segoe UI" w:hAnsi="Segoe UI" w:cs="Segoe UI"/>
          <w:rtl/>
          <w:lang w:val="en-ZW"/>
        </w:rPr>
        <w:t>–</w:t>
      </w:r>
      <w:r w:rsidR="00D011C4">
        <w:rPr>
          <w:rFonts w:ascii="Segoe UI" w:hAnsi="Segoe UI" w:cs="Segoe UI" w:hint="cs"/>
          <w:rtl/>
          <w:lang w:val="en-ZW"/>
        </w:rPr>
        <w:t xml:space="preserve"> </w:t>
      </w:r>
      <w:r w:rsidR="00D011C4" w:rsidRPr="00D011C4">
        <w:rPr>
          <w:rFonts w:ascii="Segoe UI" w:hAnsi="Segoe UI" w:cs="Segoe UI" w:hint="cs"/>
          <w:color w:val="002060"/>
          <w:rtl/>
          <w:lang w:val="en-ZW"/>
        </w:rPr>
        <w:t xml:space="preserve">בעצם העבריינות היא תכונה מולדת. </w:t>
      </w:r>
    </w:p>
    <w:p w14:paraId="710D58B2" w14:textId="77777777" w:rsidR="005D51C5" w:rsidRPr="005D51C5" w:rsidRDefault="005D51C5" w:rsidP="008F05D0">
      <w:pPr>
        <w:pStyle w:val="ab"/>
        <w:numPr>
          <w:ilvl w:val="0"/>
          <w:numId w:val="25"/>
        </w:numPr>
        <w:bidi/>
        <w:spacing w:after="0" w:line="276" w:lineRule="auto"/>
        <w:jc w:val="both"/>
        <w:rPr>
          <w:rFonts w:ascii="Segoe UI" w:hAnsi="Segoe UI" w:cs="Segoe UI"/>
          <w:rtl/>
          <w:lang w:val="en-ZW"/>
        </w:rPr>
      </w:pPr>
      <w:r w:rsidRPr="005D51C5">
        <w:rPr>
          <w:rFonts w:ascii="Segoe UI" w:hAnsi="Segoe UI" w:cs="Segoe UI"/>
          <w:rtl/>
          <w:lang w:val="en-ZW"/>
        </w:rPr>
        <w:t>יש לתת תרופה מותאמת לכל עבריין ולא ענישה שווה.</w:t>
      </w:r>
    </w:p>
    <w:p w14:paraId="28109A3A" w14:textId="77777777" w:rsidR="005D51C5" w:rsidRPr="005D51C5" w:rsidRDefault="005D51C5" w:rsidP="008F05D0">
      <w:pPr>
        <w:pStyle w:val="ab"/>
        <w:numPr>
          <w:ilvl w:val="0"/>
          <w:numId w:val="25"/>
        </w:numPr>
        <w:bidi/>
        <w:spacing w:after="0" w:line="276" w:lineRule="auto"/>
        <w:jc w:val="both"/>
        <w:rPr>
          <w:rFonts w:ascii="Segoe UI" w:hAnsi="Segoe UI" w:cs="Segoe UI"/>
          <w:rtl/>
          <w:lang w:val="en-ZW"/>
        </w:rPr>
      </w:pPr>
      <w:r w:rsidRPr="005D51C5">
        <w:rPr>
          <w:rFonts w:ascii="Segoe UI" w:hAnsi="Segoe UI" w:cs="Segoe UI"/>
          <w:rtl/>
          <w:lang w:val="en-ZW"/>
        </w:rPr>
        <w:t>"הפשע - סיבותיו והתרופות למניעתו": יש קשר בין התורשה לסביבה - תנאים סוציאליים ירודים גורמים לסטיות ביולוגיות שעוברות בתורשה</w:t>
      </w:r>
    </w:p>
    <w:p w14:paraId="7C2D6449" w14:textId="05600A08" w:rsidR="00C94325" w:rsidRDefault="00C94325" w:rsidP="00C94325">
      <w:pPr>
        <w:bidi/>
        <w:spacing w:after="0" w:line="276" w:lineRule="auto"/>
        <w:jc w:val="both"/>
        <w:rPr>
          <w:rFonts w:ascii="Segoe UI" w:hAnsi="Segoe UI" w:cs="Segoe UI"/>
          <w:rtl/>
          <w:lang w:val="en-ZW"/>
        </w:rPr>
      </w:pPr>
    </w:p>
    <w:p w14:paraId="23E83576" w14:textId="77777777" w:rsidR="00914FC0" w:rsidRDefault="00914FC0" w:rsidP="00914FC0">
      <w:pPr>
        <w:bidi/>
        <w:spacing w:after="0" w:line="276" w:lineRule="auto"/>
        <w:jc w:val="both"/>
        <w:rPr>
          <w:rFonts w:ascii="Segoe UI" w:hAnsi="Segoe UI" w:cs="Segoe UI"/>
          <w:rtl/>
          <w:lang w:val="en-ZW"/>
        </w:rPr>
      </w:pPr>
    </w:p>
    <w:p w14:paraId="04139E3A" w14:textId="0B90B4B7" w:rsidR="004D0282" w:rsidRPr="00104E6F" w:rsidRDefault="003A1EE6" w:rsidP="00FE144B">
      <w:pPr>
        <w:pStyle w:val="1"/>
        <w:rPr>
          <w:rtl/>
        </w:rPr>
      </w:pPr>
      <w:bookmarkStart w:id="8" w:name="_Toc108218177"/>
      <w:r w:rsidRPr="003A1EE6">
        <w:rPr>
          <w:rFonts w:hint="cs"/>
          <w:rtl/>
        </w:rPr>
        <w:lastRenderedPageBreak/>
        <w:t>הצדקות הענישה ומטרותיה</w:t>
      </w:r>
      <w:bookmarkEnd w:id="8"/>
    </w:p>
    <w:p w14:paraId="41E15057" w14:textId="3757BF7F" w:rsidR="00DD74FE" w:rsidRPr="00104E6F" w:rsidRDefault="00DD74FE" w:rsidP="008F05D0">
      <w:pPr>
        <w:pStyle w:val="2"/>
        <w:rPr>
          <w:lang w:val="en-US"/>
        </w:rPr>
      </w:pPr>
      <w:bookmarkStart w:id="9" w:name="_Toc108218178"/>
      <w:r w:rsidRPr="00104E6F">
        <w:rPr>
          <w:rtl/>
        </w:rPr>
        <w:t>הבחנה בין צידוקים לענישה לבין מטרות הענישה</w:t>
      </w:r>
      <w:bookmarkEnd w:id="9"/>
    </w:p>
    <w:p w14:paraId="7BD3F923" w14:textId="4625E95B" w:rsidR="00DD74FE" w:rsidRPr="00D16B67" w:rsidRDefault="00DD74FE" w:rsidP="008F05D0">
      <w:pPr>
        <w:bidi/>
        <w:spacing w:after="0" w:line="276" w:lineRule="auto"/>
        <w:jc w:val="both"/>
        <w:rPr>
          <w:rFonts w:ascii="Segoe UI" w:hAnsi="Segoe UI" w:cs="Segoe UI"/>
          <w:color w:val="7030A0"/>
          <w:rtl/>
          <w:lang w:val="en-ZW"/>
        </w:rPr>
      </w:pPr>
      <w:r w:rsidRPr="00BB5FC9">
        <w:rPr>
          <w:rFonts w:ascii="Segoe UI" w:hAnsi="Segoe UI" w:cs="Segoe UI"/>
          <w:shd w:val="clear" w:color="auto" w:fill="C5E0B3" w:themeFill="accent6" w:themeFillTint="66"/>
          <w:rtl/>
          <w:lang w:val="en-ZW"/>
        </w:rPr>
        <w:t>הצדקות</w:t>
      </w:r>
      <w:r w:rsidRPr="00BB5FC9">
        <w:rPr>
          <w:rFonts w:ascii="Segoe UI" w:hAnsi="Segoe UI" w:cs="Segoe UI"/>
          <w:rtl/>
          <w:lang w:val="en-ZW"/>
        </w:rPr>
        <w:t xml:space="preserve"> הענישה - התשתית המוסרית שמצדיקה את הענישה – מדוע מותר להעניש? באיזו סמכות?</w:t>
      </w:r>
      <w:r w:rsidR="00D16B67">
        <w:rPr>
          <w:rFonts w:ascii="Segoe UI" w:hAnsi="Segoe UI" w:cs="Segoe UI" w:hint="cs"/>
          <w:rtl/>
          <w:lang w:val="en-ZW"/>
        </w:rPr>
        <w:t xml:space="preserve"> </w:t>
      </w:r>
      <w:r w:rsidR="00D16B67">
        <w:rPr>
          <w:rFonts w:ascii="Segoe UI" w:hAnsi="Segoe UI" w:cs="Segoe UI" w:hint="cs"/>
          <w:color w:val="7030A0"/>
          <w:rtl/>
          <w:lang w:val="en-ZW"/>
        </w:rPr>
        <w:t>כאן יוצאים מנק' הנחה שאנחנו מבינים שכאשר מענישים אדם אנחנו עושים לו "רע"</w:t>
      </w:r>
      <w:r w:rsidR="00E63520">
        <w:rPr>
          <w:rFonts w:ascii="Segoe UI" w:hAnsi="Segoe UI" w:cs="Segoe UI" w:hint="cs"/>
          <w:color w:val="7030A0"/>
          <w:rtl/>
          <w:lang w:val="en-ZW"/>
        </w:rPr>
        <w:t xml:space="preserve"> אבל יש לנו הצדקה מוסרית לבצע זאת.</w:t>
      </w:r>
    </w:p>
    <w:p w14:paraId="0E09A443" w14:textId="0DA864D9" w:rsidR="00DD74FE" w:rsidRPr="00D16B67" w:rsidRDefault="00163FA8" w:rsidP="008F05D0">
      <w:pPr>
        <w:bidi/>
        <w:spacing w:after="0" w:line="276" w:lineRule="auto"/>
        <w:jc w:val="both"/>
        <w:rPr>
          <w:rFonts w:ascii="Segoe UI" w:hAnsi="Segoe UI" w:cs="Segoe UI"/>
          <w:color w:val="7030A0"/>
          <w:rtl/>
          <w:lang w:val="en-ZW"/>
        </w:rPr>
      </w:pPr>
      <w:r>
        <w:rPr>
          <w:rFonts w:ascii="Segoe UI" w:hAnsi="Segoe UI" w:cs="Segoe UI"/>
          <w:noProof/>
          <w:rtl/>
          <w:lang w:val="he-IL"/>
        </w:rPr>
        <w:drawing>
          <wp:anchor distT="0" distB="0" distL="114300" distR="114300" simplePos="0" relativeHeight="251668480" behindDoc="0" locked="0" layoutInCell="1" allowOverlap="1" wp14:anchorId="504F8C0D" wp14:editId="0F655077">
            <wp:simplePos x="0" y="0"/>
            <wp:positionH relativeFrom="column">
              <wp:posOffset>1066165</wp:posOffset>
            </wp:positionH>
            <wp:positionV relativeFrom="paragraph">
              <wp:posOffset>317500</wp:posOffset>
            </wp:positionV>
            <wp:extent cx="4597400" cy="2216150"/>
            <wp:effectExtent l="0" t="0" r="0" b="50800"/>
            <wp:wrapTopAndBottom/>
            <wp:docPr id="5" name="דיאגרמה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DD74FE" w:rsidRPr="00BB5FC9">
        <w:rPr>
          <w:rFonts w:ascii="Segoe UI" w:hAnsi="Segoe UI" w:cs="Segoe UI"/>
          <w:shd w:val="clear" w:color="auto" w:fill="FFE599" w:themeFill="accent4" w:themeFillTint="66"/>
          <w:rtl/>
          <w:lang w:val="en-ZW"/>
        </w:rPr>
        <w:t>מטרות</w:t>
      </w:r>
      <w:r w:rsidR="00DD74FE" w:rsidRPr="00BB5FC9">
        <w:rPr>
          <w:rFonts w:ascii="Segoe UI" w:hAnsi="Segoe UI" w:cs="Segoe UI"/>
          <w:rtl/>
          <w:lang w:val="en-ZW"/>
        </w:rPr>
        <w:t xml:space="preserve"> הענישה - הרתעה, גמול, תיקון, שיקום וכו'. </w:t>
      </w:r>
      <w:r w:rsidR="00D16B67">
        <w:rPr>
          <w:rFonts w:ascii="Segoe UI" w:hAnsi="Segoe UI" w:cs="Segoe UI" w:hint="cs"/>
          <w:color w:val="7030A0"/>
          <w:rtl/>
          <w:lang w:val="en-ZW"/>
        </w:rPr>
        <w:t xml:space="preserve">המטרות מופיעות בתיקון 113 של חוק העונשין. </w:t>
      </w:r>
    </w:p>
    <w:p w14:paraId="22EF4B39" w14:textId="77777777" w:rsidR="00DD74FE" w:rsidRPr="00BB5FC9" w:rsidRDefault="00DD74FE" w:rsidP="00A5578F">
      <w:pPr>
        <w:bidi/>
        <w:spacing w:after="0" w:line="276" w:lineRule="auto"/>
        <w:jc w:val="both"/>
        <w:rPr>
          <w:rFonts w:ascii="Segoe UI" w:hAnsi="Segoe UI" w:cs="Segoe UI"/>
          <w:lang w:val="en-ZW"/>
        </w:rPr>
      </w:pPr>
    </w:p>
    <w:p w14:paraId="2ADDB098" w14:textId="77777777" w:rsidR="00DD74FE" w:rsidRPr="00104E6F" w:rsidRDefault="00DD74FE" w:rsidP="008F05D0">
      <w:pPr>
        <w:bidi/>
        <w:spacing w:after="0" w:line="276" w:lineRule="auto"/>
        <w:jc w:val="both"/>
        <w:rPr>
          <w:rFonts w:ascii="Segoe UI" w:hAnsi="Segoe UI" w:cs="Segoe UI"/>
          <w:rtl/>
          <w:lang w:val="en-ZW"/>
        </w:rPr>
      </w:pPr>
      <w:r w:rsidRPr="00104E6F">
        <w:rPr>
          <w:rFonts w:ascii="Segoe UI" w:hAnsi="Segoe UI" w:cs="Segoe UI"/>
          <w:u w:val="single"/>
          <w:rtl/>
          <w:lang w:val="en-ZW"/>
        </w:rPr>
        <w:t>למה צריך להצדיק את הענישה?</w:t>
      </w:r>
      <w:r w:rsidRPr="00104E6F">
        <w:rPr>
          <w:rFonts w:ascii="Segoe UI" w:hAnsi="Segoe UI" w:cs="Segoe UI"/>
          <w:rtl/>
          <w:lang w:val="en-ZW"/>
        </w:rPr>
        <w:t xml:space="preserve"> גרימת סבל בכוונת תחילה נחשב דבר "לא מוסרי". מעבר לכך, חברות מתקדמות רואה חובה להקל על סבל ולמנוע אותו ככל האפשר.</w:t>
      </w:r>
    </w:p>
    <w:p w14:paraId="15CC8AD7" w14:textId="62F728DA" w:rsidR="00DD74FE" w:rsidRDefault="00DD74FE" w:rsidP="008F05D0">
      <w:pPr>
        <w:bidi/>
        <w:spacing w:after="0" w:line="276" w:lineRule="auto"/>
        <w:jc w:val="both"/>
        <w:rPr>
          <w:rFonts w:ascii="Segoe UI" w:hAnsi="Segoe UI" w:cs="Segoe UI"/>
          <w:rtl/>
          <w:lang w:val="en-ZW"/>
        </w:rPr>
      </w:pPr>
      <w:r w:rsidRPr="00104E6F">
        <w:rPr>
          <w:rFonts w:ascii="Segoe UI" w:hAnsi="Segoe UI" w:cs="Segoe UI"/>
          <w:b/>
          <w:bCs/>
          <w:rtl/>
          <w:lang w:val="en-ZW"/>
        </w:rPr>
        <w:t>יחד עם זאת, מעשה הנחשב כ"לא מוסרי" עשוי להיות מותר ואף רצוי אם יש לו צידוק מוסרי הגובר על הפסול המוסרי</w:t>
      </w:r>
      <w:r w:rsidRPr="00104E6F">
        <w:rPr>
          <w:rFonts w:ascii="Segoe UI" w:hAnsi="Segoe UI" w:cs="Segoe UI"/>
          <w:rtl/>
          <w:lang w:val="en-ZW"/>
        </w:rPr>
        <w:t>.</w:t>
      </w:r>
    </w:p>
    <w:p w14:paraId="25EDF152" w14:textId="77777777" w:rsidR="00DD74FE" w:rsidRPr="00104E6F" w:rsidRDefault="00DD74FE" w:rsidP="008F05D0">
      <w:pPr>
        <w:bidi/>
        <w:spacing w:after="0" w:line="276" w:lineRule="auto"/>
        <w:jc w:val="both"/>
        <w:rPr>
          <w:rFonts w:ascii="Segoe UI" w:hAnsi="Segoe UI" w:cs="Segoe UI"/>
          <w:rtl/>
          <w:lang w:val="en-ZW"/>
        </w:rPr>
      </w:pPr>
    </w:p>
    <w:p w14:paraId="4BAF261B" w14:textId="0BDFB9FF" w:rsidR="005B4D7C" w:rsidRPr="00303014" w:rsidRDefault="005B4D7C" w:rsidP="008F05D0">
      <w:pPr>
        <w:pStyle w:val="ab"/>
        <w:numPr>
          <w:ilvl w:val="0"/>
          <w:numId w:val="26"/>
        </w:numPr>
        <w:bidi/>
        <w:spacing w:after="0" w:line="276" w:lineRule="auto"/>
        <w:jc w:val="both"/>
        <w:rPr>
          <w:rFonts w:ascii="Segoe UI" w:hAnsi="Segoe UI" w:cs="Segoe UI"/>
          <w:lang w:val="en-US"/>
        </w:rPr>
      </w:pPr>
      <w:r w:rsidRPr="00303014">
        <w:rPr>
          <w:rFonts w:ascii="Segoe UI" w:hAnsi="Segoe UI" w:cs="Segoe UI"/>
          <w:rtl/>
          <w:lang w:val="en-ZW"/>
        </w:rPr>
        <w:t>במדינות דתיות (איראן) לא מתעוררות שאלות הקשורות לעונש</w:t>
      </w:r>
    </w:p>
    <w:p w14:paraId="1955C21D" w14:textId="26FFE72F" w:rsidR="005B4D7C" w:rsidRPr="00303014" w:rsidRDefault="005B4D7C" w:rsidP="008F05D0">
      <w:pPr>
        <w:pStyle w:val="ab"/>
        <w:numPr>
          <w:ilvl w:val="0"/>
          <w:numId w:val="26"/>
        </w:numPr>
        <w:bidi/>
        <w:spacing w:after="0" w:line="276" w:lineRule="auto"/>
        <w:jc w:val="both"/>
        <w:rPr>
          <w:rFonts w:ascii="Segoe UI" w:hAnsi="Segoe UI" w:cs="Segoe UI"/>
          <w:rtl/>
          <w:lang w:val="en-ZW"/>
        </w:rPr>
      </w:pPr>
      <w:r w:rsidRPr="00303014">
        <w:rPr>
          <w:rFonts w:ascii="Segoe UI" w:hAnsi="Segoe UI" w:cs="Segoe UI"/>
          <w:rtl/>
          <w:lang w:val="en-ZW"/>
        </w:rPr>
        <w:t>במדינות דמוקרטיות, מתעוררות שאלות של "טוב ורע</w:t>
      </w:r>
      <w:r w:rsidR="00F17941">
        <w:rPr>
          <w:rFonts w:ascii="Segoe UI" w:hAnsi="Segoe UI" w:cs="Segoe UI" w:hint="cs"/>
          <w:rtl/>
          <w:lang w:val="en-ZW"/>
        </w:rPr>
        <w:t>"</w:t>
      </w:r>
    </w:p>
    <w:p w14:paraId="0A048005" w14:textId="1461ADBC" w:rsidR="005B4D7C" w:rsidRPr="00303014" w:rsidRDefault="005B4D7C" w:rsidP="008F05D0">
      <w:pPr>
        <w:pStyle w:val="ab"/>
        <w:numPr>
          <w:ilvl w:val="0"/>
          <w:numId w:val="26"/>
        </w:numPr>
        <w:bidi/>
        <w:spacing w:after="0" w:line="276" w:lineRule="auto"/>
        <w:jc w:val="both"/>
        <w:rPr>
          <w:rFonts w:ascii="Segoe UI" w:hAnsi="Segoe UI" w:cs="Segoe UI"/>
          <w:rtl/>
          <w:lang w:val="en-ZW"/>
        </w:rPr>
      </w:pPr>
      <w:r w:rsidRPr="00303014">
        <w:rPr>
          <w:rFonts w:ascii="Segoe UI" w:hAnsi="Segoe UI" w:cs="Segoe UI"/>
          <w:rtl/>
          <w:lang w:val="en-ZW"/>
        </w:rPr>
        <w:t>הנושא של "הצדקת העונש" נדו</w:t>
      </w:r>
      <w:r w:rsidR="00F71CE5">
        <w:rPr>
          <w:rFonts w:ascii="Segoe UI" w:hAnsi="Segoe UI" w:cs="Segoe UI" w:hint="cs"/>
          <w:rtl/>
          <w:lang w:val="en-ZW"/>
        </w:rPr>
        <w:t>ן</w:t>
      </w:r>
      <w:r w:rsidRPr="00303014">
        <w:rPr>
          <w:rFonts w:ascii="Segoe UI" w:hAnsi="Segoe UI" w:cs="Segoe UI"/>
          <w:rtl/>
          <w:lang w:val="en-ZW"/>
        </w:rPr>
        <w:t xml:space="preserve"> תמיד</w:t>
      </w:r>
    </w:p>
    <w:p w14:paraId="69AFFD1B" w14:textId="020EBB32" w:rsidR="005B4D7C" w:rsidRPr="00303014" w:rsidRDefault="005B4D7C" w:rsidP="008F05D0">
      <w:pPr>
        <w:pStyle w:val="ab"/>
        <w:numPr>
          <w:ilvl w:val="0"/>
          <w:numId w:val="26"/>
        </w:numPr>
        <w:bidi/>
        <w:spacing w:after="0" w:line="276" w:lineRule="auto"/>
        <w:jc w:val="both"/>
        <w:rPr>
          <w:rFonts w:ascii="Segoe UI" w:hAnsi="Segoe UI" w:cs="Segoe UI"/>
          <w:rtl/>
          <w:lang w:val="en-ZW"/>
        </w:rPr>
      </w:pPr>
      <w:r w:rsidRPr="00303014">
        <w:rPr>
          <w:rFonts w:ascii="Segoe UI" w:hAnsi="Segoe UI" w:cs="Segoe UI"/>
          <w:rtl/>
          <w:lang w:val="en-ZW"/>
        </w:rPr>
        <w:t>עם החילון המואץ של העולם</w:t>
      </w:r>
      <w:r w:rsidR="0071689F">
        <w:rPr>
          <w:rFonts w:ascii="Segoe UI" w:hAnsi="Segoe UI" w:cs="Segoe UI" w:hint="cs"/>
          <w:rtl/>
          <w:lang w:val="en-ZW"/>
        </w:rPr>
        <w:t xml:space="preserve"> - </w:t>
      </w:r>
      <w:r w:rsidRPr="00303014">
        <w:rPr>
          <w:rFonts w:ascii="Segoe UI" w:hAnsi="Segoe UI" w:cs="Segoe UI"/>
          <w:rtl/>
          <w:lang w:val="en-ZW"/>
        </w:rPr>
        <w:t>הוגי דעות, משפטנים ופילוסופים החלו לעסוק בנושא בצורה מקצועית</w:t>
      </w:r>
    </w:p>
    <w:p w14:paraId="1F8DE4FB" w14:textId="77411951" w:rsidR="005B4D7C" w:rsidRDefault="005B4D7C" w:rsidP="008F05D0">
      <w:pPr>
        <w:bidi/>
        <w:spacing w:after="0" w:line="276" w:lineRule="auto"/>
        <w:jc w:val="both"/>
        <w:rPr>
          <w:rFonts w:ascii="Segoe UI" w:hAnsi="Segoe UI" w:cs="Segoe UI"/>
          <w:rtl/>
          <w:lang w:val="en-ZW"/>
        </w:rPr>
      </w:pPr>
    </w:p>
    <w:p w14:paraId="17752EAA" w14:textId="59EBA080" w:rsidR="00E838F9" w:rsidRPr="00704726" w:rsidRDefault="00E838F9" w:rsidP="008F05D0">
      <w:pPr>
        <w:pStyle w:val="2"/>
        <w:rPr>
          <w:rtl/>
        </w:rPr>
      </w:pPr>
      <w:bookmarkStart w:id="10" w:name="_Toc108218179"/>
      <w:r w:rsidRPr="0023432E">
        <w:rPr>
          <w:rFonts w:hint="cs"/>
          <w:rtl/>
        </w:rPr>
        <w:t>הצדקות לענישה</w:t>
      </w:r>
      <w:bookmarkEnd w:id="10"/>
    </w:p>
    <w:p w14:paraId="21962171" w14:textId="590850D2" w:rsidR="005B4D7C" w:rsidRPr="0023432E" w:rsidRDefault="005B4D7C" w:rsidP="008F05D0">
      <w:pPr>
        <w:pStyle w:val="2"/>
        <w:rPr>
          <w:lang w:val="en-US"/>
        </w:rPr>
      </w:pPr>
      <w:bookmarkStart w:id="11" w:name="_Toc108218180"/>
      <w:r w:rsidRPr="0023432E">
        <w:rPr>
          <w:rtl/>
        </w:rPr>
        <w:t>גישת הגמול</w:t>
      </w:r>
      <w:bookmarkEnd w:id="11"/>
    </w:p>
    <w:p w14:paraId="178D9EA1" w14:textId="77777777" w:rsidR="005B4D7C" w:rsidRPr="00C94325" w:rsidRDefault="005B4D7C" w:rsidP="008F05D0">
      <w:pPr>
        <w:bidi/>
        <w:spacing w:after="0" w:line="276" w:lineRule="auto"/>
        <w:jc w:val="both"/>
        <w:rPr>
          <w:rFonts w:ascii="Segoe UI" w:hAnsi="Segoe UI" w:cs="Segoe UI"/>
          <w:rtl/>
          <w:lang w:val="en-ZW"/>
        </w:rPr>
      </w:pPr>
      <w:r w:rsidRPr="00A242B5">
        <w:rPr>
          <w:rFonts w:ascii="Segoe UI" w:hAnsi="Segoe UI" w:cs="Segoe UI"/>
          <w:highlight w:val="green"/>
          <w:u w:val="single"/>
          <w:rtl/>
          <w:lang w:val="en-ZW"/>
        </w:rPr>
        <w:t>עמנואל קנט</w:t>
      </w:r>
      <w:r w:rsidRPr="00C94325">
        <w:rPr>
          <w:rFonts w:ascii="Segoe UI" w:hAnsi="Segoe UI" w:cs="Segoe UI"/>
          <w:rtl/>
          <w:lang w:val="en-ZW"/>
        </w:rPr>
        <w:t xml:space="preserve"> - ענישת הפושע היא חובה מוסרית. הצידוק: למה? "כי הוא פשע". </w:t>
      </w:r>
    </w:p>
    <w:p w14:paraId="2F0B5145" w14:textId="77777777" w:rsidR="005B4D7C" w:rsidRPr="001545EB" w:rsidRDefault="005B4D7C" w:rsidP="008F05D0">
      <w:pPr>
        <w:pStyle w:val="ab"/>
        <w:numPr>
          <w:ilvl w:val="0"/>
          <w:numId w:val="27"/>
        </w:numPr>
        <w:bidi/>
        <w:spacing w:after="0" w:line="276" w:lineRule="auto"/>
        <w:jc w:val="both"/>
        <w:rPr>
          <w:rFonts w:ascii="Segoe UI" w:hAnsi="Segoe UI" w:cs="Segoe UI"/>
          <w:rtl/>
          <w:lang w:val="en-ZW"/>
        </w:rPr>
      </w:pPr>
      <w:r w:rsidRPr="001545EB">
        <w:rPr>
          <w:rFonts w:ascii="Segoe UI" w:hAnsi="Segoe UI" w:cs="Segoe UI"/>
          <w:rtl/>
          <w:lang w:val="en-ZW"/>
        </w:rPr>
        <w:t>חובת הענישה היא חובה מוחלטת ומכונה "ציווי מוחלט".</w:t>
      </w:r>
    </w:p>
    <w:p w14:paraId="6039822E" w14:textId="77777777" w:rsidR="005B4D7C" w:rsidRPr="001545EB" w:rsidRDefault="005B4D7C" w:rsidP="008F05D0">
      <w:pPr>
        <w:pStyle w:val="ab"/>
        <w:numPr>
          <w:ilvl w:val="0"/>
          <w:numId w:val="27"/>
        </w:numPr>
        <w:bidi/>
        <w:spacing w:after="0" w:line="276" w:lineRule="auto"/>
        <w:jc w:val="both"/>
        <w:rPr>
          <w:rFonts w:ascii="Segoe UI" w:hAnsi="Segoe UI" w:cs="Segoe UI"/>
          <w:rtl/>
          <w:lang w:val="en-ZW"/>
        </w:rPr>
      </w:pPr>
      <w:r w:rsidRPr="001545EB">
        <w:rPr>
          <w:rFonts w:ascii="Segoe UI" w:hAnsi="Segoe UI" w:cs="Segoe UI"/>
          <w:rtl/>
          <w:lang w:val="en-ZW"/>
        </w:rPr>
        <w:t>מידת העונש צריכה להיות כמידת הפשע ("עיקרון הגמול").</w:t>
      </w:r>
    </w:p>
    <w:p w14:paraId="19440ECE" w14:textId="77777777" w:rsidR="005B4D7C" w:rsidRPr="001545EB" w:rsidRDefault="005B4D7C" w:rsidP="008F05D0">
      <w:pPr>
        <w:pStyle w:val="ab"/>
        <w:numPr>
          <w:ilvl w:val="0"/>
          <w:numId w:val="27"/>
        </w:numPr>
        <w:bidi/>
        <w:spacing w:after="0" w:line="276" w:lineRule="auto"/>
        <w:jc w:val="both"/>
        <w:rPr>
          <w:rFonts w:ascii="Segoe UI" w:hAnsi="Segoe UI" w:cs="Segoe UI"/>
          <w:rtl/>
          <w:lang w:val="en-ZW"/>
        </w:rPr>
      </w:pPr>
      <w:r w:rsidRPr="001545EB">
        <w:rPr>
          <w:rFonts w:ascii="Segoe UI" w:hAnsi="Segoe UI" w:cs="Segoe UI"/>
          <w:rtl/>
          <w:lang w:val="en-ZW"/>
        </w:rPr>
        <w:t>מטרת העונש היא להשיב לפושע כגמולו ובכך לשרת את הצדק.</w:t>
      </w:r>
    </w:p>
    <w:p w14:paraId="62F8C47C" w14:textId="7C96A61B" w:rsidR="005B4D7C" w:rsidRPr="001545EB" w:rsidRDefault="005B4D7C" w:rsidP="008F05D0">
      <w:pPr>
        <w:pStyle w:val="ab"/>
        <w:numPr>
          <w:ilvl w:val="0"/>
          <w:numId w:val="27"/>
        </w:numPr>
        <w:bidi/>
        <w:spacing w:after="0" w:line="276" w:lineRule="auto"/>
        <w:jc w:val="both"/>
        <w:rPr>
          <w:rFonts w:ascii="Segoe UI" w:hAnsi="Segoe UI" w:cs="Segoe UI"/>
          <w:rtl/>
          <w:lang w:val="en-ZW"/>
        </w:rPr>
      </w:pPr>
      <w:r w:rsidRPr="001545EB">
        <w:rPr>
          <w:rFonts w:ascii="Segoe UI" w:hAnsi="Segoe UI" w:cs="Segoe UI"/>
          <w:rtl/>
          <w:lang w:val="en-ZW"/>
        </w:rPr>
        <w:t>קנט דחה את הגישות של הצדקת הענישה על סמך תועלת שתצמח לחברה (כגון תיקון העבריינים).</w:t>
      </w:r>
    </w:p>
    <w:p w14:paraId="0075DAD6" w14:textId="4458F040" w:rsidR="004319A1" w:rsidRPr="00C94325" w:rsidRDefault="00DB2F63" w:rsidP="008F05D0">
      <w:pPr>
        <w:bidi/>
        <w:spacing w:after="0" w:line="276" w:lineRule="auto"/>
        <w:jc w:val="both"/>
        <w:rPr>
          <w:rFonts w:ascii="Segoe UI" w:hAnsi="Segoe UI" w:cs="Segoe UI"/>
          <w:color w:val="7030A0"/>
          <w:rtl/>
          <w:lang w:val="en-ZW"/>
        </w:rPr>
      </w:pPr>
      <w:r>
        <w:rPr>
          <w:rFonts w:ascii="Segoe UI" w:hAnsi="Segoe UI" w:cs="Segoe UI" w:hint="cs"/>
          <w:color w:val="7030A0"/>
          <w:rtl/>
          <w:lang w:val="en-ZW"/>
        </w:rPr>
        <w:t xml:space="preserve">קנט בעצם אומר שלא אכפת לו מה יוצא מכך, אם רע לאדם, אם יחזור להיות עבריין. קנט לא עוסק בשאלות של למה, כמה, איך אלא במצב של אתה רע? אז ניתן לך רע בחזרה. </w:t>
      </w:r>
    </w:p>
    <w:p w14:paraId="2937C3A1" w14:textId="387B9E4F" w:rsidR="00340F55" w:rsidRDefault="00A242B5" w:rsidP="008F05D0">
      <w:pPr>
        <w:bidi/>
        <w:spacing w:after="0" w:line="276" w:lineRule="auto"/>
        <w:jc w:val="both"/>
        <w:rPr>
          <w:rFonts w:ascii="Segoe UI" w:hAnsi="Segoe UI" w:cs="Segoe UI"/>
          <w:u w:val="single"/>
          <w:rtl/>
          <w:lang w:val="en-ZW"/>
        </w:rPr>
      </w:pPr>
      <w:r w:rsidRPr="00A242B5">
        <w:rPr>
          <w:rFonts w:ascii="Segoe UI" w:hAnsi="Segoe UI" w:cs="Segoe UI" w:hint="cs"/>
          <w:highlight w:val="green"/>
          <w:u w:val="single"/>
          <w:rtl/>
          <w:lang w:val="en-ZW"/>
        </w:rPr>
        <w:t>הפילוסוף הגל</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רואה את העולם מאוזן מבחינה מוסרית. </w:t>
      </w:r>
    </w:p>
    <w:p w14:paraId="74C9FB4A" w14:textId="77777777" w:rsidR="001545EB" w:rsidRPr="001545EB" w:rsidRDefault="001545EB" w:rsidP="008F05D0">
      <w:pPr>
        <w:pStyle w:val="ab"/>
        <w:numPr>
          <w:ilvl w:val="0"/>
          <w:numId w:val="28"/>
        </w:numPr>
        <w:bidi/>
        <w:spacing w:after="0" w:line="276" w:lineRule="auto"/>
        <w:jc w:val="both"/>
        <w:rPr>
          <w:rFonts w:ascii="Segoe UI" w:hAnsi="Segoe UI" w:cs="Segoe UI"/>
          <w:rtl/>
          <w:lang w:val="en-ZW"/>
        </w:rPr>
      </w:pPr>
      <w:r w:rsidRPr="001545EB">
        <w:rPr>
          <w:rFonts w:ascii="Segoe UI" w:hAnsi="Segoe UI" w:cs="Segoe UI"/>
          <w:rtl/>
          <w:lang w:val="en-ZW"/>
        </w:rPr>
        <w:t>מבחינת חלוקת הטוב והרע - פשע מפר את האיזון החברתי</w:t>
      </w:r>
      <w:r w:rsidRPr="001545EB">
        <w:rPr>
          <w:rFonts w:ascii="Segoe UI" w:hAnsi="Segoe UI" w:cs="Segoe UI"/>
          <w:lang w:val="en-ZW"/>
        </w:rPr>
        <w:t>.</w:t>
      </w:r>
    </w:p>
    <w:p w14:paraId="03BA2E0A" w14:textId="77777777" w:rsidR="001545EB" w:rsidRPr="001545EB" w:rsidRDefault="001545EB" w:rsidP="008F05D0">
      <w:pPr>
        <w:pStyle w:val="ab"/>
        <w:numPr>
          <w:ilvl w:val="0"/>
          <w:numId w:val="28"/>
        </w:numPr>
        <w:bidi/>
        <w:spacing w:after="0" w:line="276" w:lineRule="auto"/>
        <w:jc w:val="both"/>
        <w:rPr>
          <w:rFonts w:ascii="Segoe UI" w:hAnsi="Segoe UI" w:cs="Segoe UI"/>
          <w:rtl/>
          <w:lang w:val="en-ZW"/>
        </w:rPr>
      </w:pPr>
      <w:r w:rsidRPr="001545EB">
        <w:rPr>
          <w:rFonts w:ascii="Segoe UI" w:hAnsi="Segoe UI" w:cs="Segoe UI"/>
          <w:rtl/>
          <w:lang w:val="en-ZW"/>
        </w:rPr>
        <w:t>הענישה - מבטלת את הרע. מחזירה את האיזון על כנו. מאששת את הצדק המוסרי</w:t>
      </w:r>
      <w:r w:rsidRPr="001545EB">
        <w:rPr>
          <w:rFonts w:ascii="Segoe UI" w:hAnsi="Segoe UI" w:cs="Segoe UI"/>
          <w:lang w:val="en-ZW"/>
        </w:rPr>
        <w:t>.</w:t>
      </w:r>
    </w:p>
    <w:p w14:paraId="1884D555" w14:textId="64CB9492" w:rsidR="001545EB" w:rsidRDefault="001545EB" w:rsidP="008F05D0">
      <w:pPr>
        <w:pStyle w:val="ab"/>
        <w:numPr>
          <w:ilvl w:val="0"/>
          <w:numId w:val="28"/>
        </w:numPr>
        <w:bidi/>
        <w:spacing w:after="0" w:line="276" w:lineRule="auto"/>
        <w:jc w:val="both"/>
        <w:rPr>
          <w:rFonts w:ascii="Segoe UI" w:hAnsi="Segoe UI" w:cs="Segoe UI"/>
          <w:lang w:val="en-ZW"/>
        </w:rPr>
      </w:pPr>
      <w:r w:rsidRPr="001545EB">
        <w:rPr>
          <w:rFonts w:ascii="Segoe UI" w:hAnsi="Segoe UI" w:cs="Segoe UI"/>
          <w:rtl/>
          <w:lang w:val="en-ZW"/>
        </w:rPr>
        <w:t>טיעון נוסף של הגל - לעבריין יש זכות להיענש. העונש מכבד את העבריין כיצור רציונאלי</w:t>
      </w:r>
      <w:r w:rsidRPr="001545EB">
        <w:rPr>
          <w:rFonts w:ascii="Segoe UI" w:hAnsi="Segoe UI" w:cs="Segoe UI"/>
          <w:lang w:val="en-ZW"/>
        </w:rPr>
        <w:t>.</w:t>
      </w:r>
    </w:p>
    <w:p w14:paraId="710F95F4" w14:textId="7617E1B9" w:rsidR="004319A1" w:rsidRPr="004319A1" w:rsidRDefault="004319A1" w:rsidP="008F05D0">
      <w:pPr>
        <w:bidi/>
        <w:spacing w:after="0" w:line="276" w:lineRule="auto"/>
        <w:jc w:val="both"/>
        <w:rPr>
          <w:rFonts w:ascii="Segoe UI" w:hAnsi="Segoe UI" w:cs="Segoe UI"/>
          <w:color w:val="7030A0"/>
          <w:rtl/>
          <w:lang w:val="en-ZW"/>
        </w:rPr>
      </w:pPr>
      <w:r>
        <w:rPr>
          <w:rFonts w:ascii="Segoe UI" w:hAnsi="Segoe UI" w:cs="Segoe UI" w:hint="cs"/>
          <w:color w:val="7030A0"/>
          <w:rtl/>
          <w:lang w:val="en-ZW"/>
        </w:rPr>
        <w:t xml:space="preserve">בעצם בשימת העבריין בכלא אנחנו מחזירים את "השלווה" בעולם. </w:t>
      </w:r>
    </w:p>
    <w:p w14:paraId="79750A66" w14:textId="7EB1397B" w:rsidR="001545EB" w:rsidRDefault="001545EB" w:rsidP="008F05D0">
      <w:pPr>
        <w:pStyle w:val="ab"/>
        <w:numPr>
          <w:ilvl w:val="0"/>
          <w:numId w:val="28"/>
        </w:numPr>
        <w:bidi/>
        <w:spacing w:after="0" w:line="276" w:lineRule="auto"/>
        <w:jc w:val="both"/>
        <w:rPr>
          <w:rFonts w:ascii="Segoe UI" w:hAnsi="Segoe UI" w:cs="Segoe UI"/>
          <w:lang w:val="en-ZW"/>
        </w:rPr>
      </w:pPr>
      <w:r w:rsidRPr="004319A1">
        <w:rPr>
          <w:rFonts w:ascii="Segoe UI" w:hAnsi="Segoe UI" w:cs="Segoe UI"/>
          <w:highlight w:val="green"/>
          <w:rtl/>
          <w:lang w:val="en-ZW"/>
        </w:rPr>
        <w:lastRenderedPageBreak/>
        <w:t xml:space="preserve">לורד </w:t>
      </w:r>
      <w:proofErr w:type="spellStart"/>
      <w:r w:rsidRPr="004319A1">
        <w:rPr>
          <w:rFonts w:ascii="Segoe UI" w:hAnsi="Segoe UI" w:cs="Segoe UI"/>
          <w:highlight w:val="green"/>
          <w:rtl/>
          <w:lang w:val="en-ZW"/>
        </w:rPr>
        <w:t>דנינג</w:t>
      </w:r>
      <w:proofErr w:type="spellEnd"/>
      <w:r w:rsidRPr="001545EB">
        <w:rPr>
          <w:rFonts w:ascii="Segoe UI" w:hAnsi="Segoe UI" w:cs="Segoe UI"/>
          <w:rtl/>
          <w:lang w:val="en-ZW"/>
        </w:rPr>
        <w:t>: "צידוקו של כל עונש אינו בהרתעה האפשרית שלו אלא בכך שהקהילה מבטאת את הגינוי הנמרץ של הפשע".</w:t>
      </w:r>
    </w:p>
    <w:p w14:paraId="6FF70E14" w14:textId="77777777" w:rsidR="004319A1" w:rsidRPr="004319A1" w:rsidRDefault="004319A1" w:rsidP="008F05D0">
      <w:pPr>
        <w:bidi/>
        <w:spacing w:after="0" w:line="276" w:lineRule="auto"/>
        <w:jc w:val="both"/>
        <w:rPr>
          <w:rFonts w:ascii="Segoe UI" w:hAnsi="Segoe UI" w:cs="Segoe UI"/>
          <w:lang w:val="en-ZW"/>
        </w:rPr>
      </w:pPr>
    </w:p>
    <w:p w14:paraId="2AC428C7" w14:textId="303744F0" w:rsidR="00293A19" w:rsidRDefault="00293A19" w:rsidP="008F05D0">
      <w:pPr>
        <w:pStyle w:val="2"/>
        <w:rPr>
          <w:rtl/>
        </w:rPr>
      </w:pPr>
      <w:bookmarkStart w:id="12" w:name="_Toc108218181"/>
      <w:r w:rsidRPr="00293A19">
        <w:rPr>
          <w:rFonts w:hint="cs"/>
          <w:rtl/>
        </w:rPr>
        <w:t>תיאוריית הזכויות</w:t>
      </w:r>
      <w:bookmarkEnd w:id="12"/>
      <w:r w:rsidRPr="00293A19">
        <w:rPr>
          <w:rFonts w:hint="cs"/>
          <w:rtl/>
        </w:rPr>
        <w:t xml:space="preserve"> </w:t>
      </w:r>
    </w:p>
    <w:p w14:paraId="6FFF7003" w14:textId="6CAFF826" w:rsidR="00293A19" w:rsidRDefault="00293A19" w:rsidP="008F05D0">
      <w:pPr>
        <w:bidi/>
        <w:spacing w:after="0" w:line="276" w:lineRule="auto"/>
        <w:jc w:val="both"/>
        <w:rPr>
          <w:rFonts w:ascii="Segoe UI" w:hAnsi="Segoe UI" w:cs="Segoe UI"/>
          <w:rtl/>
          <w:lang w:val="en-ZW"/>
        </w:rPr>
      </w:pPr>
      <w:r w:rsidRPr="00293A19">
        <w:rPr>
          <w:rFonts w:ascii="Segoe UI" w:hAnsi="Segoe UI" w:cs="Segoe UI" w:hint="cs"/>
          <w:highlight w:val="green"/>
          <w:rtl/>
          <w:lang w:val="en-ZW"/>
        </w:rPr>
        <w:t xml:space="preserve">ג'ון </w:t>
      </w:r>
      <w:proofErr w:type="spellStart"/>
      <w:r w:rsidRPr="00293A19">
        <w:rPr>
          <w:rFonts w:ascii="Segoe UI" w:hAnsi="Segoe UI" w:cs="Segoe UI" w:hint="cs"/>
          <w:highlight w:val="green"/>
          <w:rtl/>
          <w:lang w:val="en-ZW"/>
        </w:rPr>
        <w:t>רולס</w:t>
      </w:r>
      <w:proofErr w:type="spellEnd"/>
      <w:r w:rsidRPr="00293A19">
        <w:rPr>
          <w:rFonts w:ascii="Segoe UI" w:hAnsi="Segoe UI" w:cs="Segoe UI" w:hint="cs"/>
          <w:highlight w:val="green"/>
          <w:rtl/>
          <w:lang w:val="en-ZW"/>
        </w:rPr>
        <w:t xml:space="preserve"> </w:t>
      </w:r>
      <w:proofErr w:type="spellStart"/>
      <w:r w:rsidRPr="00293A19">
        <w:rPr>
          <w:rFonts w:ascii="Segoe UI" w:hAnsi="Segoe UI" w:cs="Segoe UI" w:hint="cs"/>
          <w:highlight w:val="green"/>
          <w:rtl/>
          <w:lang w:val="en-ZW"/>
        </w:rPr>
        <w:t>ורונלד</w:t>
      </w:r>
      <w:proofErr w:type="spellEnd"/>
      <w:r w:rsidRPr="00293A19">
        <w:rPr>
          <w:rFonts w:ascii="Segoe UI" w:hAnsi="Segoe UI" w:cs="Segoe UI" w:hint="cs"/>
          <w:highlight w:val="green"/>
          <w:rtl/>
          <w:lang w:val="en-ZW"/>
        </w:rPr>
        <w:t xml:space="preserve"> </w:t>
      </w:r>
      <w:proofErr w:type="spellStart"/>
      <w:r w:rsidRPr="00293A19">
        <w:rPr>
          <w:rFonts w:ascii="Segoe UI" w:hAnsi="Segoe UI" w:cs="Segoe UI" w:hint="cs"/>
          <w:highlight w:val="green"/>
          <w:rtl/>
          <w:lang w:val="en-ZW"/>
        </w:rPr>
        <w:t>דבורקין</w:t>
      </w:r>
      <w:proofErr w:type="spellEnd"/>
      <w:r>
        <w:rPr>
          <w:rFonts w:ascii="Segoe UI" w:hAnsi="Segoe UI" w:cs="Segoe UI" w:hint="cs"/>
          <w:rtl/>
          <w:lang w:val="en-ZW"/>
        </w:rPr>
        <w:t xml:space="preserve"> </w:t>
      </w:r>
    </w:p>
    <w:p w14:paraId="2FFCB8B4" w14:textId="77777777" w:rsidR="00A30497" w:rsidRPr="00A30497" w:rsidRDefault="00A30497" w:rsidP="008F05D0">
      <w:pPr>
        <w:pStyle w:val="ab"/>
        <w:numPr>
          <w:ilvl w:val="0"/>
          <w:numId w:val="29"/>
        </w:numPr>
        <w:bidi/>
        <w:spacing w:after="0" w:line="276" w:lineRule="auto"/>
        <w:jc w:val="both"/>
        <w:rPr>
          <w:rFonts w:ascii="Segoe UI" w:hAnsi="Segoe UI" w:cs="Segoe UI"/>
          <w:rtl/>
          <w:lang w:val="en-ZW"/>
        </w:rPr>
      </w:pPr>
      <w:r w:rsidRPr="00A30497">
        <w:rPr>
          <w:rFonts w:ascii="Segoe UI" w:hAnsi="Segoe UI" w:cs="Segoe UI"/>
          <w:rtl/>
          <w:lang w:val="en-ZW"/>
        </w:rPr>
        <w:t>במרכזה של התיאוריה עומד חירות הפרט</w:t>
      </w:r>
    </w:p>
    <w:p w14:paraId="0D469B93" w14:textId="77777777" w:rsidR="00A30497" w:rsidRPr="00A30497" w:rsidRDefault="00A30497" w:rsidP="008F05D0">
      <w:pPr>
        <w:pStyle w:val="ab"/>
        <w:numPr>
          <w:ilvl w:val="0"/>
          <w:numId w:val="29"/>
        </w:numPr>
        <w:bidi/>
        <w:spacing w:after="0" w:line="276" w:lineRule="auto"/>
        <w:jc w:val="both"/>
        <w:rPr>
          <w:rFonts w:ascii="Segoe UI" w:hAnsi="Segoe UI" w:cs="Segoe UI"/>
          <w:rtl/>
          <w:lang w:val="en-ZW"/>
        </w:rPr>
      </w:pPr>
      <w:r w:rsidRPr="00A30497">
        <w:rPr>
          <w:rFonts w:ascii="Segoe UI" w:hAnsi="Segoe UI" w:cs="Segoe UI"/>
          <w:rtl/>
          <w:lang w:val="en-ZW"/>
        </w:rPr>
        <w:t>לפרט יש זכות לחירות אישית שאסור לפגוע בה אבל גם בחברה כזו, יש כאלה שאינם שומרים על הכללים והמדינה צריכה יכולת של כפייה</w:t>
      </w:r>
      <w:r w:rsidRPr="00A30497">
        <w:rPr>
          <w:rFonts w:ascii="Segoe UI" w:hAnsi="Segoe UI" w:cs="Segoe UI"/>
          <w:lang w:val="en-ZW"/>
        </w:rPr>
        <w:t>.</w:t>
      </w:r>
    </w:p>
    <w:p w14:paraId="35CFC656" w14:textId="0D3B773D" w:rsidR="00A30497" w:rsidRDefault="00A30497" w:rsidP="008F05D0">
      <w:pPr>
        <w:pStyle w:val="ab"/>
        <w:numPr>
          <w:ilvl w:val="0"/>
          <w:numId w:val="29"/>
        </w:numPr>
        <w:bidi/>
        <w:spacing w:after="0" w:line="276" w:lineRule="auto"/>
        <w:jc w:val="both"/>
        <w:rPr>
          <w:rFonts w:ascii="Segoe UI" w:hAnsi="Segoe UI" w:cs="Segoe UI"/>
          <w:lang w:val="en-ZW"/>
        </w:rPr>
      </w:pPr>
      <w:r w:rsidRPr="00A30497">
        <w:rPr>
          <w:rFonts w:ascii="Segoe UI" w:hAnsi="Segoe UI" w:cs="Segoe UI"/>
          <w:rtl/>
          <w:lang w:val="en-ZW"/>
        </w:rPr>
        <w:t>המטרה של הענישה היא להבטיח את הזכויות והחירויות של כל פרט בחברה וכדי לקיים יציבות.</w:t>
      </w:r>
    </w:p>
    <w:p w14:paraId="3D5A0A8B" w14:textId="080F9853" w:rsidR="004319A1" w:rsidRPr="004319A1" w:rsidRDefault="00B930B4" w:rsidP="008F05D0">
      <w:pPr>
        <w:bidi/>
        <w:spacing w:after="0" w:line="276" w:lineRule="auto"/>
        <w:jc w:val="both"/>
        <w:rPr>
          <w:rFonts w:ascii="Segoe UI" w:hAnsi="Segoe UI" w:cs="Segoe UI"/>
          <w:color w:val="7030A0"/>
          <w:lang w:val="en-ZW"/>
        </w:rPr>
      </w:pPr>
      <w:r>
        <w:rPr>
          <w:rFonts w:ascii="Segoe UI" w:hAnsi="Segoe UI" w:cs="Segoe UI" w:hint="cs"/>
          <w:color w:val="7030A0"/>
          <w:rtl/>
          <w:lang w:val="en-ZW"/>
        </w:rPr>
        <w:t xml:space="preserve">לדוג' מוצדק לתת עונש לגנב רכב כי הוא פגע בחירויות של אחרים. לדוג' מישהו שרוצח מישהו בתהלוכת להט"ב אז הוא פוגע בחירויות של האחר ולכן מענישים אותו. </w:t>
      </w:r>
    </w:p>
    <w:p w14:paraId="341EFF2C" w14:textId="24300A43" w:rsidR="001C6257" w:rsidRDefault="001C6257" w:rsidP="008F05D0">
      <w:pPr>
        <w:spacing w:after="0" w:line="276" w:lineRule="auto"/>
        <w:jc w:val="right"/>
        <w:rPr>
          <w:lang w:val="en-ZW"/>
        </w:rPr>
      </w:pPr>
    </w:p>
    <w:p w14:paraId="2A995AF6" w14:textId="1A2AB394" w:rsidR="001C6257" w:rsidRDefault="001C6257" w:rsidP="008F05D0">
      <w:pPr>
        <w:pStyle w:val="2"/>
        <w:rPr>
          <w:rtl/>
        </w:rPr>
      </w:pPr>
      <w:bookmarkStart w:id="13" w:name="_Toc108218182"/>
      <w:r w:rsidRPr="00293A19">
        <w:rPr>
          <w:rFonts w:hint="cs"/>
          <w:rtl/>
        </w:rPr>
        <w:t>תיאוריית ה</w:t>
      </w:r>
      <w:r>
        <w:rPr>
          <w:rFonts w:hint="cs"/>
          <w:rtl/>
        </w:rPr>
        <w:t>אמנה החברתית</w:t>
      </w:r>
      <w:bookmarkEnd w:id="13"/>
    </w:p>
    <w:p w14:paraId="279B5C9C" w14:textId="77777777" w:rsidR="00AD5B42" w:rsidRDefault="001C6257" w:rsidP="008F05D0">
      <w:pPr>
        <w:bidi/>
        <w:spacing w:after="0" w:line="276" w:lineRule="auto"/>
        <w:jc w:val="both"/>
        <w:rPr>
          <w:rFonts w:ascii="Segoe UI" w:hAnsi="Segoe UI" w:cs="Segoe UI"/>
          <w:rtl/>
          <w:lang w:val="en-ZW"/>
        </w:rPr>
      </w:pPr>
      <w:r w:rsidRPr="001C6257">
        <w:rPr>
          <w:rFonts w:ascii="Segoe UI" w:hAnsi="Segoe UI" w:cs="Segoe UI" w:hint="cs"/>
          <w:highlight w:val="green"/>
          <w:rtl/>
          <w:lang w:val="en-ZW"/>
        </w:rPr>
        <w:t xml:space="preserve">ז'אן </w:t>
      </w:r>
      <w:proofErr w:type="spellStart"/>
      <w:r w:rsidRPr="001C6257">
        <w:rPr>
          <w:rFonts w:ascii="Segoe UI" w:hAnsi="Segoe UI" w:cs="Segoe UI" w:hint="cs"/>
          <w:highlight w:val="green"/>
          <w:rtl/>
          <w:lang w:val="en-ZW"/>
        </w:rPr>
        <w:t>זאק</w:t>
      </w:r>
      <w:proofErr w:type="spellEnd"/>
      <w:r w:rsidRPr="001C6257">
        <w:rPr>
          <w:rFonts w:ascii="Segoe UI" w:hAnsi="Segoe UI" w:cs="Segoe UI" w:hint="cs"/>
          <w:highlight w:val="green"/>
          <w:rtl/>
          <w:lang w:val="en-ZW"/>
        </w:rPr>
        <w:t xml:space="preserve"> רוסו</w:t>
      </w:r>
    </w:p>
    <w:p w14:paraId="780995E5" w14:textId="45FD75C2" w:rsidR="00AD5B42" w:rsidRPr="00AD5B42" w:rsidRDefault="00AD5B42" w:rsidP="008F05D0">
      <w:pPr>
        <w:pStyle w:val="ab"/>
        <w:numPr>
          <w:ilvl w:val="0"/>
          <w:numId w:val="30"/>
        </w:numPr>
        <w:bidi/>
        <w:spacing w:after="0" w:line="276" w:lineRule="auto"/>
        <w:jc w:val="both"/>
        <w:rPr>
          <w:rFonts w:ascii="Segoe UI" w:hAnsi="Segoe UI" w:cs="Segoe UI"/>
          <w:lang w:val="en-ZW"/>
        </w:rPr>
      </w:pPr>
      <w:r w:rsidRPr="00AD5B42">
        <w:rPr>
          <w:rFonts w:ascii="Segoe UI" w:hAnsi="Segoe UI" w:cs="Segoe UI"/>
          <w:rtl/>
          <w:lang w:val="en-ZW"/>
        </w:rPr>
        <w:t>לכל פרט יש עניין שלחברה יהיו כללים וחוקים שיבטיחו את חייהם של חבריה ושלמות גופם ורכושם</w:t>
      </w:r>
      <w:r w:rsidRPr="00AD5B42">
        <w:rPr>
          <w:rFonts w:ascii="Segoe UI" w:hAnsi="Segoe UI" w:cs="Segoe UI"/>
          <w:lang w:val="en-ZW"/>
        </w:rPr>
        <w:t>.</w:t>
      </w:r>
    </w:p>
    <w:p w14:paraId="22C876AB" w14:textId="0E3C8AF1" w:rsidR="00AD5B42" w:rsidRPr="00AD5B42" w:rsidRDefault="00AD5B42" w:rsidP="008F05D0">
      <w:pPr>
        <w:pStyle w:val="ab"/>
        <w:numPr>
          <w:ilvl w:val="0"/>
          <w:numId w:val="30"/>
        </w:numPr>
        <w:bidi/>
        <w:spacing w:after="0" w:line="276" w:lineRule="auto"/>
        <w:jc w:val="both"/>
        <w:rPr>
          <w:rFonts w:ascii="Segoe UI" w:hAnsi="Segoe UI" w:cs="Segoe UI"/>
          <w:lang w:val="en-ZW"/>
        </w:rPr>
      </w:pPr>
      <w:r w:rsidRPr="00AD5B42">
        <w:rPr>
          <w:rFonts w:ascii="Segoe UI" w:hAnsi="Segoe UI" w:cs="Segoe UI"/>
          <w:rtl/>
          <w:lang w:val="en-ZW"/>
        </w:rPr>
        <w:t>תמורת הביטחון מפני פגיעות - כל פרט מקבל על עצמו את הנטל של ריסון עצמי והימנעות מפגיעה באחר</w:t>
      </w:r>
    </w:p>
    <w:p w14:paraId="7F7D36FD" w14:textId="43AAF0DB" w:rsidR="00AD5B42" w:rsidRPr="00AD5B42" w:rsidRDefault="00AD5B42" w:rsidP="008F05D0">
      <w:pPr>
        <w:pStyle w:val="ab"/>
        <w:numPr>
          <w:ilvl w:val="0"/>
          <w:numId w:val="30"/>
        </w:numPr>
        <w:bidi/>
        <w:spacing w:after="0" w:line="276" w:lineRule="auto"/>
        <w:jc w:val="both"/>
        <w:rPr>
          <w:rFonts w:ascii="Segoe UI" w:hAnsi="Segoe UI" w:cs="Segoe UI"/>
          <w:lang w:val="en-ZW"/>
        </w:rPr>
      </w:pPr>
      <w:r w:rsidRPr="00AD5B42">
        <w:rPr>
          <w:rFonts w:ascii="Segoe UI" w:hAnsi="Segoe UI" w:cs="Segoe UI"/>
          <w:rtl/>
          <w:lang w:val="en-ZW"/>
        </w:rPr>
        <w:t>לעבריין שמסיר מעליו נטל זה יש יתרון כפול: הוא גם נהנה מפירות העבירה וגם ממשיך ליהנות מהיתרונות של האמנה החברתית</w:t>
      </w:r>
      <w:r w:rsidRPr="00AD5B42">
        <w:rPr>
          <w:rFonts w:ascii="Segoe UI" w:hAnsi="Segoe UI" w:cs="Segoe UI"/>
          <w:lang w:val="en-ZW"/>
        </w:rPr>
        <w:t xml:space="preserve"> </w:t>
      </w:r>
    </w:p>
    <w:p w14:paraId="6206668F" w14:textId="20F92508" w:rsidR="001C6257" w:rsidRDefault="00AD5B42" w:rsidP="008F05D0">
      <w:pPr>
        <w:pStyle w:val="ab"/>
        <w:numPr>
          <w:ilvl w:val="0"/>
          <w:numId w:val="30"/>
        </w:numPr>
        <w:bidi/>
        <w:spacing w:after="0" w:line="276" w:lineRule="auto"/>
        <w:jc w:val="both"/>
        <w:rPr>
          <w:rFonts w:ascii="Segoe UI" w:hAnsi="Segoe UI" w:cs="Segoe UI"/>
          <w:lang w:val="en-ZW"/>
        </w:rPr>
      </w:pPr>
      <w:r w:rsidRPr="00AD5B42">
        <w:rPr>
          <w:rFonts w:ascii="Segoe UI" w:hAnsi="Segoe UI" w:cs="Segoe UI"/>
          <w:rtl/>
          <w:lang w:val="en-ZW"/>
        </w:rPr>
        <w:t xml:space="preserve">העבריין חייב להיענש בגין היתרון שקנה שלא ביושר. העונש מוצדק כי הוא מחזיר את האיזון של </w:t>
      </w:r>
      <w:proofErr w:type="spellStart"/>
      <w:r w:rsidRPr="00AD5B42">
        <w:rPr>
          <w:rFonts w:ascii="Segoe UI" w:hAnsi="Segoe UI" w:cs="Segoe UI"/>
          <w:rtl/>
          <w:lang w:val="en-ZW"/>
        </w:rPr>
        <w:t>הנטלים</w:t>
      </w:r>
      <w:proofErr w:type="spellEnd"/>
      <w:r w:rsidRPr="00AD5B42">
        <w:rPr>
          <w:rFonts w:ascii="Segoe UI" w:hAnsi="Segoe UI" w:cs="Segoe UI"/>
          <w:rtl/>
          <w:lang w:val="en-ZW"/>
        </w:rPr>
        <w:t xml:space="preserve"> בחברה</w:t>
      </w:r>
    </w:p>
    <w:p w14:paraId="02068EF8" w14:textId="2009121A" w:rsidR="0023432E" w:rsidRDefault="0023432E" w:rsidP="008F05D0">
      <w:pPr>
        <w:bidi/>
        <w:spacing w:after="0" w:line="276" w:lineRule="auto"/>
        <w:jc w:val="both"/>
        <w:rPr>
          <w:rFonts w:ascii="Segoe UI" w:hAnsi="Segoe UI" w:cs="Segoe UI"/>
          <w:rtl/>
          <w:lang w:val="en-ZW"/>
        </w:rPr>
      </w:pPr>
    </w:p>
    <w:p w14:paraId="2DF70BFF" w14:textId="5AA90076" w:rsidR="0023432E" w:rsidRDefault="0023432E" w:rsidP="008F05D0">
      <w:pPr>
        <w:pStyle w:val="2"/>
        <w:rPr>
          <w:rtl/>
        </w:rPr>
      </w:pPr>
      <w:bookmarkStart w:id="14" w:name="_Toc108218183"/>
      <w:r w:rsidRPr="0023432E">
        <w:rPr>
          <w:rtl/>
        </w:rPr>
        <w:t xml:space="preserve">גישת </w:t>
      </w:r>
      <w:r>
        <w:rPr>
          <w:rFonts w:hint="cs"/>
          <w:rtl/>
        </w:rPr>
        <w:t>התועלתניות</w:t>
      </w:r>
      <w:bookmarkEnd w:id="14"/>
    </w:p>
    <w:p w14:paraId="530B6313" w14:textId="4A471D2F" w:rsidR="0023432E" w:rsidRDefault="0001584B" w:rsidP="008F05D0">
      <w:pPr>
        <w:bidi/>
        <w:spacing w:after="0" w:line="276" w:lineRule="auto"/>
        <w:jc w:val="both"/>
        <w:rPr>
          <w:rFonts w:ascii="Segoe UI" w:hAnsi="Segoe UI" w:cs="Segoe UI"/>
          <w:rtl/>
          <w:lang w:val="en-ZW"/>
        </w:rPr>
      </w:pPr>
      <w:r w:rsidRPr="0001584B">
        <w:rPr>
          <w:rFonts w:ascii="Segoe UI" w:hAnsi="Segoe UI" w:cs="Segoe UI" w:hint="cs"/>
          <w:highlight w:val="green"/>
          <w:rtl/>
          <w:lang w:val="en-ZW"/>
        </w:rPr>
        <w:t xml:space="preserve">ג'ון מיל </w:t>
      </w:r>
      <w:proofErr w:type="spellStart"/>
      <w:r w:rsidRPr="0001584B">
        <w:rPr>
          <w:rFonts w:ascii="Segoe UI" w:hAnsi="Segoe UI" w:cs="Segoe UI" w:hint="cs"/>
          <w:highlight w:val="green"/>
          <w:rtl/>
          <w:lang w:val="en-ZW"/>
        </w:rPr>
        <w:t>וג'רמי</w:t>
      </w:r>
      <w:proofErr w:type="spellEnd"/>
      <w:r w:rsidRPr="0001584B">
        <w:rPr>
          <w:rFonts w:ascii="Segoe UI" w:hAnsi="Segoe UI" w:cs="Segoe UI" w:hint="cs"/>
          <w:highlight w:val="green"/>
          <w:rtl/>
          <w:lang w:val="en-ZW"/>
        </w:rPr>
        <w:t xml:space="preserve"> </w:t>
      </w:r>
      <w:proofErr w:type="spellStart"/>
      <w:r w:rsidRPr="0001584B">
        <w:rPr>
          <w:rFonts w:ascii="Segoe UI" w:hAnsi="Segoe UI" w:cs="Segoe UI" w:hint="cs"/>
          <w:highlight w:val="green"/>
          <w:rtl/>
          <w:lang w:val="en-ZW"/>
        </w:rPr>
        <w:t>בנטהם</w:t>
      </w:r>
      <w:proofErr w:type="spellEnd"/>
    </w:p>
    <w:p w14:paraId="0C985EE5" w14:textId="07660DEC" w:rsidR="0001584B" w:rsidRPr="0001584B" w:rsidRDefault="0001584B" w:rsidP="008F05D0">
      <w:pPr>
        <w:pStyle w:val="ab"/>
        <w:numPr>
          <w:ilvl w:val="0"/>
          <w:numId w:val="31"/>
        </w:numPr>
        <w:bidi/>
        <w:spacing w:line="276" w:lineRule="auto"/>
        <w:jc w:val="both"/>
        <w:rPr>
          <w:rFonts w:ascii="Segoe UI" w:hAnsi="Segoe UI" w:cs="Segoe UI"/>
          <w:rtl/>
          <w:lang w:val="en-ZW"/>
        </w:rPr>
      </w:pPr>
      <w:r w:rsidRPr="0001584B">
        <w:rPr>
          <w:rFonts w:ascii="Segoe UI" w:hAnsi="Segoe UI" w:cs="Segoe UI"/>
          <w:rtl/>
          <w:lang w:val="en-ZW"/>
        </w:rPr>
        <w:t>לכל אדם יש הזכות לחירות שמותר להגבילה אך ורק למען תועלת החברה</w:t>
      </w:r>
      <w:r w:rsidRPr="0001584B">
        <w:rPr>
          <w:rFonts w:ascii="Segoe UI" w:hAnsi="Segoe UI" w:cs="Segoe UI"/>
          <w:lang w:val="en-ZW"/>
        </w:rPr>
        <w:t>.</w:t>
      </w:r>
    </w:p>
    <w:p w14:paraId="4C7D219A" w14:textId="77777777" w:rsidR="0001584B" w:rsidRPr="0001584B" w:rsidRDefault="0001584B" w:rsidP="008F05D0">
      <w:pPr>
        <w:pStyle w:val="ab"/>
        <w:numPr>
          <w:ilvl w:val="0"/>
          <w:numId w:val="31"/>
        </w:numPr>
        <w:bidi/>
        <w:spacing w:line="276" w:lineRule="auto"/>
        <w:jc w:val="both"/>
        <w:rPr>
          <w:rFonts w:ascii="Segoe UI" w:hAnsi="Segoe UI" w:cs="Segoe UI"/>
          <w:rtl/>
          <w:lang w:val="en-ZW"/>
        </w:rPr>
      </w:pPr>
      <w:r w:rsidRPr="0001584B">
        <w:rPr>
          <w:rFonts w:ascii="Segoe UI" w:hAnsi="Segoe UI" w:cs="Segoe UI"/>
          <w:rtl/>
          <w:lang w:val="en-ZW"/>
        </w:rPr>
        <w:t>תועלת החברה - "הדבר אשר מספק את מירב האושר למירב חברי החברה</w:t>
      </w:r>
      <w:r w:rsidRPr="0001584B">
        <w:rPr>
          <w:rFonts w:ascii="Segoe UI" w:hAnsi="Segoe UI" w:cs="Segoe UI"/>
          <w:lang w:val="en-ZW"/>
        </w:rPr>
        <w:t>"</w:t>
      </w:r>
    </w:p>
    <w:p w14:paraId="777EE370" w14:textId="2439CA32" w:rsidR="0001584B" w:rsidRPr="0001584B" w:rsidRDefault="0001584B" w:rsidP="008F05D0">
      <w:pPr>
        <w:pStyle w:val="ab"/>
        <w:numPr>
          <w:ilvl w:val="0"/>
          <w:numId w:val="31"/>
        </w:numPr>
        <w:bidi/>
        <w:spacing w:line="276" w:lineRule="auto"/>
        <w:jc w:val="both"/>
        <w:rPr>
          <w:rFonts w:ascii="Segoe UI" w:hAnsi="Segoe UI" w:cs="Segoe UI"/>
          <w:rtl/>
          <w:lang w:val="en-ZW"/>
        </w:rPr>
      </w:pPr>
      <w:r w:rsidRPr="0001584B">
        <w:rPr>
          <w:rFonts w:ascii="Segoe UI" w:hAnsi="Segoe UI" w:cs="Segoe UI"/>
          <w:rtl/>
          <w:lang w:val="en-ZW"/>
        </w:rPr>
        <w:t xml:space="preserve">את הענישה ניתן להצדיק רק כאשר היא מוטלת למען השגת מטרות המביאות תועלת לחברה </w:t>
      </w:r>
      <w:r>
        <w:rPr>
          <w:rFonts w:ascii="Segoe UI" w:hAnsi="Segoe UI" w:cs="Segoe UI"/>
          <w:rtl/>
          <w:lang w:val="en-ZW"/>
        </w:rPr>
        <w:t>–</w:t>
      </w:r>
      <w:r w:rsidRPr="0001584B">
        <w:rPr>
          <w:rFonts w:ascii="Segoe UI" w:hAnsi="Segoe UI" w:cs="Segoe UI"/>
          <w:rtl/>
          <w:lang w:val="en-ZW"/>
        </w:rPr>
        <w:t xml:space="preserve"> בעיקר</w:t>
      </w:r>
      <w:r>
        <w:rPr>
          <w:rFonts w:ascii="Segoe UI" w:hAnsi="Segoe UI" w:cs="Segoe UI" w:hint="cs"/>
          <w:rtl/>
          <w:lang w:val="en-ZW"/>
        </w:rPr>
        <w:t xml:space="preserve"> </w:t>
      </w:r>
      <w:r w:rsidRPr="0001584B">
        <w:rPr>
          <w:rFonts w:ascii="Segoe UI" w:hAnsi="Segoe UI" w:cs="Segoe UI"/>
          <w:rtl/>
          <w:lang w:val="en-ZW"/>
        </w:rPr>
        <w:t>הרתעה כללית וספציפית</w:t>
      </w:r>
    </w:p>
    <w:p w14:paraId="25376C0B" w14:textId="0ED3C918" w:rsidR="0001584B" w:rsidRDefault="0001584B" w:rsidP="008F05D0">
      <w:pPr>
        <w:pStyle w:val="ab"/>
        <w:numPr>
          <w:ilvl w:val="0"/>
          <w:numId w:val="31"/>
        </w:numPr>
        <w:bidi/>
        <w:spacing w:line="276" w:lineRule="auto"/>
        <w:jc w:val="both"/>
        <w:rPr>
          <w:rFonts w:ascii="Segoe UI" w:hAnsi="Segoe UI" w:cs="Segoe UI"/>
          <w:lang w:val="en-ZW"/>
        </w:rPr>
      </w:pPr>
      <w:r w:rsidRPr="0001584B">
        <w:rPr>
          <w:rFonts w:ascii="Segoe UI" w:hAnsi="Segoe UI" w:cs="Segoe UI"/>
          <w:rtl/>
          <w:lang w:val="en-ZW"/>
        </w:rPr>
        <w:t>"על הרתעת הכלל להיות המטרה העיקרית של הענישה כי היא צידוקה האמיתי"</w:t>
      </w:r>
    </w:p>
    <w:p w14:paraId="695EF695" w14:textId="703C9AD3" w:rsidR="0090573A" w:rsidRDefault="0090573A" w:rsidP="008F05D0">
      <w:pPr>
        <w:pStyle w:val="ab"/>
        <w:numPr>
          <w:ilvl w:val="0"/>
          <w:numId w:val="31"/>
        </w:numPr>
        <w:bidi/>
        <w:spacing w:after="0" w:line="276" w:lineRule="auto"/>
        <w:jc w:val="both"/>
        <w:rPr>
          <w:rFonts w:ascii="Segoe UI" w:hAnsi="Segoe UI" w:cs="Segoe UI"/>
          <w:lang w:val="en-ZW"/>
        </w:rPr>
      </w:pPr>
      <w:r w:rsidRPr="0090573A">
        <w:rPr>
          <w:rFonts w:ascii="Segoe UI" w:hAnsi="Segoe UI" w:cs="Segoe UI"/>
          <w:rtl/>
          <w:lang w:val="en-ZW"/>
        </w:rPr>
        <w:t>העונש ייחשב כיקר מדי ובזבזני אם אפשר להשיג את המטרה החברתית במחיר זול יותר</w:t>
      </w:r>
      <w:r w:rsidRPr="0090573A">
        <w:rPr>
          <w:rFonts w:ascii="Segoe UI" w:hAnsi="Segoe UI" w:cs="Segoe UI"/>
          <w:lang w:val="en-ZW"/>
        </w:rPr>
        <w:t>.</w:t>
      </w:r>
    </w:p>
    <w:p w14:paraId="600C7F9F" w14:textId="7DA90F26" w:rsidR="00A846D7" w:rsidRDefault="00A846D7" w:rsidP="008F05D0">
      <w:pPr>
        <w:bidi/>
        <w:spacing w:after="0" w:line="276" w:lineRule="auto"/>
        <w:jc w:val="both"/>
        <w:rPr>
          <w:rFonts w:ascii="Segoe UI" w:hAnsi="Segoe UI" w:cs="Segoe UI"/>
          <w:color w:val="7030A0"/>
          <w:rtl/>
          <w:lang w:val="en-ZW"/>
        </w:rPr>
      </w:pPr>
      <w:r>
        <w:rPr>
          <w:rFonts w:ascii="Segoe UI" w:hAnsi="Segoe UI" w:cs="Segoe UI" w:hint="cs"/>
          <w:color w:val="7030A0"/>
          <w:rtl/>
          <w:lang w:val="en-ZW"/>
        </w:rPr>
        <w:t>חלק מהגישה התועלתנית זה חישוב העונש. לדוג' אדם ביצע עבירת אינוס אז לפי הגישה הזו אם ביהמ"ש י</w:t>
      </w:r>
      <w:r w:rsidR="00F92675">
        <w:rPr>
          <w:rFonts w:ascii="Segoe UI" w:hAnsi="Segoe UI" w:cs="Segoe UI" w:hint="cs"/>
          <w:color w:val="7030A0"/>
          <w:rtl/>
          <w:lang w:val="en-ZW"/>
        </w:rPr>
        <w:t>י</w:t>
      </w:r>
      <w:r>
        <w:rPr>
          <w:rFonts w:ascii="Segoe UI" w:hAnsi="Segoe UI" w:cs="Segoe UI" w:hint="cs"/>
          <w:color w:val="7030A0"/>
          <w:rtl/>
          <w:lang w:val="en-ZW"/>
        </w:rPr>
        <w:t xml:space="preserve">תן לו יותר אז זה בזבוז כסף (כ-200 אלף ₪) הגישה התועלתנית מנסה לחשב מה נק' האיזון הנורמלית שבה צריך לתת את העונש. </w:t>
      </w:r>
    </w:p>
    <w:p w14:paraId="562D1349" w14:textId="01A31467" w:rsidR="00B567E9" w:rsidRDefault="00B567E9" w:rsidP="008F05D0">
      <w:pPr>
        <w:bidi/>
        <w:spacing w:after="0" w:line="276" w:lineRule="auto"/>
        <w:jc w:val="both"/>
        <w:rPr>
          <w:rFonts w:ascii="Segoe UI" w:hAnsi="Segoe UI" w:cs="Segoe UI"/>
          <w:color w:val="7030A0"/>
          <w:rtl/>
          <w:lang w:val="en-ZW"/>
        </w:rPr>
      </w:pPr>
      <w:r>
        <w:rPr>
          <w:rFonts w:ascii="Segoe UI" w:hAnsi="Segoe UI" w:cs="Segoe UI" w:hint="cs"/>
          <w:color w:val="7030A0"/>
          <w:rtl/>
          <w:lang w:val="en-ZW"/>
        </w:rPr>
        <w:t xml:space="preserve">לדוג' מחבלים </w:t>
      </w:r>
      <w:r>
        <w:rPr>
          <w:rFonts w:ascii="Segoe UI" w:hAnsi="Segoe UI" w:cs="Segoe UI"/>
          <w:color w:val="7030A0"/>
          <w:rtl/>
          <w:lang w:val="en-ZW"/>
        </w:rPr>
        <w:t>–</w:t>
      </w:r>
      <w:r>
        <w:rPr>
          <w:rFonts w:ascii="Segoe UI" w:hAnsi="Segoe UI" w:cs="Segoe UI" w:hint="cs"/>
          <w:color w:val="7030A0"/>
          <w:rtl/>
          <w:lang w:val="en-ZW"/>
        </w:rPr>
        <w:t xml:space="preserve"> נתינת לימודים מבחינת התועלת זה יכול למנוע את המצב שהם משועממים ואז כל היום אין להם מה לעשות והם מתחילים לתכנן פיגועים חדשים (זה בדיוק מה שקורה בפועל). </w:t>
      </w:r>
    </w:p>
    <w:p w14:paraId="68526B16" w14:textId="3250B63E" w:rsidR="00B567E9" w:rsidRPr="00A846D7" w:rsidRDefault="00B567E9" w:rsidP="008F05D0">
      <w:pPr>
        <w:bidi/>
        <w:spacing w:after="0" w:line="276" w:lineRule="auto"/>
        <w:jc w:val="both"/>
        <w:rPr>
          <w:rFonts w:ascii="Segoe UI" w:hAnsi="Segoe UI" w:cs="Segoe UI"/>
          <w:color w:val="7030A0"/>
          <w:lang w:val="en-ZW"/>
        </w:rPr>
      </w:pPr>
      <w:r>
        <w:rPr>
          <w:rFonts w:ascii="Segoe UI" w:hAnsi="Segoe UI" w:cs="Segoe UI" w:hint="cs"/>
          <w:color w:val="7030A0"/>
          <w:rtl/>
          <w:lang w:val="en-ZW"/>
        </w:rPr>
        <w:t xml:space="preserve">השאלה כאן היא אולי זה שווה לנו כחברה מבחינה תועלתנית. </w:t>
      </w:r>
    </w:p>
    <w:p w14:paraId="3FBDC157" w14:textId="77777777" w:rsidR="000D49F3" w:rsidRPr="0090573A" w:rsidRDefault="000D49F3" w:rsidP="008F05D0">
      <w:pPr>
        <w:pStyle w:val="ab"/>
        <w:bidi/>
        <w:spacing w:after="0" w:line="276" w:lineRule="auto"/>
        <w:ind w:left="0"/>
        <w:jc w:val="both"/>
        <w:rPr>
          <w:rFonts w:ascii="Segoe UI" w:hAnsi="Segoe UI" w:cs="Segoe UI"/>
          <w:lang w:val="en-ZW"/>
        </w:rPr>
      </w:pPr>
    </w:p>
    <w:p w14:paraId="6DD65DA1" w14:textId="0EFB29F1" w:rsidR="0090573A" w:rsidRPr="0090573A" w:rsidRDefault="0090573A" w:rsidP="008F05D0">
      <w:pPr>
        <w:pStyle w:val="110"/>
        <w:spacing w:line="276" w:lineRule="auto"/>
        <w:rPr>
          <w:rtl/>
        </w:rPr>
      </w:pPr>
      <w:r w:rsidRPr="0090573A">
        <w:rPr>
          <w:rFonts w:hint="cs"/>
          <w:rtl/>
        </w:rPr>
        <w:t xml:space="preserve">ביקורת על הגישות </w:t>
      </w:r>
      <w:r w:rsidR="00213D69" w:rsidRPr="0090573A">
        <w:rPr>
          <w:rFonts w:hint="cs"/>
          <w:rtl/>
        </w:rPr>
        <w:t>התועלתניו</w:t>
      </w:r>
      <w:r w:rsidR="00213D69" w:rsidRPr="0090573A">
        <w:rPr>
          <w:rFonts w:hint="eastAsia"/>
          <w:rtl/>
        </w:rPr>
        <w:t>ת</w:t>
      </w:r>
    </w:p>
    <w:p w14:paraId="027A311A" w14:textId="77777777" w:rsidR="006837F8" w:rsidRDefault="00213D69" w:rsidP="008F05D0">
      <w:pPr>
        <w:bidi/>
        <w:spacing w:after="0" w:line="276" w:lineRule="auto"/>
        <w:jc w:val="both"/>
        <w:rPr>
          <w:rFonts w:ascii="Segoe UI" w:hAnsi="Segoe UI" w:cs="Segoe UI"/>
          <w:rtl/>
          <w:lang w:val="en-ZW"/>
        </w:rPr>
      </w:pPr>
      <w:r>
        <w:rPr>
          <w:rFonts w:ascii="Segoe UI" w:hAnsi="Segoe UI" w:cs="Segoe UI" w:hint="cs"/>
          <w:rtl/>
          <w:lang w:val="en-ZW"/>
        </w:rPr>
        <w:t>הגישה התועלתנית יוצאת מתוך נקודת הנחה שכל האנשים הם אנשים רציונליים שמחשבים הפסד עבירה ושכרה.</w:t>
      </w:r>
    </w:p>
    <w:p w14:paraId="1708216D" w14:textId="260632E7" w:rsidR="0023432E" w:rsidRDefault="006837F8" w:rsidP="008F05D0">
      <w:pPr>
        <w:bidi/>
        <w:spacing w:after="0" w:line="276" w:lineRule="auto"/>
        <w:jc w:val="both"/>
        <w:rPr>
          <w:rFonts w:ascii="Segoe UI" w:hAnsi="Segoe UI" w:cs="Segoe UI"/>
          <w:rtl/>
          <w:lang w:val="en-ZW"/>
        </w:rPr>
      </w:pPr>
      <w:r>
        <w:rPr>
          <w:rFonts w:ascii="Segoe UI" w:hAnsi="Segoe UI" w:cs="Segoe UI" w:hint="cs"/>
          <w:color w:val="7030A0"/>
          <w:rtl/>
          <w:lang w:val="en-ZW"/>
        </w:rPr>
        <w:t>העבריין פועל משיקולים אחרים לגמרי, קיימות גם עבירות מתוך מניעים רגשיים שהעבריינים בכלל לא חושבים על העונש.</w:t>
      </w:r>
      <w:r w:rsidR="00213D69">
        <w:rPr>
          <w:rFonts w:ascii="Segoe UI" w:hAnsi="Segoe UI" w:cs="Segoe UI" w:hint="cs"/>
          <w:rtl/>
          <w:lang w:val="en-ZW"/>
        </w:rPr>
        <w:t xml:space="preserve"> </w:t>
      </w:r>
    </w:p>
    <w:p w14:paraId="7773DBEE" w14:textId="77777777" w:rsidR="00213D69" w:rsidRDefault="00213D69" w:rsidP="008F05D0">
      <w:pPr>
        <w:bidi/>
        <w:spacing w:after="0" w:line="276" w:lineRule="auto"/>
        <w:jc w:val="both"/>
        <w:rPr>
          <w:rFonts w:ascii="Segoe UI" w:hAnsi="Segoe UI" w:cs="Segoe UI"/>
          <w:rtl/>
          <w:lang w:val="en-ZW"/>
        </w:rPr>
      </w:pPr>
    </w:p>
    <w:p w14:paraId="029F4B28" w14:textId="5A73869F" w:rsidR="00213D69" w:rsidRDefault="00213D69" w:rsidP="008F05D0">
      <w:pPr>
        <w:pStyle w:val="2"/>
        <w:rPr>
          <w:rtl/>
        </w:rPr>
      </w:pPr>
      <w:bookmarkStart w:id="15" w:name="_Toc108218184"/>
      <w:r w:rsidRPr="0023432E">
        <w:rPr>
          <w:rtl/>
        </w:rPr>
        <w:t xml:space="preserve">גישת </w:t>
      </w:r>
      <w:r>
        <w:rPr>
          <w:rFonts w:hint="cs"/>
          <w:rtl/>
        </w:rPr>
        <w:t>המרקסיזם</w:t>
      </w:r>
      <w:bookmarkEnd w:id="15"/>
    </w:p>
    <w:p w14:paraId="17BC9267" w14:textId="77777777" w:rsidR="00213D69" w:rsidRPr="00213D69" w:rsidRDefault="00213D69" w:rsidP="008F05D0">
      <w:pPr>
        <w:pStyle w:val="ab"/>
        <w:numPr>
          <w:ilvl w:val="0"/>
          <w:numId w:val="32"/>
        </w:numPr>
        <w:bidi/>
        <w:spacing w:after="0" w:line="276" w:lineRule="auto"/>
        <w:jc w:val="both"/>
        <w:rPr>
          <w:rFonts w:ascii="Segoe UI" w:hAnsi="Segoe UI" w:cs="Segoe UI"/>
          <w:rtl/>
          <w:lang w:val="en-ZW"/>
        </w:rPr>
      </w:pPr>
      <w:r w:rsidRPr="00213D69">
        <w:rPr>
          <w:rFonts w:ascii="Segoe UI" w:hAnsi="Segoe UI" w:cs="Segoe UI"/>
          <w:rtl/>
          <w:lang w:val="en-ZW"/>
        </w:rPr>
        <w:lastRenderedPageBreak/>
        <w:t>כל תופעה בחברה מושפעת מאינטרסים כלכליים. כך גם הענישה. כשצורת השלטון נזקקה לעבדים - נקבעו עונשי עבודות. כאשר היה מסחר ימי - התרבו המקרים שהעונשים היו עבודה כמשוטאים לאורך שנים</w:t>
      </w:r>
      <w:r w:rsidRPr="00213D69">
        <w:rPr>
          <w:rFonts w:ascii="Segoe UI" w:hAnsi="Segoe UI" w:cs="Segoe UI"/>
          <w:lang w:val="en-ZW"/>
        </w:rPr>
        <w:t xml:space="preserve">. </w:t>
      </w:r>
    </w:p>
    <w:p w14:paraId="38492A6C" w14:textId="77777777" w:rsidR="00213D69" w:rsidRPr="00213D69" w:rsidRDefault="00213D69" w:rsidP="008F05D0">
      <w:pPr>
        <w:pStyle w:val="ab"/>
        <w:numPr>
          <w:ilvl w:val="0"/>
          <w:numId w:val="32"/>
        </w:numPr>
        <w:bidi/>
        <w:spacing w:after="0" w:line="276" w:lineRule="auto"/>
        <w:jc w:val="both"/>
        <w:rPr>
          <w:rFonts w:ascii="Segoe UI" w:hAnsi="Segoe UI" w:cs="Segoe UI"/>
          <w:rtl/>
          <w:lang w:val="en-ZW"/>
        </w:rPr>
      </w:pPr>
      <w:r w:rsidRPr="00213D69">
        <w:rPr>
          <w:rFonts w:ascii="Segoe UI" w:hAnsi="Segoe UI" w:cs="Segoe UI"/>
          <w:rtl/>
          <w:lang w:val="en-ZW"/>
        </w:rPr>
        <w:t>כאשר בתי הכלא החלו להתמלא - התחילו לייצר הכנסות בתוך המפעלים</w:t>
      </w:r>
      <w:r w:rsidRPr="00213D69">
        <w:rPr>
          <w:rFonts w:ascii="Segoe UI" w:hAnsi="Segoe UI" w:cs="Segoe UI"/>
          <w:lang w:val="en-ZW"/>
        </w:rPr>
        <w:t>.</w:t>
      </w:r>
    </w:p>
    <w:p w14:paraId="33E8BCC9" w14:textId="500C9007" w:rsidR="00213D69" w:rsidRDefault="00213D69" w:rsidP="008F05D0">
      <w:pPr>
        <w:pStyle w:val="ab"/>
        <w:numPr>
          <w:ilvl w:val="0"/>
          <w:numId w:val="32"/>
        </w:numPr>
        <w:bidi/>
        <w:spacing w:after="0" w:line="276" w:lineRule="auto"/>
        <w:jc w:val="both"/>
        <w:rPr>
          <w:rFonts w:ascii="Segoe UI" w:hAnsi="Segoe UI" w:cs="Segoe UI"/>
          <w:lang w:val="en-ZW"/>
        </w:rPr>
      </w:pPr>
      <w:r w:rsidRPr="00213D69">
        <w:rPr>
          <w:rFonts w:ascii="Segoe UI" w:hAnsi="Segoe UI" w:cs="Segoe UI"/>
          <w:rtl/>
          <w:lang w:val="en-ZW"/>
        </w:rPr>
        <w:t>בכל ענישה – יש לחפש את המדכא/מדוכא, שולט/נשלט</w:t>
      </w:r>
    </w:p>
    <w:p w14:paraId="0CFE4512" w14:textId="38934660" w:rsidR="006A6272" w:rsidRDefault="006A6272" w:rsidP="008F05D0">
      <w:pPr>
        <w:bidi/>
        <w:spacing w:after="0" w:line="276" w:lineRule="auto"/>
        <w:jc w:val="both"/>
        <w:rPr>
          <w:rFonts w:ascii="Segoe UI" w:hAnsi="Segoe UI" w:cs="Segoe UI"/>
          <w:rtl/>
          <w:lang w:val="en-ZW"/>
        </w:rPr>
      </w:pPr>
    </w:p>
    <w:p w14:paraId="5C879FB5" w14:textId="161A2844" w:rsidR="006A6272" w:rsidRDefault="006A6272" w:rsidP="008F05D0">
      <w:pPr>
        <w:pStyle w:val="2"/>
        <w:rPr>
          <w:rtl/>
        </w:rPr>
      </w:pPr>
      <w:bookmarkStart w:id="16" w:name="_Toc108218185"/>
      <w:r w:rsidRPr="0023432E">
        <w:rPr>
          <w:rtl/>
        </w:rPr>
        <w:t xml:space="preserve">גישת </w:t>
      </w:r>
      <w:r>
        <w:rPr>
          <w:rFonts w:hint="cs"/>
          <w:rtl/>
        </w:rPr>
        <w:t>האנרכיסטים</w:t>
      </w:r>
      <w:bookmarkEnd w:id="16"/>
    </w:p>
    <w:p w14:paraId="48A1C3AE" w14:textId="084240DC" w:rsidR="006A6272" w:rsidRPr="006A6272" w:rsidRDefault="00E20D0C" w:rsidP="008F05D0">
      <w:pPr>
        <w:bidi/>
        <w:spacing w:after="0" w:line="276" w:lineRule="auto"/>
        <w:jc w:val="both"/>
        <w:rPr>
          <w:rFonts w:ascii="Segoe UI" w:hAnsi="Segoe UI" w:cs="Segoe UI"/>
          <w:rtl/>
          <w:lang w:val="en-ZW"/>
        </w:rPr>
      </w:pPr>
      <w:r w:rsidRPr="00E20D0C">
        <w:rPr>
          <w:rFonts w:ascii="Segoe UI" w:hAnsi="Segoe UI" w:cs="Segoe UI" w:hint="cs"/>
          <w:highlight w:val="green"/>
          <w:rtl/>
          <w:lang w:val="en-ZW"/>
        </w:rPr>
        <w:t>הווארד ארליך</w:t>
      </w:r>
    </w:p>
    <w:p w14:paraId="69E39D18" w14:textId="77777777" w:rsidR="007D5B7F" w:rsidRPr="007D5B7F" w:rsidRDefault="007D5B7F" w:rsidP="008F05D0">
      <w:pPr>
        <w:pStyle w:val="ab"/>
        <w:numPr>
          <w:ilvl w:val="0"/>
          <w:numId w:val="33"/>
        </w:numPr>
        <w:bidi/>
        <w:spacing w:after="0" w:line="276" w:lineRule="auto"/>
        <w:jc w:val="both"/>
        <w:rPr>
          <w:rFonts w:ascii="Segoe UI" w:hAnsi="Segoe UI" w:cs="Segoe UI"/>
          <w:rtl/>
          <w:lang w:val="en-ZW"/>
        </w:rPr>
      </w:pPr>
      <w:r w:rsidRPr="007D5B7F">
        <w:rPr>
          <w:rFonts w:ascii="Segoe UI" w:hAnsi="Segoe UI" w:cs="Segoe UI"/>
          <w:rtl/>
          <w:lang w:val="en-ZW"/>
        </w:rPr>
        <w:t xml:space="preserve">אין לאף גורם סמכות </w:t>
      </w:r>
      <w:proofErr w:type="spellStart"/>
      <w:r w:rsidRPr="007D5B7F">
        <w:rPr>
          <w:rFonts w:ascii="Segoe UI" w:hAnsi="Segoe UI" w:cs="Segoe UI"/>
          <w:rtl/>
          <w:lang w:val="en-ZW"/>
        </w:rPr>
        <w:t>לדכא</w:t>
      </w:r>
      <w:proofErr w:type="spellEnd"/>
      <w:r w:rsidRPr="007D5B7F">
        <w:rPr>
          <w:rFonts w:ascii="Segoe UI" w:hAnsi="Segoe UI" w:cs="Segoe UI"/>
          <w:rtl/>
          <w:lang w:val="en-ZW"/>
        </w:rPr>
        <w:t xml:space="preserve"> ואדם אחר. יש לפרק את המדינה ומוסדותיה באשר תפקידם הוא </w:t>
      </w:r>
      <w:proofErr w:type="spellStart"/>
      <w:r w:rsidRPr="007D5B7F">
        <w:rPr>
          <w:rFonts w:ascii="Segoe UI" w:hAnsi="Segoe UI" w:cs="Segoe UI"/>
          <w:rtl/>
          <w:lang w:val="en-ZW"/>
        </w:rPr>
        <w:t>לדכא</w:t>
      </w:r>
      <w:proofErr w:type="spellEnd"/>
      <w:r w:rsidRPr="007D5B7F">
        <w:rPr>
          <w:rFonts w:ascii="Segoe UI" w:hAnsi="Segoe UI" w:cs="Segoe UI"/>
          <w:rtl/>
          <w:lang w:val="en-ZW"/>
        </w:rPr>
        <w:t xml:space="preserve"> ואין שום צידוק לענישה</w:t>
      </w:r>
    </w:p>
    <w:p w14:paraId="5C0E994E" w14:textId="77777777" w:rsidR="007D5B7F" w:rsidRPr="007D5B7F" w:rsidRDefault="007D5B7F" w:rsidP="008F05D0">
      <w:pPr>
        <w:pStyle w:val="ab"/>
        <w:numPr>
          <w:ilvl w:val="0"/>
          <w:numId w:val="33"/>
        </w:numPr>
        <w:bidi/>
        <w:spacing w:after="0" w:line="276" w:lineRule="auto"/>
        <w:jc w:val="both"/>
        <w:rPr>
          <w:rFonts w:ascii="Segoe UI" w:hAnsi="Segoe UI" w:cs="Segoe UI"/>
          <w:rtl/>
          <w:lang w:val="en-ZW"/>
        </w:rPr>
      </w:pPr>
      <w:r w:rsidRPr="007D5B7F">
        <w:rPr>
          <w:rFonts w:ascii="Segoe UI" w:hAnsi="Segoe UI" w:cs="Segoe UI"/>
          <w:rtl/>
          <w:lang w:val="en-ZW"/>
        </w:rPr>
        <w:t>התופעה של פשע היא פונקציה של הארגון הפוליטי של החברה ומבצעי האלימות הם אלה שמקיימים את שיטת השלטון</w:t>
      </w:r>
      <w:r w:rsidRPr="007D5B7F">
        <w:rPr>
          <w:rFonts w:ascii="Segoe UI" w:hAnsi="Segoe UI" w:cs="Segoe UI"/>
          <w:lang w:val="en-ZW"/>
        </w:rPr>
        <w:t>.</w:t>
      </w:r>
    </w:p>
    <w:p w14:paraId="04FF986F" w14:textId="0DB25445" w:rsidR="006A6272" w:rsidRDefault="007D5B7F" w:rsidP="008F05D0">
      <w:pPr>
        <w:pStyle w:val="ab"/>
        <w:numPr>
          <w:ilvl w:val="0"/>
          <w:numId w:val="33"/>
        </w:numPr>
        <w:bidi/>
        <w:spacing w:after="0" w:line="276" w:lineRule="auto"/>
        <w:jc w:val="both"/>
        <w:rPr>
          <w:rFonts w:ascii="Segoe UI" w:hAnsi="Segoe UI" w:cs="Segoe UI"/>
          <w:lang w:val="en-ZW"/>
        </w:rPr>
      </w:pPr>
      <w:r w:rsidRPr="007D5B7F">
        <w:rPr>
          <w:rFonts w:ascii="Segoe UI" w:hAnsi="Segoe UI" w:cs="Segoe UI"/>
          <w:rtl/>
          <w:lang w:val="en-ZW"/>
        </w:rPr>
        <w:t>עבריינים (אם יהיו) יטופלו על ידי התארגנויות מתנדבות של חברי קהילה ואם יימצאו אשמים - יהיה גינוי, ביקורת או חרם.</w:t>
      </w:r>
    </w:p>
    <w:p w14:paraId="0D578927" w14:textId="3111B3EA" w:rsidR="00AE75C0" w:rsidRDefault="00AE75C0" w:rsidP="008F05D0">
      <w:pPr>
        <w:bidi/>
        <w:spacing w:after="0" w:line="276" w:lineRule="auto"/>
        <w:jc w:val="both"/>
        <w:rPr>
          <w:rFonts w:ascii="Segoe UI" w:hAnsi="Segoe UI" w:cs="Segoe UI"/>
          <w:color w:val="7030A0"/>
          <w:rtl/>
          <w:lang w:val="en-ZW"/>
        </w:rPr>
      </w:pPr>
      <w:r>
        <w:rPr>
          <w:rFonts w:ascii="Segoe UI" w:hAnsi="Segoe UI" w:cs="Segoe UI" w:hint="cs"/>
          <w:color w:val="7030A0"/>
          <w:rtl/>
          <w:lang w:val="en-ZW"/>
        </w:rPr>
        <w:t xml:space="preserve">גישה רדיקלית שכמעט ולא קיימת היום. גישה מאוד לא ריאלית. </w:t>
      </w:r>
    </w:p>
    <w:p w14:paraId="0F2FD36E" w14:textId="38CED803" w:rsidR="004C4AF1" w:rsidRDefault="004C4AF1" w:rsidP="008F05D0">
      <w:pPr>
        <w:bidi/>
        <w:spacing w:after="0" w:line="276" w:lineRule="auto"/>
        <w:jc w:val="both"/>
        <w:rPr>
          <w:rFonts w:ascii="Segoe UI" w:hAnsi="Segoe UI" w:cs="Segoe UI"/>
          <w:color w:val="7030A0"/>
          <w:rtl/>
          <w:lang w:val="en-ZW"/>
        </w:rPr>
      </w:pPr>
    </w:p>
    <w:p w14:paraId="7241B5A4" w14:textId="54872683" w:rsidR="004C4AF1" w:rsidRPr="00AE75C0" w:rsidRDefault="004C4AF1" w:rsidP="008F05D0">
      <w:pPr>
        <w:bidi/>
        <w:spacing w:after="0" w:line="276" w:lineRule="auto"/>
        <w:jc w:val="both"/>
        <w:rPr>
          <w:rFonts w:ascii="Segoe UI" w:hAnsi="Segoe UI" w:cs="Segoe UI"/>
          <w:color w:val="7030A0"/>
          <w:lang w:val="en-ZW"/>
        </w:rPr>
      </w:pPr>
      <w:r w:rsidRPr="004C4AF1">
        <w:rPr>
          <w:rFonts w:ascii="Segoe UI" w:hAnsi="Segoe UI" w:cs="Segoe UI" w:hint="cs"/>
          <w:b/>
          <w:bCs/>
          <w:color w:val="7030A0"/>
          <w:rtl/>
          <w:lang w:val="en-ZW"/>
        </w:rPr>
        <w:t>סיכום להצדקות</w:t>
      </w:r>
      <w:r>
        <w:rPr>
          <w:rFonts w:ascii="Segoe UI" w:hAnsi="Segoe UI" w:cs="Segoe UI" w:hint="cs"/>
          <w:color w:val="7030A0"/>
          <w:rtl/>
          <w:lang w:val="en-ZW"/>
        </w:rPr>
        <w:t xml:space="preserve"> </w:t>
      </w:r>
      <w:r>
        <w:rPr>
          <w:rFonts w:ascii="Segoe UI" w:hAnsi="Segoe UI" w:cs="Segoe UI"/>
          <w:color w:val="7030A0"/>
          <w:rtl/>
          <w:lang w:val="en-ZW"/>
        </w:rPr>
        <w:t>–</w:t>
      </w:r>
      <w:r>
        <w:rPr>
          <w:rFonts w:ascii="Segoe UI" w:hAnsi="Segoe UI" w:cs="Segoe UI" w:hint="cs"/>
          <w:color w:val="7030A0"/>
          <w:rtl/>
          <w:lang w:val="en-ZW"/>
        </w:rPr>
        <w:t xml:space="preserve"> יש הצדקות של זכויות, אמנה חברתית, נק' מבט תועלתנית </w:t>
      </w:r>
      <w:proofErr w:type="spellStart"/>
      <w:r>
        <w:rPr>
          <w:rFonts w:ascii="Segoe UI" w:hAnsi="Segoe UI" w:cs="Segoe UI" w:hint="cs"/>
          <w:color w:val="7030A0"/>
          <w:rtl/>
          <w:lang w:val="en-ZW"/>
        </w:rPr>
        <w:t>ומנק</w:t>
      </w:r>
      <w:proofErr w:type="spellEnd"/>
      <w:r>
        <w:rPr>
          <w:rFonts w:ascii="Segoe UI" w:hAnsi="Segoe UI" w:cs="Segoe UI" w:hint="cs"/>
          <w:color w:val="7030A0"/>
          <w:rtl/>
          <w:lang w:val="en-ZW"/>
        </w:rPr>
        <w:t xml:space="preserve">' מבט גמולנית. </w:t>
      </w:r>
    </w:p>
    <w:p w14:paraId="114772D5" w14:textId="2FC67C7C" w:rsidR="007D5B7F" w:rsidRDefault="007D5B7F" w:rsidP="008F05D0">
      <w:pPr>
        <w:bidi/>
        <w:spacing w:after="0" w:line="276" w:lineRule="auto"/>
        <w:jc w:val="both"/>
        <w:rPr>
          <w:rFonts w:ascii="Segoe UI" w:hAnsi="Segoe UI" w:cs="Segoe UI"/>
          <w:rtl/>
          <w:lang w:val="en-ZW"/>
        </w:rPr>
      </w:pPr>
    </w:p>
    <w:p w14:paraId="2CDBCFF8" w14:textId="47DE5BF7" w:rsidR="007D5B7F" w:rsidRPr="00704726" w:rsidRDefault="007D5B7F" w:rsidP="008F05D0">
      <w:pPr>
        <w:pStyle w:val="2"/>
        <w:rPr>
          <w:rtl/>
        </w:rPr>
      </w:pPr>
      <w:bookmarkStart w:id="17" w:name="_Toc108218186"/>
      <w:r w:rsidRPr="00704726">
        <w:rPr>
          <w:rFonts w:hint="cs"/>
          <w:rtl/>
        </w:rPr>
        <w:t>מטרות הענישה</w:t>
      </w:r>
      <w:bookmarkEnd w:id="17"/>
    </w:p>
    <w:p w14:paraId="6CA263CE" w14:textId="4E76CD2F" w:rsidR="007D5B7F" w:rsidRDefault="007D5B7F" w:rsidP="008F05D0">
      <w:pPr>
        <w:bidi/>
        <w:spacing w:after="0" w:line="276" w:lineRule="auto"/>
        <w:jc w:val="both"/>
        <w:rPr>
          <w:rFonts w:ascii="Segoe UI" w:hAnsi="Segoe UI" w:cs="Segoe UI"/>
          <w:rtl/>
          <w:lang w:val="en-ZW"/>
        </w:rPr>
      </w:pPr>
      <w:r>
        <w:rPr>
          <w:rFonts w:ascii="Segoe UI" w:hAnsi="Segoe UI" w:cs="Segoe UI" w:hint="cs"/>
          <w:rtl/>
          <w:lang w:val="en-ZW"/>
        </w:rPr>
        <w:t>בחוק העונשין (סעיף 40 ואילך) מקובל לחלק את הענישה ל-4 קבוצות עיקריות:</w:t>
      </w:r>
      <w:r w:rsidR="00417410">
        <w:rPr>
          <w:rFonts w:ascii="Segoe UI" w:hAnsi="Segoe UI" w:cs="Segoe UI" w:hint="cs"/>
          <w:rtl/>
          <w:lang w:val="en-ZW"/>
        </w:rPr>
        <w:t xml:space="preserve"> גמול, הרתעה אישית/רבים, הגנה על שלום הציבור ושיקום. </w:t>
      </w:r>
    </w:p>
    <w:p w14:paraId="2A267D11" w14:textId="77777777" w:rsidR="00372120" w:rsidRPr="004C48DB" w:rsidRDefault="00372120" w:rsidP="008F05D0">
      <w:pPr>
        <w:bidi/>
        <w:spacing w:after="0" w:line="276" w:lineRule="auto"/>
        <w:jc w:val="both"/>
        <w:rPr>
          <w:rFonts w:ascii="Segoe UI" w:hAnsi="Segoe UI" w:cs="Segoe UI"/>
          <w:b/>
          <w:bCs/>
          <w:rtl/>
          <w:lang w:val="en-ZW"/>
        </w:rPr>
      </w:pPr>
      <w:r>
        <w:rPr>
          <w:rFonts w:ascii="Segoe UI" w:hAnsi="Segoe UI" w:cs="Segoe UI" w:hint="cs"/>
          <w:rtl/>
          <w:lang w:val="en-ZW"/>
        </w:rPr>
        <w:t xml:space="preserve">בנוסף ל-4 קבוצות עיקריות אלה יש גם מטרות נוספות לענישה </w:t>
      </w:r>
      <w:r w:rsidRPr="004C48DB">
        <w:rPr>
          <w:rFonts w:ascii="Segoe UI" w:hAnsi="Segoe UI" w:cs="Segoe UI" w:hint="cs"/>
          <w:b/>
          <w:bCs/>
          <w:rtl/>
          <w:lang w:val="en-ZW"/>
        </w:rPr>
        <w:t>שאינן מופיעות בחוק העונשין</w:t>
      </w:r>
    </w:p>
    <w:p w14:paraId="2198C93F" w14:textId="77777777" w:rsidR="00372120" w:rsidRDefault="00372120" w:rsidP="008F05D0">
      <w:pPr>
        <w:pStyle w:val="ab"/>
        <w:numPr>
          <w:ilvl w:val="0"/>
          <w:numId w:val="34"/>
        </w:numPr>
        <w:bidi/>
        <w:spacing w:after="0" w:line="276" w:lineRule="auto"/>
        <w:jc w:val="both"/>
        <w:rPr>
          <w:rFonts w:ascii="Segoe UI" w:hAnsi="Segoe UI" w:cs="Segoe UI"/>
          <w:lang w:val="en-ZW"/>
        </w:rPr>
      </w:pPr>
      <w:r>
        <w:rPr>
          <w:rFonts w:ascii="Segoe UI" w:hAnsi="Segoe UI" w:cs="Segoe UI" w:hint="cs"/>
          <w:rtl/>
          <w:lang w:val="en-ZW"/>
        </w:rPr>
        <w:t xml:space="preserve">פיוס וטיהור </w:t>
      </w:r>
      <w:r>
        <w:rPr>
          <w:rFonts w:ascii="Segoe UI" w:hAnsi="Segoe UI" w:cs="Segoe UI"/>
          <w:rtl/>
          <w:lang w:val="en-ZW"/>
        </w:rPr>
        <w:t>–</w:t>
      </w:r>
      <w:r>
        <w:rPr>
          <w:rFonts w:ascii="Segoe UI" w:hAnsi="Segoe UI" w:cs="Segoe UI" w:hint="cs"/>
          <w:rtl/>
          <w:lang w:val="en-ZW"/>
        </w:rPr>
        <w:t xml:space="preserve"> אינה מקובלת היום במובן </w:t>
      </w:r>
      <w:proofErr w:type="spellStart"/>
      <w:r>
        <w:rPr>
          <w:rFonts w:ascii="Segoe UI" w:hAnsi="Segoe UI" w:cs="Segoe UI" w:hint="cs"/>
          <w:rtl/>
          <w:lang w:val="en-ZW"/>
        </w:rPr>
        <w:t>הענישתי</w:t>
      </w:r>
      <w:proofErr w:type="spellEnd"/>
      <w:r>
        <w:rPr>
          <w:rFonts w:ascii="Segoe UI" w:hAnsi="Segoe UI" w:cs="Segoe UI" w:hint="cs"/>
          <w:rtl/>
          <w:lang w:val="en-ZW"/>
        </w:rPr>
        <w:t xml:space="preserve"> הפורמלי. המקור הוא דתי </w:t>
      </w:r>
      <w:r>
        <w:rPr>
          <w:rFonts w:ascii="Segoe UI" w:hAnsi="Segoe UI" w:cs="Segoe UI"/>
          <w:rtl/>
          <w:lang w:val="en-ZW"/>
        </w:rPr>
        <w:t>–</w:t>
      </w:r>
      <w:r>
        <w:rPr>
          <w:rFonts w:ascii="Segoe UI" w:hAnsi="Segoe UI" w:cs="Segoe UI" w:hint="cs"/>
          <w:rtl/>
          <w:lang w:val="en-ZW"/>
        </w:rPr>
        <w:t xml:space="preserve"> "העבירה מטמאת". המובן המודרני של פיוס הוא "סולחות" במגזר הערבי, לפעמים בפיקוח בית המשפט. </w:t>
      </w:r>
    </w:p>
    <w:p w14:paraId="7D6D4814" w14:textId="77777777" w:rsidR="00372120" w:rsidRDefault="00372120" w:rsidP="008F05D0">
      <w:pPr>
        <w:pStyle w:val="ab"/>
        <w:numPr>
          <w:ilvl w:val="0"/>
          <w:numId w:val="34"/>
        </w:numPr>
        <w:bidi/>
        <w:spacing w:after="0" w:line="276" w:lineRule="auto"/>
        <w:jc w:val="both"/>
        <w:rPr>
          <w:rFonts w:ascii="Segoe UI" w:hAnsi="Segoe UI" w:cs="Segoe UI"/>
          <w:lang w:val="en-ZW"/>
        </w:rPr>
      </w:pPr>
      <w:r>
        <w:rPr>
          <w:rFonts w:ascii="Segoe UI" w:hAnsi="Segoe UI" w:cs="Segoe UI" w:hint="cs"/>
          <w:rtl/>
          <w:lang w:val="en-ZW"/>
        </w:rPr>
        <w:t>כפרה</w:t>
      </w:r>
    </w:p>
    <w:p w14:paraId="6473316E" w14:textId="77777777" w:rsidR="00372120" w:rsidRDefault="00372120" w:rsidP="008F05D0">
      <w:pPr>
        <w:pStyle w:val="ab"/>
        <w:numPr>
          <w:ilvl w:val="0"/>
          <w:numId w:val="34"/>
        </w:numPr>
        <w:bidi/>
        <w:spacing w:after="0" w:line="276" w:lineRule="auto"/>
        <w:jc w:val="both"/>
        <w:rPr>
          <w:rFonts w:ascii="Segoe UI" w:hAnsi="Segoe UI" w:cs="Segoe UI"/>
          <w:lang w:val="en-ZW"/>
        </w:rPr>
      </w:pPr>
      <w:r>
        <w:rPr>
          <w:rFonts w:ascii="Segoe UI" w:hAnsi="Segoe UI" w:cs="Segoe UI" w:hint="cs"/>
          <w:rtl/>
          <w:lang w:val="en-ZW"/>
        </w:rPr>
        <w:t xml:space="preserve">פיצוי והשבה </w:t>
      </w:r>
      <w:r>
        <w:rPr>
          <w:rFonts w:ascii="Segoe UI" w:hAnsi="Segoe UI" w:cs="Segoe UI"/>
          <w:rtl/>
          <w:lang w:val="en-ZW"/>
        </w:rPr>
        <w:t>–</w:t>
      </w:r>
      <w:r>
        <w:rPr>
          <w:rFonts w:ascii="Segoe UI" w:hAnsi="Segoe UI" w:cs="Segoe UI" w:hint="cs"/>
          <w:rtl/>
          <w:lang w:val="en-ZW"/>
        </w:rPr>
        <w:t xml:space="preserve"> להחזיר את המצב לקדמותו</w:t>
      </w:r>
    </w:p>
    <w:p w14:paraId="323C4711" w14:textId="77777777" w:rsidR="00372120" w:rsidRDefault="00372120" w:rsidP="008F05D0">
      <w:pPr>
        <w:bidi/>
        <w:spacing w:after="0" w:line="276" w:lineRule="auto"/>
        <w:jc w:val="both"/>
        <w:rPr>
          <w:rFonts w:ascii="Segoe UI" w:hAnsi="Segoe UI" w:cs="Segoe UI"/>
          <w:rtl/>
          <w:lang w:val="en-ZW"/>
        </w:rPr>
      </w:pPr>
    </w:p>
    <w:p w14:paraId="4D7F258D" w14:textId="77777777" w:rsidR="00372120" w:rsidRDefault="00372120" w:rsidP="008F05D0">
      <w:pPr>
        <w:pStyle w:val="ab"/>
        <w:numPr>
          <w:ilvl w:val="0"/>
          <w:numId w:val="35"/>
        </w:numPr>
        <w:bidi/>
        <w:spacing w:after="0" w:line="276" w:lineRule="auto"/>
        <w:jc w:val="both"/>
        <w:rPr>
          <w:rFonts w:ascii="Segoe UI" w:hAnsi="Segoe UI" w:cs="Segoe UI"/>
          <w:lang w:val="en-ZW"/>
        </w:rPr>
      </w:pPr>
      <w:r>
        <w:rPr>
          <w:rFonts w:ascii="Segoe UI" w:hAnsi="Segoe UI" w:cs="Segoe UI" w:hint="cs"/>
          <w:rtl/>
          <w:lang w:val="en-ZW"/>
        </w:rPr>
        <w:t>חשוב להבין:</w:t>
      </w:r>
    </w:p>
    <w:p w14:paraId="21D06BEA" w14:textId="5A50430A" w:rsidR="00372120" w:rsidRDefault="00372120" w:rsidP="008F05D0">
      <w:pPr>
        <w:pStyle w:val="ab"/>
        <w:numPr>
          <w:ilvl w:val="1"/>
          <w:numId w:val="35"/>
        </w:numPr>
        <w:bidi/>
        <w:spacing w:after="0" w:line="276" w:lineRule="auto"/>
        <w:jc w:val="both"/>
        <w:rPr>
          <w:rFonts w:ascii="Segoe UI" w:hAnsi="Segoe UI" w:cs="Segoe UI"/>
          <w:lang w:val="en-ZW"/>
        </w:rPr>
      </w:pPr>
      <w:r>
        <w:rPr>
          <w:rFonts w:ascii="Segoe UI" w:hAnsi="Segoe UI" w:cs="Segoe UI" w:hint="cs"/>
          <w:rtl/>
          <w:lang w:val="en-ZW"/>
        </w:rPr>
        <w:t xml:space="preserve">כמעט בכל מקרה של ענישה </w:t>
      </w:r>
      <w:r>
        <w:rPr>
          <w:rFonts w:ascii="Segoe UI" w:hAnsi="Segoe UI" w:cs="Segoe UI"/>
          <w:rtl/>
          <w:lang w:val="en-ZW"/>
        </w:rPr>
        <w:t>–</w:t>
      </w:r>
      <w:r>
        <w:rPr>
          <w:rFonts w:ascii="Segoe UI" w:hAnsi="Segoe UI" w:cs="Segoe UI" w:hint="cs"/>
          <w:rtl/>
          <w:lang w:val="en-ZW"/>
        </w:rPr>
        <w:t xml:space="preserve"> העונש מוטל כדי להשיג כמה תכליות או אפילו את כל התכליות הללו</w:t>
      </w:r>
    </w:p>
    <w:p w14:paraId="53C8B3BE" w14:textId="291C6EE7" w:rsidR="00372120" w:rsidRDefault="00372120" w:rsidP="008F05D0">
      <w:pPr>
        <w:pStyle w:val="ab"/>
        <w:numPr>
          <w:ilvl w:val="1"/>
          <w:numId w:val="35"/>
        </w:numPr>
        <w:bidi/>
        <w:spacing w:after="0" w:line="276" w:lineRule="auto"/>
        <w:jc w:val="both"/>
        <w:rPr>
          <w:rFonts w:ascii="Segoe UI" w:hAnsi="Segoe UI" w:cs="Segoe UI"/>
          <w:lang w:val="en-ZW"/>
        </w:rPr>
      </w:pPr>
      <w:r>
        <w:rPr>
          <w:rFonts w:ascii="Segoe UI" w:hAnsi="Segoe UI" w:cs="Segoe UI" w:hint="cs"/>
          <w:rtl/>
          <w:lang w:val="en-ZW"/>
        </w:rPr>
        <w:t>זה לא הרתעה או הלימה אלא גם וגם</w:t>
      </w:r>
    </w:p>
    <w:p w14:paraId="3EAA6661" w14:textId="55834C8C" w:rsidR="00372120" w:rsidRPr="00372120" w:rsidRDefault="00372120" w:rsidP="008F05D0">
      <w:pPr>
        <w:pStyle w:val="ab"/>
        <w:numPr>
          <w:ilvl w:val="1"/>
          <w:numId w:val="35"/>
        </w:numPr>
        <w:bidi/>
        <w:spacing w:after="0" w:line="276" w:lineRule="auto"/>
        <w:jc w:val="both"/>
        <w:rPr>
          <w:rFonts w:ascii="Segoe UI" w:hAnsi="Segoe UI" w:cs="Segoe UI"/>
          <w:rtl/>
          <w:lang w:val="en-ZW"/>
        </w:rPr>
      </w:pPr>
      <w:r>
        <w:rPr>
          <w:rFonts w:ascii="Segoe UI" w:hAnsi="Segoe UI" w:cs="Segoe UI" w:hint="cs"/>
          <w:rtl/>
          <w:lang w:val="en-ZW"/>
        </w:rPr>
        <w:t>הכל עניין של מינונים ושכל ישר</w:t>
      </w:r>
    </w:p>
    <w:p w14:paraId="18D5533B" w14:textId="77777777" w:rsidR="00417410" w:rsidRDefault="00417410" w:rsidP="00A5578F">
      <w:pPr>
        <w:bidi/>
        <w:spacing w:after="0" w:line="276" w:lineRule="auto"/>
        <w:jc w:val="both"/>
        <w:rPr>
          <w:rFonts w:ascii="Segoe UI" w:hAnsi="Segoe UI" w:cs="Segoe UI"/>
          <w:rtl/>
          <w:lang w:val="en-ZW"/>
        </w:rPr>
      </w:pPr>
    </w:p>
    <w:p w14:paraId="474FAEB3" w14:textId="1E4F17CD" w:rsidR="007D5B7F" w:rsidRPr="00417410" w:rsidRDefault="007D5B7F" w:rsidP="008F05D0">
      <w:pPr>
        <w:pStyle w:val="2"/>
        <w:rPr>
          <w:rtl/>
        </w:rPr>
      </w:pPr>
      <w:bookmarkStart w:id="18" w:name="_Toc108218187"/>
      <w:r w:rsidRPr="00417410">
        <w:rPr>
          <w:rFonts w:hint="cs"/>
          <w:rtl/>
        </w:rPr>
        <w:t>גמול (הלימה)</w:t>
      </w:r>
      <w:r w:rsidR="00F87BC5">
        <w:rPr>
          <w:rFonts w:hint="cs"/>
          <w:rtl/>
        </w:rPr>
        <w:t xml:space="preserve"> </w:t>
      </w:r>
      <w:r w:rsidR="00F87BC5" w:rsidRPr="00F87BC5">
        <w:rPr>
          <w:rFonts w:hint="cs"/>
          <w:color w:val="7030A0"/>
          <w:highlight w:val="yellow"/>
          <w:rtl/>
        </w:rPr>
        <w:t>(40ב)</w:t>
      </w:r>
      <w:bookmarkEnd w:id="18"/>
    </w:p>
    <w:p w14:paraId="668F6EB2" w14:textId="1C647E76" w:rsidR="00417410" w:rsidRDefault="00417410" w:rsidP="008F05D0">
      <w:pPr>
        <w:pStyle w:val="110"/>
        <w:spacing w:line="276" w:lineRule="auto"/>
        <w:rPr>
          <w:rtl/>
        </w:rPr>
      </w:pPr>
      <w:r>
        <w:rPr>
          <w:rFonts w:hint="cs"/>
          <w:rtl/>
        </w:rPr>
        <w:t>עקרון הגמול</w:t>
      </w:r>
    </w:p>
    <w:p w14:paraId="27968280" w14:textId="77777777" w:rsidR="00417410" w:rsidRPr="00F032BB" w:rsidRDefault="00417410" w:rsidP="008F05D0">
      <w:pPr>
        <w:pStyle w:val="ab"/>
        <w:numPr>
          <w:ilvl w:val="0"/>
          <w:numId w:val="36"/>
        </w:numPr>
        <w:bidi/>
        <w:spacing w:after="0" w:line="276" w:lineRule="auto"/>
        <w:jc w:val="both"/>
        <w:rPr>
          <w:rFonts w:ascii="Segoe UI" w:hAnsi="Segoe UI" w:cs="Segoe UI"/>
          <w:lang w:val="en-ZW"/>
        </w:rPr>
      </w:pPr>
      <w:r w:rsidRPr="00F032BB">
        <w:rPr>
          <w:rFonts w:ascii="Segoe UI" w:hAnsi="Segoe UI" w:cs="Segoe UI" w:hint="cs"/>
          <w:b/>
          <w:bCs/>
          <w:rtl/>
          <w:lang w:val="en-ZW"/>
        </w:rPr>
        <w:t>העקרון המנחה של המשפט הפלילי</w:t>
      </w:r>
      <w:r w:rsidRPr="00F032BB">
        <w:rPr>
          <w:rFonts w:ascii="Segoe UI" w:hAnsi="Segoe UI" w:cs="Segoe UI" w:hint="cs"/>
          <w:rtl/>
          <w:lang w:val="en-ZW"/>
        </w:rPr>
        <w:t xml:space="preserve"> </w:t>
      </w:r>
      <w:r w:rsidRPr="00F032BB">
        <w:rPr>
          <w:rFonts w:ascii="Segoe UI" w:hAnsi="Segoe UI" w:cs="Segoe UI"/>
          <w:rtl/>
          <w:lang w:val="en-ZW"/>
        </w:rPr>
        <w:t>–</w:t>
      </w:r>
      <w:r w:rsidRPr="00F032BB">
        <w:rPr>
          <w:rFonts w:ascii="Segoe UI" w:hAnsi="Segoe UI" w:cs="Segoe UI" w:hint="cs"/>
          <w:rtl/>
          <w:lang w:val="en-ZW"/>
        </w:rPr>
        <w:t xml:space="preserve"> עקרון הגמול ("הלימה") נחשב לעקרון המנחה בגין ביצוע עונש.</w:t>
      </w:r>
    </w:p>
    <w:p w14:paraId="00A1E852" w14:textId="77777777" w:rsidR="00584ED4" w:rsidRPr="00584ED4" w:rsidRDefault="00584ED4" w:rsidP="008F05D0">
      <w:pPr>
        <w:pBdr>
          <w:top w:val="single" w:sz="4" w:space="1" w:color="auto"/>
          <w:left w:val="single" w:sz="4" w:space="4" w:color="auto"/>
          <w:bottom w:val="single" w:sz="4" w:space="1" w:color="auto"/>
          <w:right w:val="single" w:sz="4" w:space="4" w:color="auto"/>
        </w:pBdr>
        <w:bidi/>
        <w:spacing w:before="72" w:after="0" w:line="276" w:lineRule="auto"/>
        <w:ind w:left="360" w:right="363"/>
        <w:jc w:val="both"/>
        <w:rPr>
          <w:rFonts w:ascii="Times New Roman" w:eastAsia="Times New Roman" w:hAnsi="Times New Roman" w:cs="Times New Roman"/>
          <w:sz w:val="24"/>
          <w:szCs w:val="24"/>
          <w:lang w:val="en-US"/>
        </w:rPr>
      </w:pPr>
      <w:r w:rsidRPr="00584ED4">
        <w:rPr>
          <w:rFonts w:ascii="Time New Roman" w:eastAsia="Times New Roman" w:hAnsi="Time New Roman" w:cs="Times New Roman"/>
          <w:b/>
          <w:bCs/>
          <w:color w:val="008000"/>
          <w:sz w:val="27"/>
          <w:szCs w:val="27"/>
          <w:rtl/>
          <w:lang w:val="en-US"/>
        </w:rPr>
        <w:t>העיקרון המנחה בענישה - הלימה (תיקון מס' 113) תשע"ב-2012</w:t>
      </w:r>
    </w:p>
    <w:p w14:paraId="3E84B165" w14:textId="292F4FBC" w:rsidR="00584ED4" w:rsidRPr="00584ED4" w:rsidRDefault="00584ED4" w:rsidP="008F05D0">
      <w:pPr>
        <w:pBdr>
          <w:top w:val="single" w:sz="4" w:space="1" w:color="auto"/>
          <w:left w:val="single" w:sz="4" w:space="4" w:color="auto"/>
          <w:bottom w:val="single" w:sz="4" w:space="1" w:color="auto"/>
          <w:right w:val="single" w:sz="4" w:space="4" w:color="auto"/>
        </w:pBdr>
        <w:bidi/>
        <w:spacing w:before="72" w:line="276" w:lineRule="auto"/>
        <w:ind w:left="360" w:right="363"/>
        <w:jc w:val="both"/>
        <w:rPr>
          <w:rFonts w:ascii="Times New Roman" w:eastAsia="Times New Roman" w:hAnsi="Times New Roman" w:cs="Times New Roman"/>
          <w:sz w:val="24"/>
          <w:szCs w:val="24"/>
          <w:lang w:val="en-US"/>
        </w:rPr>
      </w:pPr>
      <w:r w:rsidRPr="00584ED4">
        <w:rPr>
          <w:rFonts w:ascii="Miriam" w:eastAsia="Times New Roman" w:hAnsi="Miriam" w:cs="Miriam"/>
          <w:sz w:val="32"/>
          <w:szCs w:val="32"/>
          <w:rtl/>
          <w:lang w:val="en-US"/>
        </w:rPr>
        <w:t>40</w:t>
      </w:r>
      <w:r w:rsidRPr="00584ED4">
        <w:rPr>
          <w:rFonts w:ascii="FrankRuehl" w:eastAsia="Times New Roman" w:hAnsi="FrankRuehl" w:cs="FrankRuehl"/>
          <w:sz w:val="26"/>
          <w:szCs w:val="26"/>
          <w:rtl/>
          <w:lang w:val="en-US"/>
        </w:rPr>
        <w:t>ב.  העיקרון המנחה בענישה הוא קיומו של יחס הולם בין חומרת מעשה העבירה בנסיבותיו ומידת אשמו של הנאשם ובין סוג ומידת העונש המוטל עליו (בסימן זה – העיקרון המנחה).</w:t>
      </w:r>
    </w:p>
    <w:p w14:paraId="5F8E8257" w14:textId="0EFA9722" w:rsidR="00417410" w:rsidRPr="00F032BB" w:rsidRDefault="00417410" w:rsidP="008F05D0">
      <w:pPr>
        <w:pStyle w:val="ab"/>
        <w:numPr>
          <w:ilvl w:val="0"/>
          <w:numId w:val="36"/>
        </w:numPr>
        <w:bidi/>
        <w:spacing w:after="0" w:line="276" w:lineRule="auto"/>
        <w:jc w:val="both"/>
        <w:rPr>
          <w:rFonts w:ascii="Segoe UI" w:hAnsi="Segoe UI" w:cs="Segoe UI"/>
          <w:lang w:val="en-ZW"/>
        </w:rPr>
      </w:pPr>
      <w:r w:rsidRPr="00F032BB">
        <w:rPr>
          <w:rFonts w:ascii="Segoe UI" w:hAnsi="Segoe UI" w:cs="Segoe UI" w:hint="cs"/>
          <w:rtl/>
          <w:lang w:val="en-ZW"/>
        </w:rPr>
        <w:t xml:space="preserve">על החברה מוטלת חובה מוסרית להעניש את העבריין </w:t>
      </w:r>
      <w:r w:rsidRPr="00F032BB">
        <w:rPr>
          <w:rFonts w:ascii="Segoe UI" w:hAnsi="Segoe UI" w:cs="Segoe UI"/>
          <w:rtl/>
          <w:lang w:val="en-ZW"/>
        </w:rPr>
        <w:t>–</w:t>
      </w:r>
      <w:r w:rsidRPr="00F032BB">
        <w:rPr>
          <w:rFonts w:ascii="Segoe UI" w:hAnsi="Segoe UI" w:cs="Segoe UI" w:hint="cs"/>
          <w:rtl/>
          <w:lang w:val="en-ZW"/>
        </w:rPr>
        <w:t xml:space="preserve"> "מידה כנגד מידה" ולהוקיע את מעשיו.</w:t>
      </w:r>
    </w:p>
    <w:p w14:paraId="792B2888" w14:textId="77777777" w:rsidR="00417410" w:rsidRPr="00F032BB" w:rsidRDefault="00417410" w:rsidP="008F05D0">
      <w:pPr>
        <w:pStyle w:val="ab"/>
        <w:numPr>
          <w:ilvl w:val="0"/>
          <w:numId w:val="36"/>
        </w:numPr>
        <w:bidi/>
        <w:spacing w:after="0" w:line="276" w:lineRule="auto"/>
        <w:jc w:val="both"/>
        <w:rPr>
          <w:rFonts w:ascii="Segoe UI" w:hAnsi="Segoe UI" w:cs="Segoe UI"/>
          <w:lang w:val="en-ZW"/>
        </w:rPr>
      </w:pPr>
      <w:r w:rsidRPr="00F032BB">
        <w:rPr>
          <w:rFonts w:ascii="Segoe UI" w:hAnsi="Segoe UI" w:cs="Segoe UI" w:hint="cs"/>
          <w:rtl/>
          <w:lang w:val="en-ZW"/>
        </w:rPr>
        <w:t xml:space="preserve">גם אם העונש ישפיע לרעה על הנאשם ויוליכו להתנהגות עבריינית </w:t>
      </w:r>
      <w:r w:rsidRPr="00F032BB">
        <w:rPr>
          <w:rFonts w:ascii="Segoe UI" w:hAnsi="Segoe UI" w:cs="Segoe UI"/>
          <w:rtl/>
          <w:lang w:val="en-ZW"/>
        </w:rPr>
        <w:t>–</w:t>
      </w:r>
      <w:r w:rsidRPr="00F032BB">
        <w:rPr>
          <w:rFonts w:ascii="Segoe UI" w:hAnsi="Segoe UI" w:cs="Segoe UI" w:hint="cs"/>
          <w:rtl/>
          <w:lang w:val="en-ZW"/>
        </w:rPr>
        <w:t xml:space="preserve"> עדיין אין להפחית מהעונש כי "זה מה שמגיע".</w:t>
      </w:r>
    </w:p>
    <w:p w14:paraId="402F0D5A" w14:textId="1909FF48" w:rsidR="00417410" w:rsidRPr="008F05D0" w:rsidRDefault="00417410" w:rsidP="008F05D0">
      <w:pPr>
        <w:pStyle w:val="ab"/>
        <w:numPr>
          <w:ilvl w:val="0"/>
          <w:numId w:val="36"/>
        </w:numPr>
        <w:bidi/>
        <w:spacing w:after="0" w:line="276" w:lineRule="auto"/>
        <w:jc w:val="both"/>
        <w:rPr>
          <w:rFonts w:ascii="Segoe UI" w:hAnsi="Segoe UI" w:cs="Segoe UI"/>
          <w:rtl/>
          <w:lang w:val="en-ZW"/>
        </w:rPr>
      </w:pPr>
      <w:r w:rsidRPr="00F032BB">
        <w:rPr>
          <w:rFonts w:ascii="Segoe UI" w:hAnsi="Segoe UI" w:cs="Segoe UI" w:hint="cs"/>
          <w:rtl/>
          <w:lang w:val="en-ZW"/>
        </w:rPr>
        <w:t xml:space="preserve">מצד שני, אין לתת לנאשם יותר ממה שמגיע לו כדי להרתיע אחרים. </w:t>
      </w:r>
      <w:r w:rsidRPr="00F032BB">
        <w:rPr>
          <w:rFonts w:ascii="Segoe UI" w:hAnsi="Segoe UI" w:cs="Segoe UI" w:hint="cs"/>
          <w:b/>
          <w:bCs/>
          <w:rtl/>
          <w:lang w:val="en-ZW"/>
        </w:rPr>
        <w:t xml:space="preserve">צריך לתת לו בדיוק </w:t>
      </w:r>
      <w:r w:rsidRPr="00F032BB">
        <w:rPr>
          <w:rFonts w:ascii="Segoe UI" w:hAnsi="Segoe UI" w:cs="Segoe UI" w:hint="cs"/>
          <w:b/>
          <w:bCs/>
          <w:u w:val="single"/>
          <w:rtl/>
          <w:lang w:val="en-ZW"/>
        </w:rPr>
        <w:t>כגמולו</w:t>
      </w:r>
      <w:r w:rsidRPr="00F032BB">
        <w:rPr>
          <w:rFonts w:ascii="Segoe UI" w:hAnsi="Segoe UI" w:cs="Segoe UI" w:hint="cs"/>
          <w:b/>
          <w:bCs/>
          <w:rtl/>
          <w:lang w:val="en-ZW"/>
        </w:rPr>
        <w:t xml:space="preserve">. </w:t>
      </w:r>
    </w:p>
    <w:p w14:paraId="681FFC93" w14:textId="63E88156" w:rsidR="00417410" w:rsidRPr="00D90277" w:rsidRDefault="00417410" w:rsidP="008F05D0">
      <w:pPr>
        <w:pStyle w:val="110"/>
        <w:spacing w:line="276" w:lineRule="auto"/>
        <w:rPr>
          <w:rtl/>
        </w:rPr>
      </w:pPr>
      <w:r w:rsidRPr="00D90277">
        <w:rPr>
          <w:rFonts w:hint="cs"/>
          <w:rtl/>
        </w:rPr>
        <w:lastRenderedPageBreak/>
        <w:t>הביקורת על עקרון הגמול</w:t>
      </w:r>
    </w:p>
    <w:p w14:paraId="2E298D2A" w14:textId="77777777" w:rsidR="00417410" w:rsidRPr="00F032BB" w:rsidRDefault="00417410" w:rsidP="008F05D0">
      <w:pPr>
        <w:pStyle w:val="ab"/>
        <w:numPr>
          <w:ilvl w:val="0"/>
          <w:numId w:val="37"/>
        </w:numPr>
        <w:bidi/>
        <w:spacing w:after="0" w:line="276" w:lineRule="auto"/>
        <w:jc w:val="both"/>
        <w:rPr>
          <w:rFonts w:ascii="Segoe UI" w:hAnsi="Segoe UI" w:cs="Segoe UI"/>
          <w:rtl/>
          <w:lang w:val="en-ZW"/>
        </w:rPr>
      </w:pPr>
      <w:r w:rsidRPr="00F032BB">
        <w:rPr>
          <w:rFonts w:ascii="Segoe UI" w:hAnsi="Segoe UI" w:cs="Segoe UI" w:hint="cs"/>
          <w:rtl/>
          <w:lang w:val="en-ZW"/>
        </w:rPr>
        <w:t xml:space="preserve">עקרון הגמול מתעלם ממטרות אחרות של הענישה. </w:t>
      </w:r>
    </w:p>
    <w:p w14:paraId="62704DF9" w14:textId="0B4B65BE" w:rsidR="00417410" w:rsidRPr="00F032BB" w:rsidRDefault="00417410" w:rsidP="008F05D0">
      <w:pPr>
        <w:pStyle w:val="ab"/>
        <w:numPr>
          <w:ilvl w:val="0"/>
          <w:numId w:val="37"/>
        </w:numPr>
        <w:bidi/>
        <w:spacing w:after="0" w:line="276" w:lineRule="auto"/>
        <w:jc w:val="both"/>
        <w:rPr>
          <w:rFonts w:ascii="Segoe UI" w:hAnsi="Segoe UI" w:cs="Segoe UI"/>
          <w:lang w:val="en-ZW"/>
        </w:rPr>
      </w:pPr>
      <w:r w:rsidRPr="00F032BB">
        <w:rPr>
          <w:rFonts w:ascii="Segoe UI" w:hAnsi="Segoe UI" w:cs="Segoe UI" w:hint="cs"/>
          <w:rtl/>
          <w:lang w:val="en-ZW"/>
        </w:rPr>
        <w:t xml:space="preserve">עקרון הגמול לא בהכרח מציאותי. </w:t>
      </w:r>
    </w:p>
    <w:p w14:paraId="668AD8ED" w14:textId="277A6AF1" w:rsidR="00BE6911" w:rsidRPr="00F032BB" w:rsidRDefault="00BE6911" w:rsidP="008F05D0">
      <w:pPr>
        <w:pStyle w:val="ab"/>
        <w:numPr>
          <w:ilvl w:val="0"/>
          <w:numId w:val="37"/>
        </w:numPr>
        <w:bidi/>
        <w:spacing w:after="0" w:line="276" w:lineRule="auto"/>
        <w:jc w:val="both"/>
        <w:rPr>
          <w:rFonts w:ascii="Segoe UI" w:hAnsi="Segoe UI" w:cs="Segoe UI"/>
          <w:lang w:val="en-ZW"/>
        </w:rPr>
      </w:pPr>
      <w:r w:rsidRPr="00F032BB">
        <w:rPr>
          <w:rFonts w:ascii="Segoe UI" w:hAnsi="Segoe UI" w:cs="Segoe UI" w:hint="cs"/>
          <w:color w:val="7030A0"/>
          <w:rtl/>
          <w:lang w:val="en-ZW"/>
        </w:rPr>
        <w:t xml:space="preserve">מה זה "כגמולו"? מי קבע את ה"מחירון" שמופיע בחוק העונשין שעל אינוס זה 20 שנות מאסר ועל רצח מאסר עולם וכו'. </w:t>
      </w:r>
      <w:r w:rsidR="003D65BF" w:rsidRPr="00F032BB">
        <w:rPr>
          <w:rFonts w:ascii="Segoe UI" w:hAnsi="Segoe UI" w:cs="Segoe UI" w:hint="cs"/>
          <w:color w:val="7030A0"/>
          <w:rtl/>
          <w:lang w:val="en-ZW"/>
        </w:rPr>
        <w:t>ואיך אנחנו מתיימרים להגיד שזה גמול לעבריין?</w:t>
      </w:r>
    </w:p>
    <w:p w14:paraId="09A49DEE" w14:textId="77777777" w:rsidR="00BE6911" w:rsidRPr="00F032BB" w:rsidRDefault="00BE6911" w:rsidP="008F05D0">
      <w:pPr>
        <w:bidi/>
        <w:spacing w:after="0" w:line="276" w:lineRule="auto"/>
        <w:jc w:val="both"/>
        <w:rPr>
          <w:rFonts w:ascii="Segoe UI" w:hAnsi="Segoe UI" w:cs="Segoe UI"/>
          <w:rtl/>
          <w:lang w:val="en-ZW"/>
        </w:rPr>
      </w:pPr>
    </w:p>
    <w:p w14:paraId="096C4431" w14:textId="57FE49BC" w:rsidR="00417410" w:rsidRPr="00D90277" w:rsidRDefault="00417410" w:rsidP="008F05D0">
      <w:pPr>
        <w:pStyle w:val="110"/>
        <w:spacing w:line="276" w:lineRule="auto"/>
        <w:rPr>
          <w:rtl/>
        </w:rPr>
      </w:pPr>
      <w:r w:rsidRPr="00D90277">
        <w:rPr>
          <w:rFonts w:hint="cs"/>
          <w:rtl/>
        </w:rPr>
        <w:t>הגמול במובן של נקמה</w:t>
      </w:r>
    </w:p>
    <w:p w14:paraId="1980D383" w14:textId="77777777" w:rsidR="00417410" w:rsidRPr="00F032BB" w:rsidRDefault="00417410" w:rsidP="008F05D0">
      <w:pPr>
        <w:pStyle w:val="ab"/>
        <w:numPr>
          <w:ilvl w:val="0"/>
          <w:numId w:val="38"/>
        </w:numPr>
        <w:bidi/>
        <w:spacing w:after="0" w:line="276" w:lineRule="auto"/>
        <w:jc w:val="both"/>
        <w:rPr>
          <w:rFonts w:ascii="Segoe UI" w:hAnsi="Segoe UI" w:cs="Segoe UI"/>
          <w:rtl/>
          <w:lang w:val="en-ZW"/>
        </w:rPr>
      </w:pPr>
      <w:r w:rsidRPr="00F032BB">
        <w:rPr>
          <w:rFonts w:ascii="Segoe UI" w:hAnsi="Segoe UI" w:cs="Segoe UI"/>
          <w:rtl/>
          <w:lang w:val="en-ZW"/>
        </w:rPr>
        <w:t>הטלת העונש גורמת סיפוק ליצר הנקמה של הקורבן ושל כל הציבור המזדהים עם הקורבן</w:t>
      </w:r>
    </w:p>
    <w:p w14:paraId="7E3EF58B" w14:textId="77777777" w:rsidR="00417410" w:rsidRPr="00F032BB" w:rsidRDefault="00417410" w:rsidP="008F05D0">
      <w:pPr>
        <w:pStyle w:val="ab"/>
        <w:numPr>
          <w:ilvl w:val="0"/>
          <w:numId w:val="38"/>
        </w:numPr>
        <w:bidi/>
        <w:spacing w:after="0" w:line="276" w:lineRule="auto"/>
        <w:jc w:val="both"/>
        <w:rPr>
          <w:rFonts w:ascii="Segoe UI" w:hAnsi="Segoe UI" w:cs="Segoe UI"/>
          <w:rtl/>
          <w:lang w:val="en-ZW"/>
        </w:rPr>
      </w:pPr>
      <w:r w:rsidRPr="00F032BB">
        <w:rPr>
          <w:rFonts w:ascii="Segoe UI" w:hAnsi="Segoe UI" w:cs="Segoe UI"/>
          <w:rtl/>
          <w:lang w:val="en-ZW"/>
        </w:rPr>
        <w:t>הגמול הוא ויסות ואיזון של יצר הנקמה הציבורי</w:t>
      </w:r>
    </w:p>
    <w:p w14:paraId="505ED519" w14:textId="77777777" w:rsidR="00417410" w:rsidRPr="00F032BB" w:rsidRDefault="00417410" w:rsidP="008F05D0">
      <w:pPr>
        <w:pStyle w:val="ab"/>
        <w:numPr>
          <w:ilvl w:val="0"/>
          <w:numId w:val="38"/>
        </w:numPr>
        <w:bidi/>
        <w:spacing w:after="0" w:line="276" w:lineRule="auto"/>
        <w:jc w:val="both"/>
        <w:rPr>
          <w:rFonts w:ascii="Segoe UI" w:hAnsi="Segoe UI" w:cs="Segoe UI"/>
          <w:rtl/>
          <w:lang w:val="en-ZW"/>
        </w:rPr>
      </w:pPr>
      <w:r w:rsidRPr="00F032BB">
        <w:rPr>
          <w:rFonts w:ascii="Segoe UI" w:hAnsi="Segoe UI" w:cs="Segoe UI"/>
          <w:rtl/>
          <w:lang w:val="en-ZW"/>
        </w:rPr>
        <w:t>יצר השנאה והנקמה הוא דבר בלתי נמנע ויש לו גם השלכות חיוביות: הקורבן מתלונן במשטרה\מעיד בבית המשפט</w:t>
      </w:r>
    </w:p>
    <w:p w14:paraId="612206CF" w14:textId="5248A84B" w:rsidR="00417410" w:rsidRPr="00F032BB" w:rsidRDefault="00417410" w:rsidP="008F05D0">
      <w:pPr>
        <w:pStyle w:val="ab"/>
        <w:numPr>
          <w:ilvl w:val="0"/>
          <w:numId w:val="38"/>
        </w:numPr>
        <w:bidi/>
        <w:spacing w:after="0" w:line="276" w:lineRule="auto"/>
        <w:jc w:val="both"/>
        <w:rPr>
          <w:rFonts w:ascii="Segoe UI" w:hAnsi="Segoe UI" w:cs="Segoe UI"/>
          <w:rtl/>
          <w:lang w:val="en-ZW"/>
        </w:rPr>
      </w:pPr>
      <w:r w:rsidRPr="00F032BB">
        <w:rPr>
          <w:rFonts w:ascii="Segoe UI" w:hAnsi="Segoe UI" w:cs="Segoe UI"/>
          <w:rtl/>
          <w:lang w:val="en-ZW"/>
        </w:rPr>
        <w:t>מבחינה מוסרית - "מוצדק לשנוא עברייני</w:t>
      </w:r>
      <w:r w:rsidR="005B0B10" w:rsidRPr="00F032BB">
        <w:rPr>
          <w:rFonts w:ascii="Segoe UI" w:hAnsi="Segoe UI" w:cs="Segoe UI" w:hint="cs"/>
          <w:rtl/>
          <w:lang w:val="en-ZW"/>
        </w:rPr>
        <w:t>ם"</w:t>
      </w:r>
      <w:r w:rsidRPr="00F032BB">
        <w:rPr>
          <w:rFonts w:ascii="Segoe UI" w:hAnsi="Segoe UI" w:cs="Segoe UI"/>
          <w:lang w:val="en-ZW"/>
        </w:rPr>
        <w:t>.</w:t>
      </w:r>
    </w:p>
    <w:p w14:paraId="716C0E29" w14:textId="77777777" w:rsidR="00417410" w:rsidRPr="00F032BB" w:rsidRDefault="00417410" w:rsidP="008F05D0">
      <w:pPr>
        <w:pStyle w:val="ab"/>
        <w:numPr>
          <w:ilvl w:val="0"/>
          <w:numId w:val="38"/>
        </w:numPr>
        <w:bidi/>
        <w:spacing w:after="0" w:line="276" w:lineRule="auto"/>
        <w:jc w:val="both"/>
        <w:rPr>
          <w:rFonts w:ascii="Segoe UI" w:hAnsi="Segoe UI" w:cs="Segoe UI"/>
          <w:rtl/>
          <w:lang w:val="en-ZW"/>
        </w:rPr>
      </w:pPr>
      <w:r w:rsidRPr="00F032BB">
        <w:rPr>
          <w:rFonts w:ascii="Segoe UI" w:hAnsi="Segoe UI" w:cs="Segoe UI"/>
          <w:rtl/>
          <w:lang w:val="en-ZW"/>
        </w:rPr>
        <w:t>יש לחזק את השנאה והבוז לעבריינים כי על ידי זה מתחזק בציבור הציות לחוק"</w:t>
      </w:r>
    </w:p>
    <w:p w14:paraId="5968285D" w14:textId="77777777" w:rsidR="00417410" w:rsidRPr="00F032BB" w:rsidRDefault="00417410" w:rsidP="008F05D0">
      <w:pPr>
        <w:bidi/>
        <w:spacing w:after="0" w:line="276" w:lineRule="auto"/>
        <w:jc w:val="both"/>
        <w:rPr>
          <w:rFonts w:ascii="Segoe UI" w:hAnsi="Segoe UI" w:cs="Segoe UI"/>
          <w:rtl/>
          <w:lang w:val="en-ZW"/>
        </w:rPr>
      </w:pPr>
    </w:p>
    <w:p w14:paraId="0BE1602A" w14:textId="356AE872" w:rsidR="00417410" w:rsidRPr="00D90277" w:rsidRDefault="00417410" w:rsidP="008F05D0">
      <w:pPr>
        <w:pStyle w:val="110"/>
        <w:spacing w:line="276" w:lineRule="auto"/>
        <w:rPr>
          <w:rtl/>
        </w:rPr>
      </w:pPr>
      <w:r w:rsidRPr="00D90277">
        <w:rPr>
          <w:rFonts w:hint="cs"/>
          <w:rtl/>
        </w:rPr>
        <w:t>הגמול במובן של הפסיכולוגיה המודרנית</w:t>
      </w:r>
    </w:p>
    <w:p w14:paraId="6032DFB5" w14:textId="77777777" w:rsidR="00417410" w:rsidRPr="00F032BB" w:rsidRDefault="00417410" w:rsidP="008F05D0">
      <w:pPr>
        <w:pStyle w:val="ab"/>
        <w:numPr>
          <w:ilvl w:val="0"/>
          <w:numId w:val="39"/>
        </w:numPr>
        <w:bidi/>
        <w:spacing w:after="0" w:line="276" w:lineRule="auto"/>
        <w:jc w:val="both"/>
        <w:rPr>
          <w:rFonts w:ascii="Segoe UI" w:hAnsi="Segoe UI" w:cs="Segoe UI"/>
          <w:rtl/>
          <w:lang w:val="en-ZW"/>
        </w:rPr>
      </w:pPr>
      <w:r w:rsidRPr="00F032BB">
        <w:rPr>
          <w:rFonts w:ascii="Segoe UI" w:hAnsi="Segoe UI" w:cs="Segoe UI"/>
          <w:rtl/>
          <w:lang w:val="en-ZW"/>
        </w:rPr>
        <w:t>לפעמים זקוק העבריין לעונש כדי להחזיר לעצמו את "שיווי המשקל" הנפשי עקב רגשות האשם</w:t>
      </w:r>
      <w:r w:rsidRPr="00F032BB">
        <w:rPr>
          <w:rFonts w:ascii="Segoe UI" w:hAnsi="Segoe UI" w:cs="Segoe UI"/>
          <w:lang w:val="en-ZW"/>
        </w:rPr>
        <w:t xml:space="preserve">. </w:t>
      </w:r>
    </w:p>
    <w:p w14:paraId="1ABD024A" w14:textId="6771D4DB" w:rsidR="00417410" w:rsidRPr="00F032BB" w:rsidRDefault="00417410" w:rsidP="008F05D0">
      <w:pPr>
        <w:pStyle w:val="ab"/>
        <w:numPr>
          <w:ilvl w:val="0"/>
          <w:numId w:val="39"/>
        </w:numPr>
        <w:bidi/>
        <w:spacing w:after="0" w:line="276" w:lineRule="auto"/>
        <w:jc w:val="both"/>
        <w:rPr>
          <w:rFonts w:ascii="Segoe UI" w:hAnsi="Segoe UI" w:cs="Segoe UI"/>
          <w:lang w:val="en-ZW"/>
        </w:rPr>
      </w:pPr>
      <w:r w:rsidRPr="00F032BB">
        <w:rPr>
          <w:rFonts w:ascii="Segoe UI" w:hAnsi="Segoe UI" w:cs="Segoe UI"/>
          <w:rtl/>
          <w:lang w:val="en-ZW"/>
        </w:rPr>
        <w:t>מחקר על אנשים שדרסו למוות אנשים עקב נהיגה רשלנית -  חלק מהם הודו כי העונש "הגיע להם" והם ראו בעונש גמול צודק שיש בו כדי להשתחרר מרגשות האשם.</w:t>
      </w:r>
    </w:p>
    <w:p w14:paraId="14FFBC97" w14:textId="7D902463" w:rsidR="00E7598B" w:rsidRDefault="00E7598B" w:rsidP="008F05D0">
      <w:pPr>
        <w:bidi/>
        <w:spacing w:after="0" w:line="276" w:lineRule="auto"/>
        <w:jc w:val="both"/>
        <w:rPr>
          <w:rFonts w:ascii="Segoe UI" w:hAnsi="Segoe UI" w:cs="Segoe UI"/>
          <w:rtl/>
          <w:lang w:val="en-ZW"/>
        </w:rPr>
      </w:pPr>
    </w:p>
    <w:p w14:paraId="206366EB" w14:textId="145AEF5B" w:rsidR="00E7598B" w:rsidRPr="00D90277" w:rsidRDefault="00E7598B" w:rsidP="008F05D0">
      <w:pPr>
        <w:pStyle w:val="110"/>
        <w:spacing w:line="276" w:lineRule="auto"/>
        <w:rPr>
          <w:rtl/>
        </w:rPr>
      </w:pPr>
      <w:r w:rsidRPr="00D90277">
        <w:rPr>
          <w:rFonts w:hint="cs"/>
          <w:rtl/>
        </w:rPr>
        <w:t>הביקורת על הגמול</w:t>
      </w:r>
    </w:p>
    <w:p w14:paraId="45B7BA34" w14:textId="2C7DA209" w:rsidR="00F85AD1" w:rsidRPr="00F032BB" w:rsidRDefault="00F85AD1" w:rsidP="008F05D0">
      <w:pPr>
        <w:pStyle w:val="ab"/>
        <w:numPr>
          <w:ilvl w:val="0"/>
          <w:numId w:val="40"/>
        </w:numPr>
        <w:bidi/>
        <w:spacing w:after="0" w:line="276" w:lineRule="auto"/>
        <w:jc w:val="both"/>
        <w:rPr>
          <w:rFonts w:ascii="Segoe UI" w:hAnsi="Segoe UI" w:cs="Segoe UI"/>
          <w:rtl/>
          <w:lang w:val="en-ZW"/>
        </w:rPr>
      </w:pPr>
      <w:r w:rsidRPr="00F032BB">
        <w:rPr>
          <w:rFonts w:ascii="Segoe UI" w:hAnsi="Segoe UI" w:cs="Segoe UI"/>
          <w:rtl/>
          <w:lang w:val="en-ZW"/>
        </w:rPr>
        <w:t>הגמול מהווה הטלת סבל על העבריין. מבחינה מוסרית ניתן להצדיק אם זה משרת מטרה חברתית אולם לא ברור מה מוסרי בהטלת סבל על העבריין. נקמה אינה דבר מוסרי</w:t>
      </w:r>
      <w:r w:rsidRPr="00F032BB">
        <w:rPr>
          <w:rFonts w:ascii="Segoe UI" w:hAnsi="Segoe UI" w:cs="Segoe UI"/>
          <w:lang w:val="en-ZW"/>
        </w:rPr>
        <w:t>.</w:t>
      </w:r>
    </w:p>
    <w:p w14:paraId="346F2978" w14:textId="6ABDF9DA" w:rsidR="00F85AD1" w:rsidRPr="00F032BB" w:rsidRDefault="00F85AD1" w:rsidP="008F05D0">
      <w:pPr>
        <w:pStyle w:val="ab"/>
        <w:numPr>
          <w:ilvl w:val="0"/>
          <w:numId w:val="40"/>
        </w:numPr>
        <w:bidi/>
        <w:spacing w:after="0" w:line="276" w:lineRule="auto"/>
        <w:jc w:val="both"/>
        <w:rPr>
          <w:rFonts w:ascii="Segoe UI" w:hAnsi="Segoe UI" w:cs="Segoe UI"/>
          <w:rtl/>
          <w:lang w:val="en-ZW"/>
        </w:rPr>
      </w:pPr>
      <w:r w:rsidRPr="00F032BB">
        <w:rPr>
          <w:rFonts w:ascii="Segoe UI" w:hAnsi="Segoe UI" w:cs="Segoe UI"/>
          <w:rtl/>
          <w:lang w:val="en-ZW"/>
        </w:rPr>
        <w:t>הגמול נועד להתאים את מידת הסבל של העבריין למידת חטאו או אשמתו אך לא ברור כלל איך עושים את זה ואם זה אפשרי</w:t>
      </w:r>
    </w:p>
    <w:p w14:paraId="1DD0ED51" w14:textId="13EE35F6" w:rsidR="00E7598B" w:rsidRPr="00F032BB" w:rsidRDefault="00F85AD1" w:rsidP="008F05D0">
      <w:pPr>
        <w:pStyle w:val="ab"/>
        <w:numPr>
          <w:ilvl w:val="0"/>
          <w:numId w:val="40"/>
        </w:numPr>
        <w:bidi/>
        <w:spacing w:after="0" w:line="276" w:lineRule="auto"/>
        <w:jc w:val="both"/>
        <w:rPr>
          <w:rFonts w:ascii="Segoe UI" w:hAnsi="Segoe UI" w:cs="Segoe UI"/>
          <w:lang w:val="en-ZW"/>
        </w:rPr>
      </w:pPr>
      <w:r w:rsidRPr="00F032BB">
        <w:rPr>
          <w:rFonts w:ascii="Segoe UI" w:hAnsi="Segoe UI" w:cs="Segoe UI"/>
          <w:rtl/>
          <w:lang w:val="en-ZW"/>
        </w:rPr>
        <w:t>הגמול צופה פני עבר ואילו חברה נאורה צריכה להסתכל אל העתיד ושיפור המחר</w:t>
      </w:r>
    </w:p>
    <w:p w14:paraId="3498D909" w14:textId="21CE83A4" w:rsidR="00C16374" w:rsidRPr="00F032BB" w:rsidRDefault="00C16374" w:rsidP="008F05D0">
      <w:pPr>
        <w:pStyle w:val="ab"/>
        <w:numPr>
          <w:ilvl w:val="0"/>
          <w:numId w:val="40"/>
        </w:numPr>
        <w:bidi/>
        <w:spacing w:after="0" w:line="276" w:lineRule="auto"/>
        <w:jc w:val="both"/>
        <w:rPr>
          <w:rFonts w:ascii="Segoe UI" w:hAnsi="Segoe UI" w:cs="Segoe UI"/>
          <w:lang w:val="en-ZW"/>
        </w:rPr>
      </w:pPr>
      <w:r w:rsidRPr="00F032BB">
        <w:rPr>
          <w:rFonts w:ascii="Segoe UI" w:hAnsi="Segoe UI" w:cs="Segoe UI" w:hint="cs"/>
          <w:rtl/>
          <w:lang w:val="en-ZW"/>
        </w:rPr>
        <w:t>קביעת גמול מדויק הוא דבר בלתי אפשרי בעולם המעשה:</w:t>
      </w:r>
    </w:p>
    <w:p w14:paraId="0A9CFBD6" w14:textId="232003DF" w:rsidR="00C16374" w:rsidRPr="00F032BB" w:rsidRDefault="00C16374" w:rsidP="008F05D0">
      <w:pPr>
        <w:pStyle w:val="ab"/>
        <w:numPr>
          <w:ilvl w:val="0"/>
          <w:numId w:val="41"/>
        </w:numPr>
        <w:bidi/>
        <w:spacing w:after="0" w:line="276" w:lineRule="auto"/>
        <w:ind w:left="723"/>
        <w:jc w:val="both"/>
        <w:rPr>
          <w:rFonts w:ascii="Segoe UI" w:hAnsi="Segoe UI" w:cs="Segoe UI"/>
          <w:rtl/>
          <w:lang w:val="en-ZW"/>
        </w:rPr>
      </w:pPr>
      <w:r w:rsidRPr="00F032BB">
        <w:rPr>
          <w:rFonts w:ascii="Segoe UI" w:hAnsi="Segoe UI" w:cs="Segoe UI" w:hint="cs"/>
          <w:rtl/>
          <w:lang w:val="en-ZW"/>
        </w:rPr>
        <w:t xml:space="preserve">לדוג' גנב פרץ לכספת והסתבר שלא היה כלום </w:t>
      </w:r>
      <w:r w:rsidRPr="00F032BB">
        <w:rPr>
          <w:rFonts w:ascii="Segoe UI" w:hAnsi="Segoe UI" w:cs="Segoe UI"/>
          <w:rtl/>
          <w:lang w:val="en-ZW"/>
        </w:rPr>
        <w:t>–</w:t>
      </w:r>
      <w:r w:rsidRPr="00F032BB">
        <w:rPr>
          <w:rFonts w:ascii="Segoe UI" w:hAnsi="Segoe UI" w:cs="Segoe UI" w:hint="cs"/>
          <w:rtl/>
          <w:lang w:val="en-ZW"/>
        </w:rPr>
        <w:t xml:space="preserve"> </w:t>
      </w:r>
      <w:r w:rsidRPr="00F032BB">
        <w:rPr>
          <w:rFonts w:ascii="Segoe UI" w:hAnsi="Segoe UI" w:cs="Segoe UI" w:hint="cs"/>
          <w:b/>
          <w:bCs/>
          <w:u w:val="single"/>
          <w:rtl/>
          <w:lang w:val="en-ZW"/>
        </w:rPr>
        <w:t>האם נעניש אותו לפי הכוונה או לפי התוצאה</w:t>
      </w:r>
      <w:r w:rsidRPr="00F032BB">
        <w:rPr>
          <w:rFonts w:ascii="Segoe UI" w:hAnsi="Segoe UI" w:cs="Segoe UI" w:hint="cs"/>
          <w:rtl/>
          <w:lang w:val="en-ZW"/>
        </w:rPr>
        <w:t>?</w:t>
      </w:r>
      <w:r w:rsidRPr="00F032BB">
        <w:rPr>
          <w:rFonts w:ascii="Segoe UI" w:hAnsi="Segoe UI" w:cs="Segoe UI" w:hint="cs"/>
          <w:lang w:val="en-ZW"/>
        </w:rPr>
        <w:t xml:space="preserve"> </w:t>
      </w:r>
    </w:p>
    <w:p w14:paraId="1E413677" w14:textId="284D9838" w:rsidR="00C16374" w:rsidRPr="00F032BB" w:rsidRDefault="00C16374" w:rsidP="008F05D0">
      <w:pPr>
        <w:pStyle w:val="ab"/>
        <w:numPr>
          <w:ilvl w:val="0"/>
          <w:numId w:val="41"/>
        </w:numPr>
        <w:bidi/>
        <w:spacing w:after="0" w:line="276" w:lineRule="auto"/>
        <w:ind w:left="723"/>
        <w:jc w:val="both"/>
        <w:rPr>
          <w:rFonts w:ascii="Segoe UI" w:hAnsi="Segoe UI" w:cs="Segoe UI"/>
          <w:rtl/>
          <w:lang w:val="en-ZW"/>
        </w:rPr>
      </w:pPr>
      <w:r w:rsidRPr="00F032BB">
        <w:rPr>
          <w:rFonts w:ascii="Segoe UI" w:hAnsi="Segoe UI" w:cs="Segoe UI" w:hint="cs"/>
          <w:rtl/>
          <w:lang w:val="en-ZW"/>
        </w:rPr>
        <w:t>לדוג' אדם ירה על אחר אך היה מעצור</w:t>
      </w:r>
      <w:r w:rsidR="00FE2B31" w:rsidRPr="00F032BB">
        <w:rPr>
          <w:rFonts w:ascii="Segoe UI" w:hAnsi="Segoe UI" w:cs="Segoe UI" w:hint="cs"/>
          <w:rtl/>
          <w:lang w:val="en-ZW"/>
        </w:rPr>
        <w:t>.</w:t>
      </w:r>
    </w:p>
    <w:p w14:paraId="5324F1CB" w14:textId="3C33BE66" w:rsidR="00C16374" w:rsidRPr="00F032BB" w:rsidRDefault="006F3AFA" w:rsidP="008F05D0">
      <w:pPr>
        <w:pStyle w:val="ab"/>
        <w:numPr>
          <w:ilvl w:val="0"/>
          <w:numId w:val="41"/>
        </w:numPr>
        <w:bidi/>
        <w:spacing w:after="0" w:line="276" w:lineRule="auto"/>
        <w:ind w:left="723"/>
        <w:jc w:val="both"/>
        <w:rPr>
          <w:rFonts w:ascii="Segoe UI" w:hAnsi="Segoe UI" w:cs="Segoe UI"/>
          <w:rtl/>
          <w:lang w:val="en-ZW"/>
        </w:rPr>
      </w:pPr>
      <w:r w:rsidRPr="00F032BB">
        <w:rPr>
          <w:rFonts w:ascii="Segoe UI" w:hAnsi="Segoe UI" w:cs="Segoe UI" w:hint="cs"/>
          <w:rtl/>
          <w:lang w:val="en-ZW"/>
        </w:rPr>
        <w:t xml:space="preserve">לדוג' </w:t>
      </w:r>
      <w:r w:rsidR="00CE6D04" w:rsidRPr="00F032BB">
        <w:rPr>
          <w:rFonts w:ascii="Segoe UI" w:hAnsi="Segoe UI" w:cs="Segoe UI" w:hint="cs"/>
          <w:rtl/>
          <w:lang w:val="en-ZW"/>
        </w:rPr>
        <w:t>אדם צרך סמים ופגע בשניים. אחד מת והשני נשרט.</w:t>
      </w:r>
    </w:p>
    <w:p w14:paraId="24049515" w14:textId="43D56AA5" w:rsidR="00CE6D04" w:rsidRPr="00F032BB" w:rsidRDefault="00CE6D04" w:rsidP="008F05D0">
      <w:pPr>
        <w:pStyle w:val="ab"/>
        <w:numPr>
          <w:ilvl w:val="0"/>
          <w:numId w:val="41"/>
        </w:numPr>
        <w:bidi/>
        <w:spacing w:after="0" w:line="276" w:lineRule="auto"/>
        <w:ind w:left="723"/>
        <w:jc w:val="both"/>
        <w:rPr>
          <w:rFonts w:ascii="Segoe UI" w:hAnsi="Segoe UI" w:cs="Segoe UI"/>
          <w:rtl/>
          <w:lang w:val="en-ZW"/>
        </w:rPr>
      </w:pPr>
      <w:r w:rsidRPr="00F032BB">
        <w:rPr>
          <w:rFonts w:ascii="Segoe UI" w:hAnsi="Segoe UI" w:cs="Segoe UI" w:hint="cs"/>
          <w:rtl/>
          <w:lang w:val="en-ZW"/>
        </w:rPr>
        <w:t xml:space="preserve">כפי שנראה בהמשך </w:t>
      </w:r>
      <w:r w:rsidRPr="00F032BB">
        <w:rPr>
          <w:rFonts w:ascii="Segoe UI" w:hAnsi="Segoe UI" w:cs="Segoe UI"/>
          <w:rtl/>
          <w:lang w:val="en-ZW"/>
        </w:rPr>
        <w:t>–</w:t>
      </w:r>
      <w:r w:rsidRPr="00F032BB">
        <w:rPr>
          <w:rFonts w:ascii="Segoe UI" w:hAnsi="Segoe UI" w:cs="Segoe UI" w:hint="cs"/>
          <w:rtl/>
          <w:lang w:val="en-ZW"/>
        </w:rPr>
        <w:t xml:space="preserve"> בגזירת העונש תמיד נותנים משמעות לכוונה הפנימית, לחומרה </w:t>
      </w:r>
      <w:proofErr w:type="spellStart"/>
      <w:r w:rsidRPr="00F032BB">
        <w:rPr>
          <w:rFonts w:ascii="Segoe UI" w:hAnsi="Segoe UI" w:cs="Segoe UI" w:hint="cs"/>
          <w:rtl/>
          <w:lang w:val="en-ZW"/>
        </w:rPr>
        <w:t>וקולא</w:t>
      </w:r>
      <w:proofErr w:type="spellEnd"/>
      <w:r w:rsidR="00FE2B31" w:rsidRPr="00F032BB">
        <w:rPr>
          <w:rFonts w:ascii="Segoe UI" w:hAnsi="Segoe UI" w:cs="Segoe UI" w:hint="cs"/>
          <w:rtl/>
          <w:lang w:val="en-ZW"/>
        </w:rPr>
        <w:t>.</w:t>
      </w:r>
    </w:p>
    <w:p w14:paraId="70646A88" w14:textId="77777777" w:rsidR="00417410" w:rsidRPr="00417410" w:rsidRDefault="00417410" w:rsidP="008F05D0">
      <w:pPr>
        <w:bidi/>
        <w:spacing w:after="0" w:line="276" w:lineRule="auto"/>
        <w:jc w:val="both"/>
        <w:rPr>
          <w:rFonts w:ascii="Segoe UI" w:hAnsi="Segoe UI" w:cs="Segoe UI"/>
          <w:b/>
          <w:bCs/>
          <w:sz w:val="24"/>
          <w:szCs w:val="24"/>
          <w:u w:val="single"/>
          <w:rtl/>
          <w:lang w:val="en-ZW"/>
        </w:rPr>
      </w:pPr>
    </w:p>
    <w:p w14:paraId="55E48C95" w14:textId="7D2365F7" w:rsidR="007D5B7F" w:rsidRPr="00417410" w:rsidRDefault="007D5B7F" w:rsidP="008F05D0">
      <w:pPr>
        <w:pStyle w:val="2"/>
        <w:rPr>
          <w:rtl/>
        </w:rPr>
      </w:pPr>
      <w:bookmarkStart w:id="19" w:name="_Toc108218188"/>
      <w:r w:rsidRPr="00417410">
        <w:rPr>
          <w:rFonts w:hint="cs"/>
          <w:rtl/>
        </w:rPr>
        <w:t>הרתעה אישית/הרתעת הרבים</w:t>
      </w:r>
      <w:r w:rsidR="00C42948">
        <w:rPr>
          <w:rFonts w:hint="cs"/>
          <w:rtl/>
        </w:rPr>
        <w:t xml:space="preserve"> </w:t>
      </w:r>
      <w:r w:rsidR="00C42948" w:rsidRPr="00C42948">
        <w:rPr>
          <w:rFonts w:hint="cs"/>
          <w:color w:val="7030A0"/>
          <w:highlight w:val="yellow"/>
          <w:rtl/>
        </w:rPr>
        <w:t>(40ו+40ז)</w:t>
      </w:r>
      <w:bookmarkEnd w:id="19"/>
    </w:p>
    <w:p w14:paraId="2B82A439" w14:textId="2A8F1E0D" w:rsidR="005822BC" w:rsidRPr="00F032BB" w:rsidRDefault="005822BC" w:rsidP="008F05D0">
      <w:pPr>
        <w:pStyle w:val="ab"/>
        <w:numPr>
          <w:ilvl w:val="0"/>
          <w:numId w:val="42"/>
        </w:numPr>
        <w:bidi/>
        <w:spacing w:after="0" w:line="276" w:lineRule="auto"/>
        <w:jc w:val="both"/>
        <w:rPr>
          <w:rFonts w:ascii="Segoe UI" w:hAnsi="Segoe UI" w:cs="Segoe UI"/>
          <w:rtl/>
          <w:lang w:val="en-ZW"/>
        </w:rPr>
      </w:pPr>
      <w:r w:rsidRPr="00F032BB">
        <w:rPr>
          <w:rFonts w:ascii="Segoe UI" w:hAnsi="Segoe UI" w:cs="Segoe UI"/>
          <w:rtl/>
          <w:lang w:val="en-ZW"/>
        </w:rPr>
        <w:t>הרתעה אישית / הרתעה כללית</w:t>
      </w:r>
      <w:r w:rsidR="00BF2389" w:rsidRPr="00F032BB">
        <w:rPr>
          <w:rFonts w:ascii="Segoe UI" w:hAnsi="Segoe UI" w:cs="Segoe UI" w:hint="cs"/>
          <w:rtl/>
          <w:lang w:val="en-ZW"/>
        </w:rPr>
        <w:t xml:space="preserve"> </w:t>
      </w:r>
      <w:r w:rsidR="00BF2389" w:rsidRPr="00F032BB">
        <w:rPr>
          <w:rFonts w:ascii="Segoe UI" w:hAnsi="Segoe UI" w:cs="Segoe UI" w:hint="cs"/>
          <w:color w:val="7030A0"/>
          <w:highlight w:val="yellow"/>
          <w:rtl/>
          <w:lang w:val="en-ZW"/>
        </w:rPr>
        <w:t>(ס' 40ו+40ז)</w:t>
      </w:r>
    </w:p>
    <w:p w14:paraId="4DE2FB3E" w14:textId="2B6FEA81" w:rsidR="005822BC" w:rsidRPr="00F032BB" w:rsidRDefault="005822BC" w:rsidP="008F05D0">
      <w:pPr>
        <w:pStyle w:val="ab"/>
        <w:numPr>
          <w:ilvl w:val="0"/>
          <w:numId w:val="42"/>
        </w:numPr>
        <w:bidi/>
        <w:spacing w:after="0" w:line="276" w:lineRule="auto"/>
        <w:jc w:val="both"/>
        <w:rPr>
          <w:rFonts w:ascii="Segoe UI" w:hAnsi="Segoe UI" w:cs="Segoe UI"/>
          <w:lang w:val="en-ZW"/>
        </w:rPr>
      </w:pPr>
      <w:r w:rsidRPr="00F032BB">
        <w:rPr>
          <w:rFonts w:ascii="Segoe UI" w:hAnsi="Segoe UI" w:cs="Segoe UI"/>
          <w:rtl/>
          <w:lang w:val="en-ZW"/>
        </w:rPr>
        <w:t>הרתעה אישית - מרתיעים אותו שהוא עצמו לא יחזור לבצע עבירה</w:t>
      </w:r>
      <w:r w:rsidR="00876780" w:rsidRPr="00F032BB">
        <w:rPr>
          <w:rFonts w:ascii="Segoe UI" w:hAnsi="Segoe UI" w:cs="Segoe UI" w:hint="cs"/>
          <w:rtl/>
          <w:lang w:val="en-ZW"/>
        </w:rPr>
        <w:t xml:space="preserve"> (</w:t>
      </w:r>
      <w:r w:rsidR="00876780" w:rsidRPr="00F032BB">
        <w:rPr>
          <w:rFonts w:ascii="Segoe UI" w:hAnsi="Segoe UI" w:cs="Segoe UI" w:hint="cs"/>
          <w:color w:val="7030A0"/>
          <w:highlight w:val="yellow"/>
          <w:rtl/>
          <w:lang w:val="en-ZW"/>
        </w:rPr>
        <w:t>ס'40ו</w:t>
      </w:r>
      <w:r w:rsidR="00876780" w:rsidRPr="00F032BB">
        <w:rPr>
          <w:rFonts w:ascii="Segoe UI" w:hAnsi="Segoe UI" w:cs="Segoe UI" w:hint="cs"/>
          <w:rtl/>
          <w:lang w:val="en-ZW"/>
        </w:rPr>
        <w:t xml:space="preserve">). </w:t>
      </w:r>
    </w:p>
    <w:p w14:paraId="1F675437" w14:textId="77777777" w:rsidR="00E04924" w:rsidRPr="00E04924" w:rsidRDefault="00E04924" w:rsidP="008F05D0">
      <w:pPr>
        <w:pBdr>
          <w:top w:val="single" w:sz="4" w:space="1" w:color="auto"/>
          <w:left w:val="single" w:sz="4" w:space="4" w:color="auto"/>
          <w:bottom w:val="single" w:sz="4" w:space="1" w:color="auto"/>
          <w:right w:val="single" w:sz="4" w:space="4" w:color="auto"/>
        </w:pBdr>
        <w:bidi/>
        <w:spacing w:before="72" w:after="0" w:line="276" w:lineRule="auto"/>
        <w:ind w:left="360" w:right="363"/>
        <w:jc w:val="both"/>
        <w:rPr>
          <w:rFonts w:ascii="Times New Roman" w:eastAsia="Times New Roman" w:hAnsi="Times New Roman" w:cs="Times New Roman"/>
          <w:sz w:val="24"/>
          <w:szCs w:val="24"/>
          <w:lang w:val="en-US"/>
        </w:rPr>
      </w:pPr>
      <w:r w:rsidRPr="00E04924">
        <w:rPr>
          <w:rFonts w:ascii="Time New Roman" w:eastAsia="Times New Roman" w:hAnsi="Time New Roman" w:cs="Times New Roman"/>
          <w:b/>
          <w:bCs/>
          <w:color w:val="008000"/>
          <w:sz w:val="27"/>
          <w:szCs w:val="27"/>
          <w:rtl/>
          <w:lang w:val="en-US"/>
        </w:rPr>
        <w:t>הרתעה אישית (תיקון מס' 113) תשע"ב-2012</w:t>
      </w:r>
    </w:p>
    <w:p w14:paraId="7F842BFA" w14:textId="77E5A92A" w:rsidR="00E04924" w:rsidRPr="00E04924" w:rsidRDefault="00E04924" w:rsidP="008F05D0">
      <w:pPr>
        <w:pBdr>
          <w:top w:val="single" w:sz="4" w:space="1" w:color="auto"/>
          <w:left w:val="single" w:sz="4" w:space="4" w:color="auto"/>
          <w:bottom w:val="single" w:sz="4" w:space="1" w:color="auto"/>
          <w:right w:val="single" w:sz="4" w:space="4" w:color="auto"/>
        </w:pBdr>
        <w:bidi/>
        <w:spacing w:before="72" w:line="276" w:lineRule="auto"/>
        <w:ind w:left="360" w:right="363"/>
        <w:jc w:val="both"/>
        <w:rPr>
          <w:rFonts w:ascii="Times New Roman" w:eastAsia="Times New Roman" w:hAnsi="Times New Roman" w:cs="Times New Roman"/>
          <w:sz w:val="24"/>
          <w:szCs w:val="24"/>
          <w:rtl/>
          <w:lang w:val="en-US"/>
        </w:rPr>
      </w:pPr>
      <w:r w:rsidRPr="00E04924">
        <w:rPr>
          <w:rFonts w:ascii="Miriam" w:eastAsia="Times New Roman" w:hAnsi="Miriam" w:cs="Miriam"/>
          <w:sz w:val="32"/>
          <w:szCs w:val="32"/>
          <w:rtl/>
          <w:lang w:val="en-US"/>
        </w:rPr>
        <w:t>40</w:t>
      </w:r>
      <w:r w:rsidRPr="00E04924">
        <w:rPr>
          <w:rFonts w:ascii="FrankRuehl" w:eastAsia="Times New Roman" w:hAnsi="FrankRuehl" w:cs="FrankRuehl"/>
          <w:sz w:val="26"/>
          <w:szCs w:val="26"/>
          <w:rtl/>
          <w:lang w:val="en-US"/>
        </w:rPr>
        <w:t>ו.   מצא בית המשפט כי יש צורך בהרתעת הנאשם מפני ביצוע עבירה נוספת, וכי יש סיכוי של ממש שהטלת עונש מסוים תביא להרתעתו, רשאי הוא להתחשב בשיקול זה בבואו לקבוע את עונשו של הנאשם, ובלבד שהעונש לא יחרוג ממתחם העונש ההולם.</w:t>
      </w:r>
    </w:p>
    <w:p w14:paraId="17CD6B61" w14:textId="4097B0D6" w:rsidR="005822BC" w:rsidRPr="00F032BB" w:rsidRDefault="005822BC" w:rsidP="008F05D0">
      <w:pPr>
        <w:pStyle w:val="ab"/>
        <w:numPr>
          <w:ilvl w:val="0"/>
          <w:numId w:val="42"/>
        </w:numPr>
        <w:bidi/>
        <w:spacing w:after="0" w:line="276" w:lineRule="auto"/>
        <w:jc w:val="both"/>
        <w:rPr>
          <w:rFonts w:ascii="Segoe UI" w:hAnsi="Segoe UI" w:cs="Segoe UI"/>
          <w:lang w:val="en-ZW"/>
        </w:rPr>
      </w:pPr>
      <w:r w:rsidRPr="00F032BB">
        <w:rPr>
          <w:rFonts w:ascii="Segoe UI" w:hAnsi="Segoe UI" w:cs="Segoe UI"/>
          <w:rtl/>
          <w:lang w:val="en-ZW"/>
        </w:rPr>
        <w:t>הרתעה כללית - הרתעת עבריינים אחרים ("וכל העם יישמעו וייראו ולא יזידון עוד")</w:t>
      </w:r>
      <w:r w:rsidR="00876780" w:rsidRPr="00F032BB">
        <w:rPr>
          <w:rFonts w:ascii="Segoe UI" w:hAnsi="Segoe UI" w:cs="Segoe UI" w:hint="cs"/>
          <w:rtl/>
          <w:lang w:val="en-ZW"/>
        </w:rPr>
        <w:t xml:space="preserve"> (</w:t>
      </w:r>
      <w:r w:rsidR="00876780" w:rsidRPr="00F032BB">
        <w:rPr>
          <w:rFonts w:ascii="Segoe UI" w:hAnsi="Segoe UI" w:cs="Segoe UI" w:hint="cs"/>
          <w:color w:val="7030A0"/>
          <w:highlight w:val="yellow"/>
          <w:rtl/>
          <w:lang w:val="en-ZW"/>
        </w:rPr>
        <w:t>ס'40ז</w:t>
      </w:r>
      <w:r w:rsidR="00876780" w:rsidRPr="00F032BB">
        <w:rPr>
          <w:rFonts w:ascii="Segoe UI" w:hAnsi="Segoe UI" w:cs="Segoe UI" w:hint="cs"/>
          <w:rtl/>
          <w:lang w:val="en-ZW"/>
        </w:rPr>
        <w:t xml:space="preserve">). </w:t>
      </w:r>
    </w:p>
    <w:p w14:paraId="39F9005B" w14:textId="77777777" w:rsidR="00E04924" w:rsidRPr="00E04924" w:rsidRDefault="00E04924" w:rsidP="008F05D0">
      <w:pPr>
        <w:pBdr>
          <w:top w:val="single" w:sz="4" w:space="1" w:color="auto"/>
          <w:left w:val="single" w:sz="4" w:space="4" w:color="auto"/>
          <w:bottom w:val="single" w:sz="4" w:space="1" w:color="auto"/>
          <w:right w:val="single" w:sz="4" w:space="4" w:color="auto"/>
        </w:pBdr>
        <w:bidi/>
        <w:spacing w:before="72" w:after="0" w:line="276" w:lineRule="auto"/>
        <w:ind w:left="360" w:right="363"/>
        <w:jc w:val="both"/>
        <w:rPr>
          <w:rFonts w:ascii="Times New Roman" w:eastAsia="Times New Roman" w:hAnsi="Times New Roman" w:cs="Times New Roman"/>
          <w:sz w:val="24"/>
          <w:szCs w:val="24"/>
          <w:lang w:val="en-US"/>
        </w:rPr>
      </w:pPr>
      <w:r w:rsidRPr="00E04924">
        <w:rPr>
          <w:rFonts w:ascii="Time New Roman" w:eastAsia="Times New Roman" w:hAnsi="Time New Roman" w:cs="Times New Roman"/>
          <w:b/>
          <w:bCs/>
          <w:color w:val="008000"/>
          <w:sz w:val="27"/>
          <w:szCs w:val="27"/>
          <w:rtl/>
          <w:lang w:val="en-US"/>
        </w:rPr>
        <w:t>הרתעת הרבים (תיקון מס' 113) תשע"ב-2012</w:t>
      </w:r>
    </w:p>
    <w:p w14:paraId="1667CFE5" w14:textId="5250D2A1" w:rsidR="00E04924" w:rsidRPr="00E04924" w:rsidRDefault="00E04924" w:rsidP="008F05D0">
      <w:pPr>
        <w:pBdr>
          <w:top w:val="single" w:sz="4" w:space="1" w:color="auto"/>
          <w:left w:val="single" w:sz="4" w:space="4" w:color="auto"/>
          <w:bottom w:val="single" w:sz="4" w:space="1" w:color="auto"/>
          <w:right w:val="single" w:sz="4" w:space="4" w:color="auto"/>
        </w:pBdr>
        <w:bidi/>
        <w:spacing w:before="72" w:line="276" w:lineRule="auto"/>
        <w:ind w:left="360" w:right="363"/>
        <w:jc w:val="both"/>
        <w:rPr>
          <w:rFonts w:ascii="Times New Roman" w:eastAsia="Times New Roman" w:hAnsi="Times New Roman" w:cs="Times New Roman"/>
          <w:sz w:val="24"/>
          <w:szCs w:val="24"/>
          <w:rtl/>
          <w:lang w:val="en-US"/>
        </w:rPr>
      </w:pPr>
      <w:r w:rsidRPr="00E04924">
        <w:rPr>
          <w:rFonts w:ascii="Miriam" w:eastAsia="Times New Roman" w:hAnsi="Miriam" w:cs="Miriam"/>
          <w:sz w:val="32"/>
          <w:szCs w:val="32"/>
          <w:rtl/>
          <w:lang w:val="en-US"/>
        </w:rPr>
        <w:lastRenderedPageBreak/>
        <w:t>40</w:t>
      </w:r>
      <w:r w:rsidRPr="00E04924">
        <w:rPr>
          <w:rFonts w:ascii="FrankRuehl" w:eastAsia="Times New Roman" w:hAnsi="FrankRuehl" w:cs="FrankRuehl"/>
          <w:sz w:val="26"/>
          <w:szCs w:val="26"/>
          <w:rtl/>
          <w:lang w:val="en-US"/>
        </w:rPr>
        <w:t>ז.   מצא בית המשפט כי יש צורך בהרתעת הרבים מפני ביצוע עבירה מסוג העבירה שביצע הנאשם, וכי יש סיכוי של ממש שהחמרה בעונשו של הנאשם תביא להרתעת הרבים, רשאי הוא להתחשב בשיקול זה בבואו לקבוע את עונשו של הנאשם, ובלבד שהעונש לא יחרוג ממתחם העונש ההולם.</w:t>
      </w:r>
    </w:p>
    <w:p w14:paraId="3E9D2EF9" w14:textId="77777777" w:rsidR="005822BC" w:rsidRPr="00F032BB" w:rsidRDefault="005822BC" w:rsidP="008F05D0">
      <w:pPr>
        <w:pStyle w:val="ab"/>
        <w:numPr>
          <w:ilvl w:val="0"/>
          <w:numId w:val="42"/>
        </w:numPr>
        <w:bidi/>
        <w:spacing w:after="0" w:line="276" w:lineRule="auto"/>
        <w:jc w:val="both"/>
        <w:rPr>
          <w:rFonts w:ascii="Segoe UI" w:hAnsi="Segoe UI" w:cs="Segoe UI"/>
          <w:rtl/>
          <w:lang w:val="en-ZW"/>
        </w:rPr>
      </w:pPr>
      <w:r w:rsidRPr="00F032BB">
        <w:rPr>
          <w:rFonts w:ascii="Segoe UI" w:hAnsi="Segoe UI" w:cs="Segoe UI"/>
          <w:highlight w:val="green"/>
          <w:rtl/>
          <w:lang w:val="en-ZW"/>
        </w:rPr>
        <w:t>בנתאם</w:t>
      </w:r>
      <w:r w:rsidRPr="00F032BB">
        <w:rPr>
          <w:rFonts w:ascii="Segoe UI" w:hAnsi="Segoe UI" w:cs="Segoe UI"/>
          <w:rtl/>
          <w:lang w:val="en-ZW"/>
        </w:rPr>
        <w:t xml:space="preserve"> (גישה תועלתנית) - ההרתעה היא התכלית המרכזית של הענישה</w:t>
      </w:r>
    </w:p>
    <w:p w14:paraId="5F51059C" w14:textId="48CD86F6" w:rsidR="00417410" w:rsidRPr="00F032BB" w:rsidRDefault="005822BC" w:rsidP="008F05D0">
      <w:pPr>
        <w:pStyle w:val="ab"/>
        <w:numPr>
          <w:ilvl w:val="0"/>
          <w:numId w:val="42"/>
        </w:numPr>
        <w:bidi/>
        <w:spacing w:after="0" w:line="276" w:lineRule="auto"/>
        <w:jc w:val="both"/>
        <w:rPr>
          <w:rFonts w:ascii="Segoe UI" w:hAnsi="Segoe UI" w:cs="Segoe UI"/>
          <w:lang w:val="en-ZW"/>
        </w:rPr>
      </w:pPr>
      <w:r w:rsidRPr="00F032BB">
        <w:rPr>
          <w:rFonts w:ascii="Segoe UI" w:hAnsi="Segoe UI" w:cs="Segoe UI"/>
          <w:highlight w:val="green"/>
          <w:rtl/>
          <w:lang w:val="en-ZW"/>
        </w:rPr>
        <w:t>בנתאם</w:t>
      </w:r>
      <w:r w:rsidRPr="00F032BB">
        <w:rPr>
          <w:rFonts w:ascii="Segoe UI" w:hAnsi="Segoe UI" w:cs="Segoe UI"/>
          <w:rtl/>
          <w:lang w:val="en-ZW"/>
        </w:rPr>
        <w:t xml:space="preserve"> - תכלית הגמול פסולה משום שהיא מכוונת אל העבר ולכן אין בה שום תועלת</w:t>
      </w:r>
    </w:p>
    <w:p w14:paraId="0FBF606B" w14:textId="04037695" w:rsidR="00D90277" w:rsidRDefault="00D90277" w:rsidP="008F05D0">
      <w:pPr>
        <w:bidi/>
        <w:spacing w:after="0" w:line="276" w:lineRule="auto"/>
        <w:jc w:val="both"/>
        <w:rPr>
          <w:rFonts w:ascii="Segoe UI" w:hAnsi="Segoe UI" w:cs="Segoe UI"/>
          <w:sz w:val="24"/>
          <w:szCs w:val="24"/>
          <w:rtl/>
          <w:lang w:val="en-ZW"/>
        </w:rPr>
      </w:pPr>
    </w:p>
    <w:p w14:paraId="13E8DB31" w14:textId="4953C5B7" w:rsidR="00D90277" w:rsidRPr="00D90277" w:rsidRDefault="00D90277" w:rsidP="008F05D0">
      <w:pPr>
        <w:pStyle w:val="110"/>
        <w:spacing w:line="276" w:lineRule="auto"/>
        <w:rPr>
          <w:rtl/>
        </w:rPr>
      </w:pPr>
      <w:r w:rsidRPr="00D90277">
        <w:rPr>
          <w:rFonts w:hint="cs"/>
          <w:rtl/>
        </w:rPr>
        <w:t>כיצד הרתעה משפיעה?</w:t>
      </w:r>
    </w:p>
    <w:p w14:paraId="5DAD6110" w14:textId="31804912" w:rsidR="00222129" w:rsidRPr="002C2DE6" w:rsidRDefault="00222129" w:rsidP="008F05D0">
      <w:pPr>
        <w:bidi/>
        <w:spacing w:after="0" w:line="276" w:lineRule="auto"/>
        <w:jc w:val="both"/>
        <w:rPr>
          <w:rFonts w:ascii="Segoe UI" w:hAnsi="Segoe UI" w:cs="Segoe UI"/>
          <w:rtl/>
          <w:lang w:val="en-ZW"/>
        </w:rPr>
      </w:pPr>
      <w:r w:rsidRPr="002C2DE6">
        <w:rPr>
          <w:rFonts w:ascii="Segoe UI" w:hAnsi="Segoe UI" w:cs="Segoe UI"/>
          <w:rtl/>
          <w:lang w:val="en-ZW"/>
        </w:rPr>
        <w:t>המטרה: לגרום לכך שהעבירה תהיה בלתי כדאית</w:t>
      </w:r>
      <w:r w:rsidR="004F4F85" w:rsidRPr="002C2DE6">
        <w:rPr>
          <w:rFonts w:ascii="Segoe UI" w:hAnsi="Segoe UI" w:cs="Segoe UI" w:hint="cs"/>
          <w:rtl/>
          <w:lang w:val="en-ZW"/>
        </w:rPr>
        <w:t>:</w:t>
      </w:r>
    </w:p>
    <w:p w14:paraId="5F717801" w14:textId="77777777" w:rsidR="00222129" w:rsidRPr="002C2DE6" w:rsidRDefault="00222129" w:rsidP="008F05D0">
      <w:pPr>
        <w:pStyle w:val="ab"/>
        <w:numPr>
          <w:ilvl w:val="0"/>
          <w:numId w:val="43"/>
        </w:numPr>
        <w:bidi/>
        <w:spacing w:after="0" w:line="276" w:lineRule="auto"/>
        <w:jc w:val="both"/>
        <w:rPr>
          <w:rFonts w:ascii="Segoe UI" w:hAnsi="Segoe UI" w:cs="Segoe UI"/>
          <w:rtl/>
          <w:lang w:val="en-ZW"/>
        </w:rPr>
      </w:pPr>
      <w:r w:rsidRPr="002C2DE6">
        <w:rPr>
          <w:rFonts w:ascii="Segoe UI" w:hAnsi="Segoe UI" w:cs="Segoe UI"/>
          <w:b/>
          <w:bCs/>
          <w:rtl/>
          <w:lang w:val="en-ZW"/>
        </w:rPr>
        <w:t>סטיגמה שלילית</w:t>
      </w:r>
      <w:r w:rsidRPr="002C2DE6">
        <w:rPr>
          <w:rFonts w:ascii="Segoe UI" w:hAnsi="Segoe UI" w:cs="Segoe UI"/>
          <w:rtl/>
          <w:lang w:val="en-ZW"/>
        </w:rPr>
        <w:t xml:space="preserve"> - חוץ מהסבל הגופני והנפשי + הפסד כסף - יש בענישה הכתמת הנאשם</w:t>
      </w:r>
      <w:r w:rsidRPr="002C2DE6">
        <w:rPr>
          <w:rFonts w:ascii="Segoe UI" w:hAnsi="Segoe UI" w:cs="Segoe UI"/>
          <w:lang w:val="en-ZW"/>
        </w:rPr>
        <w:t xml:space="preserve">. </w:t>
      </w:r>
    </w:p>
    <w:p w14:paraId="1F15AC5C" w14:textId="77777777" w:rsidR="00222129" w:rsidRPr="002C2DE6" w:rsidRDefault="00222129" w:rsidP="008F05D0">
      <w:pPr>
        <w:pStyle w:val="ab"/>
        <w:numPr>
          <w:ilvl w:val="0"/>
          <w:numId w:val="43"/>
        </w:numPr>
        <w:bidi/>
        <w:spacing w:after="0" w:line="276" w:lineRule="auto"/>
        <w:jc w:val="both"/>
        <w:rPr>
          <w:rFonts w:ascii="Segoe UI" w:hAnsi="Segoe UI" w:cs="Segoe UI"/>
          <w:rtl/>
          <w:lang w:val="en-ZW"/>
        </w:rPr>
      </w:pPr>
      <w:r w:rsidRPr="002C2DE6">
        <w:rPr>
          <w:rFonts w:ascii="Segoe UI" w:hAnsi="Segoe UI" w:cs="Segoe UI"/>
          <w:b/>
          <w:bCs/>
          <w:rtl/>
          <w:lang w:val="en-ZW"/>
        </w:rPr>
        <w:t>מחקר בבני נוער</w:t>
      </w:r>
      <w:r w:rsidRPr="002C2DE6">
        <w:rPr>
          <w:rFonts w:ascii="Segoe UI" w:hAnsi="Segoe UI" w:cs="Segoe UI"/>
          <w:rtl/>
          <w:lang w:val="en-ZW"/>
        </w:rPr>
        <w:t xml:space="preserve"> -  הרתעה זה נשק יעיל. נוער חושש "לעשות בושות" למשפחה ולהורים</w:t>
      </w:r>
      <w:r w:rsidRPr="002C2DE6">
        <w:rPr>
          <w:rFonts w:ascii="Segoe UI" w:hAnsi="Segoe UI" w:cs="Segoe UI"/>
          <w:lang w:val="en-ZW"/>
        </w:rPr>
        <w:t>.</w:t>
      </w:r>
    </w:p>
    <w:p w14:paraId="12973EA7" w14:textId="2D07FDEB" w:rsidR="005822BC" w:rsidRPr="002C2DE6" w:rsidRDefault="00222129" w:rsidP="008F05D0">
      <w:pPr>
        <w:pStyle w:val="ab"/>
        <w:numPr>
          <w:ilvl w:val="0"/>
          <w:numId w:val="43"/>
        </w:numPr>
        <w:bidi/>
        <w:spacing w:after="0" w:line="276" w:lineRule="auto"/>
        <w:jc w:val="both"/>
        <w:rPr>
          <w:rFonts w:ascii="Segoe UI" w:hAnsi="Segoe UI" w:cs="Segoe UI"/>
          <w:lang w:val="en-ZW"/>
        </w:rPr>
      </w:pPr>
      <w:r w:rsidRPr="002C2DE6">
        <w:rPr>
          <w:rFonts w:ascii="Segoe UI" w:hAnsi="Segoe UI" w:cs="Segoe UI"/>
          <w:b/>
          <w:bCs/>
          <w:rtl/>
          <w:lang w:val="en-ZW"/>
        </w:rPr>
        <w:t xml:space="preserve">סור מרע ועשה טוב </w:t>
      </w:r>
      <w:r w:rsidRPr="002C2DE6">
        <w:rPr>
          <w:rFonts w:ascii="Segoe UI" w:hAnsi="Segoe UI" w:cs="Segoe UI"/>
          <w:rtl/>
          <w:lang w:val="en-ZW"/>
        </w:rPr>
        <w:t>- הרתעה (על דרך השלילה) מחזקת את החוק ויוצרת הרגלים של שמירת החוק</w:t>
      </w:r>
      <w:r w:rsidR="0087462F" w:rsidRPr="002C2DE6">
        <w:rPr>
          <w:rFonts w:ascii="Segoe UI" w:hAnsi="Segoe UI" w:cs="Segoe UI" w:hint="cs"/>
          <w:rtl/>
          <w:lang w:val="en-ZW"/>
        </w:rPr>
        <w:t>.</w:t>
      </w:r>
    </w:p>
    <w:p w14:paraId="5E4560D8" w14:textId="7A1AE801" w:rsidR="004D5A89" w:rsidRDefault="004D5A89" w:rsidP="008F05D0">
      <w:pPr>
        <w:bidi/>
        <w:spacing w:after="0" w:line="276" w:lineRule="auto"/>
        <w:jc w:val="both"/>
        <w:rPr>
          <w:rFonts w:ascii="Segoe UI" w:hAnsi="Segoe UI" w:cs="Segoe UI"/>
          <w:sz w:val="24"/>
          <w:szCs w:val="24"/>
          <w:rtl/>
          <w:lang w:val="en-ZW"/>
        </w:rPr>
      </w:pPr>
    </w:p>
    <w:p w14:paraId="754356CF" w14:textId="01847279" w:rsidR="004D5A89" w:rsidRPr="004D5A89" w:rsidRDefault="004D5A89" w:rsidP="008F05D0">
      <w:pPr>
        <w:pStyle w:val="110"/>
        <w:spacing w:line="276" w:lineRule="auto"/>
        <w:rPr>
          <w:rtl/>
        </w:rPr>
      </w:pPr>
      <w:r w:rsidRPr="004D5A89">
        <w:rPr>
          <w:rFonts w:hint="cs"/>
          <w:rtl/>
        </w:rPr>
        <w:t>איך קובעים את מידת ההרתעה?</w:t>
      </w:r>
    </w:p>
    <w:p w14:paraId="6736087D" w14:textId="77777777" w:rsidR="00861504" w:rsidRPr="002C2DE6" w:rsidRDefault="00861504" w:rsidP="008F05D0">
      <w:pPr>
        <w:pStyle w:val="ab"/>
        <w:numPr>
          <w:ilvl w:val="0"/>
          <w:numId w:val="44"/>
        </w:numPr>
        <w:bidi/>
        <w:spacing w:after="0" w:line="276" w:lineRule="auto"/>
        <w:jc w:val="both"/>
        <w:rPr>
          <w:rFonts w:ascii="Segoe UI" w:hAnsi="Segoe UI" w:cs="Segoe UI"/>
          <w:rtl/>
          <w:lang w:val="en-ZW"/>
        </w:rPr>
      </w:pPr>
      <w:r w:rsidRPr="002C2DE6">
        <w:rPr>
          <w:rFonts w:ascii="Segoe UI" w:hAnsi="Segoe UI" w:cs="Segoe UI"/>
          <w:rtl/>
          <w:lang w:val="en-ZW"/>
        </w:rPr>
        <w:t>הקשר בין מידת היעילות של המשטרה וכוח ההרתעה</w:t>
      </w:r>
      <w:r w:rsidRPr="002C2DE6">
        <w:rPr>
          <w:rFonts w:ascii="Segoe UI" w:hAnsi="Segoe UI" w:cs="Segoe UI"/>
          <w:lang w:val="en-ZW"/>
        </w:rPr>
        <w:t xml:space="preserve"> - </w:t>
      </w:r>
    </w:p>
    <w:p w14:paraId="1EF09E72" w14:textId="77777777" w:rsidR="00861504" w:rsidRPr="002C2DE6" w:rsidRDefault="00861504" w:rsidP="008F05D0">
      <w:pPr>
        <w:pStyle w:val="ab"/>
        <w:numPr>
          <w:ilvl w:val="0"/>
          <w:numId w:val="44"/>
        </w:numPr>
        <w:bidi/>
        <w:spacing w:after="0" w:line="276" w:lineRule="auto"/>
        <w:jc w:val="both"/>
        <w:rPr>
          <w:rFonts w:ascii="Segoe UI" w:hAnsi="Segoe UI" w:cs="Segoe UI"/>
          <w:rtl/>
          <w:lang w:val="en-ZW"/>
        </w:rPr>
      </w:pPr>
      <w:r w:rsidRPr="002C2DE6">
        <w:rPr>
          <w:rFonts w:ascii="Segoe UI" w:hAnsi="Segoe UI" w:cs="Segoe UI"/>
          <w:rtl/>
          <w:lang w:val="en-ZW"/>
        </w:rPr>
        <w:t xml:space="preserve">מחקר מדנמרק 1944 - כל המשטרה סולקה ולא היה מי ששמר על הסדר. התברר שהייתה עלייה של פי 10 בעבירות רכוש. כלומר, </w:t>
      </w:r>
      <w:r w:rsidRPr="002C2DE6">
        <w:rPr>
          <w:rFonts w:ascii="Segoe UI" w:hAnsi="Segoe UI" w:cs="Segoe UI"/>
          <w:b/>
          <w:bCs/>
          <w:rtl/>
          <w:lang w:val="en-ZW"/>
        </w:rPr>
        <w:t>החשש מלהיתפס הוא חשש אמיתי</w:t>
      </w:r>
      <w:r w:rsidRPr="002C2DE6">
        <w:rPr>
          <w:rFonts w:ascii="Segoe UI" w:hAnsi="Segoe UI" w:cs="Segoe UI"/>
          <w:lang w:val="en-ZW"/>
        </w:rPr>
        <w:t>.</w:t>
      </w:r>
    </w:p>
    <w:p w14:paraId="0FFB38A2" w14:textId="06B04537" w:rsidR="00861504" w:rsidRPr="002C2DE6" w:rsidRDefault="00861504" w:rsidP="008F05D0">
      <w:pPr>
        <w:pStyle w:val="ab"/>
        <w:numPr>
          <w:ilvl w:val="0"/>
          <w:numId w:val="44"/>
        </w:numPr>
        <w:bidi/>
        <w:spacing w:after="0" w:line="276" w:lineRule="auto"/>
        <w:jc w:val="both"/>
        <w:rPr>
          <w:rFonts w:ascii="Segoe UI" w:hAnsi="Segoe UI" w:cs="Segoe UI"/>
          <w:rtl/>
          <w:lang w:val="en-ZW"/>
        </w:rPr>
      </w:pPr>
      <w:r w:rsidRPr="002C2DE6">
        <w:rPr>
          <w:rFonts w:ascii="Segoe UI" w:hAnsi="Segoe UI" w:cs="Segoe UI"/>
          <w:rtl/>
          <w:lang w:val="en-ZW"/>
        </w:rPr>
        <w:t>מחקרים הראו שעבירות (שאין מאח</w:t>
      </w:r>
      <w:r w:rsidRPr="002C2DE6">
        <w:rPr>
          <w:rFonts w:ascii="Segoe UI" w:hAnsi="Segoe UI" w:cs="Segoe UI" w:hint="cs"/>
          <w:rtl/>
          <w:lang w:val="en-ZW"/>
        </w:rPr>
        <w:t>ו</w:t>
      </w:r>
      <w:r w:rsidRPr="002C2DE6">
        <w:rPr>
          <w:rFonts w:ascii="Segoe UI" w:hAnsi="Segoe UI" w:cs="Segoe UI"/>
          <w:rtl/>
          <w:lang w:val="en-ZW"/>
        </w:rPr>
        <w:t>ריהן שיקולי מוסר) כגון עבירות חניה מתרבות כאשר אין אכיפה</w:t>
      </w:r>
      <w:r w:rsidRPr="002C2DE6">
        <w:rPr>
          <w:rFonts w:ascii="Segoe UI" w:hAnsi="Segoe UI" w:cs="Segoe UI"/>
          <w:lang w:val="en-ZW"/>
        </w:rPr>
        <w:t xml:space="preserve">. </w:t>
      </w:r>
    </w:p>
    <w:p w14:paraId="4EDE00CB" w14:textId="6931F94E" w:rsidR="0036306A" w:rsidRPr="002C2DE6" w:rsidRDefault="00861504" w:rsidP="008F05D0">
      <w:pPr>
        <w:pStyle w:val="ab"/>
        <w:numPr>
          <w:ilvl w:val="0"/>
          <w:numId w:val="44"/>
        </w:numPr>
        <w:bidi/>
        <w:spacing w:after="0" w:line="276" w:lineRule="auto"/>
        <w:jc w:val="both"/>
        <w:rPr>
          <w:rFonts w:ascii="Segoe UI" w:hAnsi="Segoe UI" w:cs="Segoe UI"/>
          <w:rtl/>
          <w:lang w:val="en-ZW"/>
        </w:rPr>
      </w:pPr>
      <w:r w:rsidRPr="002C2DE6">
        <w:rPr>
          <w:rFonts w:ascii="Segoe UI" w:hAnsi="Segoe UI" w:cs="Segoe UI"/>
          <w:b/>
          <w:bCs/>
          <w:rtl/>
          <w:lang w:val="en-ZW"/>
        </w:rPr>
        <w:t>מסקנה</w:t>
      </w:r>
      <w:r w:rsidRPr="002C2DE6">
        <w:rPr>
          <w:rFonts w:ascii="Segoe UI" w:hAnsi="Segoe UI" w:cs="Segoe UI"/>
          <w:rtl/>
          <w:lang w:val="en-ZW"/>
        </w:rPr>
        <w:t xml:space="preserve"> - נימוקים מוסריים לא מספיקים כדי למנוע מלעבור עבירות</w:t>
      </w:r>
      <w:r w:rsidR="0087462F" w:rsidRPr="002C2DE6">
        <w:rPr>
          <w:rFonts w:ascii="Segoe UI" w:hAnsi="Segoe UI" w:cs="Segoe UI" w:hint="cs"/>
          <w:rtl/>
          <w:lang w:val="en-ZW"/>
        </w:rPr>
        <w:t>.</w:t>
      </w:r>
    </w:p>
    <w:p w14:paraId="766B0A32" w14:textId="0D64566D" w:rsidR="004D5A89" w:rsidRPr="002C2DE6" w:rsidRDefault="004D5A89" w:rsidP="008F05D0">
      <w:pPr>
        <w:bidi/>
        <w:spacing w:after="0" w:line="276" w:lineRule="auto"/>
        <w:jc w:val="both"/>
        <w:rPr>
          <w:rFonts w:ascii="Segoe UI" w:hAnsi="Segoe UI" w:cs="Segoe UI"/>
          <w:rtl/>
          <w:lang w:val="en-ZW"/>
        </w:rPr>
      </w:pPr>
    </w:p>
    <w:p w14:paraId="5D54547C" w14:textId="3EF8C2FE" w:rsidR="00DD516A" w:rsidRPr="00DD516A" w:rsidRDefault="00DD516A" w:rsidP="008F05D0">
      <w:pPr>
        <w:pStyle w:val="110"/>
        <w:spacing w:line="276" w:lineRule="auto"/>
        <w:rPr>
          <w:rtl/>
        </w:rPr>
      </w:pPr>
      <w:r w:rsidRPr="00DD516A">
        <w:rPr>
          <w:rFonts w:hint="cs"/>
          <w:rtl/>
        </w:rPr>
        <w:t>הוודאות</w:t>
      </w:r>
      <w:r w:rsidR="00B35998">
        <w:rPr>
          <w:rFonts w:hint="cs"/>
          <w:rtl/>
        </w:rPr>
        <w:t xml:space="preserve"> של הענישה חשובה יותר מחומרת העבירה</w:t>
      </w:r>
    </w:p>
    <w:p w14:paraId="23709F71" w14:textId="77777777" w:rsidR="00DD516A" w:rsidRPr="002C2DE6" w:rsidRDefault="00DD516A" w:rsidP="008F05D0">
      <w:pPr>
        <w:pStyle w:val="ab"/>
        <w:numPr>
          <w:ilvl w:val="0"/>
          <w:numId w:val="45"/>
        </w:numPr>
        <w:bidi/>
        <w:spacing w:after="0" w:line="276" w:lineRule="auto"/>
        <w:jc w:val="both"/>
        <w:rPr>
          <w:rFonts w:ascii="Segoe UI" w:hAnsi="Segoe UI" w:cs="Segoe UI"/>
          <w:rtl/>
          <w:lang w:val="en-ZW"/>
        </w:rPr>
      </w:pPr>
      <w:r w:rsidRPr="002C2DE6">
        <w:rPr>
          <w:rFonts w:ascii="Segoe UI" w:hAnsi="Segoe UI" w:cs="Segoe UI"/>
          <w:rtl/>
          <w:lang w:val="en-ZW"/>
        </w:rPr>
        <w:t>מחקר בארה"ב על שוטרים בדטרויט שבה השוטרים עשו "שביתה איטלקית". הם המשיכו לסייר ברחובות אך לא נתנו דוחות. הסתבר שלא היה שינוי בפשיעה</w:t>
      </w:r>
      <w:r w:rsidRPr="002C2DE6">
        <w:rPr>
          <w:rFonts w:ascii="Segoe UI" w:hAnsi="Segoe UI" w:cs="Segoe UI"/>
          <w:lang w:val="en-ZW"/>
        </w:rPr>
        <w:t xml:space="preserve">. </w:t>
      </w:r>
    </w:p>
    <w:p w14:paraId="7032448C" w14:textId="78C4962E" w:rsidR="004D5A89" w:rsidRPr="002C2DE6" w:rsidRDefault="00DD516A" w:rsidP="008F05D0">
      <w:pPr>
        <w:pStyle w:val="ab"/>
        <w:numPr>
          <w:ilvl w:val="0"/>
          <w:numId w:val="45"/>
        </w:numPr>
        <w:bidi/>
        <w:spacing w:after="0" w:line="276" w:lineRule="auto"/>
        <w:jc w:val="both"/>
        <w:rPr>
          <w:rFonts w:ascii="Segoe UI" w:hAnsi="Segoe UI" w:cs="Segoe UI"/>
          <w:lang w:val="en-ZW"/>
        </w:rPr>
      </w:pPr>
      <w:r w:rsidRPr="002C2DE6">
        <w:rPr>
          <w:rFonts w:ascii="Segoe UI" w:hAnsi="Segoe UI" w:cs="Segoe UI"/>
          <w:rtl/>
          <w:lang w:val="en-ZW"/>
        </w:rPr>
        <w:t>בליברפול הייתה שביתה כללית של כל השוטרים - הפשיעה עלתה דרמטית.</w:t>
      </w:r>
    </w:p>
    <w:p w14:paraId="4F5B7DF2" w14:textId="03FB7B38" w:rsidR="00B35998" w:rsidRPr="002C2DE6" w:rsidRDefault="00B35998" w:rsidP="008F05D0">
      <w:pPr>
        <w:pStyle w:val="ab"/>
        <w:numPr>
          <w:ilvl w:val="0"/>
          <w:numId w:val="45"/>
        </w:numPr>
        <w:bidi/>
        <w:spacing w:after="0" w:line="276" w:lineRule="auto"/>
        <w:jc w:val="both"/>
        <w:rPr>
          <w:rFonts w:ascii="Segoe UI" w:hAnsi="Segoe UI" w:cs="Segoe UI"/>
          <w:rtl/>
          <w:lang w:val="en-ZW"/>
        </w:rPr>
      </w:pPr>
      <w:r w:rsidRPr="002C2DE6">
        <w:rPr>
          <w:rFonts w:ascii="Segoe UI" w:hAnsi="Segoe UI" w:cs="Segoe UI"/>
          <w:b/>
          <w:bCs/>
          <w:rtl/>
          <w:lang w:val="en-ZW"/>
        </w:rPr>
        <w:t>מסקנה</w:t>
      </w:r>
      <w:r w:rsidRPr="002C2DE6">
        <w:rPr>
          <w:rFonts w:ascii="Segoe UI" w:hAnsi="Segoe UI" w:cs="Segoe UI"/>
          <w:rtl/>
          <w:lang w:val="en-ZW"/>
        </w:rPr>
        <w:t xml:space="preserve">  - לא הענישה עצמה היא המשמעותית אלא הסיכוי להיתפס</w:t>
      </w:r>
      <w:r w:rsidRPr="002C2DE6">
        <w:rPr>
          <w:rFonts w:ascii="Segoe UI" w:hAnsi="Segoe UI" w:cs="Segoe UI"/>
          <w:lang w:val="en-ZW"/>
        </w:rPr>
        <w:t xml:space="preserve">. </w:t>
      </w:r>
    </w:p>
    <w:p w14:paraId="28C25414" w14:textId="775EDF4F" w:rsidR="00562632" w:rsidRDefault="00562632" w:rsidP="008F05D0">
      <w:pPr>
        <w:bidi/>
        <w:spacing w:after="0" w:line="276" w:lineRule="auto"/>
        <w:jc w:val="both"/>
        <w:rPr>
          <w:rFonts w:ascii="Segoe UI" w:hAnsi="Segoe UI" w:cs="Segoe UI"/>
          <w:sz w:val="24"/>
          <w:szCs w:val="24"/>
          <w:rtl/>
          <w:lang w:val="en-ZW"/>
        </w:rPr>
      </w:pPr>
    </w:p>
    <w:p w14:paraId="0DA9D230" w14:textId="6D8EF3B4" w:rsidR="00562632" w:rsidRDefault="00562632" w:rsidP="008F05D0">
      <w:pPr>
        <w:pStyle w:val="110"/>
        <w:spacing w:line="276" w:lineRule="auto"/>
        <w:rPr>
          <w:rtl/>
        </w:rPr>
      </w:pPr>
      <w:r>
        <w:rPr>
          <w:rFonts w:hint="cs"/>
          <w:rtl/>
        </w:rPr>
        <w:t>קבלת מידע על העונש והפעלתו</w:t>
      </w:r>
    </w:p>
    <w:p w14:paraId="31D3F963" w14:textId="77777777" w:rsidR="0057255E" w:rsidRPr="002C2DE6" w:rsidRDefault="0057255E" w:rsidP="008F05D0">
      <w:pPr>
        <w:pStyle w:val="ab"/>
        <w:numPr>
          <w:ilvl w:val="0"/>
          <w:numId w:val="46"/>
        </w:numPr>
        <w:bidi/>
        <w:spacing w:after="0" w:line="276" w:lineRule="auto"/>
        <w:jc w:val="both"/>
        <w:rPr>
          <w:rFonts w:ascii="Segoe UI" w:hAnsi="Segoe UI" w:cs="Segoe UI"/>
          <w:rtl/>
          <w:lang w:val="en-ZW"/>
        </w:rPr>
      </w:pPr>
      <w:r w:rsidRPr="002C2DE6">
        <w:rPr>
          <w:rFonts w:ascii="Segoe UI" w:hAnsi="Segoe UI" w:cs="Segoe UI"/>
          <w:rtl/>
          <w:lang w:val="en-ZW"/>
        </w:rPr>
        <w:t>כדי שהעונש ירתיע - צריך שדבר קיומו יגיע לידיעת הציבור</w:t>
      </w:r>
      <w:r w:rsidRPr="002C2DE6">
        <w:rPr>
          <w:rFonts w:ascii="Segoe UI" w:hAnsi="Segoe UI" w:cs="Segoe UI"/>
          <w:lang w:val="en-ZW"/>
        </w:rPr>
        <w:t xml:space="preserve">. </w:t>
      </w:r>
    </w:p>
    <w:p w14:paraId="2C131346" w14:textId="77777777" w:rsidR="0057255E" w:rsidRPr="002C2DE6" w:rsidRDefault="0057255E" w:rsidP="008F05D0">
      <w:pPr>
        <w:pStyle w:val="ab"/>
        <w:numPr>
          <w:ilvl w:val="0"/>
          <w:numId w:val="46"/>
        </w:numPr>
        <w:bidi/>
        <w:spacing w:after="0" w:line="276" w:lineRule="auto"/>
        <w:jc w:val="both"/>
        <w:rPr>
          <w:rFonts w:ascii="Segoe UI" w:hAnsi="Segoe UI" w:cs="Segoe UI"/>
          <w:rtl/>
          <w:lang w:val="en-ZW"/>
        </w:rPr>
      </w:pPr>
      <w:r w:rsidRPr="002C2DE6">
        <w:rPr>
          <w:rFonts w:ascii="Segoe UI" w:hAnsi="Segoe UI" w:cs="Segoe UI"/>
          <w:rtl/>
          <w:lang w:val="en-ZW"/>
        </w:rPr>
        <w:t>כל פעולה של ענישה משמשת תזכורת מחודשת ומוחשית</w:t>
      </w:r>
    </w:p>
    <w:p w14:paraId="72D722C4" w14:textId="0B19F348" w:rsidR="0057255E" w:rsidRPr="002C2DE6" w:rsidRDefault="0057255E" w:rsidP="008F05D0">
      <w:pPr>
        <w:pStyle w:val="ab"/>
        <w:numPr>
          <w:ilvl w:val="0"/>
          <w:numId w:val="46"/>
        </w:numPr>
        <w:bidi/>
        <w:spacing w:after="0" w:line="276" w:lineRule="auto"/>
        <w:jc w:val="both"/>
        <w:rPr>
          <w:rFonts w:ascii="Segoe UI" w:hAnsi="Segoe UI" w:cs="Segoe UI"/>
          <w:rtl/>
          <w:lang w:val="en-ZW"/>
        </w:rPr>
      </w:pPr>
      <w:r w:rsidRPr="002C2DE6">
        <w:rPr>
          <w:rFonts w:ascii="Segoe UI" w:hAnsi="Segoe UI" w:cs="Segoe UI"/>
          <w:rtl/>
          <w:lang w:val="en-ZW"/>
        </w:rPr>
        <w:t>מחקר בכלא השמור ביותר בקליפורניה הראה שבין אסירים "כבדים" - המידע ההרתעתי הכי אפקטיבי הוא "מפה לאוז</w:t>
      </w:r>
      <w:r w:rsidRPr="002C2DE6">
        <w:rPr>
          <w:rFonts w:ascii="Segoe UI" w:hAnsi="Segoe UI" w:cs="Segoe UI" w:hint="cs"/>
          <w:rtl/>
          <w:lang w:val="en-ZW"/>
        </w:rPr>
        <w:t>ן"</w:t>
      </w:r>
      <w:r w:rsidRPr="002C2DE6">
        <w:rPr>
          <w:rFonts w:ascii="Segoe UI" w:hAnsi="Segoe UI" w:cs="Segoe UI"/>
          <w:lang w:val="en-ZW"/>
        </w:rPr>
        <w:t xml:space="preserve"> </w:t>
      </w:r>
    </w:p>
    <w:p w14:paraId="33B796BA" w14:textId="425DBE33" w:rsidR="00562632" w:rsidRPr="002C2DE6" w:rsidRDefault="0057255E" w:rsidP="008F05D0">
      <w:pPr>
        <w:pStyle w:val="ab"/>
        <w:numPr>
          <w:ilvl w:val="0"/>
          <w:numId w:val="46"/>
        </w:numPr>
        <w:bidi/>
        <w:spacing w:after="0" w:line="276" w:lineRule="auto"/>
        <w:jc w:val="both"/>
        <w:rPr>
          <w:rFonts w:ascii="Segoe UI" w:hAnsi="Segoe UI" w:cs="Segoe UI"/>
          <w:rtl/>
          <w:lang w:val="en-ZW"/>
        </w:rPr>
      </w:pPr>
      <w:r w:rsidRPr="002C2DE6">
        <w:rPr>
          <w:rFonts w:ascii="Segoe UI" w:hAnsi="Segoe UI" w:cs="Segoe UI"/>
          <w:rtl/>
          <w:lang w:val="en-ZW"/>
        </w:rPr>
        <w:t>ברור שהתקשורת לבדה אינה מספיקה אלא מדובר בענישה עקבית של כל בתי המשפט לאורך זמן</w:t>
      </w:r>
    </w:p>
    <w:p w14:paraId="71DBE48E" w14:textId="6D158CF8" w:rsidR="004D5A89" w:rsidRPr="002C2DE6" w:rsidRDefault="004D5A89" w:rsidP="008F05D0">
      <w:pPr>
        <w:bidi/>
        <w:spacing w:after="0" w:line="276" w:lineRule="auto"/>
        <w:jc w:val="both"/>
        <w:rPr>
          <w:rFonts w:ascii="Segoe UI" w:hAnsi="Segoe UI" w:cs="Segoe UI"/>
          <w:rtl/>
          <w:lang w:val="en-ZW"/>
        </w:rPr>
      </w:pPr>
    </w:p>
    <w:p w14:paraId="6DA96BD0" w14:textId="3A1676E9" w:rsidR="00720294" w:rsidRDefault="00720294" w:rsidP="008F05D0">
      <w:pPr>
        <w:pStyle w:val="110"/>
        <w:spacing w:line="276" w:lineRule="auto"/>
        <w:rPr>
          <w:rtl/>
        </w:rPr>
      </w:pPr>
      <w:r>
        <w:rPr>
          <w:rFonts w:hint="cs"/>
          <w:rtl/>
        </w:rPr>
        <w:t>הביקורת על תיאוריית ההרתעה</w:t>
      </w:r>
    </w:p>
    <w:p w14:paraId="12C19A49" w14:textId="77777777" w:rsidR="00E8064E" w:rsidRPr="002C2DE6" w:rsidRDefault="00E8064E" w:rsidP="008F05D0">
      <w:pPr>
        <w:pStyle w:val="ab"/>
        <w:numPr>
          <w:ilvl w:val="0"/>
          <w:numId w:val="47"/>
        </w:numPr>
        <w:bidi/>
        <w:spacing w:after="0" w:line="276" w:lineRule="auto"/>
        <w:jc w:val="both"/>
        <w:rPr>
          <w:rFonts w:ascii="Segoe UI" w:hAnsi="Segoe UI" w:cs="Segoe UI"/>
          <w:rtl/>
          <w:lang w:val="en-ZW"/>
        </w:rPr>
      </w:pPr>
      <w:r w:rsidRPr="002C2DE6">
        <w:rPr>
          <w:rFonts w:ascii="Segoe UI" w:hAnsi="Segoe UI" w:cs="Segoe UI"/>
          <w:rtl/>
          <w:lang w:val="en-ZW"/>
        </w:rPr>
        <w:t>הענשת אדם לשם הרתעתו והרתעת הכלל היא מעשה פסול משום שבדרך זו נוהגים באדם כאמצעי בעוד שבנ"א הם תכלית בפני עצמם</w:t>
      </w:r>
      <w:r w:rsidRPr="002C2DE6">
        <w:rPr>
          <w:rFonts w:ascii="Segoe UI" w:hAnsi="Segoe UI" w:cs="Segoe UI"/>
          <w:lang w:val="en-ZW"/>
        </w:rPr>
        <w:t>.</w:t>
      </w:r>
    </w:p>
    <w:p w14:paraId="2848958C" w14:textId="77777777" w:rsidR="00E8064E" w:rsidRPr="002C2DE6" w:rsidRDefault="00E8064E" w:rsidP="008F05D0">
      <w:pPr>
        <w:pStyle w:val="ab"/>
        <w:numPr>
          <w:ilvl w:val="0"/>
          <w:numId w:val="47"/>
        </w:numPr>
        <w:bidi/>
        <w:spacing w:after="0" w:line="276" w:lineRule="auto"/>
        <w:jc w:val="both"/>
        <w:rPr>
          <w:rFonts w:ascii="Segoe UI" w:hAnsi="Segoe UI" w:cs="Segoe UI"/>
          <w:rtl/>
          <w:lang w:val="en-ZW"/>
        </w:rPr>
      </w:pPr>
      <w:r w:rsidRPr="002C2DE6">
        <w:rPr>
          <w:rFonts w:ascii="Segoe UI" w:hAnsi="Segoe UI" w:cs="Segoe UI"/>
          <w:rtl/>
          <w:lang w:val="en-ZW"/>
        </w:rPr>
        <w:t>כשתכלית הענישה היא הרתעה זה יכול להביא לענישה חזקה ("למען ייראו וייראו")</w:t>
      </w:r>
      <w:r w:rsidRPr="002C2DE6">
        <w:rPr>
          <w:rFonts w:ascii="Segoe UI" w:hAnsi="Segoe UI" w:cs="Segoe UI"/>
          <w:lang w:val="en-ZW"/>
        </w:rPr>
        <w:t>.</w:t>
      </w:r>
    </w:p>
    <w:p w14:paraId="039DEA17" w14:textId="4803D8AD" w:rsidR="00E8064E" w:rsidRPr="002C2DE6" w:rsidRDefault="00E8064E" w:rsidP="008F05D0">
      <w:pPr>
        <w:pStyle w:val="ab"/>
        <w:numPr>
          <w:ilvl w:val="0"/>
          <w:numId w:val="47"/>
        </w:numPr>
        <w:bidi/>
        <w:spacing w:after="0" w:line="276" w:lineRule="auto"/>
        <w:jc w:val="both"/>
        <w:rPr>
          <w:rFonts w:ascii="Segoe UI" w:hAnsi="Segoe UI" w:cs="Segoe UI"/>
          <w:rtl/>
          <w:lang w:val="en-ZW"/>
        </w:rPr>
      </w:pPr>
      <w:r w:rsidRPr="002C2DE6">
        <w:rPr>
          <w:rFonts w:ascii="Segoe UI" w:hAnsi="Segoe UI" w:cs="Segoe UI"/>
          <w:rtl/>
          <w:lang w:val="en-ZW"/>
        </w:rPr>
        <w:t>זה יכול להביא לפגיעה בחפים מפשע/בני משפחה (ענישה קולקטיבית?)</w:t>
      </w:r>
      <w:r w:rsidR="00196A0C" w:rsidRPr="002C2DE6">
        <w:rPr>
          <w:rFonts w:ascii="Segoe UI" w:hAnsi="Segoe UI" w:cs="Segoe UI" w:hint="cs"/>
          <w:rtl/>
          <w:lang w:val="en-ZW"/>
        </w:rPr>
        <w:t>.</w:t>
      </w:r>
    </w:p>
    <w:p w14:paraId="53CF5895" w14:textId="5B886126" w:rsidR="00720294" w:rsidRPr="002C2DE6" w:rsidRDefault="00E8064E" w:rsidP="008F05D0">
      <w:pPr>
        <w:pStyle w:val="ab"/>
        <w:numPr>
          <w:ilvl w:val="0"/>
          <w:numId w:val="47"/>
        </w:numPr>
        <w:bidi/>
        <w:spacing w:after="0" w:line="276" w:lineRule="auto"/>
        <w:jc w:val="both"/>
        <w:rPr>
          <w:rFonts w:ascii="Segoe UI" w:hAnsi="Segoe UI" w:cs="Segoe UI"/>
          <w:lang w:val="en-ZW"/>
        </w:rPr>
      </w:pPr>
      <w:r w:rsidRPr="002C2DE6">
        <w:rPr>
          <w:rFonts w:ascii="Segoe UI" w:hAnsi="Segoe UI" w:cs="Segoe UI"/>
          <w:rtl/>
          <w:lang w:val="en-ZW"/>
        </w:rPr>
        <w:t xml:space="preserve">הרתעה לא כ"כ עובדת כי בכל העולם רואים </w:t>
      </w:r>
      <w:proofErr w:type="spellStart"/>
      <w:r w:rsidRPr="002C2DE6">
        <w:rPr>
          <w:rFonts w:ascii="Segoe UI" w:hAnsi="Segoe UI" w:cs="Segoe UI"/>
          <w:rtl/>
          <w:lang w:val="en-ZW"/>
        </w:rPr>
        <w:t>רצדי</w:t>
      </w:r>
      <w:r w:rsidR="00ED3089" w:rsidRPr="002C2DE6">
        <w:rPr>
          <w:rFonts w:ascii="Segoe UI" w:hAnsi="Segoe UI" w:cs="Segoe UI" w:hint="cs"/>
          <w:rtl/>
          <w:lang w:val="en-ZW"/>
        </w:rPr>
        <w:t>ב</w:t>
      </w:r>
      <w:r w:rsidRPr="002C2DE6">
        <w:rPr>
          <w:rFonts w:ascii="Segoe UI" w:hAnsi="Segoe UI" w:cs="Segoe UI"/>
          <w:rtl/>
          <w:lang w:val="en-ZW"/>
        </w:rPr>
        <w:t>יזם</w:t>
      </w:r>
      <w:proofErr w:type="spellEnd"/>
      <w:r w:rsidRPr="002C2DE6">
        <w:rPr>
          <w:rFonts w:ascii="Segoe UI" w:hAnsi="Segoe UI" w:cs="Segoe UI"/>
          <w:rtl/>
          <w:lang w:val="en-ZW"/>
        </w:rPr>
        <w:t xml:space="preserve"> (בארה"ב, בעבירות מין ואלימות לעיתים שיעור </w:t>
      </w:r>
      <w:proofErr w:type="spellStart"/>
      <w:r w:rsidRPr="002C2DE6">
        <w:rPr>
          <w:rFonts w:ascii="Segoe UI" w:hAnsi="Segoe UI" w:cs="Segoe UI"/>
          <w:rtl/>
          <w:lang w:val="en-ZW"/>
        </w:rPr>
        <w:t>הרצדיביזם</w:t>
      </w:r>
      <w:proofErr w:type="spellEnd"/>
      <w:r w:rsidRPr="002C2DE6">
        <w:rPr>
          <w:rFonts w:ascii="Segoe UI" w:hAnsi="Segoe UI" w:cs="Segoe UI"/>
          <w:rtl/>
          <w:lang w:val="en-ZW"/>
        </w:rPr>
        <w:t xml:space="preserve"> עומד על 70 אחוזים)</w:t>
      </w:r>
      <w:r w:rsidR="00196A0C" w:rsidRPr="002C2DE6">
        <w:rPr>
          <w:rFonts w:ascii="Segoe UI" w:hAnsi="Segoe UI" w:cs="Segoe UI" w:hint="cs"/>
          <w:rtl/>
          <w:lang w:val="en-ZW"/>
        </w:rPr>
        <w:t>.</w:t>
      </w:r>
    </w:p>
    <w:p w14:paraId="0480F8C1" w14:textId="2BF661B6" w:rsidR="006E5B22" w:rsidRDefault="006E5B22" w:rsidP="008F05D0">
      <w:pPr>
        <w:pStyle w:val="ab"/>
        <w:numPr>
          <w:ilvl w:val="0"/>
          <w:numId w:val="47"/>
        </w:numPr>
        <w:bidi/>
        <w:spacing w:after="0" w:line="276" w:lineRule="auto"/>
        <w:jc w:val="both"/>
        <w:rPr>
          <w:rFonts w:ascii="Segoe UI" w:hAnsi="Segoe UI" w:cs="Segoe UI"/>
          <w:lang w:val="en-US"/>
        </w:rPr>
      </w:pPr>
      <w:r w:rsidRPr="002C2DE6">
        <w:rPr>
          <w:rFonts w:ascii="Segoe UI" w:hAnsi="Segoe UI" w:cs="Segoe UI"/>
          <w:rtl/>
          <w:lang w:val="en-ZW"/>
        </w:rPr>
        <w:t xml:space="preserve">הרתעה מבוססת על כך שעבריינים הם אנשים </w:t>
      </w:r>
      <w:r w:rsidR="00ED3089" w:rsidRPr="002C2DE6">
        <w:rPr>
          <w:rFonts w:ascii="Segoe UI" w:hAnsi="Segoe UI" w:cs="Segoe UI" w:hint="cs"/>
          <w:rtl/>
          <w:lang w:val="en-ZW"/>
        </w:rPr>
        <w:t>רציונליי</w:t>
      </w:r>
      <w:r w:rsidR="00ED3089" w:rsidRPr="002C2DE6">
        <w:rPr>
          <w:rFonts w:ascii="Segoe UI" w:hAnsi="Segoe UI" w:cs="Segoe UI" w:hint="eastAsia"/>
          <w:rtl/>
          <w:lang w:val="en-ZW"/>
        </w:rPr>
        <w:t>ם</w:t>
      </w:r>
      <w:r w:rsidRPr="002C2DE6">
        <w:rPr>
          <w:rFonts w:ascii="Segoe UI" w:hAnsi="Segoe UI" w:cs="Segoe UI"/>
          <w:rtl/>
          <w:lang w:val="en-ZW"/>
        </w:rPr>
        <w:t xml:space="preserve"> ש"מחשבים" את הסיכונים והסיכויים כשאין זה כך. (דחף אלים/מיני/אי יציבות נפשית)</w:t>
      </w:r>
      <w:r w:rsidR="00C14AFF" w:rsidRPr="002C2DE6">
        <w:rPr>
          <w:rFonts w:ascii="Segoe UI" w:hAnsi="Segoe UI" w:cs="Segoe UI" w:hint="cs"/>
          <w:rtl/>
          <w:lang w:val="en-US"/>
        </w:rPr>
        <w:t>.</w:t>
      </w:r>
    </w:p>
    <w:p w14:paraId="260F5D8F" w14:textId="77777777" w:rsidR="00850EA8" w:rsidRPr="002C2DE6" w:rsidRDefault="00850EA8" w:rsidP="008F05D0">
      <w:pPr>
        <w:pStyle w:val="ab"/>
        <w:bidi/>
        <w:spacing w:after="0" w:line="276" w:lineRule="auto"/>
        <w:ind w:left="360"/>
        <w:jc w:val="both"/>
        <w:rPr>
          <w:rFonts w:ascii="Segoe UI" w:hAnsi="Segoe UI" w:cs="Segoe UI"/>
          <w:rtl/>
          <w:lang w:val="en-US"/>
        </w:rPr>
      </w:pPr>
    </w:p>
    <w:p w14:paraId="370297C7" w14:textId="762894FA" w:rsidR="006E5B22" w:rsidRDefault="006E5B22" w:rsidP="008F05D0">
      <w:pPr>
        <w:pStyle w:val="110"/>
        <w:spacing w:line="276" w:lineRule="auto"/>
        <w:rPr>
          <w:rtl/>
        </w:rPr>
      </w:pPr>
      <w:r>
        <w:rPr>
          <w:rFonts w:hint="cs"/>
          <w:rtl/>
        </w:rPr>
        <w:lastRenderedPageBreak/>
        <w:t>תשובת הנגד לביקורת</w:t>
      </w:r>
    </w:p>
    <w:p w14:paraId="3C0F6E2D" w14:textId="6B5B6CDE" w:rsidR="006E5B22" w:rsidRPr="002C2DE6" w:rsidRDefault="00197F5C" w:rsidP="008F05D0">
      <w:pPr>
        <w:bidi/>
        <w:spacing w:after="0" w:line="276" w:lineRule="auto"/>
        <w:jc w:val="both"/>
        <w:rPr>
          <w:rFonts w:ascii="Segoe UI" w:hAnsi="Segoe UI" w:cs="Segoe UI"/>
          <w:rtl/>
          <w:lang w:val="en-US"/>
        </w:rPr>
      </w:pPr>
      <w:r w:rsidRPr="002C2DE6">
        <w:rPr>
          <w:rFonts w:ascii="Segoe UI" w:hAnsi="Segoe UI" w:cs="Segoe UI"/>
          <w:rtl/>
          <w:lang w:val="en-ZW"/>
        </w:rPr>
        <w:t>תלוי איך בוחנים את כוח ההרתעה. זה אולי לא מרתיע עבריינים מסוימים אך עשוי למנוע עבריינים נוספים</w:t>
      </w:r>
      <w:r w:rsidRPr="002C2DE6">
        <w:rPr>
          <w:rFonts w:ascii="Segoe UI" w:hAnsi="Segoe UI" w:cs="Segoe UI" w:hint="cs"/>
          <w:rtl/>
          <w:lang w:val="en-ZW"/>
        </w:rPr>
        <w:t>.</w:t>
      </w:r>
    </w:p>
    <w:p w14:paraId="2D6C844D" w14:textId="77777777" w:rsidR="0090224E" w:rsidRPr="00197F5C" w:rsidRDefault="0090224E" w:rsidP="008F05D0">
      <w:pPr>
        <w:bidi/>
        <w:spacing w:after="0" w:line="276" w:lineRule="auto"/>
        <w:jc w:val="both"/>
        <w:rPr>
          <w:rFonts w:ascii="Segoe UI" w:hAnsi="Segoe UI" w:cs="Segoe UI"/>
          <w:sz w:val="24"/>
          <w:szCs w:val="24"/>
          <w:rtl/>
          <w:lang w:val="en-US"/>
        </w:rPr>
      </w:pPr>
    </w:p>
    <w:p w14:paraId="10B0ED44" w14:textId="79D55DD2" w:rsidR="002E2C80" w:rsidRPr="00417410" w:rsidRDefault="00797722" w:rsidP="008F05D0">
      <w:pPr>
        <w:pStyle w:val="2"/>
      </w:pPr>
      <w:bookmarkStart w:id="20" w:name="_Toc108218189"/>
      <w:r w:rsidRPr="00797722">
        <w:rPr>
          <w:rFonts w:hint="cs"/>
          <w:rtl/>
        </w:rPr>
        <w:t>טיפול ו</w:t>
      </w:r>
      <w:r w:rsidR="002E2C80" w:rsidRPr="00417410">
        <w:rPr>
          <w:rFonts w:hint="cs"/>
          <w:rtl/>
        </w:rPr>
        <w:t>שיקום</w:t>
      </w:r>
      <w:r w:rsidR="00B82B96">
        <w:rPr>
          <w:rFonts w:hint="cs"/>
          <w:rtl/>
        </w:rPr>
        <w:t xml:space="preserve"> </w:t>
      </w:r>
      <w:r w:rsidR="00B82B96" w:rsidRPr="00B82B96">
        <w:rPr>
          <w:rFonts w:hint="cs"/>
          <w:highlight w:val="yellow"/>
          <w:rtl/>
        </w:rPr>
        <w:t>(40ד)</w:t>
      </w:r>
      <w:bookmarkEnd w:id="20"/>
    </w:p>
    <w:p w14:paraId="43D97B97" w14:textId="77777777" w:rsidR="00C1736E" w:rsidRPr="00C1736E" w:rsidRDefault="00C1736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C1736E">
        <w:rPr>
          <w:rFonts w:ascii="Time New Roman" w:eastAsia="Times New Roman" w:hAnsi="Time New Roman" w:cs="Times New Roman"/>
          <w:b/>
          <w:bCs/>
          <w:color w:val="008000"/>
          <w:sz w:val="27"/>
          <w:szCs w:val="27"/>
          <w:rtl/>
          <w:lang w:val="en-US"/>
        </w:rPr>
        <w:t>שיקום (תיקון מס' 113) תשע"ב-2012</w:t>
      </w:r>
    </w:p>
    <w:p w14:paraId="096717F1" w14:textId="77777777" w:rsidR="00C1736E" w:rsidRPr="00C1736E" w:rsidRDefault="00C1736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C1736E">
        <w:rPr>
          <w:rFonts w:ascii="Miriam" w:eastAsia="Times New Roman" w:hAnsi="Miriam" w:cs="Miriam"/>
          <w:sz w:val="32"/>
          <w:szCs w:val="32"/>
          <w:rtl/>
          <w:lang w:val="en-US"/>
        </w:rPr>
        <w:t>40</w:t>
      </w:r>
      <w:r w:rsidRPr="00C1736E">
        <w:rPr>
          <w:rFonts w:ascii="FrankRuehl" w:eastAsia="Times New Roman" w:hAnsi="FrankRuehl" w:cs="FrankRuehl"/>
          <w:sz w:val="26"/>
          <w:szCs w:val="26"/>
          <w:rtl/>
          <w:lang w:val="en-US"/>
        </w:rPr>
        <w:t>ד.  (א)  קבע בית המשפט את מתחם העונש ההולם בהתאם לעיקרון המנחה ומצא כי הנאשם השתקם או כי יש סיכוי של ממש שישתקם, רשאי הוא לחרוג ממתחם העונש ההולם ולקבוע את עונשו של הנאשם לפי שיקולי שיקומו, וכן להורות על נקיטת אמצעי שיקומי כלפי הנאשם, לרבות העמדתו במבחן לפי סעיפים 82 או 86 או לפי פקודת המבחן [נוסח חדש], התשכ"ט-1969.</w:t>
      </w:r>
    </w:p>
    <w:p w14:paraId="15343C07" w14:textId="780AD618" w:rsidR="00C1736E" w:rsidRPr="00C1736E" w:rsidRDefault="00C1736E" w:rsidP="008F05D0">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Times New Roman" w:eastAsia="Times New Roman" w:hAnsi="Times New Roman" w:cs="Times New Roman"/>
          <w:sz w:val="24"/>
          <w:szCs w:val="24"/>
          <w:rtl/>
          <w:lang w:val="en-US"/>
        </w:rPr>
      </w:pPr>
      <w:r w:rsidRPr="00C1736E">
        <w:rPr>
          <w:rFonts w:ascii="FrankRuehl" w:eastAsia="Times New Roman" w:hAnsi="FrankRuehl" w:cs="FrankRuehl"/>
          <w:sz w:val="26"/>
          <w:szCs w:val="26"/>
          <w:rtl/>
          <w:lang w:val="en-US"/>
        </w:rPr>
        <w:t>          (ב)  היו מעשה העבירה ומידת אשמו של הנאשם בעלי חומרה יתרה, לא יחרוג בית המשפט ממתחם העונש ההולם, כאמור בסעיף קטן (א), אף אם הנאשם השתקם או אם יש סיכוי של ממש שישתקם, אלא בנסיבות מיוחדות ויוצאות דופן, לאחר שבית המשפט שוכנע שהן גוברות על הצורך לקבוע את העונש במתחם העונש ההולם בהתאם לעיקרון המנחה, ופירט זאת בגזר הדין.</w:t>
      </w:r>
    </w:p>
    <w:p w14:paraId="6ECDF128" w14:textId="503966AF" w:rsidR="00720294" w:rsidRPr="00BD2A9F" w:rsidRDefault="00BD2A9F" w:rsidP="008F05D0">
      <w:pPr>
        <w:pStyle w:val="110"/>
        <w:spacing w:line="276" w:lineRule="auto"/>
        <w:rPr>
          <w:rtl/>
        </w:rPr>
      </w:pPr>
      <w:r w:rsidRPr="00BD2A9F">
        <w:rPr>
          <w:rFonts w:hint="cs"/>
          <w:rtl/>
        </w:rPr>
        <w:t>מטרת ענישה</w:t>
      </w:r>
    </w:p>
    <w:p w14:paraId="3A18B197" w14:textId="77777777" w:rsidR="00A64B84" w:rsidRPr="002C2DE6" w:rsidRDefault="00A64B84" w:rsidP="008F05D0">
      <w:pPr>
        <w:pStyle w:val="ab"/>
        <w:numPr>
          <w:ilvl w:val="0"/>
          <w:numId w:val="48"/>
        </w:numPr>
        <w:bidi/>
        <w:spacing w:after="0" w:line="276" w:lineRule="auto"/>
        <w:jc w:val="both"/>
        <w:rPr>
          <w:rFonts w:ascii="Segoe UI" w:hAnsi="Segoe UI" w:cs="Segoe UI"/>
          <w:rtl/>
          <w:lang w:val="en-ZW"/>
        </w:rPr>
      </w:pPr>
      <w:r w:rsidRPr="002C2DE6">
        <w:rPr>
          <w:rFonts w:ascii="Segoe UI" w:hAnsi="Segoe UI" w:cs="Segoe UI"/>
          <w:rtl/>
          <w:lang w:val="en-ZW"/>
        </w:rPr>
        <w:t>אחד מהטרנדים החזקים ביותר בעת האחרונה בתחום הענישה הוא הגישה השיקומית</w:t>
      </w:r>
      <w:r w:rsidRPr="002C2DE6">
        <w:rPr>
          <w:rFonts w:ascii="Segoe UI" w:hAnsi="Segoe UI" w:cs="Segoe UI"/>
          <w:lang w:val="en-ZW"/>
        </w:rPr>
        <w:t xml:space="preserve">. </w:t>
      </w:r>
    </w:p>
    <w:p w14:paraId="6061BF00" w14:textId="77777777" w:rsidR="00A64B84" w:rsidRPr="002C2DE6" w:rsidRDefault="00A64B84" w:rsidP="008F05D0">
      <w:pPr>
        <w:pStyle w:val="ab"/>
        <w:numPr>
          <w:ilvl w:val="0"/>
          <w:numId w:val="48"/>
        </w:numPr>
        <w:bidi/>
        <w:spacing w:after="0" w:line="276" w:lineRule="auto"/>
        <w:jc w:val="both"/>
        <w:rPr>
          <w:rFonts w:ascii="Segoe UI" w:hAnsi="Segoe UI" w:cs="Segoe UI"/>
          <w:rtl/>
          <w:lang w:val="en-ZW"/>
        </w:rPr>
      </w:pPr>
      <w:r w:rsidRPr="002C2DE6">
        <w:rPr>
          <w:rFonts w:ascii="Segoe UI" w:hAnsi="Segoe UI" w:cs="Segoe UI"/>
          <w:rtl/>
          <w:lang w:val="en-ZW"/>
        </w:rPr>
        <w:t xml:space="preserve">הביטוי המודרני המובהק  - </w:t>
      </w:r>
      <w:r w:rsidRPr="002C2DE6">
        <w:rPr>
          <w:rFonts w:ascii="Segoe UI" w:hAnsi="Segoe UI" w:cs="Segoe UI"/>
          <w:highlight w:val="green"/>
          <w:rtl/>
          <w:lang w:val="en-ZW"/>
        </w:rPr>
        <w:t xml:space="preserve">ועדת </w:t>
      </w:r>
      <w:proofErr w:type="spellStart"/>
      <w:r w:rsidRPr="002C2DE6">
        <w:rPr>
          <w:rFonts w:ascii="Segoe UI" w:hAnsi="Segoe UI" w:cs="Segoe UI"/>
          <w:highlight w:val="green"/>
          <w:rtl/>
          <w:lang w:val="en-ZW"/>
        </w:rPr>
        <w:t>גלדסטון</w:t>
      </w:r>
      <w:proofErr w:type="spellEnd"/>
      <w:r w:rsidRPr="002C2DE6">
        <w:rPr>
          <w:rFonts w:ascii="Segoe UI" w:hAnsi="Segoe UI" w:cs="Segoe UI"/>
          <w:rtl/>
          <w:lang w:val="en-ZW"/>
        </w:rPr>
        <w:t xml:space="preserve"> (1895) מאנגליה שצירפה באופן פורמלי למטרה של ההרתעה גם מטרה של שיקום - "תיקון העבריין</w:t>
      </w:r>
      <w:r w:rsidRPr="002C2DE6">
        <w:rPr>
          <w:rFonts w:ascii="Segoe UI" w:hAnsi="Segoe UI" w:cs="Segoe UI"/>
          <w:lang w:val="en-ZW"/>
        </w:rPr>
        <w:t xml:space="preserve">". </w:t>
      </w:r>
    </w:p>
    <w:p w14:paraId="20E95857" w14:textId="6DA5FEF2" w:rsidR="00A64B84" w:rsidRPr="002C2DE6" w:rsidRDefault="00A64B84" w:rsidP="008F05D0">
      <w:pPr>
        <w:pStyle w:val="ab"/>
        <w:numPr>
          <w:ilvl w:val="0"/>
          <w:numId w:val="48"/>
        </w:numPr>
        <w:bidi/>
        <w:spacing w:after="0" w:line="276" w:lineRule="auto"/>
        <w:jc w:val="both"/>
        <w:rPr>
          <w:rFonts w:ascii="Segoe UI" w:hAnsi="Segoe UI" w:cs="Segoe UI"/>
          <w:rtl/>
          <w:lang w:val="en-ZW"/>
        </w:rPr>
      </w:pPr>
      <w:r w:rsidRPr="002C2DE6">
        <w:rPr>
          <w:rFonts w:ascii="Segoe UI" w:hAnsi="Segoe UI" w:cs="Segoe UI"/>
          <w:rtl/>
          <w:lang w:val="en-ZW"/>
        </w:rPr>
        <w:t>ביהדות - הסיפור של ר' מאיר - "יתמו חטאים מן הארץ ולא יתמו חוטאים מן הארץ</w:t>
      </w:r>
      <w:r w:rsidRPr="002C2DE6">
        <w:rPr>
          <w:rFonts w:ascii="Segoe UI" w:hAnsi="Segoe UI" w:cs="Segoe UI" w:hint="cs"/>
          <w:rtl/>
          <w:lang w:val="en-ZW"/>
        </w:rPr>
        <w:t>"</w:t>
      </w:r>
      <w:r w:rsidR="006C7021" w:rsidRPr="002C2DE6">
        <w:rPr>
          <w:rFonts w:ascii="Segoe UI" w:hAnsi="Segoe UI" w:cs="Segoe UI" w:hint="cs"/>
          <w:rtl/>
          <w:lang w:val="en-ZW"/>
        </w:rPr>
        <w:t>.</w:t>
      </w:r>
      <w:r w:rsidR="00413FE8" w:rsidRPr="002C2DE6">
        <w:rPr>
          <w:rFonts w:ascii="Segoe UI" w:hAnsi="Segoe UI" w:cs="Segoe UI" w:hint="cs"/>
          <w:rtl/>
          <w:lang w:val="en-ZW"/>
        </w:rPr>
        <w:t xml:space="preserve"> </w:t>
      </w:r>
      <w:r w:rsidR="00413FE8" w:rsidRPr="002C2DE6">
        <w:rPr>
          <w:rFonts w:ascii="Segoe UI" w:hAnsi="Segoe UI" w:cs="Segoe UI" w:hint="cs"/>
          <w:color w:val="7030A0"/>
          <w:rtl/>
          <w:lang w:val="en-ZW"/>
        </w:rPr>
        <w:t xml:space="preserve">אנחנו לא רוצים שהפושעים ימותו אל שהפשעים יסתיימו. </w:t>
      </w:r>
    </w:p>
    <w:p w14:paraId="549BAD95" w14:textId="7154C340" w:rsidR="00BD2A9F" w:rsidRPr="002C2DE6" w:rsidRDefault="00A64B84" w:rsidP="008F05D0">
      <w:pPr>
        <w:pStyle w:val="ab"/>
        <w:numPr>
          <w:ilvl w:val="0"/>
          <w:numId w:val="48"/>
        </w:numPr>
        <w:bidi/>
        <w:spacing w:after="0" w:line="276" w:lineRule="auto"/>
        <w:jc w:val="both"/>
        <w:rPr>
          <w:rFonts w:ascii="Segoe UI" w:hAnsi="Segoe UI" w:cs="Segoe UI"/>
          <w:rtl/>
          <w:lang w:val="en-ZW"/>
        </w:rPr>
      </w:pPr>
      <w:r w:rsidRPr="002C2DE6">
        <w:rPr>
          <w:rFonts w:ascii="Segoe UI" w:hAnsi="Segoe UI" w:cs="Segoe UI"/>
          <w:rtl/>
          <w:lang w:val="en-ZW"/>
        </w:rPr>
        <w:t>משתדלים להבין את אישיות העבריין ואת הסיבות שהביאו אותו לעבירה כדי לשנות את התנהגותו לטובה</w:t>
      </w:r>
      <w:r w:rsidR="006C7021" w:rsidRPr="002C2DE6">
        <w:rPr>
          <w:rFonts w:ascii="Segoe UI" w:hAnsi="Segoe UI" w:cs="Segoe UI" w:hint="cs"/>
          <w:rtl/>
          <w:lang w:val="en-ZW"/>
        </w:rPr>
        <w:t>.</w:t>
      </w:r>
    </w:p>
    <w:p w14:paraId="174A01B3" w14:textId="68898B73" w:rsidR="005822BC" w:rsidRPr="000528E8" w:rsidRDefault="005822BC" w:rsidP="008F05D0">
      <w:pPr>
        <w:bidi/>
        <w:spacing w:after="0" w:line="276" w:lineRule="auto"/>
        <w:jc w:val="both"/>
        <w:rPr>
          <w:rFonts w:ascii="Segoe UI" w:hAnsi="Segoe UI" w:cs="Segoe UI"/>
          <w:b/>
          <w:bCs/>
          <w:u w:val="single"/>
          <w:rtl/>
          <w:lang w:val="en-ZW"/>
        </w:rPr>
      </w:pPr>
    </w:p>
    <w:p w14:paraId="7FB7AD7D" w14:textId="43719B35" w:rsidR="00FD6BDA" w:rsidRDefault="00FD6BDA" w:rsidP="008F05D0">
      <w:pPr>
        <w:pStyle w:val="110"/>
        <w:spacing w:line="276" w:lineRule="auto"/>
        <w:rPr>
          <w:rtl/>
        </w:rPr>
      </w:pPr>
      <w:r>
        <w:rPr>
          <w:rFonts w:hint="cs"/>
          <w:rtl/>
        </w:rPr>
        <w:t>התפתחות מודל השיקום</w:t>
      </w:r>
    </w:p>
    <w:p w14:paraId="25C4B020" w14:textId="77777777" w:rsidR="00FD6BDA" w:rsidRPr="002C2DE6" w:rsidRDefault="00FD6BDA" w:rsidP="008F05D0">
      <w:pPr>
        <w:pStyle w:val="ab"/>
        <w:numPr>
          <w:ilvl w:val="0"/>
          <w:numId w:val="49"/>
        </w:numPr>
        <w:bidi/>
        <w:spacing w:after="0" w:line="276" w:lineRule="auto"/>
        <w:jc w:val="both"/>
        <w:rPr>
          <w:rFonts w:ascii="Segoe UI" w:hAnsi="Segoe UI" w:cs="Segoe UI"/>
          <w:rtl/>
          <w:lang w:val="en-ZW"/>
        </w:rPr>
      </w:pPr>
      <w:r w:rsidRPr="002C2DE6">
        <w:rPr>
          <w:rFonts w:ascii="Segoe UI" w:hAnsi="Segoe UI" w:cs="Segoe UI"/>
          <w:b/>
          <w:bCs/>
          <w:rtl/>
          <w:lang w:val="en-ZW"/>
        </w:rPr>
        <w:t>פילנטרופי</w:t>
      </w:r>
      <w:r w:rsidRPr="002C2DE6">
        <w:rPr>
          <w:rFonts w:ascii="Segoe UI" w:hAnsi="Segoe UI" w:cs="Segoe UI"/>
          <w:rtl/>
          <w:lang w:val="en-ZW"/>
        </w:rPr>
        <w:t xml:space="preserve"> - העבירה בוצעה על רקע דלות, גנים, חוסר חינוך וסביבה של העבריין. לעבריין אין באמת "בחירה חופשית</w:t>
      </w:r>
      <w:r w:rsidRPr="002C2DE6">
        <w:rPr>
          <w:rFonts w:ascii="Segoe UI" w:hAnsi="Segoe UI" w:cs="Segoe UI"/>
          <w:lang w:val="en-ZW"/>
        </w:rPr>
        <w:t>".</w:t>
      </w:r>
    </w:p>
    <w:p w14:paraId="05A573D3" w14:textId="77777777" w:rsidR="00FD6BDA" w:rsidRPr="002C2DE6" w:rsidRDefault="00FD6BDA" w:rsidP="008F05D0">
      <w:pPr>
        <w:pStyle w:val="ab"/>
        <w:numPr>
          <w:ilvl w:val="0"/>
          <w:numId w:val="49"/>
        </w:numPr>
        <w:bidi/>
        <w:spacing w:after="0" w:line="276" w:lineRule="auto"/>
        <w:jc w:val="both"/>
        <w:rPr>
          <w:rFonts w:ascii="Segoe UI" w:hAnsi="Segoe UI" w:cs="Segoe UI"/>
          <w:rtl/>
          <w:lang w:val="en-ZW"/>
        </w:rPr>
      </w:pPr>
      <w:r w:rsidRPr="002C2DE6">
        <w:rPr>
          <w:rFonts w:ascii="Segoe UI" w:hAnsi="Segoe UI" w:cs="Segoe UI"/>
          <w:b/>
          <w:bCs/>
          <w:rtl/>
          <w:lang w:val="en-ZW"/>
        </w:rPr>
        <w:t>הומניטרי</w:t>
      </w:r>
      <w:r w:rsidRPr="002C2DE6">
        <w:rPr>
          <w:rFonts w:ascii="Segoe UI" w:hAnsi="Segoe UI" w:cs="Segoe UI"/>
          <w:rtl/>
          <w:lang w:val="en-ZW"/>
        </w:rPr>
        <w:t xml:space="preserve"> - החברה צריכה להיטיב עם מוכי גורל</w:t>
      </w:r>
    </w:p>
    <w:p w14:paraId="375921F8" w14:textId="77777777" w:rsidR="00FD6BDA" w:rsidRPr="002C2DE6" w:rsidRDefault="00FD6BDA" w:rsidP="008F05D0">
      <w:pPr>
        <w:pStyle w:val="ab"/>
        <w:numPr>
          <w:ilvl w:val="0"/>
          <w:numId w:val="49"/>
        </w:numPr>
        <w:bidi/>
        <w:spacing w:after="0" w:line="276" w:lineRule="auto"/>
        <w:jc w:val="both"/>
        <w:rPr>
          <w:rFonts w:ascii="Segoe UI" w:hAnsi="Segoe UI" w:cs="Segoe UI"/>
          <w:rtl/>
          <w:lang w:val="en-ZW"/>
        </w:rPr>
      </w:pPr>
      <w:r w:rsidRPr="002C2DE6">
        <w:rPr>
          <w:rFonts w:ascii="Segoe UI" w:hAnsi="Segoe UI" w:cs="Segoe UI"/>
          <w:b/>
          <w:bCs/>
          <w:rtl/>
          <w:lang w:val="en-ZW"/>
        </w:rPr>
        <w:t>פוליטי</w:t>
      </w:r>
      <w:r w:rsidRPr="002C2DE6">
        <w:rPr>
          <w:rFonts w:ascii="Segoe UI" w:hAnsi="Segoe UI" w:cs="Segoe UI"/>
          <w:rtl/>
          <w:lang w:val="en-ZW"/>
        </w:rPr>
        <w:t xml:space="preserve"> (מרקסיטי) - אמצעי של שליטה בחלשים</w:t>
      </w:r>
    </w:p>
    <w:p w14:paraId="64C3BD68" w14:textId="3B133990" w:rsidR="00FD6BDA" w:rsidRDefault="00FD6BDA" w:rsidP="008F05D0">
      <w:pPr>
        <w:pStyle w:val="ab"/>
        <w:numPr>
          <w:ilvl w:val="0"/>
          <w:numId w:val="49"/>
        </w:numPr>
        <w:bidi/>
        <w:spacing w:after="0" w:line="276" w:lineRule="auto"/>
        <w:jc w:val="both"/>
        <w:rPr>
          <w:rFonts w:ascii="Segoe UI" w:hAnsi="Segoe UI" w:cs="Segoe UI"/>
          <w:lang w:val="en-ZW"/>
        </w:rPr>
      </w:pPr>
      <w:r w:rsidRPr="002C2DE6">
        <w:rPr>
          <w:rFonts w:ascii="Segoe UI" w:hAnsi="Segoe UI" w:cs="Segoe UI"/>
          <w:b/>
          <w:bCs/>
          <w:rtl/>
          <w:lang w:val="en-ZW"/>
        </w:rPr>
        <w:t>רפואית</w:t>
      </w:r>
      <w:r w:rsidRPr="002C2DE6">
        <w:rPr>
          <w:rFonts w:ascii="Segoe UI" w:hAnsi="Segoe UI" w:cs="Segoe UI"/>
          <w:rtl/>
          <w:lang w:val="en-ZW"/>
        </w:rPr>
        <w:t xml:space="preserve"> (ההסבר </w:t>
      </w:r>
      <w:r w:rsidR="00462B08" w:rsidRPr="002C2DE6">
        <w:rPr>
          <w:rFonts w:ascii="Segoe UI" w:hAnsi="Segoe UI" w:cs="Segoe UI" w:hint="cs"/>
          <w:rtl/>
          <w:lang w:val="en-ZW"/>
        </w:rPr>
        <w:t>הפסיכיאטר</w:t>
      </w:r>
      <w:r w:rsidR="00462B08" w:rsidRPr="002C2DE6">
        <w:rPr>
          <w:rFonts w:ascii="Segoe UI" w:hAnsi="Segoe UI" w:cs="Segoe UI" w:hint="eastAsia"/>
          <w:rtl/>
          <w:lang w:val="en-ZW"/>
        </w:rPr>
        <w:t>י</w:t>
      </w:r>
      <w:r w:rsidRPr="002C2DE6">
        <w:rPr>
          <w:rFonts w:ascii="Segoe UI" w:hAnsi="Segoe UI" w:cs="Segoe UI"/>
          <w:rtl/>
          <w:lang w:val="en-ZW"/>
        </w:rPr>
        <w:t xml:space="preserve">-פסיכולוגי): כמו שברפואה אין מחלה בלי שיהיה לה גורם סיבתי פתלוגי, כך אין עבירה בלי שיש לה סיבה </w:t>
      </w:r>
      <w:r w:rsidR="00462B08" w:rsidRPr="002C2DE6">
        <w:rPr>
          <w:rFonts w:ascii="Segoe UI" w:hAnsi="Segoe UI" w:cs="Segoe UI" w:hint="cs"/>
          <w:rtl/>
          <w:lang w:val="en-ZW"/>
        </w:rPr>
        <w:t>פתולוגי</w:t>
      </w:r>
      <w:r w:rsidR="00462B08" w:rsidRPr="002C2DE6">
        <w:rPr>
          <w:rFonts w:ascii="Segoe UI" w:hAnsi="Segoe UI" w:cs="Segoe UI" w:hint="eastAsia"/>
          <w:rtl/>
          <w:lang w:val="en-ZW"/>
        </w:rPr>
        <w:t>ת</w:t>
      </w:r>
      <w:r w:rsidRPr="002C2DE6">
        <w:rPr>
          <w:rFonts w:ascii="Segoe UI" w:hAnsi="Segoe UI" w:cs="Segoe UI"/>
          <w:rtl/>
          <w:lang w:val="en-ZW"/>
        </w:rPr>
        <w:t xml:space="preserve"> אישית. העבריין סובל מבעיה כלשהי וצריך לטפל בה באמצעים רפואיים. (זו הסיבה ששבתי כלא יש עו"ס ולא רק </w:t>
      </w:r>
      <w:r w:rsidR="00462B08" w:rsidRPr="002C2DE6">
        <w:rPr>
          <w:rFonts w:ascii="Segoe UI" w:hAnsi="Segoe UI" w:cs="Segoe UI" w:hint="cs"/>
          <w:rtl/>
          <w:lang w:val="en-ZW"/>
        </w:rPr>
        <w:t>פסיכיאטרים</w:t>
      </w:r>
      <w:r w:rsidRPr="002C2DE6">
        <w:rPr>
          <w:rFonts w:ascii="Segoe UI" w:hAnsi="Segoe UI" w:cs="Segoe UI"/>
          <w:rtl/>
          <w:lang w:val="en-ZW"/>
        </w:rPr>
        <w:t>)</w:t>
      </w:r>
    </w:p>
    <w:p w14:paraId="6B942B8B" w14:textId="77777777" w:rsidR="002C2DE6" w:rsidRPr="002C2DE6" w:rsidRDefault="002C2DE6" w:rsidP="008F05D0">
      <w:pPr>
        <w:pStyle w:val="ab"/>
        <w:bidi/>
        <w:spacing w:after="0" w:line="276" w:lineRule="auto"/>
        <w:ind w:left="360"/>
        <w:jc w:val="both"/>
        <w:rPr>
          <w:rFonts w:ascii="Segoe UI" w:hAnsi="Segoe UI" w:cs="Segoe UI"/>
          <w:rtl/>
          <w:lang w:val="en-ZW"/>
        </w:rPr>
      </w:pPr>
    </w:p>
    <w:p w14:paraId="03A681E2" w14:textId="24B73CBF" w:rsidR="00B65F88" w:rsidRPr="00850EA8" w:rsidRDefault="00B65F88" w:rsidP="008F05D0">
      <w:pPr>
        <w:pStyle w:val="110"/>
        <w:spacing w:line="276" w:lineRule="auto"/>
        <w:rPr>
          <w:rtl/>
        </w:rPr>
      </w:pPr>
      <w:r w:rsidRPr="00850EA8">
        <w:rPr>
          <w:rFonts w:hint="cs"/>
          <w:rtl/>
        </w:rPr>
        <w:t>השפעות הגישה</w:t>
      </w:r>
    </w:p>
    <w:p w14:paraId="21824152" w14:textId="77777777" w:rsidR="00A944BD" w:rsidRPr="002C2DE6" w:rsidRDefault="00A944BD" w:rsidP="008F05D0">
      <w:pPr>
        <w:pStyle w:val="ab"/>
        <w:numPr>
          <w:ilvl w:val="0"/>
          <w:numId w:val="50"/>
        </w:numPr>
        <w:bidi/>
        <w:spacing w:after="0" w:line="276" w:lineRule="auto"/>
        <w:jc w:val="both"/>
        <w:rPr>
          <w:rFonts w:ascii="Segoe UI" w:hAnsi="Segoe UI" w:cs="Segoe UI"/>
          <w:rtl/>
          <w:lang w:val="en-ZW"/>
        </w:rPr>
      </w:pPr>
      <w:r w:rsidRPr="002C2DE6">
        <w:rPr>
          <w:rFonts w:ascii="Segoe UI" w:hAnsi="Segoe UI" w:cs="Segoe UI"/>
          <w:rtl/>
          <w:lang w:val="en-ZW"/>
        </w:rPr>
        <w:t>הגישה הרפואית/שיקומית השפיעה דרמטית על ההומניזציה של הענישה</w:t>
      </w:r>
      <w:r w:rsidRPr="002C2DE6">
        <w:rPr>
          <w:rFonts w:ascii="Segoe UI" w:hAnsi="Segoe UI" w:cs="Segoe UI"/>
          <w:lang w:val="en-ZW"/>
        </w:rPr>
        <w:t xml:space="preserve">. </w:t>
      </w:r>
    </w:p>
    <w:p w14:paraId="1D10AD86" w14:textId="77777777" w:rsidR="00A944BD" w:rsidRPr="002C2DE6" w:rsidRDefault="00A944BD" w:rsidP="008F05D0">
      <w:pPr>
        <w:pStyle w:val="ab"/>
        <w:numPr>
          <w:ilvl w:val="0"/>
          <w:numId w:val="50"/>
        </w:numPr>
        <w:bidi/>
        <w:spacing w:after="0" w:line="276" w:lineRule="auto"/>
        <w:jc w:val="both"/>
        <w:rPr>
          <w:rFonts w:ascii="Segoe UI" w:hAnsi="Segoe UI" w:cs="Segoe UI"/>
          <w:rtl/>
          <w:lang w:val="en-ZW"/>
        </w:rPr>
      </w:pPr>
      <w:r w:rsidRPr="002C2DE6">
        <w:rPr>
          <w:rFonts w:ascii="Segoe UI" w:hAnsi="Segoe UI" w:cs="Segoe UI"/>
          <w:rtl/>
          <w:lang w:val="en-ZW"/>
        </w:rPr>
        <w:t>מקרים קלים - נשלחים לאבחון ומקרים קשים נשלחים לטיפול</w:t>
      </w:r>
      <w:r w:rsidRPr="002C2DE6">
        <w:rPr>
          <w:rFonts w:ascii="Segoe UI" w:hAnsi="Segoe UI" w:cs="Segoe UI"/>
          <w:lang w:val="en-ZW"/>
        </w:rPr>
        <w:t>.</w:t>
      </w:r>
    </w:p>
    <w:p w14:paraId="23DDB324" w14:textId="18E7C64B" w:rsidR="00A944BD" w:rsidRPr="002C2DE6" w:rsidRDefault="00A944BD" w:rsidP="008F05D0">
      <w:pPr>
        <w:pStyle w:val="ab"/>
        <w:numPr>
          <w:ilvl w:val="0"/>
          <w:numId w:val="50"/>
        </w:numPr>
        <w:bidi/>
        <w:spacing w:after="0" w:line="276" w:lineRule="auto"/>
        <w:jc w:val="both"/>
        <w:rPr>
          <w:rFonts w:ascii="Segoe UI" w:hAnsi="Segoe UI" w:cs="Segoe UI"/>
          <w:rtl/>
          <w:lang w:val="en-ZW"/>
        </w:rPr>
      </w:pPr>
      <w:r w:rsidRPr="002C2DE6">
        <w:rPr>
          <w:rFonts w:ascii="Segoe UI" w:hAnsi="Segoe UI" w:cs="Segoe UI"/>
          <w:rtl/>
          <w:lang w:val="en-ZW"/>
        </w:rPr>
        <w:t xml:space="preserve">חלק מבתי הסוהר שינו את השם ל"בתי תיקון". הצינוק הפך ל"מרכז להסתגלות" או "מרכז </w:t>
      </w:r>
      <w:r w:rsidRPr="002C2DE6">
        <w:rPr>
          <w:rFonts w:ascii="Segoe UI" w:hAnsi="Segoe UI" w:cs="Segoe UI" w:hint="cs"/>
          <w:rtl/>
          <w:lang w:val="en-ZW"/>
        </w:rPr>
        <w:t>להתבוננות</w:t>
      </w:r>
      <w:r w:rsidRPr="002C2DE6">
        <w:rPr>
          <w:rFonts w:ascii="Segoe UI" w:hAnsi="Segoe UI" w:cs="Segoe UI"/>
          <w:rtl/>
          <w:lang w:val="en-ZW"/>
        </w:rPr>
        <w:t xml:space="preserve"> עצמית</w:t>
      </w:r>
      <w:r w:rsidRPr="002C2DE6">
        <w:rPr>
          <w:rFonts w:ascii="Segoe UI" w:hAnsi="Segoe UI" w:cs="Segoe UI"/>
          <w:lang w:val="en-ZW"/>
        </w:rPr>
        <w:t>".</w:t>
      </w:r>
    </w:p>
    <w:p w14:paraId="2C22C6F1" w14:textId="1D9D5283" w:rsidR="003A1E9E" w:rsidRPr="002C2DE6" w:rsidRDefault="00A944BD" w:rsidP="008F05D0">
      <w:pPr>
        <w:pStyle w:val="ab"/>
        <w:numPr>
          <w:ilvl w:val="0"/>
          <w:numId w:val="50"/>
        </w:numPr>
        <w:bidi/>
        <w:spacing w:after="0" w:line="276" w:lineRule="auto"/>
        <w:jc w:val="both"/>
        <w:rPr>
          <w:rFonts w:ascii="Segoe UI" w:hAnsi="Segoe UI" w:cs="Segoe UI"/>
          <w:lang w:val="en-ZW"/>
        </w:rPr>
      </w:pPr>
      <w:r w:rsidRPr="002C2DE6">
        <w:rPr>
          <w:rFonts w:ascii="Segoe UI" w:hAnsi="Segoe UI" w:cs="Segoe UI"/>
          <w:rtl/>
          <w:lang w:val="en-ZW"/>
        </w:rPr>
        <w:t>אחת ההשפעות - תקופות מאסר לא קצובות שרק החלטה רפואית ש"העבריין נרפא" מביאות לשחרור</w:t>
      </w:r>
      <w:r w:rsidR="00D117CB" w:rsidRPr="002C2DE6">
        <w:rPr>
          <w:rFonts w:ascii="Segoe UI" w:hAnsi="Segoe UI" w:cs="Segoe UI" w:hint="cs"/>
          <w:rtl/>
          <w:lang w:val="en-ZW"/>
        </w:rPr>
        <w:t>.</w:t>
      </w:r>
    </w:p>
    <w:p w14:paraId="37732968" w14:textId="77777777" w:rsidR="00691931" w:rsidRPr="000528E8" w:rsidRDefault="00691931" w:rsidP="008F05D0">
      <w:pPr>
        <w:pStyle w:val="ab"/>
        <w:bidi/>
        <w:spacing w:after="0" w:line="276" w:lineRule="auto"/>
        <w:ind w:left="360"/>
        <w:jc w:val="both"/>
        <w:rPr>
          <w:rFonts w:ascii="Segoe UI" w:hAnsi="Segoe UI" w:cs="Segoe UI"/>
          <w:rtl/>
          <w:lang w:val="en-ZW"/>
        </w:rPr>
      </w:pPr>
    </w:p>
    <w:p w14:paraId="373FAAB0" w14:textId="18B1AF57" w:rsidR="003A1E9E" w:rsidRPr="00850EA8" w:rsidRDefault="003A1E9E" w:rsidP="008F05D0">
      <w:pPr>
        <w:pStyle w:val="110"/>
        <w:spacing w:line="276" w:lineRule="auto"/>
        <w:rPr>
          <w:rtl/>
        </w:rPr>
      </w:pPr>
      <w:r w:rsidRPr="00850EA8">
        <w:rPr>
          <w:rFonts w:hint="cs"/>
          <w:rtl/>
        </w:rPr>
        <w:t>ביקורת על ה</w:t>
      </w:r>
      <w:r w:rsidR="006C7021" w:rsidRPr="00850EA8">
        <w:rPr>
          <w:rFonts w:hint="cs"/>
          <w:rtl/>
        </w:rPr>
        <w:t>מאסר הלא קצוב</w:t>
      </w:r>
    </w:p>
    <w:p w14:paraId="4DE2A0A9" w14:textId="54DB5301" w:rsidR="003A1E9E" w:rsidRPr="002C2DE6" w:rsidRDefault="003A1E9E" w:rsidP="008F05D0">
      <w:pPr>
        <w:bidi/>
        <w:spacing w:after="0" w:line="276" w:lineRule="auto"/>
        <w:jc w:val="both"/>
        <w:rPr>
          <w:rFonts w:ascii="Segoe UI" w:hAnsi="Segoe UI" w:cs="Segoe UI"/>
          <w:rtl/>
          <w:lang w:val="en-ZW"/>
        </w:rPr>
      </w:pPr>
      <w:r w:rsidRPr="002C2DE6">
        <w:rPr>
          <w:rFonts w:ascii="Segoe UI" w:hAnsi="Segoe UI" w:cs="Segoe UI"/>
          <w:rtl/>
          <w:lang w:val="en-ZW"/>
        </w:rPr>
        <w:t>המאסר הלא קצוב התחיל באידיאלים גדולים ונגמר הביא לעלייה בזמן המאסר</w:t>
      </w:r>
    </w:p>
    <w:p w14:paraId="1B953C7A" w14:textId="473DDEF3" w:rsidR="003A1E9E" w:rsidRPr="000528E8" w:rsidRDefault="003A1E9E" w:rsidP="008F05D0">
      <w:pPr>
        <w:bidi/>
        <w:spacing w:after="0" w:line="276" w:lineRule="auto"/>
        <w:jc w:val="both"/>
        <w:rPr>
          <w:rFonts w:ascii="Segoe UI" w:hAnsi="Segoe UI" w:cs="Segoe UI"/>
          <w:rtl/>
          <w:lang w:val="en-ZW"/>
        </w:rPr>
      </w:pPr>
    </w:p>
    <w:p w14:paraId="2B9EE6D2" w14:textId="43B382DE" w:rsidR="003A1E9E" w:rsidRPr="00850EA8" w:rsidRDefault="003A1E9E" w:rsidP="008F05D0">
      <w:pPr>
        <w:pStyle w:val="110"/>
        <w:spacing w:line="276" w:lineRule="auto"/>
        <w:rPr>
          <w:rtl/>
        </w:rPr>
      </w:pPr>
      <w:r w:rsidRPr="00850EA8">
        <w:rPr>
          <w:rFonts w:hint="cs"/>
          <w:rtl/>
        </w:rPr>
        <w:t>הקשר בין הגישה התועלתנית למטרת השיקום</w:t>
      </w:r>
    </w:p>
    <w:p w14:paraId="084EDDA9" w14:textId="2066C141" w:rsidR="003A1E9E" w:rsidRPr="002C2DE6" w:rsidRDefault="008A31DF" w:rsidP="008F05D0">
      <w:pPr>
        <w:bidi/>
        <w:spacing w:after="0" w:line="276" w:lineRule="auto"/>
        <w:jc w:val="both"/>
        <w:rPr>
          <w:rFonts w:ascii="Segoe UI" w:hAnsi="Segoe UI" w:cs="Segoe UI"/>
          <w:rtl/>
          <w:lang w:val="en-ZW"/>
        </w:rPr>
      </w:pPr>
      <w:r w:rsidRPr="002C2DE6">
        <w:rPr>
          <w:rFonts w:ascii="Segoe UI" w:hAnsi="Segoe UI" w:cs="Segoe UI" w:hint="cs"/>
          <w:b/>
          <w:bCs/>
          <w:color w:val="7030A0"/>
          <w:rtl/>
          <w:lang w:val="en-ZW"/>
        </w:rPr>
        <w:lastRenderedPageBreak/>
        <w:t>שיקום זה אחד מהבסיסים של התיאוריה התועלתנית</w:t>
      </w:r>
      <w:r w:rsidRPr="002C2DE6">
        <w:rPr>
          <w:rFonts w:ascii="Segoe UI" w:hAnsi="Segoe UI" w:cs="Segoe UI" w:hint="cs"/>
          <w:color w:val="7030A0"/>
          <w:rtl/>
          <w:lang w:val="en-ZW"/>
        </w:rPr>
        <w:t xml:space="preserve">. </w:t>
      </w:r>
      <w:r w:rsidR="003A1E9E" w:rsidRPr="002C2DE6">
        <w:rPr>
          <w:rFonts w:ascii="Segoe UI" w:hAnsi="Segoe UI" w:cs="Segoe UI"/>
          <w:rtl/>
          <w:lang w:val="en-ZW"/>
        </w:rPr>
        <w:t>הגישה התועלתנית תומכת במטרת השיקום וסבורה כי לא רק שענישה איננה דרושה אלא שהיא מסיבה נזק ותוצאות הפוכות</w:t>
      </w:r>
      <w:r w:rsidR="003A1E9E" w:rsidRPr="002C2DE6">
        <w:rPr>
          <w:rFonts w:ascii="Segoe UI" w:hAnsi="Segoe UI" w:cs="Segoe UI"/>
          <w:lang w:val="en-ZW"/>
        </w:rPr>
        <w:t xml:space="preserve"> -</w:t>
      </w:r>
    </w:p>
    <w:p w14:paraId="549A56B0" w14:textId="68C1F9B6" w:rsidR="003A1E9E" w:rsidRPr="002C2DE6" w:rsidRDefault="00FB6746" w:rsidP="008F05D0">
      <w:pPr>
        <w:pStyle w:val="ab"/>
        <w:numPr>
          <w:ilvl w:val="0"/>
          <w:numId w:val="51"/>
        </w:numPr>
        <w:bidi/>
        <w:spacing w:after="0" w:line="276" w:lineRule="auto"/>
        <w:jc w:val="both"/>
        <w:rPr>
          <w:rFonts w:ascii="Segoe UI" w:hAnsi="Segoe UI" w:cs="Segoe UI"/>
          <w:rtl/>
          <w:lang w:val="en-ZW"/>
        </w:rPr>
      </w:pPr>
      <w:r w:rsidRPr="002C2DE6">
        <w:rPr>
          <w:rFonts w:ascii="Segoe UI" w:hAnsi="Segoe UI" w:cs="Segoe UI" w:hint="cs"/>
          <w:rtl/>
          <w:lang w:val="en-ZW"/>
        </w:rPr>
        <w:t>"</w:t>
      </w:r>
      <w:r w:rsidR="003A1E9E" w:rsidRPr="002C2DE6">
        <w:rPr>
          <w:rFonts w:ascii="Segoe UI" w:hAnsi="Segoe UI" w:cs="Segoe UI"/>
          <w:rtl/>
          <w:lang w:val="en-ZW"/>
        </w:rPr>
        <w:t>הופכים להיות עבריינים בכלא</w:t>
      </w:r>
      <w:r w:rsidRPr="002C2DE6">
        <w:rPr>
          <w:rFonts w:ascii="Segoe UI" w:hAnsi="Segoe UI" w:cs="Segoe UI" w:hint="cs"/>
          <w:rtl/>
          <w:lang w:val="en-ZW"/>
        </w:rPr>
        <w:t>"</w:t>
      </w:r>
    </w:p>
    <w:p w14:paraId="3FFC83EA" w14:textId="294D1398" w:rsidR="003A1E9E" w:rsidRPr="002C2DE6" w:rsidRDefault="003A1E9E" w:rsidP="008F05D0">
      <w:pPr>
        <w:pStyle w:val="ab"/>
        <w:numPr>
          <w:ilvl w:val="0"/>
          <w:numId w:val="51"/>
        </w:numPr>
        <w:bidi/>
        <w:spacing w:after="0" w:line="276" w:lineRule="auto"/>
        <w:jc w:val="both"/>
        <w:rPr>
          <w:rFonts w:ascii="Segoe UI" w:hAnsi="Segoe UI" w:cs="Segoe UI"/>
          <w:rtl/>
          <w:lang w:val="en-ZW"/>
        </w:rPr>
      </w:pPr>
      <w:r w:rsidRPr="002C2DE6">
        <w:rPr>
          <w:rFonts w:ascii="Segoe UI" w:hAnsi="Segoe UI" w:cs="Segoe UI"/>
          <w:rtl/>
          <w:lang w:val="en-ZW"/>
        </w:rPr>
        <w:t>לפעמים מטילים קנס גבוה שגורם לעבריינים לחזור לעולם הפשע</w:t>
      </w:r>
    </w:p>
    <w:p w14:paraId="36BA513D" w14:textId="7D0C1E0F" w:rsidR="003A1E9E" w:rsidRPr="002C2DE6" w:rsidRDefault="003A1E9E" w:rsidP="008F05D0">
      <w:pPr>
        <w:pStyle w:val="ab"/>
        <w:numPr>
          <w:ilvl w:val="0"/>
          <w:numId w:val="51"/>
        </w:numPr>
        <w:bidi/>
        <w:spacing w:after="0" w:line="276" w:lineRule="auto"/>
        <w:jc w:val="both"/>
        <w:rPr>
          <w:rFonts w:ascii="Segoe UI" w:hAnsi="Segoe UI" w:cs="Segoe UI"/>
          <w:lang w:val="en-ZW"/>
        </w:rPr>
      </w:pPr>
      <w:r w:rsidRPr="002C2DE6">
        <w:rPr>
          <w:rFonts w:ascii="Segoe UI" w:hAnsi="Segoe UI" w:cs="Segoe UI"/>
          <w:rtl/>
          <w:lang w:val="en-ZW"/>
        </w:rPr>
        <w:t>עבריין שיחונך וישוקם - לא יפגע בחברה ובכך תיפתר דרכו בדרך הומנית</w:t>
      </w:r>
    </w:p>
    <w:p w14:paraId="64BEE196" w14:textId="77777777" w:rsidR="00536E11" w:rsidRPr="00850EA8" w:rsidRDefault="00536E11" w:rsidP="008F05D0">
      <w:pPr>
        <w:bidi/>
        <w:spacing w:after="0" w:line="276" w:lineRule="auto"/>
        <w:jc w:val="both"/>
        <w:rPr>
          <w:rFonts w:ascii="Segoe UI" w:hAnsi="Segoe UI" w:cs="Segoe UI"/>
          <w:b/>
          <w:bCs/>
          <w:u w:val="single"/>
          <w:rtl/>
          <w:lang w:val="en-ZW"/>
        </w:rPr>
      </w:pPr>
    </w:p>
    <w:p w14:paraId="7949B9CC" w14:textId="07651C6D" w:rsidR="00DE3408" w:rsidRPr="00DE3408" w:rsidRDefault="00DE3408" w:rsidP="008F05D0">
      <w:pPr>
        <w:pStyle w:val="110"/>
        <w:spacing w:line="276" w:lineRule="auto"/>
        <w:rPr>
          <w:rtl/>
        </w:rPr>
      </w:pPr>
      <w:r w:rsidRPr="00DE3408">
        <w:rPr>
          <w:rFonts w:hint="cs"/>
          <w:rtl/>
        </w:rPr>
        <w:t>הביקורת על דוקטרינת השיקום</w:t>
      </w:r>
    </w:p>
    <w:p w14:paraId="41A92756" w14:textId="081518B6" w:rsidR="00A55241" w:rsidRPr="002C2DE6" w:rsidRDefault="00A55241" w:rsidP="008F05D0">
      <w:pPr>
        <w:pStyle w:val="ab"/>
        <w:numPr>
          <w:ilvl w:val="0"/>
          <w:numId w:val="52"/>
        </w:numPr>
        <w:bidi/>
        <w:spacing w:after="0" w:line="276" w:lineRule="auto"/>
        <w:ind w:left="360"/>
        <w:jc w:val="both"/>
        <w:rPr>
          <w:rFonts w:ascii="Segoe UI" w:hAnsi="Segoe UI" w:cs="Segoe UI"/>
          <w:rtl/>
          <w:lang w:val="en-ZW"/>
        </w:rPr>
      </w:pPr>
      <w:r w:rsidRPr="002C2DE6">
        <w:rPr>
          <w:rFonts w:ascii="Segoe UI" w:hAnsi="Segoe UI" w:cs="Segoe UI"/>
          <w:rtl/>
          <w:lang w:val="en-ZW"/>
        </w:rPr>
        <w:t>בפועל, המציאות של שיקום עבריינים הוא בעייתי. הגורמים לעבריינות הם רבים ומחקרים הראו שגם הקניית תארים וחינוך בכלא - אינו פותר את בעיית החזרה לכלא (מחקרים שנויים במחלוקת)</w:t>
      </w:r>
    </w:p>
    <w:p w14:paraId="2FB1DBA5" w14:textId="4F794F73" w:rsidR="00221D70" w:rsidRPr="002C2DE6" w:rsidRDefault="00A55241" w:rsidP="008F05D0">
      <w:pPr>
        <w:pStyle w:val="ab"/>
        <w:numPr>
          <w:ilvl w:val="0"/>
          <w:numId w:val="54"/>
        </w:numPr>
        <w:bidi/>
        <w:spacing w:after="0" w:line="276" w:lineRule="auto"/>
        <w:ind w:left="723"/>
        <w:jc w:val="both"/>
        <w:rPr>
          <w:rFonts w:ascii="Segoe UI" w:hAnsi="Segoe UI" w:cs="Segoe UI"/>
          <w:rtl/>
          <w:lang w:val="en-ZW"/>
        </w:rPr>
      </w:pPr>
      <w:r w:rsidRPr="002C2DE6">
        <w:rPr>
          <w:rFonts w:ascii="Segoe UI" w:hAnsi="Segoe UI" w:cs="Segoe UI"/>
          <w:rtl/>
          <w:lang w:val="en-ZW"/>
        </w:rPr>
        <w:t xml:space="preserve">דוח </w:t>
      </w:r>
      <w:proofErr w:type="spellStart"/>
      <w:r w:rsidRPr="002C2DE6">
        <w:rPr>
          <w:rFonts w:ascii="Segoe UI" w:hAnsi="Segoe UI" w:cs="Segoe UI"/>
          <w:rtl/>
          <w:lang w:val="en-ZW"/>
        </w:rPr>
        <w:t>מרטינסון</w:t>
      </w:r>
      <w:proofErr w:type="spellEnd"/>
      <w:r w:rsidRPr="002C2DE6">
        <w:rPr>
          <w:rFonts w:ascii="Segoe UI" w:hAnsi="Segoe UI" w:cs="Segoe UI"/>
          <w:rtl/>
          <w:lang w:val="en-ZW"/>
        </w:rPr>
        <w:t xml:space="preserve"> (1975) סקר כ-300 מחקרים קודמים שנעשו לפניו והגיע למסקנה כי "שום דבר לא באמת משקם"</w:t>
      </w:r>
    </w:p>
    <w:p w14:paraId="1FF57ED7" w14:textId="646B92F5" w:rsidR="00A55241" w:rsidRPr="002C2DE6" w:rsidRDefault="00A55241" w:rsidP="008F05D0">
      <w:pPr>
        <w:pStyle w:val="ab"/>
        <w:numPr>
          <w:ilvl w:val="0"/>
          <w:numId w:val="52"/>
        </w:numPr>
        <w:bidi/>
        <w:spacing w:after="0" w:line="276" w:lineRule="auto"/>
        <w:ind w:left="360"/>
        <w:jc w:val="both"/>
        <w:rPr>
          <w:rFonts w:ascii="Segoe UI" w:hAnsi="Segoe UI" w:cs="Segoe UI"/>
          <w:rtl/>
          <w:lang w:val="en-ZW"/>
        </w:rPr>
      </w:pPr>
      <w:r w:rsidRPr="002C2DE6">
        <w:rPr>
          <w:rFonts w:ascii="Segoe UI" w:hAnsi="Segoe UI" w:cs="Segoe UI"/>
          <w:rtl/>
          <w:lang w:val="en-ZW"/>
        </w:rPr>
        <w:t>הביקורת התיאורטית</w:t>
      </w:r>
      <w:r w:rsidRPr="002C2DE6">
        <w:rPr>
          <w:rFonts w:ascii="Segoe UI" w:hAnsi="Segoe UI" w:cs="Segoe UI"/>
          <w:lang w:val="en-ZW"/>
        </w:rPr>
        <w:t xml:space="preserve"> </w:t>
      </w:r>
    </w:p>
    <w:p w14:paraId="6C4363EB" w14:textId="0B97612D" w:rsidR="005071E4" w:rsidRPr="002C2DE6" w:rsidRDefault="00A55241" w:rsidP="008F05D0">
      <w:pPr>
        <w:pStyle w:val="ab"/>
        <w:numPr>
          <w:ilvl w:val="0"/>
          <w:numId w:val="55"/>
        </w:numPr>
        <w:bidi/>
        <w:spacing w:after="0" w:line="276" w:lineRule="auto"/>
        <w:ind w:left="723"/>
        <w:jc w:val="both"/>
        <w:rPr>
          <w:rFonts w:ascii="Segoe UI" w:hAnsi="Segoe UI" w:cs="Segoe UI"/>
          <w:lang w:val="en-ZW"/>
        </w:rPr>
      </w:pPr>
      <w:r w:rsidRPr="002C2DE6">
        <w:rPr>
          <w:rFonts w:ascii="Segoe UI" w:hAnsi="Segoe UI" w:cs="Segoe UI"/>
          <w:rtl/>
          <w:lang w:val="en-ZW"/>
        </w:rPr>
        <w:t>גם אם בסוף נמצא "תרופת פלא" שתשקם את העבריין, עדיין נצטרך אמצעי ענישה נוספים וזאת כדי להרתיע עבריינים מועדים אחרים. אם כל העבריינים יקבלו תרופה, מה ירתיע עבריינים נוספים מלבצע עבירות?!</w:t>
      </w:r>
      <w:r w:rsidR="00F72F18" w:rsidRPr="002C2DE6">
        <w:rPr>
          <w:rFonts w:ascii="Segoe UI" w:hAnsi="Segoe UI" w:cs="Segoe UI" w:hint="cs"/>
          <w:color w:val="7030A0"/>
          <w:rtl/>
          <w:lang w:val="en-ZW"/>
        </w:rPr>
        <w:t xml:space="preserve"> </w:t>
      </w:r>
    </w:p>
    <w:p w14:paraId="70A0F09B" w14:textId="49C3EDE0" w:rsidR="005071E4" w:rsidRPr="002C2DE6" w:rsidRDefault="005071E4" w:rsidP="008F05D0">
      <w:pPr>
        <w:pStyle w:val="ab"/>
        <w:numPr>
          <w:ilvl w:val="0"/>
          <w:numId w:val="52"/>
        </w:numPr>
        <w:bidi/>
        <w:spacing w:after="0" w:line="276" w:lineRule="auto"/>
        <w:ind w:left="360"/>
        <w:jc w:val="both"/>
        <w:rPr>
          <w:rFonts w:ascii="Segoe UI" w:hAnsi="Segoe UI" w:cs="Segoe UI"/>
          <w:lang w:val="en-ZW"/>
        </w:rPr>
      </w:pPr>
      <w:r w:rsidRPr="002C2DE6">
        <w:rPr>
          <w:rFonts w:ascii="Segoe UI" w:hAnsi="Segoe UI" w:cs="Segoe UI" w:hint="cs"/>
          <w:rtl/>
          <w:lang w:val="en-ZW"/>
        </w:rPr>
        <w:t>יותר הגיוני ששיקום יהיה חלק ממרכיבי הענישה ולא יעבוד לבדו כשיקול יחיד</w:t>
      </w:r>
    </w:p>
    <w:p w14:paraId="7C8985C9" w14:textId="53BC50BB" w:rsidR="005071E4" w:rsidRPr="002C2DE6" w:rsidRDefault="005071E4" w:rsidP="008F05D0">
      <w:pPr>
        <w:pStyle w:val="ab"/>
        <w:numPr>
          <w:ilvl w:val="0"/>
          <w:numId w:val="52"/>
        </w:numPr>
        <w:bidi/>
        <w:spacing w:after="0" w:line="276" w:lineRule="auto"/>
        <w:ind w:left="360"/>
        <w:jc w:val="both"/>
        <w:rPr>
          <w:rFonts w:ascii="Segoe UI" w:hAnsi="Segoe UI" w:cs="Segoe UI"/>
          <w:lang w:val="en-ZW"/>
        </w:rPr>
      </w:pPr>
      <w:r w:rsidRPr="002C2DE6">
        <w:rPr>
          <w:rFonts w:ascii="Segoe UI" w:hAnsi="Segoe UI" w:cs="Segoe UI" w:hint="cs"/>
          <w:rtl/>
          <w:lang w:val="en-ZW"/>
        </w:rPr>
        <w:t xml:space="preserve">גישות שאמרו: "נחזיק באסיר עד שצוות רופאים, פסיכולוגים </w:t>
      </w:r>
      <w:proofErr w:type="spellStart"/>
      <w:r w:rsidRPr="002C2DE6">
        <w:rPr>
          <w:rFonts w:ascii="Segoe UI" w:hAnsi="Segoe UI" w:cs="Segoe UI" w:hint="cs"/>
          <w:rtl/>
          <w:lang w:val="en-ZW"/>
        </w:rPr>
        <w:t>ועו"סים</w:t>
      </w:r>
      <w:proofErr w:type="spellEnd"/>
      <w:r w:rsidRPr="002C2DE6">
        <w:rPr>
          <w:rFonts w:ascii="Segoe UI" w:hAnsi="Segoe UI" w:cs="Segoe UI" w:hint="cs"/>
          <w:rtl/>
          <w:lang w:val="en-ZW"/>
        </w:rPr>
        <w:t xml:space="preserve"> </w:t>
      </w:r>
      <w:r w:rsidRPr="002C2DE6">
        <w:rPr>
          <w:rFonts w:ascii="Segoe UI" w:hAnsi="Segoe UI" w:cs="Segoe UI"/>
          <w:rtl/>
          <w:lang w:val="en-ZW"/>
        </w:rPr>
        <w:t>–</w:t>
      </w:r>
      <w:r w:rsidRPr="002C2DE6">
        <w:rPr>
          <w:rFonts w:ascii="Segoe UI" w:hAnsi="Segoe UI" w:cs="Segoe UI" w:hint="cs"/>
          <w:rtl/>
          <w:lang w:val="en-ZW"/>
        </w:rPr>
        <w:t xml:space="preserve"> יגידו שהוא משוקם (מרילנד, פנסילבניה). בפועל, זה הביא לעלייה בתקופת המאסר. </w:t>
      </w:r>
    </w:p>
    <w:p w14:paraId="7A71ED5F" w14:textId="2AF2C190" w:rsidR="002C3790" w:rsidRPr="002C2DE6" w:rsidRDefault="002C3790" w:rsidP="008F05D0">
      <w:pPr>
        <w:pStyle w:val="ab"/>
        <w:numPr>
          <w:ilvl w:val="0"/>
          <w:numId w:val="52"/>
        </w:numPr>
        <w:bidi/>
        <w:spacing w:after="0" w:line="276" w:lineRule="auto"/>
        <w:ind w:left="360"/>
        <w:jc w:val="both"/>
        <w:rPr>
          <w:rFonts w:ascii="Segoe UI" w:hAnsi="Segoe UI" w:cs="Segoe UI"/>
          <w:lang w:val="en-ZW"/>
        </w:rPr>
      </w:pPr>
      <w:r w:rsidRPr="002C2DE6">
        <w:rPr>
          <w:rFonts w:ascii="Segoe UI" w:hAnsi="Segoe UI" w:cs="Segoe UI" w:hint="cs"/>
          <w:rtl/>
          <w:lang w:val="en-ZW"/>
        </w:rPr>
        <w:t>טענות של אפליה בין אסירים שונים (חלק זוכים וחלק לא מקבלים כשהרקע הוא לא ברור).</w:t>
      </w:r>
    </w:p>
    <w:p w14:paraId="07DFD5F5" w14:textId="4ECC8C47" w:rsidR="00DE3408" w:rsidRPr="002C2DE6" w:rsidRDefault="002C3790" w:rsidP="008F05D0">
      <w:pPr>
        <w:pStyle w:val="ab"/>
        <w:numPr>
          <w:ilvl w:val="0"/>
          <w:numId w:val="52"/>
        </w:numPr>
        <w:bidi/>
        <w:spacing w:after="0" w:line="276" w:lineRule="auto"/>
        <w:ind w:left="360"/>
        <w:jc w:val="both"/>
        <w:rPr>
          <w:rFonts w:ascii="Segoe UI" w:hAnsi="Segoe UI" w:cs="Segoe UI"/>
          <w:lang w:val="en-ZW"/>
        </w:rPr>
      </w:pPr>
      <w:r w:rsidRPr="002C2DE6">
        <w:rPr>
          <w:rFonts w:ascii="Segoe UI" w:hAnsi="Segoe UI" w:cs="Segoe UI" w:hint="cs"/>
          <w:rtl/>
          <w:lang w:val="en-ZW"/>
        </w:rPr>
        <w:t>בפועל, עבריינים רבים הולכים למסלול השיקום כי "חרב המאסר"</w:t>
      </w:r>
      <w:r w:rsidR="003F21C7" w:rsidRPr="002C2DE6">
        <w:rPr>
          <w:rFonts w:ascii="Segoe UI" w:hAnsi="Segoe UI" w:cs="Segoe UI" w:hint="cs"/>
          <w:rtl/>
          <w:lang w:val="en-ZW"/>
        </w:rPr>
        <w:t xml:space="preserve"> מונחת על צווארם. </w:t>
      </w:r>
    </w:p>
    <w:p w14:paraId="182E4EB2" w14:textId="3C6EF79C" w:rsidR="003F21C7" w:rsidRDefault="003F21C7" w:rsidP="008F05D0">
      <w:pPr>
        <w:bidi/>
        <w:spacing w:after="0" w:line="276" w:lineRule="auto"/>
        <w:jc w:val="both"/>
        <w:rPr>
          <w:rFonts w:ascii="Segoe UI" w:hAnsi="Segoe UI" w:cs="Segoe UI"/>
          <w:sz w:val="24"/>
          <w:szCs w:val="24"/>
          <w:rtl/>
          <w:lang w:val="en-ZW"/>
        </w:rPr>
      </w:pPr>
    </w:p>
    <w:p w14:paraId="6BE9D200" w14:textId="17C6D21A" w:rsidR="00691931" w:rsidRPr="002C2DE6" w:rsidRDefault="00A47200" w:rsidP="008F05D0">
      <w:pPr>
        <w:pStyle w:val="ab"/>
        <w:numPr>
          <w:ilvl w:val="0"/>
          <w:numId w:val="53"/>
        </w:numPr>
        <w:bidi/>
        <w:spacing w:after="0" w:line="276" w:lineRule="auto"/>
        <w:jc w:val="both"/>
        <w:rPr>
          <w:rFonts w:ascii="Segoe UI" w:hAnsi="Segoe UI" w:cs="Segoe UI"/>
          <w:lang w:val="en-ZW"/>
        </w:rPr>
      </w:pPr>
      <w:r w:rsidRPr="002C2DE6">
        <w:rPr>
          <w:rFonts w:ascii="Segoe UI" w:hAnsi="Segoe UI" w:cs="Segoe UI"/>
          <w:b/>
          <w:bCs/>
          <w:rtl/>
          <w:lang w:val="en-ZW"/>
        </w:rPr>
        <w:t>במציאות</w:t>
      </w:r>
      <w:r w:rsidRPr="002C2DE6">
        <w:rPr>
          <w:rFonts w:ascii="Segoe UI" w:hAnsi="Segoe UI" w:cs="Segoe UI"/>
          <w:rtl/>
          <w:lang w:val="en-ZW"/>
        </w:rPr>
        <w:t xml:space="preserve"> – כל מטרות הענישה מתערבבים יחדי</w:t>
      </w:r>
      <w:r w:rsidRPr="002C2DE6">
        <w:rPr>
          <w:rFonts w:ascii="Segoe UI" w:hAnsi="Segoe UI" w:cs="Segoe UI" w:hint="cs"/>
          <w:rtl/>
          <w:lang w:val="en-ZW"/>
        </w:rPr>
        <w:t>ו.</w:t>
      </w:r>
      <w:r w:rsidRPr="002C2DE6">
        <w:rPr>
          <w:rFonts w:ascii="Segoe UI" w:hAnsi="Segoe UI" w:cs="Segoe UI"/>
          <w:lang w:val="en-ZW"/>
        </w:rPr>
        <w:t xml:space="preserve"> </w:t>
      </w:r>
      <w:r w:rsidRPr="002C2DE6">
        <w:rPr>
          <w:rFonts w:ascii="Segoe UI" w:hAnsi="Segoe UI" w:cs="Segoe UI"/>
          <w:rtl/>
          <w:lang w:val="en-ZW"/>
        </w:rPr>
        <w:t>יש סיטואציות שבה ניתן דגש רב יותר לשיקום (עבריינות נוער) או מקרים שבהם בולטת האפשרות של שיקום טוב (תסקיר שירות המבחן)</w:t>
      </w:r>
      <w:r w:rsidRPr="002C2DE6">
        <w:rPr>
          <w:rFonts w:ascii="Segoe UI" w:hAnsi="Segoe UI" w:cs="Segoe UI" w:hint="cs"/>
          <w:rtl/>
          <w:lang w:val="en-ZW"/>
        </w:rPr>
        <w:t xml:space="preserve"> </w:t>
      </w:r>
      <w:r w:rsidRPr="002C2DE6">
        <w:rPr>
          <w:rFonts w:ascii="Segoe UI" w:hAnsi="Segoe UI" w:cs="Segoe UI"/>
          <w:rtl/>
          <w:lang w:val="en-ZW"/>
        </w:rPr>
        <w:t>ויש מקרים שבהם רכיב הגמול הוא הדומיננטי</w:t>
      </w:r>
      <w:r w:rsidRPr="002C2DE6">
        <w:rPr>
          <w:rFonts w:ascii="Segoe UI" w:hAnsi="Segoe UI" w:cs="Segoe UI" w:hint="cs"/>
          <w:rtl/>
          <w:lang w:val="en-ZW"/>
        </w:rPr>
        <w:t>.</w:t>
      </w:r>
    </w:p>
    <w:p w14:paraId="4176F2E2" w14:textId="77777777" w:rsidR="00876670" w:rsidRPr="00850EA8" w:rsidRDefault="00876670" w:rsidP="008F05D0">
      <w:pPr>
        <w:bidi/>
        <w:spacing w:after="0" w:line="276" w:lineRule="auto"/>
        <w:jc w:val="both"/>
        <w:rPr>
          <w:rFonts w:ascii="Segoe UI" w:hAnsi="Segoe UI" w:cs="Segoe UI"/>
          <w:color w:val="7030A0"/>
          <w:rtl/>
          <w:lang w:val="en-ZW"/>
        </w:rPr>
      </w:pPr>
    </w:p>
    <w:p w14:paraId="7449043A" w14:textId="6FF4C234" w:rsidR="007D5B7F" w:rsidRPr="00417410" w:rsidRDefault="007D5B7F" w:rsidP="008F05D0">
      <w:pPr>
        <w:pStyle w:val="2"/>
        <w:rPr>
          <w:rtl/>
        </w:rPr>
      </w:pPr>
      <w:bookmarkStart w:id="21" w:name="_Toc108218190"/>
      <w:r w:rsidRPr="00417410">
        <w:rPr>
          <w:rFonts w:hint="cs"/>
          <w:rtl/>
        </w:rPr>
        <w:t>הגנה על שלום הציבור</w:t>
      </w:r>
      <w:r w:rsidR="00BD2A9F">
        <w:rPr>
          <w:rFonts w:hint="cs"/>
          <w:rtl/>
        </w:rPr>
        <w:t xml:space="preserve"> </w:t>
      </w:r>
      <w:r w:rsidR="00BD2A9F" w:rsidRPr="00BD2A9F">
        <w:rPr>
          <w:rFonts w:hint="cs"/>
          <w:color w:val="7030A0"/>
          <w:highlight w:val="yellow"/>
          <w:rtl/>
        </w:rPr>
        <w:t>(40ה)</w:t>
      </w:r>
      <w:bookmarkEnd w:id="21"/>
    </w:p>
    <w:p w14:paraId="2B643A7A" w14:textId="77777777" w:rsidR="00691931" w:rsidRPr="00691931" w:rsidRDefault="00691931"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691931">
        <w:rPr>
          <w:rFonts w:ascii="Time New Roman" w:eastAsia="Times New Roman" w:hAnsi="Time New Roman" w:cs="Times New Roman"/>
          <w:b/>
          <w:bCs/>
          <w:color w:val="008000"/>
          <w:sz w:val="27"/>
          <w:szCs w:val="27"/>
          <w:rtl/>
          <w:lang w:val="en-US"/>
        </w:rPr>
        <w:t>הגנה על שלום הציבור (תיקון מס' 113) תשע"ב-2012</w:t>
      </w:r>
    </w:p>
    <w:p w14:paraId="3F2429AB" w14:textId="77777777" w:rsidR="00691931" w:rsidRPr="00691931" w:rsidRDefault="00691931"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691931">
        <w:rPr>
          <w:rFonts w:ascii="Miriam" w:eastAsia="Times New Roman" w:hAnsi="Miriam" w:cs="Miriam"/>
          <w:sz w:val="32"/>
          <w:szCs w:val="32"/>
          <w:rtl/>
          <w:lang w:val="en-US"/>
        </w:rPr>
        <w:t>40</w:t>
      </w:r>
      <w:r w:rsidRPr="00691931">
        <w:rPr>
          <w:rFonts w:ascii="FrankRuehl" w:eastAsia="Times New Roman" w:hAnsi="FrankRuehl" w:cs="FrankRuehl"/>
          <w:sz w:val="26"/>
          <w:szCs w:val="26"/>
          <w:rtl/>
          <w:lang w:val="en-US"/>
        </w:rPr>
        <w:t>ה.  קבע בית המשפט את מתחם העונש ההולם בהתאם לעיקרון המנחה ומצא כי יש חשש ממשי שהנאשם יחזור ויבצע עבירות, וכי החמרה בעונשו והרחקתו מהציבור נדרשות כדי להגן על שלום הציבור, רשאי הוא לחרוג ממתחם העונש ההולם, ובלבד שלא יהיה בעונש שיקבע משום החמרה ניכרת מעבר למתחם העונש ההולם; בית המשפט לא יקבע כאמור אלא אם כן מצא שלנאשם עבר פלילי משמעותי או אם הוצגה לו חוות דעת מקצועית.</w:t>
      </w:r>
    </w:p>
    <w:p w14:paraId="41E973D0" w14:textId="77777777" w:rsidR="00850EA8" w:rsidRDefault="00850EA8" w:rsidP="008F05D0">
      <w:pPr>
        <w:bidi/>
        <w:spacing w:after="0" w:line="276" w:lineRule="auto"/>
        <w:jc w:val="both"/>
        <w:rPr>
          <w:rFonts w:ascii="Segoe UI" w:hAnsi="Segoe UI" w:cs="Segoe UI"/>
          <w:b/>
          <w:bCs/>
          <w:u w:val="single"/>
          <w:rtl/>
          <w:lang w:val="en-ZW"/>
        </w:rPr>
      </w:pPr>
    </w:p>
    <w:p w14:paraId="3D94AB56" w14:textId="0A06A502" w:rsidR="00417410" w:rsidRPr="00850EA8" w:rsidRDefault="003D3F62" w:rsidP="008F05D0">
      <w:pPr>
        <w:pStyle w:val="110"/>
        <w:spacing w:line="276" w:lineRule="auto"/>
        <w:rPr>
          <w:rtl/>
        </w:rPr>
      </w:pPr>
      <w:r w:rsidRPr="00850EA8">
        <w:rPr>
          <w:rFonts w:hint="cs"/>
          <w:rtl/>
        </w:rPr>
        <w:t>מטרת הענישה</w:t>
      </w:r>
    </w:p>
    <w:p w14:paraId="4909B5A1" w14:textId="4F4FC75D" w:rsidR="003D3F62" w:rsidRPr="004B5429" w:rsidRDefault="003D3F62" w:rsidP="008F05D0">
      <w:pPr>
        <w:pStyle w:val="ab"/>
        <w:numPr>
          <w:ilvl w:val="0"/>
          <w:numId w:val="56"/>
        </w:numPr>
        <w:bidi/>
        <w:spacing w:after="0" w:line="276" w:lineRule="auto"/>
        <w:ind w:left="360"/>
        <w:jc w:val="both"/>
        <w:rPr>
          <w:rFonts w:ascii="Segoe UI" w:hAnsi="Segoe UI" w:cs="Segoe UI"/>
          <w:lang w:val="en-ZW"/>
        </w:rPr>
      </w:pPr>
      <w:r w:rsidRPr="004B5429">
        <w:rPr>
          <w:rFonts w:ascii="Segoe UI" w:hAnsi="Segoe UI" w:cs="Segoe UI" w:hint="cs"/>
          <w:rtl/>
          <w:lang w:val="en-ZW"/>
        </w:rPr>
        <w:t>מניעה/הגנה על שלום הציבור (לרוב באמצעות מאסר)</w:t>
      </w:r>
      <w:r w:rsidR="00C64ED6" w:rsidRPr="004B5429">
        <w:rPr>
          <w:rFonts w:ascii="Segoe UI" w:hAnsi="Segoe UI" w:cs="Segoe UI" w:hint="cs"/>
          <w:rtl/>
          <w:lang w:val="en-ZW"/>
        </w:rPr>
        <w:t xml:space="preserve"> </w:t>
      </w:r>
      <w:r w:rsidR="00C64ED6" w:rsidRPr="004B5429">
        <w:rPr>
          <w:rFonts w:ascii="Segoe UI" w:hAnsi="Segoe UI" w:cs="Segoe UI" w:hint="cs"/>
          <w:color w:val="7030A0"/>
          <w:rtl/>
          <w:lang w:val="en-ZW"/>
        </w:rPr>
        <w:t xml:space="preserve">[זאת המניעה שרוב המשפטנים מכירים, אבל מניעה מתחילה בכלל בתחום </w:t>
      </w:r>
      <w:r w:rsidR="009C3B14" w:rsidRPr="004B5429">
        <w:rPr>
          <w:rFonts w:ascii="Segoe UI" w:hAnsi="Segoe UI" w:cs="Segoe UI" w:hint="cs"/>
          <w:color w:val="7030A0"/>
          <w:rtl/>
          <w:lang w:val="en-ZW"/>
        </w:rPr>
        <w:t>הקרימינולוגי</w:t>
      </w:r>
      <w:r w:rsidR="009C3B14" w:rsidRPr="004B5429">
        <w:rPr>
          <w:rFonts w:ascii="Segoe UI" w:hAnsi="Segoe UI" w:cs="Segoe UI" w:hint="eastAsia"/>
          <w:color w:val="7030A0"/>
          <w:rtl/>
          <w:lang w:val="en-ZW"/>
        </w:rPr>
        <w:t>ה</w:t>
      </w:r>
      <w:r w:rsidR="00C64ED6" w:rsidRPr="004B5429">
        <w:rPr>
          <w:rFonts w:ascii="Segoe UI" w:hAnsi="Segoe UI" w:cs="Segoe UI" w:hint="cs"/>
          <w:color w:val="7030A0"/>
          <w:rtl/>
          <w:lang w:val="en-ZW"/>
        </w:rPr>
        <w:t xml:space="preserve"> וזאת המניעה הראשונית].</w:t>
      </w:r>
    </w:p>
    <w:p w14:paraId="6EE66E87" w14:textId="5063D7AB" w:rsidR="003D3F62" w:rsidRPr="004B5429" w:rsidRDefault="003D3F62" w:rsidP="008F05D0">
      <w:pPr>
        <w:pStyle w:val="ab"/>
        <w:numPr>
          <w:ilvl w:val="0"/>
          <w:numId w:val="56"/>
        </w:numPr>
        <w:bidi/>
        <w:spacing w:after="0" w:line="276" w:lineRule="auto"/>
        <w:ind w:left="360"/>
        <w:jc w:val="both"/>
        <w:rPr>
          <w:rFonts w:ascii="Segoe UI" w:hAnsi="Segoe UI" w:cs="Segoe UI"/>
          <w:lang w:val="en-ZW"/>
        </w:rPr>
      </w:pPr>
      <w:r w:rsidRPr="004B5429">
        <w:rPr>
          <w:rFonts w:ascii="Segoe UI" w:hAnsi="Segoe UI" w:cs="Segoe UI" w:hint="cs"/>
          <w:rtl/>
          <w:lang w:val="en-ZW"/>
        </w:rPr>
        <w:t xml:space="preserve">אחת מהתכליות הברורות ביותר היא שלילת האפשרות מהעבריין לחזור ולעבור עבירות, על ידי כליאתו בבית כלא. </w:t>
      </w:r>
      <w:r w:rsidRPr="004B5429">
        <w:rPr>
          <w:rFonts w:ascii="Segoe UI" w:hAnsi="Segoe UI" w:cs="Segoe UI" w:hint="cs"/>
          <w:color w:val="7030A0"/>
          <w:rtl/>
          <w:lang w:val="en-ZW"/>
        </w:rPr>
        <w:t xml:space="preserve">כך בעצם עונים על התכלית של </w:t>
      </w:r>
      <w:r w:rsidRPr="004B5429">
        <w:rPr>
          <w:rFonts w:ascii="Segoe UI" w:hAnsi="Segoe UI" w:cs="Segoe UI" w:hint="cs"/>
          <w:rtl/>
          <w:lang w:val="en-ZW"/>
        </w:rPr>
        <w:t xml:space="preserve">הגנה על שלום הציבור. </w:t>
      </w:r>
    </w:p>
    <w:p w14:paraId="2155A718" w14:textId="254485D8" w:rsidR="00E12060" w:rsidRPr="004B5429" w:rsidRDefault="00E12060" w:rsidP="008F05D0">
      <w:pPr>
        <w:pStyle w:val="ab"/>
        <w:numPr>
          <w:ilvl w:val="0"/>
          <w:numId w:val="56"/>
        </w:numPr>
        <w:bidi/>
        <w:spacing w:after="0" w:line="276" w:lineRule="auto"/>
        <w:ind w:left="360"/>
        <w:jc w:val="both"/>
        <w:rPr>
          <w:rFonts w:ascii="Segoe UI" w:hAnsi="Segoe UI" w:cs="Segoe UI"/>
          <w:lang w:val="en-ZW"/>
        </w:rPr>
      </w:pPr>
      <w:r w:rsidRPr="004B5429">
        <w:rPr>
          <w:rFonts w:ascii="Segoe UI" w:hAnsi="Segoe UI" w:cs="Segoe UI" w:hint="cs"/>
          <w:rtl/>
          <w:lang w:val="en-ZW"/>
        </w:rPr>
        <w:t xml:space="preserve">מחקרים מראים (וגם "שכל ישר") שאם האנשים שמבצעים עבירות לא יכולים לבצע אותן במרחב הפתוח </w:t>
      </w:r>
      <w:r w:rsidRPr="004B5429">
        <w:rPr>
          <w:rFonts w:ascii="Segoe UI" w:hAnsi="Segoe UI" w:cs="Segoe UI"/>
          <w:rtl/>
          <w:lang w:val="en-ZW"/>
        </w:rPr>
        <w:t>–</w:t>
      </w:r>
      <w:r w:rsidRPr="004B5429">
        <w:rPr>
          <w:rFonts w:ascii="Segoe UI" w:hAnsi="Segoe UI" w:cs="Segoe UI" w:hint="cs"/>
          <w:rtl/>
          <w:lang w:val="en-ZW"/>
        </w:rPr>
        <w:t xml:space="preserve"> העבריינות פוחתת.</w:t>
      </w:r>
    </w:p>
    <w:p w14:paraId="50CF6CD6" w14:textId="46E5666B" w:rsidR="00E12060" w:rsidRPr="00850EA8" w:rsidRDefault="00E12060" w:rsidP="008F05D0">
      <w:pPr>
        <w:bidi/>
        <w:spacing w:after="0" w:line="276" w:lineRule="auto"/>
        <w:jc w:val="both"/>
        <w:rPr>
          <w:rFonts w:ascii="Segoe UI" w:hAnsi="Segoe UI" w:cs="Segoe UI"/>
          <w:rtl/>
          <w:lang w:val="en-ZW"/>
        </w:rPr>
      </w:pPr>
    </w:p>
    <w:p w14:paraId="6996E2D9" w14:textId="332D8A5F" w:rsidR="00E12060" w:rsidRPr="00850EA8" w:rsidRDefault="00E12060" w:rsidP="008F05D0">
      <w:pPr>
        <w:pStyle w:val="110"/>
        <w:spacing w:line="276" w:lineRule="auto"/>
        <w:rPr>
          <w:rtl/>
        </w:rPr>
      </w:pPr>
      <w:r w:rsidRPr="00850EA8">
        <w:rPr>
          <w:rFonts w:hint="cs"/>
          <w:rtl/>
        </w:rPr>
        <w:t>מניעה ראשונית (עוד לפני שהדבר הגיע לענישה בפועל)</w:t>
      </w:r>
    </w:p>
    <w:p w14:paraId="2D092C6C" w14:textId="56F1DD0C" w:rsidR="00E12060" w:rsidRPr="004B5429" w:rsidRDefault="00E12060" w:rsidP="008F05D0">
      <w:pPr>
        <w:pStyle w:val="ab"/>
        <w:numPr>
          <w:ilvl w:val="0"/>
          <w:numId w:val="57"/>
        </w:numPr>
        <w:bidi/>
        <w:spacing w:after="0" w:line="276" w:lineRule="auto"/>
        <w:ind w:left="360"/>
        <w:jc w:val="both"/>
        <w:rPr>
          <w:rFonts w:ascii="Segoe UI" w:hAnsi="Segoe UI" w:cs="Segoe UI"/>
          <w:lang w:val="en-ZW"/>
        </w:rPr>
      </w:pPr>
      <w:r w:rsidRPr="004B5429">
        <w:rPr>
          <w:rFonts w:ascii="Segoe UI" w:hAnsi="Segoe UI" w:cs="Segoe UI" w:hint="cs"/>
          <w:rtl/>
          <w:lang w:val="en-ZW"/>
        </w:rPr>
        <w:t xml:space="preserve">אם יוצרים קיר מחוספס ולא ישר, הסבירות שיהיה </w:t>
      </w:r>
      <w:r w:rsidR="009C3B14" w:rsidRPr="004B5429">
        <w:rPr>
          <w:rFonts w:ascii="Segoe UI" w:hAnsi="Segoe UI" w:cs="Segoe UI" w:hint="cs"/>
          <w:rtl/>
          <w:lang w:val="en-ZW"/>
        </w:rPr>
        <w:t>גרפיטי</w:t>
      </w:r>
      <w:r w:rsidRPr="004B5429">
        <w:rPr>
          <w:rFonts w:ascii="Segoe UI" w:hAnsi="Segoe UI" w:cs="Segoe UI" w:hint="cs"/>
          <w:rtl/>
          <w:lang w:val="en-ZW"/>
        </w:rPr>
        <w:t xml:space="preserve"> תהיה יותר נמוכה (גרפיטי מושך פשיעה).</w:t>
      </w:r>
    </w:p>
    <w:p w14:paraId="726CB1DF" w14:textId="0279AB9F" w:rsidR="00E12060" w:rsidRPr="004B5429" w:rsidRDefault="00E12060" w:rsidP="008F05D0">
      <w:pPr>
        <w:pStyle w:val="ab"/>
        <w:numPr>
          <w:ilvl w:val="0"/>
          <w:numId w:val="57"/>
        </w:numPr>
        <w:bidi/>
        <w:spacing w:after="0" w:line="276" w:lineRule="auto"/>
        <w:ind w:left="360"/>
        <w:jc w:val="both"/>
        <w:rPr>
          <w:rFonts w:ascii="Segoe UI" w:hAnsi="Segoe UI" w:cs="Segoe UI"/>
          <w:lang w:val="en-ZW"/>
        </w:rPr>
      </w:pPr>
      <w:r w:rsidRPr="004B5429">
        <w:rPr>
          <w:rFonts w:ascii="Segoe UI" w:hAnsi="Segoe UI" w:cs="Segoe UI" w:hint="cs"/>
          <w:rtl/>
          <w:lang w:val="en-ZW"/>
        </w:rPr>
        <w:lastRenderedPageBreak/>
        <w:t xml:space="preserve">אם אוטובוס של אוהדי כדורגל יגיע 5 דק' לפני תחילת המשחק ולא שעה, האלימות לפני המשחק תפחת. </w:t>
      </w:r>
      <w:r w:rsidR="004D29E0" w:rsidRPr="004B5429">
        <w:rPr>
          <w:rFonts w:ascii="Segoe UI" w:hAnsi="Segoe UI" w:cs="Segoe UI" w:hint="cs"/>
          <w:color w:val="7030A0"/>
          <w:rtl/>
          <w:lang w:val="en-ZW"/>
        </w:rPr>
        <w:t>משתמשים בזה באנגליה, המטרה כאן היא לגרום לכך שלא יהיה לאנשים האפשרות בכלל לבצע זאת</w:t>
      </w:r>
      <w:r w:rsidR="00B03BDC" w:rsidRPr="004B5429">
        <w:rPr>
          <w:rFonts w:ascii="Segoe UI" w:hAnsi="Segoe UI" w:cs="Segoe UI" w:hint="cs"/>
          <w:color w:val="7030A0"/>
          <w:rtl/>
          <w:lang w:val="en-ZW"/>
        </w:rPr>
        <w:t xml:space="preserve">, עשו מחקר וראו שלפני המשחק או בסוף המשחק יש המון זמן פנוי ולכן האוהדים מבצעים מעשי אלימות. אם אין מספיק זמן לפני המשחק אז האוהדים יתרכזו בכניסה </w:t>
      </w:r>
      <w:r w:rsidR="00255667" w:rsidRPr="004B5429">
        <w:rPr>
          <w:rFonts w:ascii="Segoe UI" w:hAnsi="Segoe UI" w:cs="Segoe UI" w:hint="cs"/>
          <w:color w:val="7030A0"/>
          <w:rtl/>
          <w:lang w:val="en-ZW"/>
        </w:rPr>
        <w:t>לאצטדיון</w:t>
      </w:r>
      <w:r w:rsidR="00B03BDC" w:rsidRPr="004B5429">
        <w:rPr>
          <w:rFonts w:ascii="Segoe UI" w:hAnsi="Segoe UI" w:cs="Segoe UI" w:hint="cs"/>
          <w:color w:val="7030A0"/>
          <w:rtl/>
          <w:lang w:val="en-ZW"/>
        </w:rPr>
        <w:t xml:space="preserve">. בסוף המשחק </w:t>
      </w:r>
      <w:r w:rsidR="00255667" w:rsidRPr="004B5429">
        <w:rPr>
          <w:rFonts w:ascii="Segoe UI" w:hAnsi="Segoe UI" w:cs="Segoe UI" w:hint="cs"/>
          <w:color w:val="7030A0"/>
          <w:rtl/>
          <w:lang w:val="en-ZW"/>
        </w:rPr>
        <w:t xml:space="preserve">מממנים אוטובוסים, האוטובוס יוצא החוצה בסוף המשחק וככה אין זמן לקטטות בסוף המשחק. משקיעים כסף באוטובוסים וככה מונעים את האלימות וזה גם חוסך כסף במקומות אחרים, נניח אחר כך לטפל בוונדליזם שהתבצע, בנפגעי גוף, תשלום לכוחות משטרה נוספים וכו'. </w:t>
      </w:r>
    </w:p>
    <w:p w14:paraId="10B99575" w14:textId="0C56D5C5" w:rsidR="00D9054D" w:rsidRPr="004B5429" w:rsidRDefault="00D9054D" w:rsidP="008F05D0">
      <w:pPr>
        <w:pStyle w:val="ab"/>
        <w:numPr>
          <w:ilvl w:val="0"/>
          <w:numId w:val="57"/>
        </w:numPr>
        <w:bidi/>
        <w:spacing w:after="0" w:line="276" w:lineRule="auto"/>
        <w:ind w:left="360"/>
        <w:jc w:val="both"/>
        <w:rPr>
          <w:rFonts w:ascii="Segoe UI" w:hAnsi="Segoe UI" w:cs="Segoe UI"/>
          <w:color w:val="7030A0"/>
          <w:rtl/>
          <w:lang w:val="en-ZW"/>
        </w:rPr>
      </w:pPr>
      <w:r w:rsidRPr="004B5429">
        <w:rPr>
          <w:rFonts w:ascii="Segoe UI" w:hAnsi="Segoe UI" w:cs="Segoe UI" w:hint="cs"/>
          <w:color w:val="7030A0"/>
          <w:rtl/>
          <w:lang w:val="en-ZW"/>
        </w:rPr>
        <w:t xml:space="preserve">ארה"ב </w:t>
      </w:r>
      <w:r w:rsidRPr="004B5429">
        <w:rPr>
          <w:rFonts w:ascii="Segoe UI" w:hAnsi="Segoe UI" w:cs="Segoe UI"/>
          <w:color w:val="7030A0"/>
          <w:rtl/>
          <w:lang w:val="en-ZW"/>
        </w:rPr>
        <w:t>–</w:t>
      </w:r>
      <w:r w:rsidRPr="004B5429">
        <w:rPr>
          <w:rFonts w:ascii="Segoe UI" w:hAnsi="Segoe UI" w:cs="Segoe UI" w:hint="cs"/>
          <w:color w:val="7030A0"/>
          <w:rtl/>
          <w:lang w:val="en-ZW"/>
        </w:rPr>
        <w:t xml:space="preserve"> במקומות ממש בעייתיים מה עושים? תוכניות של עיר ללא אלימות שבהם הילדים מהבוקר עד הערב עסוקים. אם יש אימונים לדוג' ומגיעים סלבס וכו' אז הילדים רוצים לבוא ולראות אותם ולהשתתף בתוכנית. הילדים רוצים לגעת "בסלב" ואז במקומות שלמים שפעם היית רואה ילד בן 13 אחרי בית הספר דוקר או מבצע שוד רק מהשעמום</w:t>
      </w:r>
      <w:r w:rsidR="0004758D" w:rsidRPr="004B5429">
        <w:rPr>
          <w:rFonts w:ascii="Segoe UI" w:hAnsi="Segoe UI" w:cs="Segoe UI" w:hint="cs"/>
          <w:color w:val="7030A0"/>
          <w:rtl/>
          <w:lang w:val="en-ZW"/>
        </w:rPr>
        <w:t xml:space="preserve">, רואים איך אותם הילדים כתוצאה ממימון המדינה לתוכניות האלה הם גדלים להיות שחקני כדורסל, פוטבול וכו'. </w:t>
      </w:r>
    </w:p>
    <w:p w14:paraId="1643D9C0" w14:textId="3F2862B9" w:rsidR="006413C8" w:rsidRPr="00495AC0" w:rsidRDefault="006413C8" w:rsidP="008F05D0">
      <w:pPr>
        <w:bidi/>
        <w:spacing w:after="0" w:line="276" w:lineRule="auto"/>
        <w:jc w:val="both"/>
        <w:rPr>
          <w:rFonts w:ascii="Segoe UI" w:hAnsi="Segoe UI" w:cs="Segoe UI"/>
          <w:color w:val="7030A0"/>
          <w:rtl/>
          <w:lang w:val="en-ZW"/>
        </w:rPr>
      </w:pPr>
    </w:p>
    <w:p w14:paraId="0B603238" w14:textId="38C8A816" w:rsidR="00E95B4F" w:rsidRPr="00EE0A78" w:rsidRDefault="00E95B4F" w:rsidP="008F05D0">
      <w:pPr>
        <w:pStyle w:val="110"/>
        <w:spacing w:line="276" w:lineRule="auto"/>
        <w:rPr>
          <w:rtl/>
        </w:rPr>
      </w:pPr>
      <w:r w:rsidRPr="00EE0A78">
        <w:rPr>
          <w:rFonts w:hint="cs"/>
          <w:rtl/>
        </w:rPr>
        <w:t>הביקורת על המניעה הראשונית</w:t>
      </w:r>
    </w:p>
    <w:p w14:paraId="06E17D12" w14:textId="74E0B4D6" w:rsidR="00E95B4F" w:rsidRPr="004B5429" w:rsidRDefault="00E95B4F" w:rsidP="008F05D0">
      <w:pPr>
        <w:pStyle w:val="ab"/>
        <w:numPr>
          <w:ilvl w:val="0"/>
          <w:numId w:val="58"/>
        </w:numPr>
        <w:bidi/>
        <w:spacing w:after="0" w:line="276" w:lineRule="auto"/>
        <w:ind w:left="360"/>
        <w:jc w:val="both"/>
        <w:rPr>
          <w:rFonts w:ascii="Segoe UI" w:hAnsi="Segoe UI" w:cs="Segoe UI"/>
          <w:b/>
          <w:bCs/>
          <w:u w:val="single"/>
          <w:lang w:val="en-ZW"/>
        </w:rPr>
      </w:pPr>
      <w:r w:rsidRPr="004B5429">
        <w:rPr>
          <w:rFonts w:ascii="Segoe UI" w:hAnsi="Segoe UI" w:cs="Segoe UI" w:hint="cs"/>
          <w:rtl/>
          <w:lang w:val="en-ZW"/>
        </w:rPr>
        <w:t>מניין לנו שהנאשם עתיד לחזור על מעשיו? אולי למד לקח ולא יחזור על מעשיו?</w:t>
      </w:r>
    </w:p>
    <w:p w14:paraId="6B8674F8" w14:textId="592C4DD8" w:rsidR="00E95B4F" w:rsidRPr="004B5429" w:rsidRDefault="00E95B4F" w:rsidP="008F05D0">
      <w:pPr>
        <w:pStyle w:val="ab"/>
        <w:bidi/>
        <w:spacing w:after="0" w:line="276" w:lineRule="auto"/>
        <w:jc w:val="both"/>
        <w:rPr>
          <w:rFonts w:ascii="Segoe UI" w:hAnsi="Segoe UI" w:cs="Segoe UI"/>
          <w:b/>
          <w:bCs/>
          <w:u w:val="single"/>
          <w:lang w:val="en-ZW"/>
        </w:rPr>
      </w:pPr>
      <w:r w:rsidRPr="004B5429">
        <w:rPr>
          <w:rFonts w:ascii="Segoe UI" w:hAnsi="Segoe UI" w:cs="Segoe UI" w:hint="cs"/>
          <w:rtl/>
          <w:lang w:val="en-ZW"/>
        </w:rPr>
        <w:t>מחקרים של ניבוי מסוכנות עתידית</w:t>
      </w:r>
      <w:r w:rsidR="00182BFB" w:rsidRPr="004B5429">
        <w:rPr>
          <w:rFonts w:ascii="Segoe UI" w:hAnsi="Segoe UI" w:cs="Segoe UI" w:hint="cs"/>
          <w:rtl/>
          <w:lang w:val="en-ZW"/>
        </w:rPr>
        <w:t xml:space="preserve"> </w:t>
      </w:r>
      <w:r w:rsidRPr="004B5429">
        <w:rPr>
          <w:rFonts w:ascii="Segoe UI" w:hAnsi="Segoe UI" w:cs="Segoe UI"/>
          <w:lang w:val="en-ZW"/>
        </w:rPr>
        <w:t xml:space="preserve"> prediction of dangerousness</w:t>
      </w:r>
      <w:r w:rsidRPr="004B5429">
        <w:rPr>
          <w:rFonts w:ascii="Segoe UI" w:hAnsi="Segoe UI" w:cs="Segoe UI" w:hint="cs"/>
          <w:rtl/>
          <w:lang w:val="en-US"/>
        </w:rPr>
        <w:t xml:space="preserve">ולא הגיעו </w:t>
      </w:r>
      <w:r w:rsidR="008448BC" w:rsidRPr="004B5429">
        <w:rPr>
          <w:rFonts w:ascii="Segoe UI" w:hAnsi="Segoe UI" w:cs="Segoe UI" w:hint="cs"/>
          <w:rtl/>
          <w:lang w:val="en-US"/>
        </w:rPr>
        <w:t xml:space="preserve">למסקנות חד משמעיות. </w:t>
      </w:r>
    </w:p>
    <w:p w14:paraId="4565FD97" w14:textId="0C7426AD" w:rsidR="008448BC" w:rsidRPr="004B5429" w:rsidRDefault="008448BC" w:rsidP="008F05D0">
      <w:pPr>
        <w:pStyle w:val="ab"/>
        <w:numPr>
          <w:ilvl w:val="1"/>
          <w:numId w:val="58"/>
        </w:numPr>
        <w:bidi/>
        <w:spacing w:after="0" w:line="276" w:lineRule="auto"/>
        <w:ind w:left="723"/>
        <w:jc w:val="both"/>
        <w:rPr>
          <w:rFonts w:ascii="Segoe UI" w:hAnsi="Segoe UI" w:cs="Segoe UI"/>
          <w:b/>
          <w:bCs/>
          <w:u w:val="single"/>
          <w:lang w:val="en-ZW"/>
        </w:rPr>
      </w:pPr>
      <w:r w:rsidRPr="004B5429">
        <w:rPr>
          <w:rFonts w:ascii="Segoe UI" w:hAnsi="Segoe UI" w:cs="Segoe UI" w:hint="cs"/>
          <w:rtl/>
          <w:lang w:val="en-US"/>
        </w:rPr>
        <w:t xml:space="preserve">תשובה אפשרית </w:t>
      </w:r>
      <w:r w:rsidRPr="004B5429">
        <w:rPr>
          <w:rFonts w:ascii="Segoe UI" w:hAnsi="Segoe UI" w:cs="Segoe UI"/>
          <w:rtl/>
          <w:lang w:val="en-US"/>
        </w:rPr>
        <w:t>–</w:t>
      </w:r>
      <w:r w:rsidRPr="004B5429">
        <w:rPr>
          <w:rFonts w:ascii="Segoe UI" w:hAnsi="Segoe UI" w:cs="Segoe UI" w:hint="cs"/>
          <w:rtl/>
          <w:lang w:val="en-US"/>
        </w:rPr>
        <w:t xml:space="preserve"> יש עבירות שיש בהן סבירות גבוהה שהעבריין יבצע שוב (אלימות, שוד, רמאות) וכאשר זהו מקצועו של הנאשם, ניתן להסיק שהוא יבצע שוב.</w:t>
      </w:r>
    </w:p>
    <w:p w14:paraId="5EFC834D" w14:textId="68D3D37A" w:rsidR="008448BC" w:rsidRPr="004B5429" w:rsidRDefault="008448BC" w:rsidP="008F05D0">
      <w:pPr>
        <w:pStyle w:val="ab"/>
        <w:numPr>
          <w:ilvl w:val="0"/>
          <w:numId w:val="58"/>
        </w:numPr>
        <w:bidi/>
        <w:spacing w:after="0" w:line="276" w:lineRule="auto"/>
        <w:ind w:left="360"/>
        <w:jc w:val="both"/>
        <w:rPr>
          <w:rFonts w:ascii="Segoe UI" w:hAnsi="Segoe UI" w:cs="Segoe UI"/>
          <w:b/>
          <w:bCs/>
          <w:u w:val="single"/>
          <w:lang w:val="en-ZW"/>
        </w:rPr>
      </w:pPr>
      <w:r w:rsidRPr="004B5429">
        <w:rPr>
          <w:rFonts w:ascii="Segoe UI" w:hAnsi="Segoe UI" w:cs="Segoe UI" w:hint="cs"/>
          <w:rtl/>
          <w:lang w:val="en-US"/>
        </w:rPr>
        <w:t>נניח שהעבריין מועד לחזור לבצע את העבירה, כיצד נדע כמה בדיוק להחזיק אותו במאסר?</w:t>
      </w:r>
    </w:p>
    <w:p w14:paraId="552A5814" w14:textId="5CEB4D3A" w:rsidR="00CE68D2" w:rsidRPr="004B5429" w:rsidRDefault="008448BC" w:rsidP="008F05D0">
      <w:pPr>
        <w:pStyle w:val="ab"/>
        <w:numPr>
          <w:ilvl w:val="0"/>
          <w:numId w:val="58"/>
        </w:numPr>
        <w:bidi/>
        <w:spacing w:after="0" w:line="276" w:lineRule="auto"/>
        <w:ind w:left="360"/>
        <w:jc w:val="both"/>
        <w:rPr>
          <w:rFonts w:ascii="Segoe UI" w:hAnsi="Segoe UI" w:cs="Segoe UI"/>
          <w:b/>
          <w:bCs/>
          <w:u w:val="single"/>
          <w:lang w:val="en-ZW"/>
        </w:rPr>
      </w:pPr>
      <w:r w:rsidRPr="004B5429">
        <w:rPr>
          <w:rFonts w:ascii="Segoe UI" w:hAnsi="Segoe UI" w:cs="Segoe UI" w:hint="cs"/>
          <w:b/>
          <w:bCs/>
          <w:rtl/>
          <w:lang w:val="en-US"/>
        </w:rPr>
        <w:t xml:space="preserve">בפועל, המניעה היא שיקול נוסף שמביאים בחשבון בין יתר השיקולים. </w:t>
      </w:r>
    </w:p>
    <w:p w14:paraId="49FE960B" w14:textId="096F5B5A" w:rsidR="00CE68D2" w:rsidRPr="004B5429" w:rsidRDefault="00CE68D2" w:rsidP="008F05D0">
      <w:pPr>
        <w:pStyle w:val="ab"/>
        <w:numPr>
          <w:ilvl w:val="0"/>
          <w:numId w:val="58"/>
        </w:numPr>
        <w:bidi/>
        <w:spacing w:after="0" w:line="276" w:lineRule="auto"/>
        <w:ind w:left="360"/>
        <w:jc w:val="both"/>
        <w:rPr>
          <w:rFonts w:ascii="Segoe UI" w:hAnsi="Segoe UI" w:cs="Segoe UI"/>
          <w:b/>
          <w:bCs/>
          <w:u w:val="single"/>
          <w:lang w:val="en-ZW"/>
        </w:rPr>
      </w:pPr>
      <w:r w:rsidRPr="004B5429">
        <w:rPr>
          <w:rFonts w:ascii="Segoe UI" w:hAnsi="Segoe UI" w:cs="Segoe UI" w:hint="cs"/>
          <w:rtl/>
          <w:lang w:val="en-US"/>
        </w:rPr>
        <w:t xml:space="preserve">בארה"ב </w:t>
      </w:r>
      <w:r w:rsidRPr="004B5429">
        <w:rPr>
          <w:rFonts w:ascii="Segoe UI" w:hAnsi="Segoe UI" w:cs="Segoe UI"/>
          <w:rtl/>
          <w:lang w:val="en-US"/>
        </w:rPr>
        <w:t>–</w:t>
      </w:r>
      <w:r w:rsidRPr="004B5429">
        <w:rPr>
          <w:rFonts w:ascii="Segoe UI" w:hAnsi="Segoe UI" w:cs="Segoe UI" w:hint="cs"/>
          <w:rtl/>
          <w:lang w:val="en-US"/>
        </w:rPr>
        <w:t xml:space="preserve"> מבצעים מניעה קשוחה מאוד, מנסים לעקור את העבריינות מהשורש.</w:t>
      </w:r>
    </w:p>
    <w:p w14:paraId="10104F0F" w14:textId="3E11DA94" w:rsidR="00CE68D2" w:rsidRPr="004B5429" w:rsidRDefault="00CE68D2" w:rsidP="008F05D0">
      <w:pPr>
        <w:pStyle w:val="ab"/>
        <w:numPr>
          <w:ilvl w:val="0"/>
          <w:numId w:val="60"/>
        </w:numPr>
        <w:bidi/>
        <w:spacing w:after="0" w:line="276" w:lineRule="auto"/>
        <w:ind w:left="723"/>
        <w:jc w:val="both"/>
        <w:rPr>
          <w:rFonts w:ascii="Segoe UI" w:hAnsi="Segoe UI" w:cs="Segoe UI"/>
          <w:rtl/>
          <w:lang w:val="en-US"/>
        </w:rPr>
      </w:pPr>
      <w:r w:rsidRPr="004B5429">
        <w:rPr>
          <w:rFonts w:ascii="Segoe UI" w:hAnsi="Segoe UI" w:cs="Segoe UI" w:hint="cs"/>
          <w:rtl/>
          <w:lang w:val="en-US"/>
        </w:rPr>
        <w:t>"</w:t>
      </w:r>
      <w:r w:rsidRPr="004B5429">
        <w:rPr>
          <w:rFonts w:ascii="Segoe UI" w:hAnsi="Segoe UI" w:cs="Segoe UI" w:hint="cs"/>
          <w:b/>
          <w:bCs/>
          <w:rtl/>
          <w:lang w:val="en-US"/>
        </w:rPr>
        <w:t>חוק שלוש הפסילות</w:t>
      </w:r>
      <w:r w:rsidRPr="004B5429">
        <w:rPr>
          <w:rFonts w:ascii="Segoe UI" w:hAnsi="Segoe UI" w:cs="Segoe UI" w:hint="cs"/>
          <w:rtl/>
          <w:lang w:val="en-US"/>
        </w:rPr>
        <w:t xml:space="preserve">" </w:t>
      </w:r>
      <w:r w:rsidRPr="004B5429">
        <w:rPr>
          <w:rFonts w:ascii="Segoe UI" w:hAnsi="Segoe UI" w:cs="Segoe UI"/>
          <w:rtl/>
          <w:lang w:val="en-US"/>
        </w:rPr>
        <w:t>–</w:t>
      </w:r>
      <w:r w:rsidRPr="004B5429">
        <w:rPr>
          <w:rFonts w:ascii="Segoe UI" w:hAnsi="Segoe UI" w:cs="Segoe UI" w:hint="cs"/>
          <w:rtl/>
          <w:lang w:val="en-US"/>
        </w:rPr>
        <w:t xml:space="preserve"> כלומר, בגין כל עבירה שלישית בן אדם נכנס למאסר לתקופה ארוכה.</w:t>
      </w:r>
      <w:r w:rsidR="004C4A80" w:rsidRPr="004B5429">
        <w:rPr>
          <w:rFonts w:ascii="Segoe UI" w:hAnsi="Segoe UI" w:cs="Segoe UI" w:hint="cs"/>
          <w:rtl/>
          <w:lang w:val="en-US"/>
        </w:rPr>
        <w:t xml:space="preserve"> </w:t>
      </w:r>
      <w:r w:rsidR="004C4A80" w:rsidRPr="004B5429">
        <w:rPr>
          <w:rFonts w:ascii="Segoe UI" w:hAnsi="Segoe UI" w:cs="Segoe UI" w:hint="cs"/>
          <w:color w:val="7030A0"/>
          <w:rtl/>
          <w:lang w:val="en-US"/>
        </w:rPr>
        <w:t xml:space="preserve">אפשר לקבל עונש של אפילו 15-10 שנים על עבירה מאוד פחותה. בבתי הכלא בארה"ב יש אין סוף אנשים שיושבים מאסרים ארוכים על עבירות מאוד פחותות. </w:t>
      </w:r>
      <w:r w:rsidR="00D61F69" w:rsidRPr="004B5429">
        <w:rPr>
          <w:rFonts w:ascii="Segoe UI" w:hAnsi="Segoe UI" w:cs="Segoe UI" w:hint="cs"/>
          <w:color w:val="7030A0"/>
          <w:rtl/>
          <w:lang w:val="en-US"/>
        </w:rPr>
        <w:t>הדבר גם יוצר תופעה הפוכה, שופטים מנסים לזכות כדי לא לשלוח אדם לכלא ל-15 שנים על עבירה הכי קטנה שיש</w:t>
      </w:r>
      <w:r w:rsidR="00D61F69" w:rsidRPr="004B5429">
        <w:rPr>
          <w:rFonts w:ascii="Segoe UI" w:hAnsi="Segoe UI" w:cs="Segoe UI" w:hint="cs"/>
          <w:rtl/>
          <w:lang w:val="en-US"/>
        </w:rPr>
        <w:t xml:space="preserve">. </w:t>
      </w:r>
    </w:p>
    <w:p w14:paraId="7D356053" w14:textId="10178DE5" w:rsidR="00CE68D2" w:rsidRPr="004B5429" w:rsidRDefault="00CE68D2" w:rsidP="008F05D0">
      <w:pPr>
        <w:pStyle w:val="ab"/>
        <w:numPr>
          <w:ilvl w:val="0"/>
          <w:numId w:val="60"/>
        </w:numPr>
        <w:bidi/>
        <w:spacing w:after="0" w:line="276" w:lineRule="auto"/>
        <w:ind w:left="723"/>
        <w:jc w:val="both"/>
        <w:rPr>
          <w:rFonts w:ascii="Segoe UI" w:hAnsi="Segoe UI" w:cs="Segoe UI"/>
          <w:b/>
          <w:bCs/>
          <w:u w:val="single"/>
          <w:rtl/>
          <w:lang w:val="en-ZW"/>
        </w:rPr>
      </w:pPr>
      <w:r w:rsidRPr="004B5429">
        <w:rPr>
          <w:rFonts w:ascii="Segoe UI" w:hAnsi="Segoe UI" w:cs="Segoe UI" w:hint="cs"/>
          <w:rtl/>
          <w:lang w:val="en-US"/>
        </w:rPr>
        <w:t xml:space="preserve">ארה"ב </w:t>
      </w:r>
      <w:r w:rsidRPr="004B5429">
        <w:rPr>
          <w:rFonts w:ascii="Segoe UI" w:hAnsi="Segoe UI" w:cs="Segoe UI"/>
          <w:rtl/>
          <w:lang w:val="en-US"/>
        </w:rPr>
        <w:t>–</w:t>
      </w:r>
      <w:r w:rsidRPr="004B5429">
        <w:rPr>
          <w:rFonts w:ascii="Segoe UI" w:hAnsi="Segoe UI" w:cs="Segoe UI" w:hint="cs"/>
          <w:rtl/>
          <w:lang w:val="en-US"/>
        </w:rPr>
        <w:t xml:space="preserve"> בין המדינות עם האחוז הגבוה בעולם של האסירים ביחס לאוכלוסי</w:t>
      </w:r>
      <w:r w:rsidR="00C81ECB" w:rsidRPr="004B5429">
        <w:rPr>
          <w:rFonts w:ascii="Segoe UI" w:hAnsi="Segoe UI" w:cs="Segoe UI" w:hint="cs"/>
          <w:rtl/>
          <w:lang w:val="en-US"/>
        </w:rPr>
        <w:t>י</w:t>
      </w:r>
      <w:r w:rsidRPr="004B5429">
        <w:rPr>
          <w:rFonts w:ascii="Segoe UI" w:hAnsi="Segoe UI" w:cs="Segoe UI" w:hint="cs"/>
          <w:rtl/>
          <w:lang w:val="en-US"/>
        </w:rPr>
        <w:t xml:space="preserve">ה. </w:t>
      </w:r>
    </w:p>
    <w:p w14:paraId="72AB40F6" w14:textId="292B14B3" w:rsidR="009E74D6" w:rsidRPr="004B5429" w:rsidRDefault="009E74D6" w:rsidP="008F05D0">
      <w:pPr>
        <w:pStyle w:val="ab"/>
        <w:numPr>
          <w:ilvl w:val="0"/>
          <w:numId w:val="58"/>
        </w:numPr>
        <w:bidi/>
        <w:spacing w:after="0" w:line="276" w:lineRule="auto"/>
        <w:ind w:left="360"/>
        <w:jc w:val="both"/>
        <w:rPr>
          <w:rFonts w:ascii="Segoe UI" w:hAnsi="Segoe UI" w:cs="Segoe UI"/>
          <w:b/>
          <w:bCs/>
          <w:u w:val="single"/>
          <w:lang w:val="en-ZW"/>
        </w:rPr>
      </w:pPr>
      <w:r w:rsidRPr="004B5429">
        <w:rPr>
          <w:rFonts w:ascii="Segoe UI" w:hAnsi="Segoe UI" w:cs="Segoe UI" w:hint="cs"/>
          <w:rtl/>
          <w:lang w:val="en-ZW"/>
        </w:rPr>
        <w:t xml:space="preserve">תיאוריה קלאסית של מניעה </w:t>
      </w:r>
      <w:r w:rsidRPr="004B5429">
        <w:rPr>
          <w:rFonts w:ascii="Segoe UI" w:hAnsi="Segoe UI" w:cs="Segoe UI"/>
          <w:rtl/>
          <w:lang w:val="en-ZW"/>
        </w:rPr>
        <w:t>–</w:t>
      </w:r>
      <w:r w:rsidRPr="004B5429">
        <w:rPr>
          <w:rFonts w:ascii="Segoe UI" w:hAnsi="Segoe UI" w:cs="Segoe UI" w:hint="cs"/>
          <w:rtl/>
          <w:lang w:val="en-ZW"/>
        </w:rPr>
        <w:t xml:space="preserve"> </w:t>
      </w:r>
      <w:r w:rsidRPr="004B5429">
        <w:rPr>
          <w:rFonts w:ascii="Segoe UI" w:hAnsi="Segoe UI" w:cs="Segoe UI" w:hint="cs"/>
          <w:b/>
          <w:bCs/>
          <w:rtl/>
          <w:lang w:val="en-ZW"/>
        </w:rPr>
        <w:t>"תיאורית החלונות השבורים"</w:t>
      </w:r>
    </w:p>
    <w:p w14:paraId="74C5E7CC" w14:textId="2724E214" w:rsidR="009E74D6" w:rsidRPr="004B5429" w:rsidRDefault="009E74D6" w:rsidP="008F05D0">
      <w:pPr>
        <w:pStyle w:val="ab"/>
        <w:numPr>
          <w:ilvl w:val="0"/>
          <w:numId w:val="59"/>
        </w:numPr>
        <w:bidi/>
        <w:spacing w:after="0" w:line="276" w:lineRule="auto"/>
        <w:ind w:left="723"/>
        <w:jc w:val="both"/>
        <w:rPr>
          <w:rFonts w:ascii="Segoe UI" w:hAnsi="Segoe UI" w:cs="Segoe UI"/>
          <w:rtl/>
          <w:lang w:val="en-ZW"/>
        </w:rPr>
      </w:pPr>
      <w:r w:rsidRPr="004B5429">
        <w:rPr>
          <w:rFonts w:ascii="Segoe UI" w:hAnsi="Segoe UI" w:cs="Segoe UI" w:hint="cs"/>
          <w:rtl/>
          <w:lang w:val="en-ZW"/>
        </w:rPr>
        <w:t xml:space="preserve">מטרת הפרקטיקה </w:t>
      </w:r>
      <w:r w:rsidRPr="004B5429">
        <w:rPr>
          <w:rFonts w:ascii="Segoe UI" w:hAnsi="Segoe UI" w:cs="Segoe UI"/>
          <w:rtl/>
          <w:lang w:val="en-ZW"/>
        </w:rPr>
        <w:t>–</w:t>
      </w:r>
      <w:r w:rsidRPr="004B5429">
        <w:rPr>
          <w:rFonts w:ascii="Segoe UI" w:hAnsi="Segoe UI" w:cs="Segoe UI" w:hint="cs"/>
          <w:rtl/>
          <w:lang w:val="en-ZW"/>
        </w:rPr>
        <w:t xml:space="preserve"> להביא להפחתה של הפשיעה ולמנוע התרחשות עבירות.</w:t>
      </w:r>
    </w:p>
    <w:p w14:paraId="4B5327DD" w14:textId="3F34E69A" w:rsidR="00CE78CD" w:rsidRPr="004B5429" w:rsidRDefault="009E74D6" w:rsidP="008F05D0">
      <w:pPr>
        <w:pStyle w:val="ab"/>
        <w:numPr>
          <w:ilvl w:val="0"/>
          <w:numId w:val="59"/>
        </w:numPr>
        <w:bidi/>
        <w:spacing w:after="0" w:line="276" w:lineRule="auto"/>
        <w:ind w:left="723"/>
        <w:jc w:val="both"/>
        <w:rPr>
          <w:rFonts w:ascii="Segoe UI" w:hAnsi="Segoe UI" w:cs="Segoe UI"/>
          <w:lang w:val="en-ZW"/>
        </w:rPr>
      </w:pPr>
      <w:r w:rsidRPr="004B5429">
        <w:rPr>
          <w:rFonts w:ascii="Segoe UI" w:hAnsi="Segoe UI" w:cs="Segoe UI" w:hint="cs"/>
          <w:rtl/>
          <w:lang w:val="en-ZW"/>
        </w:rPr>
        <w:t xml:space="preserve">הסבר של התיאוריה </w:t>
      </w:r>
      <w:r w:rsidRPr="004B5429">
        <w:rPr>
          <w:rFonts w:ascii="Segoe UI" w:hAnsi="Segoe UI" w:cs="Segoe UI"/>
          <w:rtl/>
          <w:lang w:val="en-ZW"/>
        </w:rPr>
        <w:t>–</w:t>
      </w:r>
      <w:r w:rsidRPr="004B5429">
        <w:rPr>
          <w:rFonts w:ascii="Segoe UI" w:hAnsi="Segoe UI" w:cs="Segoe UI" w:hint="cs"/>
          <w:rtl/>
          <w:lang w:val="en-ZW"/>
        </w:rPr>
        <w:t xml:space="preserve"> חלון שבור מוביל במהרה לחלונות שבורים נוספים </w:t>
      </w:r>
      <w:r w:rsidRPr="004B5429">
        <w:rPr>
          <w:rFonts w:ascii="Segoe UI" w:hAnsi="Segoe UI" w:cs="Segoe UI"/>
          <w:rtl/>
          <w:lang w:val="en-ZW"/>
        </w:rPr>
        <w:t>–</w:t>
      </w:r>
      <w:r w:rsidRPr="004B5429">
        <w:rPr>
          <w:rFonts w:ascii="Segoe UI" w:hAnsi="Segoe UI" w:cs="Segoe UI" w:hint="cs"/>
          <w:rtl/>
          <w:lang w:val="en-ZW"/>
        </w:rPr>
        <w:t xml:space="preserve"> כיוון שחלון לא מתוקן משדר מסר לחברה של חוסר אכפתיות מהסדר החברתי וכך מתבצעות עבירות נוספות. ברגע שמתקנים את החלון, המסר הוא של אכפתיות ולא ימשיכו לשבור את חלונות הבית. </w:t>
      </w:r>
      <w:r w:rsidR="00CD20E5" w:rsidRPr="004B5429">
        <w:rPr>
          <w:rFonts w:ascii="Segoe UI" w:hAnsi="Segoe UI" w:cs="Segoe UI" w:hint="cs"/>
          <w:color w:val="7030A0"/>
          <w:rtl/>
          <w:lang w:val="en-ZW"/>
        </w:rPr>
        <w:t xml:space="preserve">אם "מחפפים" בעבירות הקטנות אז העבירות הגדולות יבואו. לדוג' אם "נחפף" בהחזקת סכין אז בסוף אותו אדם ידקור מישהו. </w:t>
      </w:r>
    </w:p>
    <w:p w14:paraId="73478BB7" w14:textId="02C167B1" w:rsidR="00CE78CD" w:rsidRPr="004B5429" w:rsidRDefault="001C719C" w:rsidP="008F05D0">
      <w:pPr>
        <w:pStyle w:val="ab"/>
        <w:numPr>
          <w:ilvl w:val="0"/>
          <w:numId w:val="58"/>
        </w:numPr>
        <w:bidi/>
        <w:spacing w:after="0" w:line="276" w:lineRule="auto"/>
        <w:ind w:left="360"/>
        <w:jc w:val="both"/>
        <w:rPr>
          <w:rFonts w:ascii="Segoe UI" w:hAnsi="Segoe UI" w:cs="Segoe UI"/>
          <w:b/>
          <w:bCs/>
          <w:u w:val="single"/>
          <w:lang w:val="en-ZW"/>
        </w:rPr>
      </w:pPr>
      <w:r w:rsidRPr="004B5429">
        <w:rPr>
          <w:rFonts w:ascii="Segoe UI" w:hAnsi="Segoe UI" w:cs="Segoe UI" w:hint="cs"/>
          <w:rtl/>
          <w:lang w:val="en-ZW"/>
        </w:rPr>
        <w:t xml:space="preserve">ג'וליאני (ראש עיריית ניו יורק) אימץ את התיאוריה כבסיס רעיוני לאכיפה. לדוג': העמידו שוטרים בכל פינה וערכו סיורים רגליים לשם התערבות בחיי הקהילה </w:t>
      </w:r>
      <w:r w:rsidRPr="004B5429">
        <w:rPr>
          <w:rFonts w:ascii="Segoe UI" w:hAnsi="Segoe UI" w:cs="Segoe UI"/>
          <w:rtl/>
          <w:lang w:val="en-ZW"/>
        </w:rPr>
        <w:t>–</w:t>
      </w:r>
      <w:r w:rsidRPr="004B5429">
        <w:rPr>
          <w:rFonts w:ascii="Segoe UI" w:hAnsi="Segoe UI" w:cs="Segoe UI" w:hint="cs"/>
          <w:rtl/>
          <w:lang w:val="en-ZW"/>
        </w:rPr>
        <w:t xml:space="preserve"> כל שוטר צוות לאזור מסוים על מנת להכיר את האנשים שיוכלו לדעת מיד אם משהו אינו כשורה (הוא מעיר כשאדם מבצע דבר שלא כשורה). </w:t>
      </w:r>
    </w:p>
    <w:p w14:paraId="50B399E9" w14:textId="77070749" w:rsidR="00AD3312" w:rsidRPr="004B5429" w:rsidRDefault="00AD3312" w:rsidP="008F05D0">
      <w:pPr>
        <w:pStyle w:val="ab"/>
        <w:bidi/>
        <w:spacing w:after="0" w:line="276" w:lineRule="auto"/>
        <w:ind w:left="360"/>
        <w:jc w:val="both"/>
        <w:rPr>
          <w:rFonts w:ascii="Segoe UI" w:hAnsi="Segoe UI" w:cs="Segoe UI"/>
          <w:color w:val="7030A0"/>
          <w:lang w:val="en-ZW"/>
        </w:rPr>
      </w:pPr>
      <w:r w:rsidRPr="004B5429">
        <w:rPr>
          <w:rFonts w:ascii="Segoe UI" w:hAnsi="Segoe UI" w:cs="Segoe UI" w:hint="cs"/>
          <w:color w:val="7030A0"/>
          <w:rtl/>
          <w:lang w:val="en-ZW"/>
        </w:rPr>
        <w:t>טענו כלפיו שהוא הכניס את כל השחורים לכלא</w:t>
      </w:r>
      <w:r w:rsidR="00474226" w:rsidRPr="004B5429">
        <w:rPr>
          <w:rFonts w:ascii="Segoe UI" w:hAnsi="Segoe UI" w:cs="Segoe UI" w:hint="cs"/>
          <w:color w:val="7030A0"/>
          <w:rtl/>
          <w:lang w:val="en-ZW"/>
        </w:rPr>
        <w:t>, כלומר הוא בסך הכל העביר את העבריינים לכלא אבל לא שינה משהו, הקטע כאן הוא שלא מדובר רק בעבריינים שהם רוצחים אלא גם בקבצנים ומשתמשי סמים וכו'.</w:t>
      </w:r>
      <w:r w:rsidRPr="004B5429">
        <w:rPr>
          <w:rFonts w:ascii="Segoe UI" w:hAnsi="Segoe UI" w:cs="Segoe UI" w:hint="cs"/>
          <w:color w:val="7030A0"/>
          <w:rtl/>
          <w:lang w:val="en-ZW"/>
        </w:rPr>
        <w:t xml:space="preserve"> התשובה שלו הייתה שזה עבד ואלו לא טענות נכונות</w:t>
      </w:r>
      <w:r w:rsidR="007158A1" w:rsidRPr="004B5429">
        <w:rPr>
          <w:rFonts w:ascii="Segoe UI" w:hAnsi="Segoe UI" w:cs="Segoe UI" w:hint="cs"/>
          <w:color w:val="7030A0"/>
          <w:rtl/>
          <w:lang w:val="en-ZW"/>
        </w:rPr>
        <w:t xml:space="preserve"> כי עובדתית פעם לא יכלו להסתובב בעיר ניו יורק בלילות ולאחר המהפך שהוא הוביל העיר הפכה לאחת הבטוחות בעולם.</w:t>
      </w:r>
    </w:p>
    <w:p w14:paraId="246FBF11" w14:textId="123F5DC6" w:rsidR="00E95B4F" w:rsidRPr="004B5429" w:rsidRDefault="007D1FA0" w:rsidP="008F05D0">
      <w:pPr>
        <w:pStyle w:val="ab"/>
        <w:numPr>
          <w:ilvl w:val="0"/>
          <w:numId w:val="58"/>
        </w:numPr>
        <w:bidi/>
        <w:spacing w:after="0" w:line="276" w:lineRule="auto"/>
        <w:ind w:left="360"/>
        <w:jc w:val="both"/>
        <w:rPr>
          <w:rFonts w:ascii="Segoe UI" w:hAnsi="Segoe UI" w:cs="Segoe UI"/>
          <w:b/>
          <w:bCs/>
          <w:u w:val="single"/>
          <w:lang w:val="en-ZW"/>
        </w:rPr>
      </w:pPr>
      <w:r w:rsidRPr="004B5429">
        <w:rPr>
          <w:rFonts w:ascii="Segoe UI" w:hAnsi="Segoe UI" w:cs="Segoe UI" w:hint="cs"/>
          <w:rtl/>
          <w:lang w:val="en-ZW"/>
        </w:rPr>
        <w:t xml:space="preserve">תיאוריית </w:t>
      </w:r>
      <w:r w:rsidRPr="004B5429">
        <w:rPr>
          <w:rFonts w:ascii="Segoe UI" w:hAnsi="Segoe UI" w:cs="Segoe UI" w:hint="cs"/>
          <w:b/>
          <w:bCs/>
          <w:rtl/>
          <w:lang w:val="en-ZW"/>
        </w:rPr>
        <w:t>"הנקודות החמות"</w:t>
      </w:r>
      <w:r w:rsidRPr="004B5429">
        <w:rPr>
          <w:rFonts w:ascii="Segoe UI" w:hAnsi="Segoe UI" w:cs="Segoe UI" w:hint="cs"/>
          <w:rtl/>
          <w:lang w:val="en-ZW"/>
        </w:rPr>
        <w:t xml:space="preserve"> </w:t>
      </w:r>
      <w:r w:rsidR="00474226" w:rsidRPr="004B5429">
        <w:rPr>
          <w:rFonts w:ascii="Segoe UI" w:hAnsi="Segoe UI" w:cs="Segoe UI"/>
          <w:rtl/>
          <w:lang w:val="en-ZW"/>
        </w:rPr>
        <w:t>–</w:t>
      </w:r>
      <w:r w:rsidR="00474226" w:rsidRPr="004B5429">
        <w:rPr>
          <w:rFonts w:ascii="Segoe UI" w:hAnsi="Segoe UI" w:cs="Segoe UI" w:hint="cs"/>
          <w:rtl/>
          <w:lang w:val="en-ZW"/>
        </w:rPr>
        <w:t xml:space="preserve"> </w:t>
      </w:r>
      <w:r w:rsidR="00474226" w:rsidRPr="004B5429">
        <w:rPr>
          <w:rFonts w:ascii="Segoe UI" w:hAnsi="Segoe UI" w:cs="Segoe UI" w:hint="cs"/>
          <w:color w:val="7030A0"/>
          <w:rtl/>
          <w:lang w:val="en-ZW"/>
        </w:rPr>
        <w:t>תיאוריה מקובלת בעולם, פותחה על ידי פרופ'</w:t>
      </w:r>
      <w:r w:rsidR="00283D59" w:rsidRPr="004B5429">
        <w:rPr>
          <w:rFonts w:ascii="Segoe UI" w:hAnsi="Segoe UI" w:cs="Segoe UI" w:hint="cs"/>
          <w:color w:val="7030A0"/>
          <w:rtl/>
          <w:lang w:val="en-ZW"/>
        </w:rPr>
        <w:t xml:space="preserve"> </w:t>
      </w:r>
      <w:proofErr w:type="spellStart"/>
      <w:r w:rsidR="00283D59" w:rsidRPr="004B5429">
        <w:rPr>
          <w:rFonts w:ascii="Segoe UI" w:hAnsi="Segoe UI" w:cs="Segoe UI" w:hint="cs"/>
          <w:color w:val="7030A0"/>
          <w:rtl/>
          <w:lang w:val="en-ZW"/>
        </w:rPr>
        <w:t>וייסבור</w:t>
      </w:r>
      <w:r w:rsidR="009D30C4" w:rsidRPr="004B5429">
        <w:rPr>
          <w:rFonts w:ascii="Segoe UI" w:hAnsi="Segoe UI" w:cs="Segoe UI" w:hint="cs"/>
          <w:color w:val="7030A0"/>
          <w:rtl/>
          <w:lang w:val="en-ZW"/>
        </w:rPr>
        <w:t>ד</w:t>
      </w:r>
      <w:proofErr w:type="spellEnd"/>
      <w:r w:rsidR="00474226" w:rsidRPr="004B5429">
        <w:rPr>
          <w:rFonts w:ascii="Segoe UI" w:hAnsi="Segoe UI" w:cs="Segoe UI" w:hint="cs"/>
          <w:color w:val="7030A0"/>
          <w:rtl/>
          <w:lang w:val="en-ZW"/>
        </w:rPr>
        <w:t xml:space="preserve"> </w:t>
      </w:r>
      <w:proofErr w:type="spellStart"/>
      <w:r w:rsidR="00474226" w:rsidRPr="004B5429">
        <w:rPr>
          <w:rFonts w:ascii="Segoe UI" w:hAnsi="Segoe UI" w:cs="Segoe UI" w:hint="cs"/>
          <w:color w:val="7030A0"/>
          <w:rtl/>
          <w:lang w:val="en-ZW"/>
        </w:rPr>
        <w:t>מהאונ</w:t>
      </w:r>
      <w:proofErr w:type="spellEnd"/>
      <w:r w:rsidR="00474226" w:rsidRPr="004B5429">
        <w:rPr>
          <w:rFonts w:ascii="Segoe UI" w:hAnsi="Segoe UI" w:cs="Segoe UI" w:hint="cs"/>
          <w:color w:val="7030A0"/>
          <w:rtl/>
          <w:lang w:val="en-ZW"/>
        </w:rPr>
        <w:t xml:space="preserve">' העברית, אחד מן הקרימינולוגים הגדולים בעולם. טענת פרופ' </w:t>
      </w:r>
      <w:proofErr w:type="spellStart"/>
      <w:r w:rsidR="00283D59" w:rsidRPr="004B5429">
        <w:rPr>
          <w:rFonts w:ascii="Segoe UI" w:hAnsi="Segoe UI" w:cs="Segoe UI" w:hint="cs"/>
          <w:color w:val="7030A0"/>
          <w:rtl/>
          <w:lang w:val="en-ZW"/>
        </w:rPr>
        <w:t>וייסבור</w:t>
      </w:r>
      <w:r w:rsidR="009D30C4" w:rsidRPr="004B5429">
        <w:rPr>
          <w:rFonts w:ascii="Segoe UI" w:hAnsi="Segoe UI" w:cs="Segoe UI" w:hint="cs"/>
          <w:color w:val="7030A0"/>
          <w:rtl/>
          <w:lang w:val="en-ZW"/>
        </w:rPr>
        <w:t>ד</w:t>
      </w:r>
      <w:proofErr w:type="spellEnd"/>
      <w:r w:rsidR="00283D59" w:rsidRPr="004B5429">
        <w:rPr>
          <w:rFonts w:ascii="Segoe UI" w:hAnsi="Segoe UI" w:cs="Segoe UI" w:hint="cs"/>
          <w:color w:val="7030A0"/>
          <w:rtl/>
          <w:lang w:val="en-ZW"/>
        </w:rPr>
        <w:t xml:space="preserve"> </w:t>
      </w:r>
      <w:r w:rsidR="00474226" w:rsidRPr="004B5429">
        <w:rPr>
          <w:rFonts w:ascii="Segoe UI" w:hAnsi="Segoe UI" w:cs="Segoe UI" w:hint="cs"/>
          <w:color w:val="7030A0"/>
          <w:rtl/>
          <w:lang w:val="en-ZW"/>
        </w:rPr>
        <w:t xml:space="preserve">הייתה שתמיד </w:t>
      </w:r>
      <w:r w:rsidR="005E29BD" w:rsidRPr="004B5429">
        <w:rPr>
          <w:rFonts w:ascii="Segoe UI" w:hAnsi="Segoe UI" w:cs="Segoe UI" w:hint="cs"/>
          <w:color w:val="7030A0"/>
          <w:rtl/>
          <w:lang w:val="en-ZW"/>
        </w:rPr>
        <w:t xml:space="preserve">במשטרה יש שוטרים בנק' </w:t>
      </w:r>
      <w:r w:rsidR="005E29BD" w:rsidRPr="004B5429">
        <w:rPr>
          <w:rFonts w:ascii="Segoe UI" w:hAnsi="Segoe UI" w:cs="Segoe UI" w:hint="cs"/>
          <w:color w:val="7030A0"/>
          <w:lang w:val="en-ZW"/>
        </w:rPr>
        <w:t>X</w:t>
      </w:r>
      <w:r w:rsidR="005E29BD" w:rsidRPr="004B5429">
        <w:rPr>
          <w:rFonts w:ascii="Segoe UI" w:hAnsi="Segoe UI" w:cs="Segoe UI" w:hint="cs"/>
          <w:color w:val="7030A0"/>
          <w:rtl/>
          <w:lang w:val="en-ZW"/>
        </w:rPr>
        <w:t xml:space="preserve"> </w:t>
      </w:r>
      <w:r w:rsidR="005E29BD" w:rsidRPr="004B5429">
        <w:rPr>
          <w:rFonts w:ascii="Segoe UI" w:hAnsi="Segoe UI" w:cs="Segoe UI" w:hint="cs"/>
          <w:color w:val="7030A0"/>
          <w:lang w:val="en-ZW"/>
        </w:rPr>
        <w:t>Y</w:t>
      </w:r>
      <w:r w:rsidR="005E29BD" w:rsidRPr="004B5429">
        <w:rPr>
          <w:rFonts w:ascii="Segoe UI" w:hAnsi="Segoe UI" w:cs="Segoe UI" w:hint="cs"/>
          <w:color w:val="7030A0"/>
          <w:rtl/>
          <w:lang w:val="en-ZW"/>
        </w:rPr>
        <w:t xml:space="preserve"> </w:t>
      </w:r>
      <w:r w:rsidR="005E29BD" w:rsidRPr="004B5429">
        <w:rPr>
          <w:rFonts w:ascii="Segoe UI" w:hAnsi="Segoe UI" w:cs="Segoe UI" w:hint="cs"/>
          <w:color w:val="7030A0"/>
          <w:lang w:val="en-ZW"/>
        </w:rPr>
        <w:t>Z</w:t>
      </w:r>
      <w:r w:rsidR="005E29BD" w:rsidRPr="004B5429">
        <w:rPr>
          <w:rFonts w:ascii="Segoe UI" w:hAnsi="Segoe UI" w:cs="Segoe UI" w:hint="cs"/>
          <w:color w:val="7030A0"/>
          <w:rtl/>
          <w:lang w:val="en-ZW"/>
        </w:rPr>
        <w:t xml:space="preserve"> וכו'. פרופ' </w:t>
      </w:r>
      <w:proofErr w:type="spellStart"/>
      <w:r w:rsidR="00283D59" w:rsidRPr="004B5429">
        <w:rPr>
          <w:rFonts w:ascii="Segoe UI" w:hAnsi="Segoe UI" w:cs="Segoe UI" w:hint="cs"/>
          <w:color w:val="7030A0"/>
          <w:rtl/>
          <w:lang w:val="en-ZW"/>
        </w:rPr>
        <w:t>וייסבור</w:t>
      </w:r>
      <w:r w:rsidR="009D30C4" w:rsidRPr="004B5429">
        <w:rPr>
          <w:rFonts w:ascii="Segoe UI" w:hAnsi="Segoe UI" w:cs="Segoe UI" w:hint="cs"/>
          <w:color w:val="7030A0"/>
          <w:rtl/>
          <w:lang w:val="en-ZW"/>
        </w:rPr>
        <w:t>ד</w:t>
      </w:r>
      <w:proofErr w:type="spellEnd"/>
      <w:r w:rsidR="00283D59" w:rsidRPr="004B5429">
        <w:rPr>
          <w:rFonts w:ascii="Segoe UI" w:hAnsi="Segoe UI" w:cs="Segoe UI" w:hint="cs"/>
          <w:color w:val="7030A0"/>
          <w:rtl/>
          <w:lang w:val="en-ZW"/>
        </w:rPr>
        <w:t xml:space="preserve"> </w:t>
      </w:r>
      <w:r w:rsidR="005E29BD" w:rsidRPr="004B5429">
        <w:rPr>
          <w:rFonts w:ascii="Segoe UI" w:hAnsi="Segoe UI" w:cs="Segoe UI" w:hint="cs"/>
          <w:color w:val="7030A0"/>
          <w:rtl/>
          <w:lang w:val="en-ZW"/>
        </w:rPr>
        <w:t xml:space="preserve">טוען שצריך לחפש את הנקודות שיש בהן פשיעה ושם נשים את מרכז הכובד במקום לשים </w:t>
      </w:r>
      <w:r w:rsidR="005E29BD" w:rsidRPr="004B5429">
        <w:rPr>
          <w:rFonts w:ascii="Segoe UI" w:hAnsi="Segoe UI" w:cs="Segoe UI" w:hint="cs"/>
          <w:color w:val="7030A0"/>
          <w:rtl/>
          <w:lang w:val="en-ZW"/>
        </w:rPr>
        <w:lastRenderedPageBreak/>
        <w:t>בכל מקום, אלא נשים 70% מהכוח בנקודות החמות. ז</w:t>
      </w:r>
      <w:r w:rsidR="00A80F06" w:rsidRPr="004B5429">
        <w:rPr>
          <w:rFonts w:ascii="Segoe UI" w:hAnsi="Segoe UI" w:cs="Segoe UI" w:hint="cs"/>
          <w:color w:val="7030A0"/>
          <w:rtl/>
          <w:lang w:val="en-ZW"/>
        </w:rPr>
        <w:t>ה</w:t>
      </w:r>
      <w:r w:rsidR="005E29BD" w:rsidRPr="004B5429">
        <w:rPr>
          <w:rFonts w:ascii="Segoe UI" w:hAnsi="Segoe UI" w:cs="Segoe UI" w:hint="cs"/>
          <w:color w:val="7030A0"/>
          <w:rtl/>
          <w:lang w:val="en-ZW"/>
        </w:rPr>
        <w:t xml:space="preserve"> לקיחת סיכון אבל שווה לקחת את הסיכון הזה כי אני מאמין שזה יעבוד. </w:t>
      </w:r>
    </w:p>
    <w:p w14:paraId="15DF4C67" w14:textId="7FD688A5" w:rsidR="00283D59" w:rsidRPr="004B5429" w:rsidRDefault="00283D59" w:rsidP="008F05D0">
      <w:pPr>
        <w:pStyle w:val="ab"/>
        <w:bidi/>
        <w:spacing w:after="0" w:line="276" w:lineRule="auto"/>
        <w:ind w:left="360"/>
        <w:jc w:val="both"/>
        <w:rPr>
          <w:rFonts w:ascii="Segoe UI" w:hAnsi="Segoe UI" w:cs="Segoe UI"/>
          <w:color w:val="002060"/>
          <w:rtl/>
          <w:lang w:val="en-US"/>
        </w:rPr>
      </w:pPr>
      <w:r w:rsidRPr="004B5429">
        <w:rPr>
          <w:rFonts w:ascii="Segoe UI" w:hAnsi="Segoe UI" w:cs="Segoe UI" w:hint="cs"/>
          <w:color w:val="7030A0"/>
          <w:rtl/>
          <w:lang w:val="en-ZW"/>
        </w:rPr>
        <w:t xml:space="preserve">יש גם ביקורת על הביקורת על הנקודות החמות </w:t>
      </w:r>
      <w:r w:rsidRPr="004B5429">
        <w:rPr>
          <w:rFonts w:ascii="Segoe UI" w:hAnsi="Segoe UI" w:cs="Segoe UI"/>
          <w:color w:val="7030A0"/>
          <w:rtl/>
          <w:lang w:val="en-ZW"/>
        </w:rPr>
        <w:t>–</w:t>
      </w:r>
      <w:r w:rsidRPr="004B5429">
        <w:rPr>
          <w:rFonts w:ascii="Segoe UI" w:hAnsi="Segoe UI" w:cs="Segoe UI" w:hint="cs"/>
          <w:color w:val="7030A0"/>
          <w:rtl/>
          <w:lang w:val="en-ZW"/>
        </w:rPr>
        <w:t xml:space="preserve"> "אפקט הבלון" </w:t>
      </w:r>
      <w:r w:rsidRPr="004B5429">
        <w:rPr>
          <w:rFonts w:ascii="Segoe UI" w:hAnsi="Segoe UI" w:cs="Segoe UI"/>
          <w:color w:val="7030A0"/>
          <w:rtl/>
          <w:lang w:val="en-ZW"/>
        </w:rPr>
        <w:t>–</w:t>
      </w:r>
      <w:r w:rsidRPr="004B5429">
        <w:rPr>
          <w:rFonts w:ascii="Segoe UI" w:hAnsi="Segoe UI" w:cs="Segoe UI" w:hint="cs"/>
          <w:color w:val="7030A0"/>
          <w:rtl/>
          <w:lang w:val="en-ZW"/>
        </w:rPr>
        <w:t xml:space="preserve"> העבריינים פשוט </w:t>
      </w:r>
      <w:r w:rsidR="00874F27" w:rsidRPr="004B5429">
        <w:rPr>
          <w:rFonts w:ascii="Segoe UI" w:hAnsi="Segoe UI" w:cs="Segoe UI" w:hint="cs"/>
          <w:color w:val="7030A0"/>
          <w:rtl/>
          <w:lang w:val="en-ZW"/>
        </w:rPr>
        <w:t xml:space="preserve">עוברים לנקודות אחרות. </w:t>
      </w:r>
      <w:r w:rsidR="00874F27" w:rsidRPr="004B5429">
        <w:rPr>
          <w:rFonts w:ascii="Segoe UI" w:hAnsi="Segoe UI" w:cs="Segoe UI" w:hint="cs"/>
          <w:color w:val="002060"/>
          <w:rtl/>
          <w:lang w:val="en-ZW"/>
        </w:rPr>
        <w:t xml:space="preserve">מתוך האינטרנט: </w:t>
      </w:r>
      <w:r w:rsidR="00874F27" w:rsidRPr="004B5429">
        <w:rPr>
          <w:rFonts w:ascii="Segoe UI" w:hAnsi="Segoe UI" w:cs="Segoe UI"/>
          <w:color w:val="002060"/>
          <w:rtl/>
          <w:lang w:val="en-ZW"/>
        </w:rPr>
        <w:t>מקובל להניח כי העתקה מרחבית מתקיימת כאשר המשטרה מבקשת לבער פשיעה במקום מסוים וכתגובה למאמצים אלה העבריינים פשוט נודדים למקום אחר ובכך שמים לאל את הישגי המשטרה</w:t>
      </w:r>
      <w:r w:rsidR="00874F27" w:rsidRPr="004B5429">
        <w:rPr>
          <w:rFonts w:ascii="Segoe UI" w:hAnsi="Segoe UI" w:cs="Segoe UI"/>
          <w:color w:val="002060"/>
        </w:rPr>
        <w:t>.</w:t>
      </w:r>
    </w:p>
    <w:p w14:paraId="3084CCC9" w14:textId="0A7E4C28" w:rsidR="00854A85" w:rsidRDefault="00854A85" w:rsidP="00BF033C">
      <w:pPr>
        <w:bidi/>
        <w:spacing w:after="0" w:line="276" w:lineRule="auto"/>
        <w:jc w:val="both"/>
        <w:rPr>
          <w:rFonts w:ascii="Segoe UI" w:hAnsi="Segoe UI" w:cs="Segoe UI"/>
          <w:b/>
          <w:bCs/>
          <w:color w:val="7030A0"/>
          <w:u w:val="single"/>
          <w:rtl/>
          <w:lang w:val="en-ZW"/>
        </w:rPr>
      </w:pPr>
    </w:p>
    <w:p w14:paraId="2A3C56ED" w14:textId="67DF8502" w:rsidR="002950EB" w:rsidRDefault="002950EB" w:rsidP="002950EB">
      <w:pPr>
        <w:bidi/>
        <w:spacing w:after="0" w:line="276" w:lineRule="auto"/>
        <w:jc w:val="both"/>
        <w:rPr>
          <w:rFonts w:ascii="Segoe UI" w:hAnsi="Segoe UI" w:cs="Segoe UI"/>
          <w:b/>
          <w:bCs/>
          <w:color w:val="7030A0"/>
          <w:u w:val="single"/>
          <w:rtl/>
          <w:lang w:val="en-ZW"/>
        </w:rPr>
      </w:pPr>
    </w:p>
    <w:p w14:paraId="04FE7F70" w14:textId="6F5EBEB8" w:rsidR="002950EB" w:rsidRDefault="002950EB" w:rsidP="002950EB">
      <w:pPr>
        <w:bidi/>
        <w:spacing w:after="0" w:line="276" w:lineRule="auto"/>
        <w:jc w:val="both"/>
        <w:rPr>
          <w:rFonts w:ascii="Segoe UI" w:hAnsi="Segoe UI" w:cs="Segoe UI"/>
          <w:b/>
          <w:bCs/>
          <w:color w:val="7030A0"/>
          <w:u w:val="single"/>
          <w:rtl/>
          <w:lang w:val="en-ZW"/>
        </w:rPr>
      </w:pPr>
    </w:p>
    <w:p w14:paraId="20C798D3" w14:textId="14A3A83B" w:rsidR="002950EB" w:rsidRDefault="002950EB" w:rsidP="002950EB">
      <w:pPr>
        <w:bidi/>
        <w:spacing w:after="0" w:line="276" w:lineRule="auto"/>
        <w:jc w:val="both"/>
        <w:rPr>
          <w:rFonts w:ascii="Segoe UI" w:hAnsi="Segoe UI" w:cs="Segoe UI"/>
          <w:b/>
          <w:bCs/>
          <w:color w:val="7030A0"/>
          <w:u w:val="single"/>
          <w:rtl/>
          <w:lang w:val="en-ZW"/>
        </w:rPr>
      </w:pPr>
    </w:p>
    <w:p w14:paraId="65798F63" w14:textId="335B689F" w:rsidR="002950EB" w:rsidRDefault="002950EB" w:rsidP="002950EB">
      <w:pPr>
        <w:bidi/>
        <w:spacing w:after="0" w:line="276" w:lineRule="auto"/>
        <w:jc w:val="both"/>
        <w:rPr>
          <w:rFonts w:ascii="Segoe UI" w:hAnsi="Segoe UI" w:cs="Segoe UI"/>
          <w:b/>
          <w:bCs/>
          <w:color w:val="7030A0"/>
          <w:u w:val="single"/>
          <w:rtl/>
          <w:lang w:val="en-ZW"/>
        </w:rPr>
      </w:pPr>
    </w:p>
    <w:p w14:paraId="54C97394" w14:textId="2EDE6222" w:rsidR="002950EB" w:rsidRDefault="002950EB" w:rsidP="002950EB">
      <w:pPr>
        <w:bidi/>
        <w:spacing w:after="0" w:line="276" w:lineRule="auto"/>
        <w:jc w:val="both"/>
        <w:rPr>
          <w:rFonts w:ascii="Segoe UI" w:hAnsi="Segoe UI" w:cs="Segoe UI"/>
          <w:b/>
          <w:bCs/>
          <w:color w:val="7030A0"/>
          <w:u w:val="single"/>
          <w:rtl/>
          <w:lang w:val="en-ZW"/>
        </w:rPr>
      </w:pPr>
    </w:p>
    <w:p w14:paraId="24679077" w14:textId="061A1C1E" w:rsidR="002950EB" w:rsidRDefault="002950EB" w:rsidP="002950EB">
      <w:pPr>
        <w:bidi/>
        <w:spacing w:after="0" w:line="276" w:lineRule="auto"/>
        <w:jc w:val="both"/>
        <w:rPr>
          <w:rFonts w:ascii="Segoe UI" w:hAnsi="Segoe UI" w:cs="Segoe UI"/>
          <w:b/>
          <w:bCs/>
          <w:color w:val="7030A0"/>
          <w:u w:val="single"/>
          <w:rtl/>
          <w:lang w:val="en-ZW"/>
        </w:rPr>
      </w:pPr>
    </w:p>
    <w:p w14:paraId="32B56DCF" w14:textId="75FB9D51" w:rsidR="002950EB" w:rsidRDefault="002950EB" w:rsidP="002950EB">
      <w:pPr>
        <w:bidi/>
        <w:spacing w:after="0" w:line="276" w:lineRule="auto"/>
        <w:jc w:val="both"/>
        <w:rPr>
          <w:rFonts w:ascii="Segoe UI" w:hAnsi="Segoe UI" w:cs="Segoe UI"/>
          <w:b/>
          <w:bCs/>
          <w:color w:val="7030A0"/>
          <w:u w:val="single"/>
          <w:rtl/>
          <w:lang w:val="en-ZW"/>
        </w:rPr>
      </w:pPr>
    </w:p>
    <w:p w14:paraId="50CF28F5" w14:textId="54BB5C97" w:rsidR="002950EB" w:rsidRDefault="002950EB" w:rsidP="002950EB">
      <w:pPr>
        <w:bidi/>
        <w:spacing w:after="0" w:line="276" w:lineRule="auto"/>
        <w:jc w:val="both"/>
        <w:rPr>
          <w:rFonts w:ascii="Segoe UI" w:hAnsi="Segoe UI" w:cs="Segoe UI"/>
          <w:b/>
          <w:bCs/>
          <w:color w:val="7030A0"/>
          <w:u w:val="single"/>
          <w:rtl/>
          <w:lang w:val="en-ZW"/>
        </w:rPr>
      </w:pPr>
    </w:p>
    <w:p w14:paraId="32DBEC77" w14:textId="1B5DECB1" w:rsidR="002950EB" w:rsidRDefault="002950EB" w:rsidP="002950EB">
      <w:pPr>
        <w:bidi/>
        <w:spacing w:after="0" w:line="276" w:lineRule="auto"/>
        <w:jc w:val="both"/>
        <w:rPr>
          <w:rFonts w:ascii="Segoe UI" w:hAnsi="Segoe UI" w:cs="Segoe UI"/>
          <w:b/>
          <w:bCs/>
          <w:color w:val="7030A0"/>
          <w:u w:val="single"/>
          <w:rtl/>
          <w:lang w:val="en-ZW"/>
        </w:rPr>
      </w:pPr>
    </w:p>
    <w:p w14:paraId="77D4FD26" w14:textId="1B30A55E" w:rsidR="002950EB" w:rsidRDefault="002950EB" w:rsidP="002950EB">
      <w:pPr>
        <w:bidi/>
        <w:spacing w:after="0" w:line="276" w:lineRule="auto"/>
        <w:jc w:val="both"/>
        <w:rPr>
          <w:rFonts w:ascii="Segoe UI" w:hAnsi="Segoe UI" w:cs="Segoe UI"/>
          <w:b/>
          <w:bCs/>
          <w:color w:val="7030A0"/>
          <w:u w:val="single"/>
          <w:rtl/>
          <w:lang w:val="en-ZW"/>
        </w:rPr>
      </w:pPr>
    </w:p>
    <w:p w14:paraId="3444C424" w14:textId="4D256D5F" w:rsidR="00214664" w:rsidRDefault="00214664" w:rsidP="00214664">
      <w:pPr>
        <w:bidi/>
        <w:spacing w:after="0" w:line="276" w:lineRule="auto"/>
        <w:jc w:val="both"/>
        <w:rPr>
          <w:rFonts w:ascii="Segoe UI" w:hAnsi="Segoe UI" w:cs="Segoe UI"/>
          <w:b/>
          <w:bCs/>
          <w:color w:val="7030A0"/>
          <w:u w:val="single"/>
          <w:rtl/>
          <w:lang w:val="en-ZW"/>
        </w:rPr>
      </w:pPr>
    </w:p>
    <w:p w14:paraId="2FE1BC9D" w14:textId="1D856C41" w:rsidR="00214664" w:rsidRDefault="00214664" w:rsidP="00214664">
      <w:pPr>
        <w:bidi/>
        <w:spacing w:after="0" w:line="276" w:lineRule="auto"/>
        <w:jc w:val="both"/>
        <w:rPr>
          <w:rFonts w:ascii="Segoe UI" w:hAnsi="Segoe UI" w:cs="Segoe UI"/>
          <w:b/>
          <w:bCs/>
          <w:color w:val="7030A0"/>
          <w:u w:val="single"/>
          <w:rtl/>
          <w:lang w:val="en-ZW"/>
        </w:rPr>
      </w:pPr>
    </w:p>
    <w:p w14:paraId="2296AC7E" w14:textId="138484E6" w:rsidR="00214664" w:rsidRDefault="00214664" w:rsidP="00214664">
      <w:pPr>
        <w:bidi/>
        <w:spacing w:after="0" w:line="276" w:lineRule="auto"/>
        <w:jc w:val="both"/>
        <w:rPr>
          <w:rFonts w:ascii="Segoe UI" w:hAnsi="Segoe UI" w:cs="Segoe UI"/>
          <w:b/>
          <w:bCs/>
          <w:color w:val="7030A0"/>
          <w:u w:val="single"/>
          <w:rtl/>
          <w:lang w:val="en-ZW"/>
        </w:rPr>
      </w:pPr>
    </w:p>
    <w:p w14:paraId="5DEB30DD" w14:textId="22BE68CD" w:rsidR="004B5429" w:rsidRDefault="004B5429" w:rsidP="004B5429">
      <w:pPr>
        <w:bidi/>
        <w:spacing w:after="0" w:line="276" w:lineRule="auto"/>
        <w:jc w:val="both"/>
        <w:rPr>
          <w:rFonts w:ascii="Segoe UI" w:hAnsi="Segoe UI" w:cs="Segoe UI"/>
          <w:b/>
          <w:bCs/>
          <w:color w:val="7030A0"/>
          <w:u w:val="single"/>
          <w:rtl/>
          <w:lang w:val="en-ZW"/>
        </w:rPr>
      </w:pPr>
    </w:p>
    <w:p w14:paraId="7DC74421" w14:textId="695982E2" w:rsidR="004B5429" w:rsidRDefault="004B5429" w:rsidP="004B5429">
      <w:pPr>
        <w:bidi/>
        <w:spacing w:after="0" w:line="276" w:lineRule="auto"/>
        <w:jc w:val="both"/>
        <w:rPr>
          <w:rFonts w:ascii="Segoe UI" w:hAnsi="Segoe UI" w:cs="Segoe UI"/>
          <w:b/>
          <w:bCs/>
          <w:color w:val="7030A0"/>
          <w:u w:val="single"/>
          <w:rtl/>
          <w:lang w:val="en-ZW"/>
        </w:rPr>
      </w:pPr>
    </w:p>
    <w:p w14:paraId="29FF0892" w14:textId="6ED5DA8A" w:rsidR="004B5429" w:rsidRDefault="004B5429" w:rsidP="004B5429">
      <w:pPr>
        <w:bidi/>
        <w:spacing w:after="0" w:line="276" w:lineRule="auto"/>
        <w:jc w:val="both"/>
        <w:rPr>
          <w:rFonts w:ascii="Segoe UI" w:hAnsi="Segoe UI" w:cs="Segoe UI"/>
          <w:b/>
          <w:bCs/>
          <w:color w:val="7030A0"/>
          <w:u w:val="single"/>
          <w:rtl/>
          <w:lang w:val="en-ZW"/>
        </w:rPr>
      </w:pPr>
    </w:p>
    <w:p w14:paraId="1D2DDCE4" w14:textId="04C7CDD9" w:rsidR="004B5429" w:rsidRDefault="004B5429" w:rsidP="004B5429">
      <w:pPr>
        <w:bidi/>
        <w:spacing w:after="0" w:line="276" w:lineRule="auto"/>
        <w:jc w:val="both"/>
        <w:rPr>
          <w:rFonts w:ascii="Segoe UI" w:hAnsi="Segoe UI" w:cs="Segoe UI"/>
          <w:b/>
          <w:bCs/>
          <w:color w:val="7030A0"/>
          <w:u w:val="single"/>
          <w:rtl/>
          <w:lang w:val="en-ZW"/>
        </w:rPr>
      </w:pPr>
    </w:p>
    <w:p w14:paraId="0030AC24" w14:textId="5631DA8A" w:rsidR="004B5429" w:rsidRDefault="004B5429" w:rsidP="004B5429">
      <w:pPr>
        <w:bidi/>
        <w:spacing w:after="0" w:line="276" w:lineRule="auto"/>
        <w:jc w:val="both"/>
        <w:rPr>
          <w:rFonts w:ascii="Segoe UI" w:hAnsi="Segoe UI" w:cs="Segoe UI"/>
          <w:b/>
          <w:bCs/>
          <w:color w:val="7030A0"/>
          <w:u w:val="single"/>
          <w:rtl/>
          <w:lang w:val="en-ZW"/>
        </w:rPr>
      </w:pPr>
    </w:p>
    <w:p w14:paraId="5199B3E7" w14:textId="708E0509" w:rsidR="004B5429" w:rsidRDefault="004B5429" w:rsidP="004B5429">
      <w:pPr>
        <w:bidi/>
        <w:spacing w:after="0" w:line="276" w:lineRule="auto"/>
        <w:jc w:val="both"/>
        <w:rPr>
          <w:rFonts w:ascii="Segoe UI" w:hAnsi="Segoe UI" w:cs="Segoe UI"/>
          <w:b/>
          <w:bCs/>
          <w:color w:val="7030A0"/>
          <w:u w:val="single"/>
          <w:rtl/>
          <w:lang w:val="en-ZW"/>
        </w:rPr>
      </w:pPr>
    </w:p>
    <w:p w14:paraId="13642D19" w14:textId="760762D7" w:rsidR="004B5429" w:rsidRDefault="004B5429" w:rsidP="004B5429">
      <w:pPr>
        <w:bidi/>
        <w:spacing w:after="0" w:line="276" w:lineRule="auto"/>
        <w:jc w:val="both"/>
        <w:rPr>
          <w:rFonts w:ascii="Segoe UI" w:hAnsi="Segoe UI" w:cs="Segoe UI"/>
          <w:b/>
          <w:bCs/>
          <w:color w:val="7030A0"/>
          <w:u w:val="single"/>
          <w:rtl/>
          <w:lang w:val="en-ZW"/>
        </w:rPr>
      </w:pPr>
    </w:p>
    <w:p w14:paraId="1467BCCE" w14:textId="311124F3" w:rsidR="004B5429" w:rsidRDefault="004B5429" w:rsidP="004B5429">
      <w:pPr>
        <w:bidi/>
        <w:spacing w:after="0" w:line="276" w:lineRule="auto"/>
        <w:jc w:val="both"/>
        <w:rPr>
          <w:rFonts w:ascii="Segoe UI" w:hAnsi="Segoe UI" w:cs="Segoe UI"/>
          <w:b/>
          <w:bCs/>
          <w:color w:val="7030A0"/>
          <w:u w:val="single"/>
          <w:rtl/>
          <w:lang w:val="en-ZW"/>
        </w:rPr>
      </w:pPr>
    </w:p>
    <w:p w14:paraId="79C3574A" w14:textId="384AD1D4" w:rsidR="004B5429" w:rsidRDefault="004B5429" w:rsidP="004B5429">
      <w:pPr>
        <w:bidi/>
        <w:spacing w:after="0" w:line="276" w:lineRule="auto"/>
        <w:jc w:val="both"/>
        <w:rPr>
          <w:rFonts w:ascii="Segoe UI" w:hAnsi="Segoe UI" w:cs="Segoe UI"/>
          <w:b/>
          <w:bCs/>
          <w:color w:val="7030A0"/>
          <w:u w:val="single"/>
          <w:rtl/>
          <w:lang w:val="en-ZW"/>
        </w:rPr>
      </w:pPr>
    </w:p>
    <w:p w14:paraId="29607A06" w14:textId="0AE17EB3" w:rsidR="004B5429" w:rsidRDefault="004B5429" w:rsidP="004B5429">
      <w:pPr>
        <w:bidi/>
        <w:spacing w:after="0" w:line="276" w:lineRule="auto"/>
        <w:jc w:val="both"/>
        <w:rPr>
          <w:rFonts w:ascii="Segoe UI" w:hAnsi="Segoe UI" w:cs="Segoe UI"/>
          <w:b/>
          <w:bCs/>
          <w:color w:val="7030A0"/>
          <w:u w:val="single"/>
          <w:rtl/>
          <w:lang w:val="en-ZW"/>
        </w:rPr>
      </w:pPr>
    </w:p>
    <w:p w14:paraId="07C63F8B" w14:textId="48924F0A" w:rsidR="004B5429" w:rsidRDefault="004B5429" w:rsidP="004B5429">
      <w:pPr>
        <w:bidi/>
        <w:spacing w:after="0" w:line="276" w:lineRule="auto"/>
        <w:jc w:val="both"/>
        <w:rPr>
          <w:rFonts w:ascii="Segoe UI" w:hAnsi="Segoe UI" w:cs="Segoe UI"/>
          <w:b/>
          <w:bCs/>
          <w:color w:val="7030A0"/>
          <w:u w:val="single"/>
          <w:rtl/>
          <w:lang w:val="en-ZW"/>
        </w:rPr>
      </w:pPr>
    </w:p>
    <w:p w14:paraId="2FEF202E" w14:textId="5EB8674A" w:rsidR="004B5429" w:rsidRDefault="004B5429" w:rsidP="004B5429">
      <w:pPr>
        <w:bidi/>
        <w:spacing w:after="0" w:line="276" w:lineRule="auto"/>
        <w:jc w:val="both"/>
        <w:rPr>
          <w:rFonts w:ascii="Segoe UI" w:hAnsi="Segoe UI" w:cs="Segoe UI"/>
          <w:b/>
          <w:bCs/>
          <w:color w:val="7030A0"/>
          <w:u w:val="single"/>
          <w:rtl/>
          <w:lang w:val="en-ZW"/>
        </w:rPr>
      </w:pPr>
    </w:p>
    <w:p w14:paraId="635F6E87" w14:textId="4800311C" w:rsidR="004B5429" w:rsidRDefault="004B5429" w:rsidP="004B5429">
      <w:pPr>
        <w:bidi/>
        <w:spacing w:after="0" w:line="276" w:lineRule="auto"/>
        <w:jc w:val="both"/>
        <w:rPr>
          <w:rFonts w:ascii="Segoe UI" w:hAnsi="Segoe UI" w:cs="Segoe UI"/>
          <w:b/>
          <w:bCs/>
          <w:color w:val="7030A0"/>
          <w:u w:val="single"/>
          <w:rtl/>
          <w:lang w:val="en-ZW"/>
        </w:rPr>
      </w:pPr>
    </w:p>
    <w:p w14:paraId="4A68C96D" w14:textId="073BA67D" w:rsidR="004B5429" w:rsidRDefault="004B5429" w:rsidP="004B5429">
      <w:pPr>
        <w:bidi/>
        <w:spacing w:after="0" w:line="276" w:lineRule="auto"/>
        <w:jc w:val="both"/>
        <w:rPr>
          <w:rFonts w:ascii="Segoe UI" w:hAnsi="Segoe UI" w:cs="Segoe UI"/>
          <w:b/>
          <w:bCs/>
          <w:color w:val="7030A0"/>
          <w:u w:val="single"/>
          <w:rtl/>
          <w:lang w:val="en-ZW"/>
        </w:rPr>
      </w:pPr>
    </w:p>
    <w:p w14:paraId="166EB266" w14:textId="4F4567A5" w:rsidR="004B5429" w:rsidRDefault="004B5429" w:rsidP="004B5429">
      <w:pPr>
        <w:bidi/>
        <w:spacing w:after="0" w:line="276" w:lineRule="auto"/>
        <w:jc w:val="both"/>
        <w:rPr>
          <w:rFonts w:ascii="Segoe UI" w:hAnsi="Segoe UI" w:cs="Segoe UI"/>
          <w:b/>
          <w:bCs/>
          <w:color w:val="7030A0"/>
          <w:u w:val="single"/>
          <w:rtl/>
          <w:lang w:val="en-ZW"/>
        </w:rPr>
      </w:pPr>
    </w:p>
    <w:p w14:paraId="34A6115D" w14:textId="1D3D27CB" w:rsidR="004B5429" w:rsidRDefault="004B5429" w:rsidP="004B5429">
      <w:pPr>
        <w:bidi/>
        <w:spacing w:after="0" w:line="276" w:lineRule="auto"/>
        <w:jc w:val="both"/>
        <w:rPr>
          <w:rFonts w:ascii="Segoe UI" w:hAnsi="Segoe UI" w:cs="Segoe UI"/>
          <w:b/>
          <w:bCs/>
          <w:color w:val="7030A0"/>
          <w:u w:val="single"/>
          <w:rtl/>
          <w:lang w:val="en-ZW"/>
        </w:rPr>
      </w:pPr>
    </w:p>
    <w:p w14:paraId="4E2C6B7D" w14:textId="085D50BF" w:rsidR="004B5429" w:rsidRDefault="004B5429" w:rsidP="004B5429">
      <w:pPr>
        <w:bidi/>
        <w:spacing w:after="0" w:line="276" w:lineRule="auto"/>
        <w:jc w:val="both"/>
        <w:rPr>
          <w:rFonts w:ascii="Segoe UI" w:hAnsi="Segoe UI" w:cs="Segoe UI"/>
          <w:b/>
          <w:bCs/>
          <w:color w:val="7030A0"/>
          <w:u w:val="single"/>
          <w:rtl/>
          <w:lang w:val="en-ZW"/>
        </w:rPr>
      </w:pPr>
    </w:p>
    <w:p w14:paraId="7EEF5E10" w14:textId="5B2F84AE" w:rsidR="004B5429" w:rsidRDefault="004B5429" w:rsidP="004B5429">
      <w:pPr>
        <w:bidi/>
        <w:spacing w:after="0" w:line="276" w:lineRule="auto"/>
        <w:jc w:val="both"/>
        <w:rPr>
          <w:rFonts w:ascii="Segoe UI" w:hAnsi="Segoe UI" w:cs="Segoe UI"/>
          <w:b/>
          <w:bCs/>
          <w:color w:val="7030A0"/>
          <w:u w:val="single"/>
          <w:rtl/>
          <w:lang w:val="en-ZW"/>
        </w:rPr>
      </w:pPr>
    </w:p>
    <w:p w14:paraId="4901EC4A" w14:textId="4376C745" w:rsidR="004B5429" w:rsidRDefault="004B5429" w:rsidP="004B5429">
      <w:pPr>
        <w:bidi/>
        <w:spacing w:after="0" w:line="276" w:lineRule="auto"/>
        <w:jc w:val="both"/>
        <w:rPr>
          <w:rFonts w:ascii="Segoe UI" w:hAnsi="Segoe UI" w:cs="Segoe UI"/>
          <w:b/>
          <w:bCs/>
          <w:color w:val="7030A0"/>
          <w:u w:val="single"/>
          <w:rtl/>
          <w:lang w:val="en-ZW"/>
        </w:rPr>
      </w:pPr>
    </w:p>
    <w:p w14:paraId="3EC776A9" w14:textId="0239F8F1" w:rsidR="004B5429" w:rsidRDefault="004B5429" w:rsidP="004B5429">
      <w:pPr>
        <w:bidi/>
        <w:spacing w:after="0" w:line="276" w:lineRule="auto"/>
        <w:jc w:val="both"/>
        <w:rPr>
          <w:rFonts w:ascii="Segoe UI" w:hAnsi="Segoe UI" w:cs="Segoe UI"/>
          <w:b/>
          <w:bCs/>
          <w:color w:val="7030A0"/>
          <w:u w:val="single"/>
          <w:rtl/>
          <w:lang w:val="en-ZW"/>
        </w:rPr>
      </w:pPr>
    </w:p>
    <w:p w14:paraId="050FEB47" w14:textId="28B2C31B" w:rsidR="004B5429" w:rsidRDefault="004B5429" w:rsidP="004B5429">
      <w:pPr>
        <w:bidi/>
        <w:spacing w:after="0" w:line="276" w:lineRule="auto"/>
        <w:jc w:val="both"/>
        <w:rPr>
          <w:rFonts w:ascii="Segoe UI" w:hAnsi="Segoe UI" w:cs="Segoe UI"/>
          <w:b/>
          <w:bCs/>
          <w:color w:val="7030A0"/>
          <w:u w:val="single"/>
          <w:rtl/>
          <w:lang w:val="en-ZW"/>
        </w:rPr>
      </w:pPr>
    </w:p>
    <w:p w14:paraId="6CF3B6CD" w14:textId="25E32B07" w:rsidR="004B5429" w:rsidRDefault="004B5429" w:rsidP="004B5429">
      <w:pPr>
        <w:bidi/>
        <w:spacing w:after="0" w:line="276" w:lineRule="auto"/>
        <w:jc w:val="both"/>
        <w:rPr>
          <w:rFonts w:ascii="Segoe UI" w:hAnsi="Segoe UI" w:cs="Segoe UI"/>
          <w:b/>
          <w:bCs/>
          <w:color w:val="7030A0"/>
          <w:u w:val="single"/>
          <w:rtl/>
          <w:lang w:val="en-ZW"/>
        </w:rPr>
      </w:pPr>
    </w:p>
    <w:p w14:paraId="16F67D71" w14:textId="0B5F3106" w:rsidR="004B5429" w:rsidRDefault="004B5429" w:rsidP="004B5429">
      <w:pPr>
        <w:bidi/>
        <w:spacing w:after="0" w:line="276" w:lineRule="auto"/>
        <w:jc w:val="both"/>
        <w:rPr>
          <w:rFonts w:ascii="Segoe UI" w:hAnsi="Segoe UI" w:cs="Segoe UI"/>
          <w:b/>
          <w:bCs/>
          <w:color w:val="7030A0"/>
          <w:u w:val="single"/>
          <w:rtl/>
          <w:lang w:val="en-ZW"/>
        </w:rPr>
      </w:pPr>
    </w:p>
    <w:p w14:paraId="5DE87497" w14:textId="77777777" w:rsidR="004B5429" w:rsidRDefault="004B5429" w:rsidP="004B5429">
      <w:pPr>
        <w:bidi/>
        <w:spacing w:after="0" w:line="276" w:lineRule="auto"/>
        <w:jc w:val="both"/>
        <w:rPr>
          <w:rFonts w:ascii="Segoe UI" w:hAnsi="Segoe UI" w:cs="Segoe UI"/>
          <w:b/>
          <w:bCs/>
          <w:color w:val="7030A0"/>
          <w:u w:val="single"/>
          <w:rtl/>
          <w:lang w:val="en-ZW"/>
        </w:rPr>
      </w:pPr>
    </w:p>
    <w:p w14:paraId="2D585431" w14:textId="2FD347F3" w:rsidR="00854A85" w:rsidRPr="00E95B4F" w:rsidRDefault="00854A85" w:rsidP="00766FED">
      <w:pPr>
        <w:pStyle w:val="1"/>
        <w:rPr>
          <w:rtl/>
        </w:rPr>
      </w:pPr>
      <w:bookmarkStart w:id="22" w:name="_Toc108218191"/>
      <w:r>
        <w:rPr>
          <w:rFonts w:hint="cs"/>
          <w:rtl/>
        </w:rPr>
        <w:lastRenderedPageBreak/>
        <w:t>דרכי ענישה</w:t>
      </w:r>
      <w:bookmarkEnd w:id="22"/>
    </w:p>
    <w:p w14:paraId="1D8CFF97" w14:textId="2BDE4A3E" w:rsidR="008F5AC0" w:rsidRPr="004B5429" w:rsidRDefault="00EB2992" w:rsidP="008F05D0">
      <w:pPr>
        <w:bidi/>
        <w:spacing w:after="0" w:line="276" w:lineRule="auto"/>
        <w:jc w:val="both"/>
        <w:rPr>
          <w:rFonts w:ascii="Segoe UI" w:hAnsi="Segoe UI" w:cs="Segoe UI"/>
          <w:color w:val="7030A0"/>
          <w:rtl/>
          <w:lang w:val="en-ZW"/>
        </w:rPr>
      </w:pPr>
      <w:r w:rsidRPr="004B5429">
        <w:rPr>
          <w:rFonts w:ascii="Segoe UI" w:hAnsi="Segoe UI" w:cs="Segoe UI" w:hint="cs"/>
          <w:color w:val="7030A0"/>
          <w:rtl/>
          <w:lang w:val="en-ZW"/>
        </w:rPr>
        <w:t xml:space="preserve">קיימות דרכים רבות לענישה וביניהן </w:t>
      </w:r>
      <w:r w:rsidRPr="004B5429">
        <w:rPr>
          <w:rFonts w:ascii="Segoe UI" w:hAnsi="Segoe UI" w:cs="Segoe UI"/>
          <w:rtl/>
          <w:lang w:val="en-ZW"/>
        </w:rPr>
        <w:t>–</w:t>
      </w:r>
      <w:r w:rsidRPr="004B5429">
        <w:rPr>
          <w:rFonts w:ascii="Segoe UI" w:hAnsi="Segoe UI" w:cs="Segoe UI" w:hint="cs"/>
          <w:rtl/>
          <w:lang w:val="en-ZW"/>
        </w:rPr>
        <w:t xml:space="preserve"> מאסר, מע"ת, קנס, </w:t>
      </w:r>
      <w:proofErr w:type="spellStart"/>
      <w:r w:rsidRPr="004B5429">
        <w:rPr>
          <w:rFonts w:ascii="Segoe UI" w:hAnsi="Segoe UI" w:cs="Segoe UI" w:hint="cs"/>
          <w:rtl/>
          <w:lang w:val="en-ZW"/>
        </w:rPr>
        <w:t>עב"ש</w:t>
      </w:r>
      <w:proofErr w:type="spellEnd"/>
      <w:r w:rsidRPr="004B5429">
        <w:rPr>
          <w:rFonts w:ascii="Segoe UI" w:hAnsi="Segoe UI" w:cs="Segoe UI" w:hint="cs"/>
          <w:rtl/>
          <w:lang w:val="en-ZW"/>
        </w:rPr>
        <w:t xml:space="preserve">, העמדה במבחן, </w:t>
      </w:r>
      <w:proofErr w:type="spellStart"/>
      <w:r w:rsidRPr="004B5429">
        <w:rPr>
          <w:rFonts w:ascii="Segoe UI" w:hAnsi="Segoe UI" w:cs="Segoe UI" w:hint="cs"/>
          <w:rtl/>
          <w:lang w:val="en-ZW"/>
        </w:rPr>
        <w:t>של"צ</w:t>
      </w:r>
      <w:proofErr w:type="spellEnd"/>
      <w:r w:rsidRPr="004B5429">
        <w:rPr>
          <w:rFonts w:ascii="Segoe UI" w:hAnsi="Segoe UI" w:cs="Segoe UI" w:hint="cs"/>
          <w:rtl/>
          <w:lang w:val="en-ZW"/>
        </w:rPr>
        <w:t>, פיצויים</w:t>
      </w:r>
      <w:r w:rsidR="00BF6C7F" w:rsidRPr="004B5429">
        <w:rPr>
          <w:rFonts w:ascii="Segoe UI" w:hAnsi="Segoe UI" w:cs="Segoe UI" w:hint="cs"/>
          <w:rtl/>
          <w:lang w:val="en-ZW"/>
        </w:rPr>
        <w:t xml:space="preserve">, </w:t>
      </w:r>
      <w:r w:rsidR="00BF6C7F" w:rsidRPr="004B5429">
        <w:rPr>
          <w:rFonts w:ascii="Segoe UI" w:hAnsi="Segoe UI" w:cs="Segoe UI" w:hint="cs"/>
          <w:color w:val="7030A0"/>
          <w:rtl/>
          <w:lang w:val="en-ZW"/>
        </w:rPr>
        <w:t xml:space="preserve">התחייבות </w:t>
      </w:r>
      <w:r w:rsidR="00BF6C7F" w:rsidRPr="004B5429">
        <w:rPr>
          <w:rFonts w:ascii="Segoe UI" w:hAnsi="Segoe UI" w:cs="Segoe UI" w:hint="cs"/>
          <w:rtl/>
          <w:lang w:val="en-ZW"/>
        </w:rPr>
        <w:t xml:space="preserve">וכו'. </w:t>
      </w:r>
    </w:p>
    <w:p w14:paraId="3EA66468" w14:textId="77777777" w:rsidR="00EB2992" w:rsidRPr="0003207D" w:rsidRDefault="00EB2992" w:rsidP="008F05D0">
      <w:pPr>
        <w:bidi/>
        <w:spacing w:after="0" w:line="276" w:lineRule="auto"/>
        <w:jc w:val="both"/>
        <w:rPr>
          <w:rFonts w:ascii="Segoe UI" w:hAnsi="Segoe UI" w:cs="Segoe UI"/>
          <w:rtl/>
          <w:lang w:val="en-ZW"/>
        </w:rPr>
      </w:pPr>
    </w:p>
    <w:p w14:paraId="5BB4B4C3" w14:textId="1393F39F" w:rsidR="00846215" w:rsidRPr="00B668DF" w:rsidRDefault="00846215" w:rsidP="008F05D0">
      <w:pPr>
        <w:pStyle w:val="2"/>
        <w:rPr>
          <w:rtl/>
        </w:rPr>
      </w:pPr>
      <w:bookmarkStart w:id="23" w:name="_Toc108218192"/>
      <w:r w:rsidRPr="00B668DF">
        <w:rPr>
          <w:rFonts w:hint="cs"/>
          <w:rtl/>
        </w:rPr>
        <w:t>כליאה</w:t>
      </w:r>
      <w:r w:rsidR="00DB0138">
        <w:rPr>
          <w:rFonts w:hint="cs"/>
          <w:rtl/>
        </w:rPr>
        <w:t>/מאסר</w:t>
      </w:r>
      <w:bookmarkEnd w:id="23"/>
    </w:p>
    <w:p w14:paraId="2330FEB7" w14:textId="7AAE09C1" w:rsidR="00856937" w:rsidRPr="004B5429" w:rsidRDefault="00846215" w:rsidP="008F05D0">
      <w:pPr>
        <w:pStyle w:val="ab"/>
        <w:numPr>
          <w:ilvl w:val="0"/>
          <w:numId w:val="61"/>
        </w:numPr>
        <w:bidi/>
        <w:spacing w:line="276" w:lineRule="auto"/>
        <w:jc w:val="both"/>
        <w:rPr>
          <w:rFonts w:ascii="Segoe UI" w:hAnsi="Segoe UI" w:cs="Segoe UI"/>
          <w:lang w:val="en-ZW"/>
        </w:rPr>
      </w:pPr>
      <w:r w:rsidRPr="004B5429">
        <w:rPr>
          <w:rFonts w:ascii="Segoe UI" w:hAnsi="Segoe UI" w:cs="Segoe UI" w:hint="cs"/>
          <w:rtl/>
          <w:lang w:val="en-ZW"/>
        </w:rPr>
        <w:t>למה משתמשים בכליאה?</w:t>
      </w:r>
    </w:p>
    <w:p w14:paraId="01B934D7" w14:textId="25C7ABAF" w:rsidR="005271CF" w:rsidRPr="004B5429" w:rsidRDefault="005271CF" w:rsidP="008F05D0">
      <w:pPr>
        <w:pStyle w:val="ab"/>
        <w:numPr>
          <w:ilvl w:val="1"/>
          <w:numId w:val="61"/>
        </w:numPr>
        <w:bidi/>
        <w:spacing w:line="276" w:lineRule="auto"/>
        <w:ind w:left="723"/>
        <w:jc w:val="both"/>
        <w:rPr>
          <w:rFonts w:ascii="Segoe UI" w:hAnsi="Segoe UI" w:cs="Segoe UI"/>
          <w:lang w:val="en-ZW"/>
        </w:rPr>
      </w:pPr>
      <w:r w:rsidRPr="004B5429">
        <w:rPr>
          <w:rFonts w:ascii="Segoe UI" w:hAnsi="Segoe UI" w:cs="Segoe UI" w:hint="cs"/>
          <w:rtl/>
          <w:lang w:val="en-ZW"/>
        </w:rPr>
        <w:t xml:space="preserve">מסוכנות </w:t>
      </w:r>
      <w:r w:rsidRPr="004B5429">
        <w:rPr>
          <w:rFonts w:ascii="Segoe UI" w:hAnsi="Segoe UI" w:cs="Segoe UI"/>
          <w:rtl/>
          <w:lang w:val="en-ZW"/>
        </w:rPr>
        <w:t>–</w:t>
      </w:r>
      <w:r w:rsidRPr="004B5429">
        <w:rPr>
          <w:rFonts w:ascii="Segoe UI" w:hAnsi="Segoe UI" w:cs="Segoe UI" w:hint="cs"/>
          <w:rtl/>
          <w:lang w:val="en-ZW"/>
        </w:rPr>
        <w:t xml:space="preserve"> שלא יחזור לחברה</w:t>
      </w:r>
    </w:p>
    <w:p w14:paraId="781230FD" w14:textId="2625F075" w:rsidR="005271CF" w:rsidRPr="004B5429" w:rsidRDefault="005271CF" w:rsidP="008F05D0">
      <w:pPr>
        <w:pStyle w:val="ab"/>
        <w:numPr>
          <w:ilvl w:val="1"/>
          <w:numId w:val="61"/>
        </w:numPr>
        <w:bidi/>
        <w:spacing w:line="276" w:lineRule="auto"/>
        <w:ind w:left="723"/>
        <w:jc w:val="both"/>
        <w:rPr>
          <w:rFonts w:ascii="Segoe UI" w:hAnsi="Segoe UI" w:cs="Segoe UI"/>
          <w:lang w:val="en-ZW"/>
        </w:rPr>
      </w:pPr>
      <w:r w:rsidRPr="004B5429">
        <w:rPr>
          <w:rFonts w:ascii="Segoe UI" w:hAnsi="Segoe UI" w:cs="Segoe UI" w:hint="cs"/>
          <w:rtl/>
          <w:lang w:val="en-ZW"/>
        </w:rPr>
        <w:t>גמול לעבריין</w:t>
      </w:r>
    </w:p>
    <w:p w14:paraId="18868DA0" w14:textId="6BE9AA3E" w:rsidR="005271CF" w:rsidRPr="004B5429" w:rsidRDefault="00073F45" w:rsidP="008F05D0">
      <w:pPr>
        <w:pStyle w:val="ab"/>
        <w:numPr>
          <w:ilvl w:val="1"/>
          <w:numId w:val="61"/>
        </w:numPr>
        <w:bidi/>
        <w:spacing w:line="276" w:lineRule="auto"/>
        <w:ind w:left="723"/>
        <w:jc w:val="both"/>
        <w:rPr>
          <w:rFonts w:ascii="Segoe UI" w:hAnsi="Segoe UI" w:cs="Segoe UI"/>
          <w:lang w:val="en-ZW"/>
        </w:rPr>
      </w:pPr>
      <w:r w:rsidRPr="004B5429">
        <w:rPr>
          <w:rFonts w:ascii="Segoe UI" w:hAnsi="Segoe UI" w:cs="Segoe UI" w:hint="cs"/>
          <w:rtl/>
          <w:lang w:val="en-ZW"/>
        </w:rPr>
        <w:t>הרתעה שלו ושל עבריינים אחרים</w:t>
      </w:r>
    </w:p>
    <w:p w14:paraId="7E3500CF" w14:textId="2167A157" w:rsidR="00073F45" w:rsidRPr="004B5429" w:rsidRDefault="00073F45" w:rsidP="008F05D0">
      <w:pPr>
        <w:pStyle w:val="ab"/>
        <w:numPr>
          <w:ilvl w:val="1"/>
          <w:numId w:val="61"/>
        </w:numPr>
        <w:bidi/>
        <w:spacing w:line="276" w:lineRule="auto"/>
        <w:ind w:left="723"/>
        <w:jc w:val="both"/>
        <w:rPr>
          <w:rFonts w:ascii="Segoe UI" w:hAnsi="Segoe UI" w:cs="Segoe UI"/>
          <w:lang w:val="en-ZW"/>
        </w:rPr>
      </w:pPr>
      <w:r w:rsidRPr="004B5429">
        <w:rPr>
          <w:rFonts w:ascii="Segoe UI" w:hAnsi="Segoe UI" w:cs="Segoe UI" w:hint="cs"/>
          <w:rtl/>
          <w:lang w:val="en-ZW"/>
        </w:rPr>
        <w:t xml:space="preserve">כדי לאפשר לו טיפול ושיקום כאשר לא ניתן להשיג זאת מחוץ לכלא </w:t>
      </w:r>
    </w:p>
    <w:p w14:paraId="1FA54D44" w14:textId="58F54FE2" w:rsidR="00073F45" w:rsidRPr="004B5429" w:rsidRDefault="00073F45" w:rsidP="008F05D0">
      <w:pPr>
        <w:pStyle w:val="ab"/>
        <w:numPr>
          <w:ilvl w:val="1"/>
          <w:numId w:val="61"/>
        </w:numPr>
        <w:bidi/>
        <w:spacing w:after="0" w:line="276" w:lineRule="auto"/>
        <w:ind w:left="723"/>
        <w:jc w:val="both"/>
        <w:rPr>
          <w:rFonts w:ascii="Segoe UI" w:hAnsi="Segoe UI" w:cs="Segoe UI"/>
          <w:lang w:val="en-ZW"/>
        </w:rPr>
      </w:pPr>
      <w:r w:rsidRPr="004B5429">
        <w:rPr>
          <w:rFonts w:ascii="Segoe UI" w:hAnsi="Segoe UI" w:cs="Segoe UI" w:hint="cs"/>
          <w:rtl/>
          <w:lang w:val="en-ZW"/>
        </w:rPr>
        <w:t xml:space="preserve">"מאסר בלתי קצוב" -  נדון לטווח עונש כאשר השחרור נעשה על בסיס ועדת </w:t>
      </w:r>
      <w:proofErr w:type="spellStart"/>
      <w:r w:rsidRPr="004B5429">
        <w:rPr>
          <w:rFonts w:ascii="Segoe UI" w:hAnsi="Segoe UI" w:cs="Segoe UI" w:hint="cs"/>
          <w:rtl/>
          <w:lang w:val="en-ZW"/>
        </w:rPr>
        <w:t>פרול</w:t>
      </w:r>
      <w:proofErr w:type="spellEnd"/>
    </w:p>
    <w:p w14:paraId="560684B7" w14:textId="77777777" w:rsidR="00073F45" w:rsidRPr="0003207D" w:rsidRDefault="00073F45" w:rsidP="008F05D0">
      <w:pPr>
        <w:bidi/>
        <w:spacing w:after="0" w:line="276" w:lineRule="auto"/>
        <w:ind w:left="363"/>
        <w:jc w:val="both"/>
        <w:rPr>
          <w:rFonts w:ascii="Segoe UI" w:hAnsi="Segoe UI" w:cs="Segoe UI"/>
          <w:lang w:val="en-ZW"/>
        </w:rPr>
      </w:pPr>
    </w:p>
    <w:p w14:paraId="64BC0796" w14:textId="49F66C7D" w:rsidR="00073F45" w:rsidRPr="00431C6F" w:rsidRDefault="00073F45" w:rsidP="008F05D0">
      <w:pPr>
        <w:pStyle w:val="110"/>
        <w:spacing w:line="276" w:lineRule="auto"/>
        <w:rPr>
          <w:rtl/>
        </w:rPr>
      </w:pPr>
      <w:r w:rsidRPr="00431C6F">
        <w:rPr>
          <w:rFonts w:hint="cs"/>
          <w:rtl/>
        </w:rPr>
        <w:t>התפתחות המאסר</w:t>
      </w:r>
    </w:p>
    <w:p w14:paraId="5717B4EC" w14:textId="6071FBE8" w:rsidR="00073F45" w:rsidRPr="004B5429" w:rsidRDefault="00073F45" w:rsidP="008F05D0">
      <w:pPr>
        <w:pStyle w:val="ab"/>
        <w:numPr>
          <w:ilvl w:val="0"/>
          <w:numId w:val="61"/>
        </w:numPr>
        <w:bidi/>
        <w:spacing w:after="0" w:line="276" w:lineRule="auto"/>
        <w:jc w:val="both"/>
        <w:rPr>
          <w:rFonts w:ascii="Segoe UI" w:hAnsi="Segoe UI" w:cs="Segoe UI"/>
          <w:lang w:val="en-ZW"/>
        </w:rPr>
      </w:pPr>
      <w:r w:rsidRPr="004B5429">
        <w:rPr>
          <w:rFonts w:ascii="Segoe UI" w:hAnsi="Segoe UI" w:cs="Segoe UI" w:hint="cs"/>
          <w:rtl/>
          <w:lang w:val="en-ZW"/>
        </w:rPr>
        <w:t>מאסר לא היה עונש אלא רק החזקה במעצר עד העונש.</w:t>
      </w:r>
    </w:p>
    <w:p w14:paraId="0FD9E301" w14:textId="49AE094B" w:rsidR="00073F45" w:rsidRPr="004B5429" w:rsidRDefault="00073F45" w:rsidP="008F05D0">
      <w:pPr>
        <w:pStyle w:val="ab"/>
        <w:numPr>
          <w:ilvl w:val="0"/>
          <w:numId w:val="61"/>
        </w:numPr>
        <w:bidi/>
        <w:spacing w:after="0" w:line="276" w:lineRule="auto"/>
        <w:jc w:val="both"/>
        <w:rPr>
          <w:rFonts w:ascii="Segoe UI" w:hAnsi="Segoe UI" w:cs="Segoe UI"/>
          <w:lang w:val="en-ZW"/>
        </w:rPr>
      </w:pPr>
      <w:r w:rsidRPr="004B5429">
        <w:rPr>
          <w:rFonts w:ascii="Segoe UI" w:hAnsi="Segoe UI" w:cs="Segoe UI" w:hint="cs"/>
          <w:rtl/>
          <w:lang w:val="en-ZW"/>
        </w:rPr>
        <w:t xml:space="preserve">יחד עם ביטול עונשי הגוף וצמצום עונש המוות במאה ה-18 </w:t>
      </w:r>
      <w:r w:rsidRPr="004B5429">
        <w:rPr>
          <w:rFonts w:ascii="Segoe UI" w:hAnsi="Segoe UI" w:cs="Segoe UI"/>
          <w:rtl/>
          <w:lang w:val="en-ZW"/>
        </w:rPr>
        <w:t>–</w:t>
      </w:r>
      <w:r w:rsidRPr="004B5429">
        <w:rPr>
          <w:rFonts w:ascii="Segoe UI" w:hAnsi="Segoe UI" w:cs="Segoe UI" w:hint="cs"/>
          <w:rtl/>
          <w:lang w:val="en-ZW"/>
        </w:rPr>
        <w:t xml:space="preserve"> הפך עונש המאסר לעונש הדומיננטי (היה גם "פה ושם" </w:t>
      </w:r>
      <w:r w:rsidRPr="004B5429">
        <w:rPr>
          <w:rFonts w:ascii="Segoe UI" w:hAnsi="Segoe UI" w:cs="Segoe UI"/>
          <w:rtl/>
          <w:lang w:val="en-ZW"/>
        </w:rPr>
        <w:t>–</w:t>
      </w:r>
      <w:r w:rsidRPr="004B5429">
        <w:rPr>
          <w:rFonts w:ascii="Segoe UI" w:hAnsi="Segoe UI" w:cs="Segoe UI" w:hint="cs"/>
          <w:rtl/>
          <w:lang w:val="en-ZW"/>
        </w:rPr>
        <w:t xml:space="preserve"> במקרים של המתקת עונש מוות).</w:t>
      </w:r>
    </w:p>
    <w:p w14:paraId="34A75A4A" w14:textId="411C1CC4" w:rsidR="00073F45" w:rsidRPr="004B5429" w:rsidRDefault="00073F45" w:rsidP="008F05D0">
      <w:pPr>
        <w:pStyle w:val="ab"/>
        <w:numPr>
          <w:ilvl w:val="0"/>
          <w:numId w:val="61"/>
        </w:numPr>
        <w:bidi/>
        <w:spacing w:after="0" w:line="276" w:lineRule="auto"/>
        <w:jc w:val="both"/>
        <w:rPr>
          <w:rFonts w:ascii="Segoe UI" w:hAnsi="Segoe UI" w:cs="Segoe UI"/>
          <w:lang w:val="en-ZW"/>
        </w:rPr>
      </w:pPr>
      <w:r w:rsidRPr="004B5429">
        <w:rPr>
          <w:rFonts w:ascii="Segoe UI" w:hAnsi="Segoe UI" w:cs="Segoe UI" w:hint="cs"/>
          <w:rtl/>
          <w:lang w:val="en-ZW"/>
        </w:rPr>
        <w:t xml:space="preserve">בעבר </w:t>
      </w:r>
      <w:r w:rsidRPr="004B5429">
        <w:rPr>
          <w:rFonts w:ascii="Segoe UI" w:hAnsi="Segoe UI" w:cs="Segoe UI"/>
          <w:rtl/>
          <w:lang w:val="en-ZW"/>
        </w:rPr>
        <w:t>–</w:t>
      </w:r>
      <w:r w:rsidRPr="004B5429">
        <w:rPr>
          <w:rFonts w:ascii="Segoe UI" w:hAnsi="Segoe UI" w:cs="Segoe UI" w:hint="cs"/>
          <w:rtl/>
          <w:lang w:val="en-ZW"/>
        </w:rPr>
        <w:t xml:space="preserve"> האסירים או משפחותיהם שילמו על ההחזקה. מי שלא שילם </w:t>
      </w:r>
      <w:r w:rsidRPr="004B5429">
        <w:rPr>
          <w:rFonts w:ascii="Segoe UI" w:hAnsi="Segoe UI" w:cs="Segoe UI"/>
          <w:rtl/>
          <w:lang w:val="en-ZW"/>
        </w:rPr>
        <w:t>–</w:t>
      </w:r>
      <w:r w:rsidRPr="004B5429">
        <w:rPr>
          <w:rFonts w:ascii="Segoe UI" w:hAnsi="Segoe UI" w:cs="Segoe UI" w:hint="cs"/>
          <w:rtl/>
          <w:lang w:val="en-ZW"/>
        </w:rPr>
        <w:t xml:space="preserve"> לא שוחרר.</w:t>
      </w:r>
    </w:p>
    <w:p w14:paraId="6E886B09" w14:textId="4D2C8146" w:rsidR="00073F45" w:rsidRPr="004B5429" w:rsidRDefault="00073F45" w:rsidP="008F05D0">
      <w:pPr>
        <w:pStyle w:val="ab"/>
        <w:numPr>
          <w:ilvl w:val="0"/>
          <w:numId w:val="61"/>
        </w:numPr>
        <w:bidi/>
        <w:spacing w:after="0" w:line="276" w:lineRule="auto"/>
        <w:jc w:val="both"/>
        <w:rPr>
          <w:rFonts w:ascii="Segoe UI" w:hAnsi="Segoe UI" w:cs="Segoe UI"/>
          <w:lang w:val="en-ZW"/>
        </w:rPr>
      </w:pPr>
      <w:r w:rsidRPr="004B5429">
        <w:rPr>
          <w:rFonts w:ascii="Segoe UI" w:hAnsi="Segoe UI" w:cs="Segoe UI" w:hint="cs"/>
          <w:highlight w:val="green"/>
          <w:rtl/>
          <w:lang w:val="en-ZW"/>
        </w:rPr>
        <w:t xml:space="preserve">ג'ון </w:t>
      </w:r>
      <w:proofErr w:type="spellStart"/>
      <w:r w:rsidRPr="004B5429">
        <w:rPr>
          <w:rFonts w:ascii="Segoe UI" w:hAnsi="Segoe UI" w:cs="Segoe UI" w:hint="cs"/>
          <w:highlight w:val="green"/>
          <w:rtl/>
          <w:lang w:val="en-ZW"/>
        </w:rPr>
        <w:t>האוורד</w:t>
      </w:r>
      <w:proofErr w:type="spellEnd"/>
      <w:r w:rsidRPr="004B5429">
        <w:rPr>
          <w:rFonts w:ascii="Segoe UI" w:hAnsi="Segoe UI" w:cs="Segoe UI" w:hint="cs"/>
          <w:rtl/>
          <w:lang w:val="en-ZW"/>
        </w:rPr>
        <w:t xml:space="preserve"> </w:t>
      </w:r>
      <w:r w:rsidRPr="004B5429">
        <w:rPr>
          <w:rFonts w:ascii="Segoe UI" w:hAnsi="Segoe UI" w:cs="Segoe UI"/>
          <w:rtl/>
          <w:lang w:val="en-ZW"/>
        </w:rPr>
        <w:t>–</w:t>
      </w:r>
      <w:r w:rsidRPr="004B5429">
        <w:rPr>
          <w:rFonts w:ascii="Segoe UI" w:hAnsi="Segoe UI" w:cs="Segoe UI" w:hint="cs"/>
          <w:rtl/>
          <w:lang w:val="en-ZW"/>
        </w:rPr>
        <w:t xml:space="preserve"> שריף אנגלי. ביקר בבתי כלא וראה זוועות (חוסר טיפול, רעב) והתחיל לתבוע מהפרלמנט שינוי יסודי. </w:t>
      </w:r>
    </w:p>
    <w:p w14:paraId="3F683D7C" w14:textId="75A5D79B" w:rsidR="002D4F66" w:rsidRPr="0003207D" w:rsidRDefault="002D4F66" w:rsidP="008F05D0">
      <w:pPr>
        <w:bidi/>
        <w:spacing w:after="0" w:line="276" w:lineRule="auto"/>
        <w:jc w:val="both"/>
        <w:rPr>
          <w:rFonts w:ascii="Segoe UI" w:hAnsi="Segoe UI" w:cs="Segoe UI"/>
          <w:rtl/>
          <w:lang w:val="en-ZW"/>
        </w:rPr>
      </w:pPr>
    </w:p>
    <w:p w14:paraId="764D44F3" w14:textId="5D15C67E" w:rsidR="002D4F66" w:rsidRPr="00431C6F" w:rsidRDefault="002D4F66" w:rsidP="008F05D0">
      <w:pPr>
        <w:pStyle w:val="110"/>
        <w:spacing w:line="276" w:lineRule="auto"/>
        <w:rPr>
          <w:rtl/>
        </w:rPr>
      </w:pPr>
      <w:r w:rsidRPr="00431C6F">
        <w:rPr>
          <w:rtl/>
        </w:rPr>
        <w:t>האם עונש המאסר משיג את מטרותיו?</w:t>
      </w:r>
    </w:p>
    <w:p w14:paraId="185FA5DA" w14:textId="35F0A810" w:rsidR="002D4F66" w:rsidRPr="004B5429" w:rsidRDefault="00C73E9C" w:rsidP="008F05D0">
      <w:pPr>
        <w:pStyle w:val="ab"/>
        <w:numPr>
          <w:ilvl w:val="0"/>
          <w:numId w:val="62"/>
        </w:numPr>
        <w:bidi/>
        <w:spacing w:after="0" w:line="276" w:lineRule="auto"/>
        <w:jc w:val="both"/>
        <w:rPr>
          <w:rFonts w:ascii="Segoe UI" w:hAnsi="Segoe UI" w:cs="Segoe UI"/>
          <w:rtl/>
          <w:lang w:val="en-ZW"/>
        </w:rPr>
      </w:pPr>
      <w:r w:rsidRPr="004B5429">
        <w:rPr>
          <w:rFonts w:ascii="Segoe UI" w:hAnsi="Segoe UI" w:cs="Segoe UI" w:hint="cs"/>
          <w:rtl/>
          <w:lang w:val="en-ZW"/>
        </w:rPr>
        <w:t>קשה לדעת, איך מבודדים את עונש המאסר מגורמים נוספים?</w:t>
      </w:r>
    </w:p>
    <w:p w14:paraId="6C6C4D7E" w14:textId="4D4AD5A6" w:rsidR="00C73E9C" w:rsidRPr="004B5429" w:rsidRDefault="00C73E9C" w:rsidP="008F05D0">
      <w:pPr>
        <w:bidi/>
        <w:spacing w:after="0" w:line="276" w:lineRule="auto"/>
        <w:jc w:val="both"/>
        <w:rPr>
          <w:rFonts w:ascii="Segoe UI" w:hAnsi="Segoe UI" w:cs="Segoe UI"/>
          <w:rtl/>
          <w:lang w:val="en-ZW"/>
        </w:rPr>
      </w:pPr>
      <w:r w:rsidRPr="004B5429">
        <w:rPr>
          <w:rFonts w:ascii="Segoe UI" w:hAnsi="Segoe UI" w:cs="Segoe UI" w:hint="cs"/>
          <w:rtl/>
          <w:lang w:val="en-ZW"/>
        </w:rPr>
        <w:t>מצד אחד, עונש מאסר בוודאות מרחיק את האדם מהחברה.</w:t>
      </w:r>
    </w:p>
    <w:p w14:paraId="4AF310F4" w14:textId="50C5D24D" w:rsidR="00C73E9C" w:rsidRPr="004B5429" w:rsidRDefault="00C73E9C" w:rsidP="008F05D0">
      <w:pPr>
        <w:bidi/>
        <w:spacing w:after="0" w:line="276" w:lineRule="auto"/>
        <w:jc w:val="both"/>
        <w:rPr>
          <w:rFonts w:ascii="Segoe UI" w:hAnsi="Segoe UI" w:cs="Segoe UI"/>
          <w:rtl/>
          <w:lang w:val="en-ZW"/>
        </w:rPr>
      </w:pPr>
      <w:r w:rsidRPr="004B5429">
        <w:rPr>
          <w:rFonts w:ascii="Segoe UI" w:hAnsi="Segoe UI" w:cs="Segoe UI" w:hint="cs"/>
          <w:rtl/>
          <w:lang w:val="en-ZW"/>
        </w:rPr>
        <w:t>מצד שני, בכלא הוא נחשף לפעילות עבריינית.</w:t>
      </w:r>
    </w:p>
    <w:p w14:paraId="5021B7A0" w14:textId="5573DBF9" w:rsidR="00C73E9C" w:rsidRPr="004B5429" w:rsidRDefault="00C73E9C" w:rsidP="008F05D0">
      <w:pPr>
        <w:pStyle w:val="ab"/>
        <w:numPr>
          <w:ilvl w:val="0"/>
          <w:numId w:val="62"/>
        </w:numPr>
        <w:bidi/>
        <w:spacing w:after="0" w:line="276" w:lineRule="auto"/>
        <w:jc w:val="both"/>
        <w:rPr>
          <w:rFonts w:ascii="Segoe UI" w:hAnsi="Segoe UI" w:cs="Segoe UI"/>
          <w:lang w:val="en-ZW"/>
        </w:rPr>
      </w:pPr>
      <w:r w:rsidRPr="004B5429">
        <w:rPr>
          <w:rFonts w:ascii="Segoe UI" w:hAnsi="Segoe UI" w:cs="Segoe UI" w:hint="cs"/>
          <w:rtl/>
          <w:lang w:val="en-ZW"/>
        </w:rPr>
        <w:t>רצידיביזם גדול מאוד בעבירות מסוימות.</w:t>
      </w:r>
    </w:p>
    <w:p w14:paraId="056B9B2C" w14:textId="707C3ECC" w:rsidR="003F204C" w:rsidRPr="004B5429" w:rsidRDefault="00C73E9C" w:rsidP="008F05D0">
      <w:pPr>
        <w:pStyle w:val="ab"/>
        <w:numPr>
          <w:ilvl w:val="0"/>
          <w:numId w:val="62"/>
        </w:numPr>
        <w:bidi/>
        <w:spacing w:after="0" w:line="276" w:lineRule="auto"/>
        <w:jc w:val="both"/>
        <w:rPr>
          <w:rFonts w:ascii="Segoe UI" w:hAnsi="Segoe UI" w:cs="Segoe UI"/>
          <w:lang w:val="en-ZW"/>
        </w:rPr>
      </w:pPr>
      <w:r w:rsidRPr="004B5429">
        <w:rPr>
          <w:rFonts w:ascii="Segoe UI" w:hAnsi="Segoe UI" w:cs="Segoe UI" w:hint="cs"/>
          <w:rtl/>
          <w:lang w:val="en-ZW"/>
        </w:rPr>
        <w:t xml:space="preserve">בישראל נערך מחקר גדול אחרי 1967 </w:t>
      </w:r>
      <w:r w:rsidRPr="004B5429">
        <w:rPr>
          <w:rFonts w:ascii="Segoe UI" w:hAnsi="Segoe UI" w:cs="Segoe UI"/>
          <w:rtl/>
          <w:lang w:val="en-ZW"/>
        </w:rPr>
        <w:t>–</w:t>
      </w:r>
      <w:r w:rsidRPr="004B5429">
        <w:rPr>
          <w:rFonts w:ascii="Segoe UI" w:hAnsi="Segoe UI" w:cs="Segoe UI" w:hint="cs"/>
          <w:rtl/>
          <w:lang w:val="en-ZW"/>
        </w:rPr>
        <w:t xml:space="preserve"> הייתה חנינה גדולה ושוחררו 500 אסירים </w:t>
      </w:r>
      <w:r w:rsidRPr="004B5429">
        <w:rPr>
          <w:rFonts w:ascii="Segoe UI" w:hAnsi="Segoe UI" w:cs="Segoe UI"/>
          <w:rtl/>
          <w:lang w:val="en-ZW"/>
        </w:rPr>
        <w:t>–</w:t>
      </w:r>
      <w:r w:rsidRPr="004B5429">
        <w:rPr>
          <w:rFonts w:ascii="Segoe UI" w:hAnsi="Segoe UI" w:cs="Segoe UI" w:hint="cs"/>
          <w:rtl/>
          <w:lang w:val="en-ZW"/>
        </w:rPr>
        <w:t xml:space="preserve"> 77 אחוזים ביצעו עבירות אחרי השחרור. מחציתם חזרו לכלא והחצי השני </w:t>
      </w:r>
      <w:r w:rsidRPr="004B5429">
        <w:rPr>
          <w:rFonts w:ascii="Segoe UI" w:hAnsi="Segoe UI" w:cs="Segoe UI"/>
          <w:rtl/>
          <w:lang w:val="en-ZW"/>
        </w:rPr>
        <w:t>–</w:t>
      </w:r>
      <w:r w:rsidRPr="004B5429">
        <w:rPr>
          <w:rFonts w:ascii="Segoe UI" w:hAnsi="Segoe UI" w:cs="Segoe UI" w:hint="cs"/>
          <w:rtl/>
          <w:lang w:val="en-ZW"/>
        </w:rPr>
        <w:t xml:space="preserve"> קיבלו עונשים אחרים.</w:t>
      </w:r>
    </w:p>
    <w:p w14:paraId="69821E74" w14:textId="589573D2" w:rsidR="003F204C" w:rsidRPr="004B5429" w:rsidRDefault="003F204C" w:rsidP="008F05D0">
      <w:pPr>
        <w:bidi/>
        <w:spacing w:after="0" w:line="276" w:lineRule="auto"/>
        <w:jc w:val="both"/>
        <w:rPr>
          <w:rFonts w:ascii="Segoe UI" w:hAnsi="Segoe UI" w:cs="Segoe UI"/>
          <w:color w:val="7030A0"/>
          <w:lang w:val="en-ZW"/>
        </w:rPr>
      </w:pPr>
      <w:r w:rsidRPr="004B5429">
        <w:rPr>
          <w:rFonts w:ascii="Segoe UI" w:hAnsi="Segoe UI" w:cs="Segoe UI" w:hint="cs"/>
          <w:color w:val="7030A0"/>
          <w:rtl/>
          <w:lang w:val="en-ZW"/>
        </w:rPr>
        <w:t>הביקורת על הכלא אומרת שאין לנו מושג אם הכלא משיג את מטרותיו מלבד הרחקתו מהחברה לזמן מה.</w:t>
      </w:r>
    </w:p>
    <w:p w14:paraId="646409A2" w14:textId="1A02AD4A" w:rsidR="00C73E9C" w:rsidRPr="0003207D" w:rsidRDefault="00C73E9C" w:rsidP="008F05D0">
      <w:pPr>
        <w:bidi/>
        <w:spacing w:after="0" w:line="276" w:lineRule="auto"/>
        <w:jc w:val="both"/>
        <w:rPr>
          <w:rFonts w:ascii="Segoe UI" w:hAnsi="Segoe UI" w:cs="Segoe UI"/>
          <w:rtl/>
          <w:lang w:val="en-ZW"/>
        </w:rPr>
      </w:pPr>
    </w:p>
    <w:p w14:paraId="73BEABF9" w14:textId="424243F6" w:rsidR="007A26A0" w:rsidRDefault="007A26A0" w:rsidP="008F05D0">
      <w:pPr>
        <w:pStyle w:val="110"/>
        <w:spacing w:line="276" w:lineRule="auto"/>
        <w:rPr>
          <w:rtl/>
        </w:rPr>
      </w:pPr>
      <w:r>
        <w:rPr>
          <w:rFonts w:hint="cs"/>
          <w:rtl/>
        </w:rPr>
        <w:t xml:space="preserve">משך המאסר </w:t>
      </w:r>
      <w:r>
        <w:rPr>
          <w:rtl/>
        </w:rPr>
        <w:t>–</w:t>
      </w:r>
      <w:r>
        <w:rPr>
          <w:rFonts w:hint="cs"/>
          <w:rtl/>
        </w:rPr>
        <w:t xml:space="preserve"> איך קובעים משך זמן? [נרחיב בהמשך]</w:t>
      </w:r>
    </w:p>
    <w:p w14:paraId="15FFF199" w14:textId="741D83D2" w:rsidR="007A26A0" w:rsidRPr="004B5429" w:rsidRDefault="007A26A0" w:rsidP="008F05D0">
      <w:pPr>
        <w:bidi/>
        <w:spacing w:after="0" w:line="276" w:lineRule="auto"/>
        <w:jc w:val="both"/>
        <w:rPr>
          <w:rFonts w:ascii="Segoe UI" w:hAnsi="Segoe UI" w:cs="Segoe UI"/>
          <w:rtl/>
          <w:lang w:val="en-ZW"/>
        </w:rPr>
      </w:pPr>
      <w:r w:rsidRPr="004B5429">
        <w:rPr>
          <w:rFonts w:ascii="Segoe UI" w:hAnsi="Segoe UI" w:cs="Segoe UI" w:hint="cs"/>
          <w:rtl/>
          <w:lang w:val="en-ZW"/>
        </w:rPr>
        <w:t xml:space="preserve">המאסר נקבע על בסיס שיקולי הענישה, שלרוב הם </w:t>
      </w:r>
      <w:r w:rsidRPr="004B5429">
        <w:rPr>
          <w:rFonts w:ascii="Segoe UI" w:hAnsi="Segoe UI" w:cs="Segoe UI" w:hint="cs"/>
          <w:b/>
          <w:bCs/>
          <w:rtl/>
          <w:lang w:val="en-ZW"/>
        </w:rPr>
        <w:t>מנוגדים</w:t>
      </w:r>
      <w:r w:rsidRPr="004B5429">
        <w:rPr>
          <w:rFonts w:ascii="Segoe UI" w:hAnsi="Segoe UI" w:cs="Segoe UI" w:hint="cs"/>
          <w:rtl/>
          <w:lang w:val="en-ZW"/>
        </w:rPr>
        <w:t>.</w:t>
      </w:r>
    </w:p>
    <w:p w14:paraId="2B5702C1" w14:textId="3D50FD8A" w:rsidR="007A26A0" w:rsidRPr="004B5429" w:rsidRDefault="007A26A0" w:rsidP="008F05D0">
      <w:pPr>
        <w:pStyle w:val="ab"/>
        <w:numPr>
          <w:ilvl w:val="0"/>
          <w:numId w:val="63"/>
        </w:numPr>
        <w:bidi/>
        <w:spacing w:after="0" w:line="276" w:lineRule="auto"/>
        <w:jc w:val="both"/>
        <w:rPr>
          <w:rFonts w:ascii="Segoe UI" w:hAnsi="Segoe UI" w:cs="Segoe UI"/>
          <w:lang w:val="en-ZW"/>
        </w:rPr>
      </w:pPr>
      <w:r w:rsidRPr="004B5429">
        <w:rPr>
          <w:rFonts w:ascii="Segoe UI" w:hAnsi="Segoe UI" w:cs="Segoe UI" w:hint="cs"/>
          <w:rtl/>
          <w:lang w:val="en-ZW"/>
        </w:rPr>
        <w:t>חומרת העבירה</w:t>
      </w:r>
    </w:p>
    <w:p w14:paraId="671B68A7" w14:textId="0F3B6507" w:rsidR="007A26A0" w:rsidRPr="004B5429" w:rsidRDefault="007A26A0" w:rsidP="008F05D0">
      <w:pPr>
        <w:pStyle w:val="ab"/>
        <w:numPr>
          <w:ilvl w:val="0"/>
          <w:numId w:val="63"/>
        </w:numPr>
        <w:bidi/>
        <w:spacing w:after="0" w:line="276" w:lineRule="auto"/>
        <w:jc w:val="both"/>
        <w:rPr>
          <w:rFonts w:ascii="Segoe UI" w:hAnsi="Segoe UI" w:cs="Segoe UI"/>
          <w:lang w:val="en-ZW"/>
        </w:rPr>
      </w:pPr>
      <w:r w:rsidRPr="004B5429">
        <w:rPr>
          <w:rFonts w:ascii="Segoe UI" w:hAnsi="Segoe UI" w:cs="Segoe UI" w:hint="cs"/>
          <w:rtl/>
          <w:lang w:val="en-ZW"/>
        </w:rPr>
        <w:t xml:space="preserve">שיקולים אישיים ומשפחתיים </w:t>
      </w:r>
      <w:r w:rsidRPr="004B5429">
        <w:rPr>
          <w:rFonts w:ascii="Segoe UI" w:hAnsi="Segoe UI" w:cs="Segoe UI"/>
          <w:rtl/>
          <w:lang w:val="en-ZW"/>
        </w:rPr>
        <w:t>–</w:t>
      </w:r>
      <w:r w:rsidRPr="004B5429">
        <w:rPr>
          <w:rFonts w:ascii="Segoe UI" w:hAnsi="Segoe UI" w:cs="Segoe UI" w:hint="cs"/>
          <w:rtl/>
          <w:lang w:val="en-ZW"/>
        </w:rPr>
        <w:t xml:space="preserve"> כיצד ישפיע על המצב הכלכלי/אישי של המשפחה</w:t>
      </w:r>
    </w:p>
    <w:p w14:paraId="749F70A4" w14:textId="19D4FEFD" w:rsidR="007A26A0" w:rsidRPr="004B5429" w:rsidRDefault="007A26A0" w:rsidP="008F05D0">
      <w:pPr>
        <w:pStyle w:val="ab"/>
        <w:numPr>
          <w:ilvl w:val="0"/>
          <w:numId w:val="63"/>
        </w:numPr>
        <w:bidi/>
        <w:spacing w:after="0" w:line="276" w:lineRule="auto"/>
        <w:jc w:val="both"/>
        <w:rPr>
          <w:rFonts w:ascii="Segoe UI" w:hAnsi="Segoe UI" w:cs="Segoe UI"/>
          <w:lang w:val="en-ZW"/>
        </w:rPr>
      </w:pPr>
      <w:r w:rsidRPr="004B5429">
        <w:rPr>
          <w:rFonts w:ascii="Segoe UI" w:hAnsi="Segoe UI" w:cs="Segoe UI" w:hint="cs"/>
          <w:rtl/>
          <w:lang w:val="en-ZW"/>
        </w:rPr>
        <w:t>הערכת התקופה שתאפשר טיפול נפשי או חינוך מקצועי</w:t>
      </w:r>
    </w:p>
    <w:p w14:paraId="1B46FD77" w14:textId="7EBE68D9" w:rsidR="007A26A0" w:rsidRPr="004B5429" w:rsidRDefault="006B25EA" w:rsidP="008F05D0">
      <w:pPr>
        <w:pStyle w:val="ab"/>
        <w:numPr>
          <w:ilvl w:val="0"/>
          <w:numId w:val="63"/>
        </w:numPr>
        <w:bidi/>
        <w:spacing w:after="0" w:line="276" w:lineRule="auto"/>
        <w:jc w:val="both"/>
        <w:rPr>
          <w:rFonts w:ascii="Segoe UI" w:hAnsi="Segoe UI" w:cs="Segoe UI"/>
          <w:lang w:val="en-ZW"/>
        </w:rPr>
      </w:pPr>
      <w:r w:rsidRPr="004B5429">
        <w:rPr>
          <w:rFonts w:ascii="Segoe UI" w:hAnsi="Segoe UI" w:cs="Segoe UI" w:hint="cs"/>
          <w:rtl/>
          <w:lang w:val="en-ZW"/>
        </w:rPr>
        <w:t>מידת הסכנה לציבור אם הנאשם לא יהיה נתון במאסר (הקושי: איך מנבאים מסוכנות? כולנו מסוכנים..)</w:t>
      </w:r>
    </w:p>
    <w:p w14:paraId="69C94A69" w14:textId="77777777" w:rsidR="002F4B66" w:rsidRPr="0003207D" w:rsidRDefault="002F4B66" w:rsidP="008F05D0">
      <w:pPr>
        <w:pStyle w:val="ab"/>
        <w:bidi/>
        <w:spacing w:after="0" w:line="276" w:lineRule="auto"/>
        <w:ind w:left="360"/>
        <w:jc w:val="both"/>
        <w:rPr>
          <w:rFonts w:ascii="Segoe UI" w:hAnsi="Segoe UI" w:cs="Segoe UI"/>
          <w:rtl/>
          <w:lang w:val="en-ZW"/>
        </w:rPr>
      </w:pPr>
    </w:p>
    <w:p w14:paraId="044AD05C" w14:textId="04F122C3" w:rsidR="00C73E9C" w:rsidRPr="004B5429" w:rsidRDefault="001C05C9" w:rsidP="008F05D0">
      <w:pPr>
        <w:bidi/>
        <w:spacing w:after="0" w:line="276" w:lineRule="auto"/>
        <w:jc w:val="both"/>
        <w:rPr>
          <w:rFonts w:ascii="Segoe UI" w:hAnsi="Segoe UI" w:cs="Segoe UI"/>
          <w:color w:val="7030A0"/>
          <w:rtl/>
          <w:lang w:val="en-ZW"/>
        </w:rPr>
      </w:pPr>
      <w:r w:rsidRPr="004B5429">
        <w:rPr>
          <w:rFonts w:ascii="Segoe UI" w:hAnsi="Segoe UI" w:cs="Segoe UI" w:hint="cs"/>
          <w:color w:val="7030A0"/>
          <w:rtl/>
          <w:lang w:val="en-ZW"/>
        </w:rPr>
        <w:t xml:space="preserve">החוק מגדיר </w:t>
      </w:r>
      <w:r w:rsidR="00105A26" w:rsidRPr="004B5429">
        <w:rPr>
          <w:rFonts w:ascii="Segoe UI" w:hAnsi="Segoe UI" w:cs="Segoe UI" w:hint="cs"/>
          <w:color w:val="7030A0"/>
          <w:rtl/>
          <w:lang w:val="en-ZW"/>
        </w:rPr>
        <w:t>מה</w:t>
      </w:r>
      <w:r w:rsidRPr="004B5429">
        <w:rPr>
          <w:rFonts w:ascii="Segoe UI" w:hAnsi="Segoe UI" w:cs="Segoe UI" w:hint="cs"/>
          <w:color w:val="7030A0"/>
          <w:rtl/>
          <w:lang w:val="en-ZW"/>
        </w:rPr>
        <w:t xml:space="preserve"> שוקלים </w:t>
      </w:r>
      <w:r w:rsidR="00105A26" w:rsidRPr="004B5429">
        <w:rPr>
          <w:rFonts w:ascii="Segoe UI" w:hAnsi="Segoe UI" w:cs="Segoe UI" w:hint="cs"/>
          <w:color w:val="7030A0"/>
          <w:rtl/>
          <w:lang w:val="en-ZW"/>
        </w:rPr>
        <w:t>לעניין הענישה:</w:t>
      </w:r>
    </w:p>
    <w:p w14:paraId="68ED2B05"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Time New Roman" w:hAnsi="Time New Roman"/>
          <w:b/>
          <w:bCs/>
          <w:color w:val="008000"/>
          <w:sz w:val="27"/>
          <w:szCs w:val="27"/>
          <w:rtl/>
        </w:rPr>
        <w:t>סיבות הקשורות בביצוע העבירה (תיקון מס' 113) תשע"ב-2012</w:t>
      </w:r>
    </w:p>
    <w:p w14:paraId="6D9847DD"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t>40</w:t>
      </w:r>
      <w:r>
        <w:rPr>
          <w:rStyle w:val="default"/>
          <w:rFonts w:ascii="FrankRuehl" w:eastAsiaTheme="majorEastAsia" w:hAnsi="FrankRuehl" w:cs="FrankRuehl"/>
          <w:sz w:val="26"/>
          <w:szCs w:val="26"/>
          <w:rtl/>
        </w:rPr>
        <w:t xml:space="preserve">ט.  (א)  בקביעת מתחם העונש ההולם למעשה העבירה שביצע הנאשם כאמור בסעיף 40ג(א), </w:t>
      </w:r>
      <w:r w:rsidRPr="0030288F">
        <w:rPr>
          <w:rStyle w:val="default"/>
          <w:rFonts w:ascii="FrankRuehl" w:eastAsiaTheme="majorEastAsia" w:hAnsi="FrankRuehl" w:cs="FrankRuehl"/>
          <w:b/>
          <w:bCs/>
          <w:color w:val="FF0000"/>
          <w:sz w:val="26"/>
          <w:szCs w:val="26"/>
          <w:rtl/>
        </w:rPr>
        <w:t>יתחשב בית המשפט בהתקיימותן של נסיבות הקשורות בביצוע העבירה</w:t>
      </w:r>
      <w:r>
        <w:rPr>
          <w:rStyle w:val="default"/>
          <w:rFonts w:ascii="FrankRuehl" w:eastAsiaTheme="majorEastAsia" w:hAnsi="FrankRuehl" w:cs="FrankRuehl"/>
          <w:sz w:val="26"/>
          <w:szCs w:val="26"/>
          <w:rtl/>
        </w:rPr>
        <w:t>, המפורטות להלן, ובמידה שבה התקיימו, ככל שסבר שהן משפיעות על חומרת מעשה העבירה ועל אשמו של הנאשם:</w:t>
      </w:r>
    </w:p>
    <w:p w14:paraId="0609DC74" w14:textId="456A3E59" w:rsidR="0094209F" w:rsidRPr="00FC50B0"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color w:val="7030A0"/>
          <w:rtl/>
        </w:rPr>
      </w:pPr>
      <w:r>
        <w:rPr>
          <w:rStyle w:val="default"/>
          <w:rFonts w:ascii="FrankRuehl" w:eastAsiaTheme="majorEastAsia" w:hAnsi="FrankRuehl" w:cs="FrankRuehl"/>
          <w:sz w:val="26"/>
          <w:szCs w:val="26"/>
          <w:rtl/>
        </w:rPr>
        <w:t>(1)   התכנון שקדם לביצוע העבירה;</w:t>
      </w:r>
      <w:r w:rsidR="00140623">
        <w:rPr>
          <w:rFonts w:hint="cs"/>
          <w:rtl/>
        </w:rPr>
        <w:t xml:space="preserve"> </w:t>
      </w:r>
      <w:r w:rsidR="00FC50B0">
        <w:rPr>
          <w:rFonts w:hint="cs"/>
          <w:color w:val="7030A0"/>
          <w:rtl/>
        </w:rPr>
        <w:t xml:space="preserve">מי שמתכנן זה מעיד שהוא עבריין, מישהו שהוא מסוכן ולכן יש הבדל בין פשעים שבוצעו בתכנון לבין פשעים שבוצעו ללא תכנון. </w:t>
      </w:r>
    </w:p>
    <w:p w14:paraId="435B08A9" w14:textId="55B42B63" w:rsidR="0094209F" w:rsidRPr="00FB405B"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color w:val="7030A0"/>
          <w:rtl/>
        </w:rPr>
      </w:pPr>
      <w:r>
        <w:rPr>
          <w:rStyle w:val="default"/>
          <w:rFonts w:ascii="FrankRuehl" w:eastAsiaTheme="majorEastAsia" w:hAnsi="FrankRuehl" w:cs="FrankRuehl"/>
          <w:sz w:val="26"/>
          <w:szCs w:val="26"/>
          <w:rtl/>
        </w:rPr>
        <w:lastRenderedPageBreak/>
        <w:t>(2)   חלקו היחסי של הנאשם בביצוע העבירה ומידת ההשפעה של אחר על הנאשם בביצוע העבירה;</w:t>
      </w:r>
      <w:r w:rsidR="00FB405B">
        <w:rPr>
          <w:rFonts w:hint="cs"/>
          <w:rtl/>
        </w:rPr>
        <w:t xml:space="preserve"> </w:t>
      </w:r>
      <w:r w:rsidR="00FB405B">
        <w:rPr>
          <w:rFonts w:hint="cs"/>
          <w:color w:val="7030A0"/>
          <w:rtl/>
        </w:rPr>
        <w:t xml:space="preserve">מה זה רלוונטי? </w:t>
      </w:r>
      <w:r w:rsidR="00895912">
        <w:rPr>
          <w:rFonts w:hint="cs"/>
          <w:color w:val="7030A0"/>
          <w:rtl/>
        </w:rPr>
        <w:t>נניח יש 4 אנשים שאחד מהם יותר אקטיבי אז לעניין ההרשעה כולם יורשעו בשוד אבל השופט יכול להגיד ש-1 יקבל 8 שנים ו-2 יקבל רק 4 שנים</w:t>
      </w:r>
      <w:r w:rsidR="00014B52">
        <w:rPr>
          <w:rFonts w:hint="cs"/>
          <w:color w:val="7030A0"/>
          <w:rtl/>
        </w:rPr>
        <w:t xml:space="preserve"> כי היה פחות אקטיבי. </w:t>
      </w:r>
    </w:p>
    <w:p w14:paraId="16680FEB" w14:textId="4455C185" w:rsidR="0094209F" w:rsidRPr="00D27192"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color w:val="7030A0"/>
          <w:rtl/>
        </w:rPr>
      </w:pPr>
      <w:r>
        <w:rPr>
          <w:rStyle w:val="default"/>
          <w:rFonts w:ascii="FrankRuehl" w:eastAsiaTheme="majorEastAsia" w:hAnsi="FrankRuehl" w:cs="FrankRuehl"/>
          <w:sz w:val="26"/>
          <w:szCs w:val="26"/>
          <w:rtl/>
        </w:rPr>
        <w:t>(3)   הנזק שהיה צפוי להיגרם מביצוע העבירה;</w:t>
      </w:r>
      <w:r w:rsidR="00D27192">
        <w:rPr>
          <w:rFonts w:hint="cs"/>
          <w:rtl/>
        </w:rPr>
        <w:t xml:space="preserve"> </w:t>
      </w:r>
      <w:r w:rsidR="00D27192">
        <w:rPr>
          <w:rFonts w:hint="cs"/>
          <w:color w:val="7030A0"/>
          <w:rtl/>
        </w:rPr>
        <w:t>למשל, נזק מפריצת כספות לבנקים. מה משנה הנזק הפוטנציאלי? אנחנו רוצים למנוע מאנשים להיות מסוכנים..</w:t>
      </w:r>
    </w:p>
    <w:p w14:paraId="313759A7"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(4)   הנזק שנגרם מביצוע העבירה;</w:t>
      </w:r>
    </w:p>
    <w:p w14:paraId="337726BF"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(5)   הסיבות שהביאו את הנאשם לבצע את העבירה;</w:t>
      </w:r>
    </w:p>
    <w:p w14:paraId="7D16475F"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(6)   יכולתו של הנאשם להבין את אשר הוא עושה, את הפסול שבמעשהו או את משמעות מעשהו, לרבות בשל גילו;</w:t>
      </w:r>
    </w:p>
    <w:p w14:paraId="5ABD0D7B"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(7)   יכולתו של הנאשם להימנע מהמעשה ומידת השליטה שלו על מעשהו, לרבות עקב התגרות של נפגע העבירה;</w:t>
      </w:r>
    </w:p>
    <w:p w14:paraId="21BB1F32"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(8)   מצוקתו הנפשית של הנאשם עקב התעללות בו על ידי נפגע העבירה;</w:t>
      </w:r>
    </w:p>
    <w:p w14:paraId="22A89024"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(9)   הקרבה לסייג לאחריות פלילית כאמור בסימן ב' לפרק ה'1;</w:t>
      </w:r>
    </w:p>
    <w:p w14:paraId="37AE79CA"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(10)  האכזריות, האלימות וההתעללות של הנאשם בנפגע העבירה או ניצולו;</w:t>
      </w:r>
    </w:p>
    <w:p w14:paraId="3B830383"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(11)  הניצול לרעה של כוחו או מעמדו של הנאשם או של יחסיו עם נפגע העבירה.</w:t>
      </w:r>
    </w:p>
    <w:p w14:paraId="2C2A9D38" w14:textId="77777777" w:rsidR="0094209F" w:rsidRDefault="0094209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          (ב)  לעניין נסיבות כאמור בסעיף קטן (א)(6) עד (9), בית המשפט יתחשב בהן ככל שסבר שהן מפחיתות את חומרת מעשה העבירה ואת אשמו של הנאשם, ולעניין נסיבות כאמור בסעיף קטן (א)(10) ו-(11) – ככל שסבר שהן מגבירות את חומרת מעשה העבירה ואת אשמו של הנאשם.</w:t>
      </w:r>
    </w:p>
    <w:p w14:paraId="5EB0AD26" w14:textId="0E373399" w:rsidR="0094209F" w:rsidRDefault="0094209F" w:rsidP="008F05D0">
      <w:pPr>
        <w:bidi/>
        <w:spacing w:after="0" w:line="276" w:lineRule="auto"/>
        <w:jc w:val="both"/>
        <w:rPr>
          <w:rFonts w:ascii="Segoe UI" w:hAnsi="Segoe UI" w:cs="Segoe UI"/>
          <w:sz w:val="24"/>
          <w:szCs w:val="24"/>
          <w:rtl/>
          <w:lang w:val="en-ZW"/>
        </w:rPr>
      </w:pPr>
    </w:p>
    <w:p w14:paraId="76C31CE4" w14:textId="2DF11ED7" w:rsidR="00702AAD" w:rsidRPr="00334D5B" w:rsidRDefault="00702AAD" w:rsidP="008F05D0">
      <w:pPr>
        <w:pStyle w:val="110"/>
        <w:spacing w:line="276" w:lineRule="auto"/>
        <w:rPr>
          <w:rtl/>
        </w:rPr>
      </w:pPr>
      <w:r w:rsidRPr="00334D5B">
        <w:rPr>
          <w:rtl/>
        </w:rPr>
        <w:t>עונשי מינימום ועונשי מקסימום</w:t>
      </w:r>
    </w:p>
    <w:p w14:paraId="5576EB45" w14:textId="569046DE" w:rsidR="00702AAD" w:rsidRPr="004B5429" w:rsidRDefault="004C4A80" w:rsidP="008F05D0">
      <w:pPr>
        <w:pStyle w:val="ab"/>
        <w:numPr>
          <w:ilvl w:val="0"/>
          <w:numId w:val="64"/>
        </w:numPr>
        <w:bidi/>
        <w:spacing w:line="276" w:lineRule="auto"/>
        <w:jc w:val="both"/>
        <w:rPr>
          <w:rFonts w:ascii="Segoe UI" w:hAnsi="Segoe UI" w:cs="Segoe UI"/>
          <w:lang w:val="en-ZW"/>
        </w:rPr>
      </w:pPr>
      <w:r w:rsidRPr="004B5429">
        <w:rPr>
          <w:rFonts w:ascii="Segoe UI" w:hAnsi="Segoe UI" w:cs="Segoe UI" w:hint="cs"/>
          <w:rtl/>
          <w:lang w:val="en-ZW"/>
        </w:rPr>
        <w:t xml:space="preserve">גזירת מאסר </w:t>
      </w:r>
      <w:r w:rsidR="00A474B3" w:rsidRPr="004B5429">
        <w:rPr>
          <w:rFonts w:ascii="Segoe UI" w:hAnsi="Segoe UI" w:cs="Segoe UI"/>
          <w:rtl/>
          <w:lang w:val="en-ZW"/>
        </w:rPr>
        <w:t>–</w:t>
      </w:r>
      <w:r w:rsidRPr="004B5429">
        <w:rPr>
          <w:rFonts w:ascii="Segoe UI" w:hAnsi="Segoe UI" w:cs="Segoe UI" w:hint="cs"/>
          <w:rtl/>
          <w:lang w:val="en-ZW"/>
        </w:rPr>
        <w:t xml:space="preserve"> </w:t>
      </w:r>
      <w:r w:rsidR="00A474B3" w:rsidRPr="004B5429">
        <w:rPr>
          <w:rFonts w:ascii="Segoe UI" w:hAnsi="Segoe UI" w:cs="Segoe UI" w:hint="cs"/>
          <w:rtl/>
          <w:lang w:val="en-ZW"/>
        </w:rPr>
        <w:t>השיטה הנוהגת בארץ היא עונשי מקסימום.</w:t>
      </w:r>
    </w:p>
    <w:p w14:paraId="26556072" w14:textId="3BE61D57" w:rsidR="00A474B3" w:rsidRPr="004B5429" w:rsidRDefault="00A474B3" w:rsidP="008F05D0">
      <w:pPr>
        <w:bidi/>
        <w:spacing w:after="0" w:line="276" w:lineRule="auto"/>
        <w:jc w:val="both"/>
        <w:rPr>
          <w:rFonts w:ascii="Segoe UI" w:hAnsi="Segoe UI" w:cs="Segoe UI"/>
          <w:b/>
          <w:bCs/>
          <w:color w:val="FF0000"/>
          <w:rtl/>
          <w:lang w:val="en-ZW"/>
        </w:rPr>
      </w:pPr>
      <w:r w:rsidRPr="004B5429">
        <w:rPr>
          <w:rFonts w:ascii="Segoe UI" w:hAnsi="Segoe UI" w:cs="Segoe UI" w:hint="cs"/>
          <w:rtl/>
          <w:lang w:val="en-ZW"/>
        </w:rPr>
        <w:t xml:space="preserve">לדוג': ס' 298 לחוק העונשין: </w:t>
      </w:r>
      <w:r w:rsidR="00C325A7" w:rsidRPr="004B5429">
        <w:rPr>
          <w:rFonts w:ascii="Segoe UI" w:hAnsi="Segoe UI" w:cs="Segoe UI" w:hint="cs"/>
          <w:rtl/>
          <w:lang w:val="en-ZW"/>
        </w:rPr>
        <w:t xml:space="preserve">"הגורם... למותו של אדם </w:t>
      </w:r>
      <w:r w:rsidR="00C325A7" w:rsidRPr="004B5429">
        <w:rPr>
          <w:rFonts w:ascii="Segoe UI" w:hAnsi="Segoe UI" w:cs="Segoe UI"/>
          <w:rtl/>
          <w:lang w:val="en-ZW"/>
        </w:rPr>
        <w:t>–</w:t>
      </w:r>
      <w:r w:rsidR="00C325A7" w:rsidRPr="004B5429">
        <w:rPr>
          <w:rFonts w:ascii="Segoe UI" w:hAnsi="Segoe UI" w:cs="Segoe UI" w:hint="cs"/>
          <w:rtl/>
          <w:lang w:val="en-ZW"/>
        </w:rPr>
        <w:t xml:space="preserve"> דינו מאסר 20 שנה"</w:t>
      </w:r>
    </w:p>
    <w:p w14:paraId="77FB9913" w14:textId="35D35910" w:rsidR="00A474B3" w:rsidRPr="004B5429" w:rsidRDefault="00A474B3" w:rsidP="008F05D0">
      <w:pPr>
        <w:bidi/>
        <w:spacing w:after="0" w:line="276" w:lineRule="auto"/>
        <w:jc w:val="both"/>
        <w:rPr>
          <w:rFonts w:ascii="Segoe UI" w:hAnsi="Segoe UI" w:cs="Segoe UI"/>
          <w:color w:val="FF0000"/>
          <w:rtl/>
          <w:lang w:val="en-ZW"/>
        </w:rPr>
      </w:pPr>
      <w:r w:rsidRPr="004B5429">
        <w:rPr>
          <w:rFonts w:ascii="Segoe UI" w:hAnsi="Segoe UI" w:cs="Segoe UI" w:hint="cs"/>
          <w:b/>
          <w:bCs/>
          <w:color w:val="FF0000"/>
          <w:rtl/>
          <w:lang w:val="en-ZW"/>
        </w:rPr>
        <w:t>מדובר בעבירה שהייתה קיימת לפני הרפורמה בעבירות ההמתה</w:t>
      </w:r>
      <w:r w:rsidR="00857D64" w:rsidRPr="004B5429">
        <w:rPr>
          <w:rFonts w:ascii="Segoe UI" w:hAnsi="Segoe UI" w:cs="Segoe UI" w:hint="cs"/>
          <w:b/>
          <w:bCs/>
          <w:color w:val="FF0000"/>
          <w:rtl/>
          <w:lang w:val="en-ZW"/>
        </w:rPr>
        <w:t xml:space="preserve"> בשנת 2019.</w:t>
      </w:r>
    </w:p>
    <w:p w14:paraId="50A639FF" w14:textId="6A388877" w:rsidR="00A474B3" w:rsidRPr="004B5429" w:rsidRDefault="00B71CC8" w:rsidP="008F05D0">
      <w:pPr>
        <w:bidi/>
        <w:spacing w:after="0" w:line="276" w:lineRule="auto"/>
        <w:jc w:val="both"/>
        <w:rPr>
          <w:rFonts w:ascii="Segoe UI" w:hAnsi="Segoe UI" w:cs="Segoe UI"/>
          <w:rtl/>
          <w:lang w:val="en-ZW"/>
        </w:rPr>
      </w:pPr>
      <w:r w:rsidRPr="004B5429">
        <w:rPr>
          <w:rFonts w:ascii="Segoe UI" w:hAnsi="Segoe UI" w:cs="Segoe UI" w:hint="cs"/>
          <w:rtl/>
          <w:lang w:val="en-ZW"/>
        </w:rPr>
        <w:t xml:space="preserve">יש לביהמ"ש </w:t>
      </w:r>
      <w:proofErr w:type="spellStart"/>
      <w:r w:rsidRPr="004B5429">
        <w:rPr>
          <w:rFonts w:ascii="Segoe UI" w:hAnsi="Segoe UI" w:cs="Segoe UI" w:hint="cs"/>
          <w:rtl/>
          <w:lang w:val="en-ZW"/>
        </w:rPr>
        <w:t>שק"ד</w:t>
      </w:r>
      <w:proofErr w:type="spellEnd"/>
      <w:r w:rsidRPr="004B5429">
        <w:rPr>
          <w:rFonts w:ascii="Segoe UI" w:hAnsi="Segoe UI" w:cs="Segoe UI" w:hint="cs"/>
          <w:rtl/>
          <w:lang w:val="en-ZW"/>
        </w:rPr>
        <w:t xml:space="preserve"> לגזור את העונש בטווח של עד 20 שנה.</w:t>
      </w:r>
    </w:p>
    <w:p w14:paraId="15D833C5" w14:textId="77777777" w:rsidR="002F4B66" w:rsidRPr="0003207D" w:rsidRDefault="002F4B66" w:rsidP="008F05D0">
      <w:pPr>
        <w:bidi/>
        <w:spacing w:after="0" w:line="276" w:lineRule="auto"/>
        <w:jc w:val="both"/>
        <w:rPr>
          <w:rFonts w:ascii="Segoe UI" w:hAnsi="Segoe UI" w:cs="Segoe UI"/>
          <w:rtl/>
          <w:lang w:val="en-ZW"/>
        </w:rPr>
      </w:pPr>
    </w:p>
    <w:p w14:paraId="435A27F9" w14:textId="77777777" w:rsidR="00B71CC8" w:rsidRDefault="00B71CC8"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proofErr w:type="spellStart"/>
      <w:r>
        <w:rPr>
          <w:rStyle w:val="big-number"/>
          <w:rFonts w:ascii="Time New Roman" w:hAnsi="Time New Roman"/>
          <w:b/>
          <w:bCs/>
          <w:color w:val="008000"/>
          <w:sz w:val="27"/>
          <w:szCs w:val="27"/>
          <w:rtl/>
        </w:rPr>
        <w:t>הענשים</w:t>
      </w:r>
      <w:proofErr w:type="spellEnd"/>
      <w:r>
        <w:rPr>
          <w:rStyle w:val="big-number"/>
          <w:rFonts w:ascii="Time New Roman" w:hAnsi="Time New Roman"/>
          <w:b/>
          <w:bCs/>
          <w:color w:val="008000"/>
          <w:sz w:val="27"/>
          <w:szCs w:val="27"/>
          <w:rtl/>
        </w:rPr>
        <w:t xml:space="preserve"> ענשי מקסימום [יא/1] (תיקון מס' 23) תשמ"ח-1988</w:t>
      </w:r>
    </w:p>
    <w:p w14:paraId="260FF2DE" w14:textId="0D3D38EA" w:rsidR="002A7DE6" w:rsidRPr="00012FAD" w:rsidRDefault="00B71CC8"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t xml:space="preserve">35.  </w:t>
      </w:r>
      <w:r>
        <w:rPr>
          <w:rStyle w:val="default"/>
          <w:rFonts w:ascii="FrankRuehl" w:eastAsiaTheme="majorEastAsia" w:hAnsi="FrankRuehl" w:cs="FrankRuehl"/>
          <w:sz w:val="26"/>
          <w:szCs w:val="26"/>
          <w:rtl/>
        </w:rPr>
        <w:t xml:space="preserve">(א)  בית המשפט שהרשיע אדם בשל עבירה, רשאי להטיל עליו כל עונש אשר </w:t>
      </w:r>
      <w:r w:rsidRPr="0030288F">
        <w:rPr>
          <w:rStyle w:val="default"/>
          <w:rFonts w:ascii="FrankRuehl" w:eastAsiaTheme="majorEastAsia" w:hAnsi="FrankRuehl" w:cs="FrankRuehl"/>
          <w:b/>
          <w:bCs/>
          <w:color w:val="FF0000"/>
          <w:sz w:val="26"/>
          <w:szCs w:val="26"/>
          <w:rtl/>
        </w:rPr>
        <w:t>אינו עולה על העונש שנקבע בדין לאותה עבירה.</w:t>
      </w:r>
    </w:p>
    <w:p w14:paraId="6CE998B7" w14:textId="77777777" w:rsidR="002F4B66" w:rsidRPr="002F4B66" w:rsidRDefault="002F4B66" w:rsidP="008F05D0">
      <w:pPr>
        <w:pStyle w:val="ab"/>
        <w:bidi/>
        <w:spacing w:after="0" w:line="276" w:lineRule="auto"/>
        <w:ind w:left="360"/>
        <w:jc w:val="both"/>
        <w:rPr>
          <w:rFonts w:ascii="Segoe UI" w:hAnsi="Segoe UI" w:cs="Segoe UI"/>
          <w:b/>
          <w:bCs/>
          <w:sz w:val="24"/>
          <w:szCs w:val="24"/>
          <w:u w:val="single"/>
          <w:lang w:val="en-ZW"/>
        </w:rPr>
      </w:pPr>
    </w:p>
    <w:p w14:paraId="12ED71C6" w14:textId="606DBC9C" w:rsidR="002A7DE6" w:rsidRPr="004B5429" w:rsidRDefault="001C3DD6" w:rsidP="008F05D0">
      <w:pPr>
        <w:pStyle w:val="ab"/>
        <w:numPr>
          <w:ilvl w:val="0"/>
          <w:numId w:val="64"/>
        </w:numPr>
        <w:bidi/>
        <w:spacing w:after="0" w:line="276" w:lineRule="auto"/>
        <w:jc w:val="both"/>
        <w:rPr>
          <w:rFonts w:ascii="Segoe UI" w:hAnsi="Segoe UI" w:cs="Segoe UI"/>
          <w:b/>
          <w:bCs/>
          <w:u w:val="single"/>
          <w:lang w:val="en-ZW"/>
        </w:rPr>
      </w:pPr>
      <w:r w:rsidRPr="004B5429">
        <w:rPr>
          <w:rFonts w:ascii="Segoe UI" w:hAnsi="Segoe UI" w:cs="Segoe UI" w:hint="cs"/>
          <w:rtl/>
          <w:lang w:val="en-ZW"/>
        </w:rPr>
        <w:t xml:space="preserve">קיימים חריגים שבהם יש </w:t>
      </w:r>
      <w:r w:rsidRPr="004B5429">
        <w:rPr>
          <w:rFonts w:ascii="Segoe UI" w:hAnsi="Segoe UI" w:cs="Segoe UI" w:hint="cs"/>
          <w:b/>
          <w:bCs/>
          <w:u w:val="single"/>
          <w:rtl/>
          <w:lang w:val="en-ZW"/>
        </w:rPr>
        <w:t>עונשי מינימום</w:t>
      </w:r>
      <w:r w:rsidR="009E60D4" w:rsidRPr="004B5429">
        <w:rPr>
          <w:rFonts w:ascii="Segoe UI" w:hAnsi="Segoe UI" w:cs="Segoe UI" w:hint="cs"/>
          <w:b/>
          <w:bCs/>
          <w:u w:val="single"/>
          <w:rtl/>
          <w:lang w:val="en-ZW"/>
        </w:rPr>
        <w:t xml:space="preserve"> </w:t>
      </w:r>
      <w:r w:rsidR="009E60D4" w:rsidRPr="004B5429">
        <w:rPr>
          <w:rFonts w:ascii="Segoe UI" w:hAnsi="Segoe UI" w:cs="Segoe UI"/>
          <w:color w:val="7030A0"/>
          <w:rtl/>
          <w:lang w:val="en-ZW"/>
        </w:rPr>
        <w:t>–</w:t>
      </w:r>
      <w:r w:rsidR="009E60D4" w:rsidRPr="004B5429">
        <w:rPr>
          <w:rFonts w:ascii="Segoe UI" w:hAnsi="Segoe UI" w:cs="Segoe UI" w:hint="cs"/>
          <w:color w:val="7030A0"/>
          <w:rtl/>
          <w:lang w:val="en-ZW"/>
        </w:rPr>
        <w:t xml:space="preserve"> עונש מאסר מינימלי</w:t>
      </w:r>
    </w:p>
    <w:p w14:paraId="001623BA" w14:textId="77777777" w:rsidR="00FE169B" w:rsidRDefault="00FE169B"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Time New Roman" w:hAnsi="Time New Roman"/>
          <w:b/>
          <w:bCs/>
          <w:color w:val="008000"/>
          <w:sz w:val="27"/>
          <w:szCs w:val="27"/>
          <w:rtl/>
        </w:rPr>
        <w:t>תקיפת שוטר בנסיבות מחמירות [ג/2] (תיקון מס' 105) תש"ע-2010</w:t>
      </w:r>
    </w:p>
    <w:p w14:paraId="6C6539C9" w14:textId="3AA9D2BC" w:rsidR="00FE169B" w:rsidRPr="00C74F55" w:rsidRDefault="00FE169B"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color w:val="7030A0"/>
          <w:rtl/>
        </w:rPr>
      </w:pPr>
      <w:r>
        <w:rPr>
          <w:rStyle w:val="big-number"/>
          <w:rFonts w:ascii="Miriam" w:hAnsi="Miriam" w:cs="Miriam" w:hint="cs"/>
          <w:sz w:val="32"/>
          <w:szCs w:val="32"/>
          <w:rtl/>
        </w:rPr>
        <w:t>274</w:t>
      </w:r>
      <w:r>
        <w:rPr>
          <w:rStyle w:val="big-number"/>
          <w:rFonts w:ascii="Miriam" w:hAnsi="Miriam" w:cs="Miriam"/>
          <w:sz w:val="32"/>
          <w:szCs w:val="32"/>
          <w:rtl/>
        </w:rPr>
        <w:t xml:space="preserve">. </w:t>
      </w:r>
      <w:r>
        <w:rPr>
          <w:rStyle w:val="default"/>
          <w:rFonts w:ascii="FrankRuehl" w:eastAsiaTheme="majorEastAsia" w:hAnsi="FrankRuehl" w:cs="FrankRuehl"/>
          <w:sz w:val="26"/>
          <w:szCs w:val="26"/>
          <w:rtl/>
        </w:rPr>
        <w:t xml:space="preserve">התוקף שוטר והתקיפה קשורה למילוי תפקידו כחוק ונתקיימה בו אחת מאלה, דינו - מאסר עד חמש שנים </w:t>
      </w:r>
      <w:r w:rsidRPr="0030288F">
        <w:rPr>
          <w:rStyle w:val="default"/>
          <w:rFonts w:ascii="FrankRuehl" w:eastAsiaTheme="majorEastAsia" w:hAnsi="FrankRuehl" w:cs="FrankRuehl"/>
          <w:b/>
          <w:bCs/>
          <w:color w:val="FF0000"/>
          <w:sz w:val="26"/>
          <w:szCs w:val="26"/>
          <w:rtl/>
        </w:rPr>
        <w:t>ולא פחות משלושה חדשים</w:t>
      </w:r>
      <w:r>
        <w:rPr>
          <w:rStyle w:val="default"/>
          <w:rFonts w:ascii="FrankRuehl" w:eastAsiaTheme="majorEastAsia" w:hAnsi="FrankRuehl" w:cs="FrankRuehl"/>
          <w:sz w:val="26"/>
          <w:szCs w:val="26"/>
          <w:rtl/>
        </w:rPr>
        <w:t>:</w:t>
      </w:r>
      <w:r w:rsidR="00BF16F7" w:rsidRPr="00BF16F7">
        <w:rPr>
          <w:rtl/>
        </w:rPr>
        <w:t xml:space="preserve"> </w:t>
      </w:r>
      <w:r w:rsidR="00BF16F7" w:rsidRPr="00BF16F7">
        <w:rPr>
          <w:color w:val="7030A0"/>
          <w:rtl/>
        </w:rPr>
        <w:t>היה לחץ פוליטי ושינו את החוק לעונש מינימום לתקיפ</w:t>
      </w:r>
      <w:r w:rsidR="00D436FE">
        <w:rPr>
          <w:rFonts w:hint="cs"/>
          <w:color w:val="7030A0"/>
          <w:rtl/>
        </w:rPr>
        <w:t>ת</w:t>
      </w:r>
      <w:r w:rsidR="00BF16F7" w:rsidRPr="00BF16F7">
        <w:rPr>
          <w:color w:val="7030A0"/>
          <w:rtl/>
        </w:rPr>
        <w:t xml:space="preserve"> שוטר...</w:t>
      </w:r>
    </w:p>
    <w:p w14:paraId="5CEA9B4C" w14:textId="1E620A60" w:rsidR="00AE2589" w:rsidRPr="004B5429" w:rsidRDefault="00AE2589" w:rsidP="008F05D0">
      <w:pPr>
        <w:bidi/>
        <w:spacing w:after="0" w:line="276" w:lineRule="auto"/>
        <w:jc w:val="both"/>
        <w:rPr>
          <w:rFonts w:ascii="Segoe UI" w:hAnsi="Segoe UI" w:cs="Segoe UI"/>
          <w:color w:val="7030A0"/>
          <w:rtl/>
          <w:lang w:val="en-ZW"/>
        </w:rPr>
      </w:pPr>
      <w:r w:rsidRPr="004B5429">
        <w:rPr>
          <w:rFonts w:ascii="Segoe UI" w:hAnsi="Segoe UI" w:cs="Segoe UI" w:hint="cs"/>
          <w:color w:val="7030A0"/>
          <w:rtl/>
          <w:lang w:val="en-ZW"/>
        </w:rPr>
        <w:t xml:space="preserve">כאשר יש עונש מינימום בעיקר בתקיפת שוטר נניח יש בחור צעיר </w:t>
      </w:r>
      <w:r w:rsidR="0006339D" w:rsidRPr="004B5429">
        <w:rPr>
          <w:rFonts w:ascii="Segoe UI" w:hAnsi="Segoe UI" w:cs="Segoe UI" w:hint="cs"/>
          <w:color w:val="7030A0"/>
          <w:rtl/>
          <w:lang w:val="en-ZW"/>
        </w:rPr>
        <w:t xml:space="preserve">בן 15 </w:t>
      </w:r>
      <w:r w:rsidRPr="004B5429">
        <w:rPr>
          <w:rFonts w:ascii="Segoe UI" w:hAnsi="Segoe UI" w:cs="Segoe UI" w:hint="cs"/>
          <w:color w:val="7030A0"/>
          <w:rtl/>
          <w:lang w:val="en-ZW"/>
        </w:rPr>
        <w:t xml:space="preserve">שבטעות תקף שוטר במהלך מעצר, השופטים לא ירשיעו אותו בתקיפת שוטר בנסיבות מחמירות אלא באחד מסעיפי התקיפה האחרים וזאת בשל האמונה שאין לשלוח אותו לכלא ואפשר אולי להחליף זאת בעונש אחר. </w:t>
      </w:r>
    </w:p>
    <w:p w14:paraId="3234C5D7" w14:textId="77777777" w:rsidR="002F4B66" w:rsidRPr="00AE2589" w:rsidRDefault="002F4B66" w:rsidP="008F05D0">
      <w:pPr>
        <w:bidi/>
        <w:spacing w:after="0" w:line="276" w:lineRule="auto"/>
        <w:jc w:val="both"/>
        <w:rPr>
          <w:rFonts w:ascii="Segoe UI" w:hAnsi="Segoe UI" w:cs="Segoe UI"/>
          <w:color w:val="7030A0"/>
          <w:sz w:val="24"/>
          <w:szCs w:val="24"/>
          <w:rtl/>
          <w:lang w:val="en-ZW"/>
        </w:rPr>
      </w:pPr>
    </w:p>
    <w:p w14:paraId="02074EFE" w14:textId="77777777" w:rsidR="005E23F6" w:rsidRDefault="005E23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Time New Roman" w:hAnsi="Time New Roman"/>
          <w:b/>
          <w:bCs/>
          <w:color w:val="008000"/>
          <w:sz w:val="27"/>
          <w:szCs w:val="27"/>
          <w:rtl/>
        </w:rPr>
        <w:t>עונש מזערי (תיקון מס' 51) תשנ"ח-1998 (תיקון מס' 61) תשס"א-2001 (תיקון מס' 68) תשס"ב-2002</w:t>
      </w:r>
    </w:p>
    <w:p w14:paraId="42C52D6A" w14:textId="2DD7E5B0" w:rsidR="002F4B66" w:rsidRPr="00AC5977" w:rsidRDefault="005E23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lastRenderedPageBreak/>
        <w:t xml:space="preserve">355. </w:t>
      </w:r>
      <w:r>
        <w:rPr>
          <w:rStyle w:val="default"/>
          <w:rFonts w:ascii="FrankRuehl" w:eastAsiaTheme="majorEastAsia" w:hAnsi="FrankRuehl" w:cs="FrankRuehl"/>
          <w:sz w:val="26"/>
          <w:szCs w:val="26"/>
          <w:rtl/>
        </w:rPr>
        <w:t xml:space="preserve">(א)  הורשע אדם בעבירה לפי סעיפים 345, 348(א), (ב) או (ג1), או 351(א), (ב) או (ג)(1) או (2), </w:t>
      </w:r>
      <w:r w:rsidRPr="0030288F">
        <w:rPr>
          <w:rStyle w:val="default"/>
          <w:rFonts w:ascii="FrankRuehl" w:eastAsiaTheme="majorEastAsia" w:hAnsi="FrankRuehl" w:cs="FrankRuehl"/>
          <w:b/>
          <w:bCs/>
          <w:color w:val="FF0000"/>
          <w:sz w:val="26"/>
          <w:szCs w:val="26"/>
          <w:rtl/>
        </w:rPr>
        <w:t>לא יפחת עונשו מרבע העונש המרבי שנקבע לאותה עבירה</w:t>
      </w:r>
      <w:r w:rsidRPr="0088365A">
        <w:rPr>
          <w:rStyle w:val="default"/>
          <w:rFonts w:ascii="Segoe UI" w:eastAsiaTheme="majorEastAsia" w:hAnsi="Segoe UI" w:cs="Segoe UI"/>
          <w:sz w:val="28"/>
          <w:szCs w:val="28"/>
          <w:rtl/>
        </w:rPr>
        <w:t>,</w:t>
      </w:r>
      <w:r>
        <w:rPr>
          <w:rStyle w:val="default"/>
          <w:rFonts w:ascii="FrankRuehl" w:eastAsiaTheme="majorEastAsia" w:hAnsi="FrankRuehl" w:cs="FrankRuehl"/>
          <w:sz w:val="26"/>
          <w:szCs w:val="26"/>
          <w:rtl/>
        </w:rPr>
        <w:t xml:space="preserve"> אלא אם כן החליט בית המשפט, מטעמים מיוחדים שיירשמו, להקל בעונשו.</w:t>
      </w:r>
    </w:p>
    <w:p w14:paraId="24E27498" w14:textId="77777777" w:rsidR="002F4B66" w:rsidRPr="00C56456" w:rsidRDefault="002F4B66" w:rsidP="008F05D0">
      <w:pPr>
        <w:bidi/>
        <w:spacing w:after="0" w:line="276" w:lineRule="auto"/>
        <w:jc w:val="both"/>
        <w:rPr>
          <w:rFonts w:ascii="Segoe UI" w:hAnsi="Segoe UI" w:cs="Segoe UI"/>
          <w:color w:val="7030A0"/>
          <w:sz w:val="24"/>
          <w:szCs w:val="24"/>
          <w:rtl/>
          <w:lang w:val="en-ZW"/>
        </w:rPr>
      </w:pPr>
    </w:p>
    <w:p w14:paraId="6812F06D" w14:textId="77777777" w:rsidR="001C25E8" w:rsidRDefault="001C25E8"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Time New Roman" w:hAnsi="Time New Roman"/>
          <w:b/>
          <w:bCs/>
          <w:color w:val="008000"/>
          <w:sz w:val="27"/>
          <w:szCs w:val="27"/>
          <w:rtl/>
        </w:rPr>
        <w:t>חבלה בכוונה מחמירה [א/235] [תשכ"ו]</w:t>
      </w:r>
    </w:p>
    <w:p w14:paraId="399E73F8" w14:textId="77777777" w:rsidR="001C25E8" w:rsidRDefault="001C25E8"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t xml:space="preserve">329. </w:t>
      </w:r>
      <w:r>
        <w:rPr>
          <w:rStyle w:val="default"/>
          <w:rFonts w:ascii="FrankRuehl" w:eastAsiaTheme="majorEastAsia" w:hAnsi="FrankRuehl" w:cs="FrankRuehl"/>
          <w:sz w:val="26"/>
          <w:szCs w:val="26"/>
          <w:rtl/>
        </w:rPr>
        <w:t xml:space="preserve">(א)  העושה אחת מאלה בכוונה להטיל באדם נכות או מום, או לגרום לו חבלה חמורה, או להתנגד למעצר או לעיכוב כדין, שלו או של זולתו, או למנוע מעצר או עיכוב כאמור, דינו – מאסר עשרים שנים: </w:t>
      </w:r>
    </w:p>
    <w:p w14:paraId="29CAED35" w14:textId="77777777" w:rsidR="001C25E8" w:rsidRDefault="001C25E8"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Time New Roman" w:hAnsi="Time New Roman"/>
          <w:b/>
          <w:bCs/>
          <w:color w:val="008000"/>
          <w:sz w:val="27"/>
          <w:szCs w:val="27"/>
          <w:rtl/>
        </w:rPr>
        <w:t>(תיקון מס' 55) תש"ס-2000 (תיקון מס' 120 הוראת שעה) תשע"ו-2015</w:t>
      </w:r>
    </w:p>
    <w:p w14:paraId="68FACE83" w14:textId="77777777" w:rsidR="001C25E8" w:rsidRDefault="001C25E8"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 xml:space="preserve">(ב)  העובר עבירה לפי סעיף קטן (א) </w:t>
      </w:r>
      <w:r w:rsidRPr="001C25E8">
        <w:rPr>
          <w:rStyle w:val="default"/>
          <w:rFonts w:ascii="FrankRuehl" w:eastAsiaTheme="majorEastAsia" w:hAnsi="FrankRuehl" w:cs="FrankRuehl"/>
          <w:b/>
          <w:bCs/>
          <w:sz w:val="26"/>
          <w:szCs w:val="26"/>
          <w:rtl/>
        </w:rPr>
        <w:t>כלפי בן משפחתו</w:t>
      </w:r>
      <w:r>
        <w:rPr>
          <w:rStyle w:val="default"/>
          <w:rFonts w:ascii="FrankRuehl" w:eastAsiaTheme="majorEastAsia" w:hAnsi="FrankRuehl" w:cs="FrankRuehl"/>
          <w:sz w:val="26"/>
          <w:szCs w:val="26"/>
          <w:rtl/>
        </w:rPr>
        <w:t xml:space="preserve">, </w:t>
      </w:r>
      <w:r w:rsidRPr="0030288F">
        <w:rPr>
          <w:rStyle w:val="default"/>
          <w:rFonts w:ascii="FrankRuehl" w:eastAsiaTheme="majorEastAsia" w:hAnsi="FrankRuehl" w:cs="FrankRuehl"/>
          <w:b/>
          <w:bCs/>
          <w:color w:val="FF0000"/>
          <w:sz w:val="26"/>
          <w:szCs w:val="26"/>
          <w:rtl/>
        </w:rPr>
        <w:t>לא יפחת עונשו מחמישית העונש המרבי שנקבע לעבירה</w:t>
      </w:r>
      <w:r>
        <w:rPr>
          <w:rStyle w:val="default"/>
          <w:rFonts w:ascii="FrankRuehl" w:eastAsiaTheme="majorEastAsia" w:hAnsi="FrankRuehl" w:cs="FrankRuehl"/>
          <w:sz w:val="26"/>
          <w:szCs w:val="26"/>
          <w:rtl/>
        </w:rPr>
        <w:t>, אלא אם כן החליט בית המשפט, מטעמים מיוחדים שיירשמו, להקל בעונשו; בסעיף קטן זה, "בן משפחתו" – כהגדרתו בסעיף 382(ב).</w:t>
      </w:r>
    </w:p>
    <w:p w14:paraId="354C83B1" w14:textId="77777777" w:rsidR="001C25E8" w:rsidRPr="001C3DD6" w:rsidRDefault="001C25E8" w:rsidP="008F05D0">
      <w:pPr>
        <w:bidi/>
        <w:spacing w:after="0" w:line="276" w:lineRule="auto"/>
        <w:jc w:val="both"/>
        <w:rPr>
          <w:rFonts w:ascii="Segoe UI" w:hAnsi="Segoe UI" w:cs="Segoe UI"/>
          <w:b/>
          <w:bCs/>
          <w:sz w:val="24"/>
          <w:szCs w:val="24"/>
          <w:u w:val="single"/>
          <w:rtl/>
          <w:lang w:val="en-ZW"/>
        </w:rPr>
      </w:pPr>
    </w:p>
    <w:p w14:paraId="128D9D86" w14:textId="4E93695A" w:rsidR="001E0862" w:rsidRPr="004B5429" w:rsidRDefault="001E0862" w:rsidP="008F05D0">
      <w:pPr>
        <w:bidi/>
        <w:spacing w:after="0" w:line="276" w:lineRule="auto"/>
        <w:jc w:val="both"/>
        <w:rPr>
          <w:rFonts w:ascii="Segoe UI" w:hAnsi="Segoe UI" w:cs="Segoe UI"/>
          <w:color w:val="7030A0"/>
          <w:rtl/>
          <w:lang w:val="en-ZW"/>
        </w:rPr>
      </w:pPr>
      <w:r w:rsidRPr="004B5429">
        <w:rPr>
          <w:rFonts w:ascii="Segoe UI" w:hAnsi="Segoe UI" w:cs="Segoe UI" w:hint="cs"/>
          <w:rtl/>
          <w:lang w:val="en-ZW"/>
        </w:rPr>
        <w:t>מדוע יש לביהמ"ש "פתח מילוט" מעונשי מינימום?</w:t>
      </w:r>
      <w:r w:rsidR="004A2F22" w:rsidRPr="004B5429">
        <w:rPr>
          <w:rFonts w:ascii="Segoe UI" w:hAnsi="Segoe UI" w:cs="Segoe UI" w:hint="cs"/>
          <w:rtl/>
          <w:lang w:val="en-ZW"/>
        </w:rPr>
        <w:t xml:space="preserve"> </w:t>
      </w:r>
      <w:r w:rsidR="004A2F22" w:rsidRPr="004B5429">
        <w:rPr>
          <w:rFonts w:ascii="Segoe UI" w:hAnsi="Segoe UI" w:cs="Segoe UI" w:hint="cs"/>
          <w:color w:val="7030A0"/>
          <w:rtl/>
          <w:lang w:val="en-ZW"/>
        </w:rPr>
        <w:t>כי כל תיק הוא שונה במהותו ויש נסיבות שונות לכל נאשם ונאשם</w:t>
      </w:r>
      <w:r w:rsidR="003D10A5" w:rsidRPr="004B5429">
        <w:rPr>
          <w:rFonts w:ascii="Segoe UI" w:hAnsi="Segoe UI" w:cs="Segoe UI" w:hint="cs"/>
          <w:color w:val="7030A0"/>
          <w:rtl/>
          <w:lang w:val="en-ZW"/>
        </w:rPr>
        <w:t xml:space="preserve">, </w:t>
      </w:r>
      <w:r w:rsidRPr="004B5429">
        <w:rPr>
          <w:rFonts w:ascii="Segoe UI" w:hAnsi="Segoe UI" w:cs="Segoe UI" w:hint="cs"/>
          <w:rtl/>
          <w:lang w:val="en-ZW"/>
        </w:rPr>
        <w:t>ענישה אינדיבידואלית</w:t>
      </w:r>
      <w:r w:rsidR="003D10A5" w:rsidRPr="004B5429">
        <w:rPr>
          <w:rFonts w:ascii="Segoe UI" w:hAnsi="Segoe UI" w:cs="Segoe UI" w:hint="cs"/>
          <w:color w:val="7030A0"/>
          <w:rtl/>
          <w:lang w:val="en-ZW"/>
        </w:rPr>
        <w:t>.</w:t>
      </w:r>
    </w:p>
    <w:p w14:paraId="083D886D" w14:textId="77777777" w:rsidR="00AC5977" w:rsidRPr="008824E6" w:rsidRDefault="00AC5977" w:rsidP="008F05D0">
      <w:pPr>
        <w:bidi/>
        <w:spacing w:after="0" w:line="276" w:lineRule="auto"/>
        <w:jc w:val="both"/>
        <w:rPr>
          <w:rFonts w:ascii="Segoe UI" w:hAnsi="Segoe UI" w:cs="Segoe UI"/>
          <w:color w:val="7030A0"/>
          <w:rtl/>
          <w:lang w:val="en-ZW"/>
        </w:rPr>
      </w:pPr>
    </w:p>
    <w:p w14:paraId="73D4F0A1" w14:textId="7D1B8905" w:rsidR="001E0862" w:rsidRPr="008824E6" w:rsidRDefault="001E0862" w:rsidP="008F05D0">
      <w:pPr>
        <w:pStyle w:val="ab"/>
        <w:numPr>
          <w:ilvl w:val="0"/>
          <w:numId w:val="64"/>
        </w:numPr>
        <w:bidi/>
        <w:spacing w:after="0" w:line="276" w:lineRule="auto"/>
        <w:jc w:val="both"/>
        <w:rPr>
          <w:rFonts w:ascii="Segoe UI" w:hAnsi="Segoe UI" w:cs="Segoe UI"/>
          <w:lang w:val="en-ZW"/>
        </w:rPr>
      </w:pPr>
      <w:r w:rsidRPr="008824E6">
        <w:rPr>
          <w:rFonts w:ascii="Segoe UI" w:hAnsi="Segoe UI" w:cs="Segoe UI" w:hint="cs"/>
          <w:b/>
          <w:bCs/>
          <w:u w:val="single"/>
          <w:rtl/>
          <w:lang w:val="en-ZW"/>
        </w:rPr>
        <w:t>עונשי חובה</w:t>
      </w:r>
    </w:p>
    <w:p w14:paraId="3FB8688B" w14:textId="77777777" w:rsidR="001E0862" w:rsidRPr="001E0862" w:rsidRDefault="001E086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Style w:val="default"/>
          <w:rFonts w:ascii="FrankRuehl" w:eastAsiaTheme="majorEastAsia" w:hAnsi="FrankRuehl" w:cs="FrankRuehl"/>
          <w:sz w:val="26"/>
          <w:szCs w:val="26"/>
          <w:lang w:val="en-US"/>
        </w:rPr>
      </w:pPr>
      <w:r w:rsidRPr="001E0862">
        <w:rPr>
          <w:rStyle w:val="big-number"/>
          <w:rFonts w:ascii="Miriam" w:eastAsia="Times New Roman" w:hAnsi="Miriam" w:cs="Miriam"/>
          <w:sz w:val="32"/>
          <w:szCs w:val="32"/>
          <w:rtl/>
          <w:lang w:val="en-US"/>
        </w:rPr>
        <w:t>300</w:t>
      </w:r>
      <w:r w:rsidRPr="001E0862">
        <w:rPr>
          <w:rFonts w:ascii="Segoe UI" w:hAnsi="Segoe UI" w:cs="Segoe UI"/>
          <w:sz w:val="24"/>
          <w:szCs w:val="24"/>
          <w:rtl/>
          <w:lang w:val="en-ZW"/>
        </w:rPr>
        <w:t>. </w:t>
      </w:r>
      <w:r w:rsidRPr="001E0862">
        <w:rPr>
          <w:rStyle w:val="default"/>
          <w:rFonts w:ascii="FrankRuehl" w:eastAsiaTheme="majorEastAsia" w:hAnsi="FrankRuehl" w:cs="FrankRuehl"/>
          <w:sz w:val="26"/>
          <w:szCs w:val="26"/>
          <w:rtl/>
          <w:lang w:val="en-US"/>
        </w:rPr>
        <w:t xml:space="preserve">(א)  העושה אחת מאלה יאשם ברצח ודינו - מאסר עולם </w:t>
      </w:r>
      <w:r w:rsidRPr="00BD057D">
        <w:rPr>
          <w:rStyle w:val="default"/>
          <w:rFonts w:ascii="FrankRuehl" w:eastAsiaTheme="majorEastAsia" w:hAnsi="FrankRuehl" w:cs="FrankRuehl"/>
          <w:b/>
          <w:bCs/>
          <w:color w:val="FF0000"/>
          <w:sz w:val="26"/>
          <w:szCs w:val="26"/>
          <w:rtl/>
          <w:lang w:val="en-US"/>
        </w:rPr>
        <w:t>ועונש זה בלבד</w:t>
      </w:r>
      <w:r w:rsidRPr="001E0862">
        <w:rPr>
          <w:rStyle w:val="default"/>
          <w:rFonts w:ascii="FrankRuehl" w:eastAsiaTheme="majorEastAsia" w:hAnsi="FrankRuehl" w:cs="FrankRuehl"/>
          <w:sz w:val="26"/>
          <w:szCs w:val="26"/>
          <w:rtl/>
          <w:lang w:val="en-US"/>
        </w:rPr>
        <w:t>:</w:t>
      </w:r>
    </w:p>
    <w:p w14:paraId="208F7AD5" w14:textId="77777777" w:rsidR="001E0862" w:rsidRPr="001E0862" w:rsidRDefault="001E086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Style w:val="default"/>
          <w:rFonts w:ascii="FrankRuehl" w:eastAsiaTheme="majorEastAsia" w:hAnsi="FrankRuehl" w:cs="FrankRuehl"/>
          <w:sz w:val="26"/>
          <w:szCs w:val="26"/>
          <w:rtl/>
          <w:lang w:val="en-US"/>
        </w:rPr>
      </w:pPr>
      <w:r w:rsidRPr="001E0862">
        <w:rPr>
          <w:rStyle w:val="default"/>
          <w:rFonts w:ascii="FrankRuehl" w:eastAsiaTheme="majorEastAsia" w:hAnsi="FrankRuehl" w:cs="FrankRuehl"/>
          <w:sz w:val="26"/>
          <w:szCs w:val="26"/>
          <w:rtl/>
          <w:lang w:val="en-US"/>
        </w:rPr>
        <w:t xml:space="preserve">(1)   גורם במזיד, במעשה או במחדל אסורים, למותו של אביו, </w:t>
      </w:r>
      <w:proofErr w:type="spellStart"/>
      <w:r w:rsidRPr="001E0862">
        <w:rPr>
          <w:rStyle w:val="default"/>
          <w:rFonts w:ascii="FrankRuehl" w:eastAsiaTheme="majorEastAsia" w:hAnsi="FrankRuehl" w:cs="FrankRuehl"/>
          <w:sz w:val="26"/>
          <w:szCs w:val="26"/>
          <w:rtl/>
          <w:lang w:val="en-US"/>
        </w:rPr>
        <w:t>אמו</w:t>
      </w:r>
      <w:proofErr w:type="spellEnd"/>
      <w:r w:rsidRPr="001E0862">
        <w:rPr>
          <w:rStyle w:val="default"/>
          <w:rFonts w:ascii="FrankRuehl" w:eastAsiaTheme="majorEastAsia" w:hAnsi="FrankRuehl" w:cs="FrankRuehl"/>
          <w:sz w:val="26"/>
          <w:szCs w:val="26"/>
          <w:rtl/>
          <w:lang w:val="en-US"/>
        </w:rPr>
        <w:t>, סבו או סבתו;</w:t>
      </w:r>
    </w:p>
    <w:p w14:paraId="3B680B28" w14:textId="77777777" w:rsidR="001E0862" w:rsidRPr="001E0862" w:rsidRDefault="001E086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Style w:val="default"/>
          <w:rFonts w:ascii="FrankRuehl" w:eastAsiaTheme="majorEastAsia" w:hAnsi="FrankRuehl" w:cs="FrankRuehl"/>
          <w:sz w:val="26"/>
          <w:szCs w:val="26"/>
          <w:rtl/>
          <w:lang w:val="en-US"/>
        </w:rPr>
      </w:pPr>
      <w:r w:rsidRPr="001E0862">
        <w:rPr>
          <w:rStyle w:val="default"/>
          <w:rFonts w:ascii="FrankRuehl" w:eastAsiaTheme="majorEastAsia" w:hAnsi="FrankRuehl" w:cs="FrankRuehl"/>
          <w:sz w:val="26"/>
          <w:szCs w:val="26"/>
          <w:rtl/>
          <w:lang w:val="en-US"/>
        </w:rPr>
        <w:t>(2)   גורם בכוונה תחילה למותו של אדם;</w:t>
      </w:r>
    </w:p>
    <w:p w14:paraId="2180C5D7" w14:textId="77777777" w:rsidR="001E0862" w:rsidRPr="001E0862" w:rsidRDefault="001E086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Style w:val="default"/>
          <w:rFonts w:ascii="FrankRuehl" w:eastAsiaTheme="majorEastAsia" w:hAnsi="FrankRuehl" w:cs="FrankRuehl"/>
          <w:sz w:val="26"/>
          <w:szCs w:val="26"/>
          <w:rtl/>
          <w:lang w:val="en-US"/>
        </w:rPr>
      </w:pPr>
      <w:r w:rsidRPr="001E0862">
        <w:rPr>
          <w:rStyle w:val="default"/>
          <w:rFonts w:ascii="FrankRuehl" w:eastAsiaTheme="majorEastAsia" w:hAnsi="FrankRuehl" w:cs="FrankRuehl"/>
          <w:sz w:val="26"/>
          <w:szCs w:val="26"/>
          <w:rtl/>
          <w:lang w:val="en-US"/>
        </w:rPr>
        <w:t>(3)   גורם במזיד למותו של אדם תוך ביצוע עבירה או תוך הכנות לביצועה או כדי להקל על ביצועה;</w:t>
      </w:r>
    </w:p>
    <w:p w14:paraId="64328772" w14:textId="77777777" w:rsidR="001E0862" w:rsidRPr="001E0862" w:rsidRDefault="001E086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Style w:val="default"/>
          <w:rFonts w:ascii="FrankRuehl" w:eastAsiaTheme="majorEastAsia" w:hAnsi="FrankRuehl" w:cs="FrankRuehl"/>
          <w:sz w:val="26"/>
          <w:szCs w:val="26"/>
          <w:rtl/>
          <w:lang w:val="en-US"/>
        </w:rPr>
      </w:pPr>
      <w:r w:rsidRPr="001E0862">
        <w:rPr>
          <w:rStyle w:val="default"/>
          <w:rFonts w:ascii="FrankRuehl" w:eastAsiaTheme="majorEastAsia" w:hAnsi="FrankRuehl" w:cs="FrankRuehl"/>
          <w:sz w:val="26"/>
          <w:szCs w:val="26"/>
          <w:rtl/>
          <w:lang w:val="en-US"/>
        </w:rPr>
        <w:t>(4)   גורם למותו של אדם כשנעברה עבירה אחרת, כדי להבטיח לעצמו, או למי שהשתתף בביצוע אותה עבירה, בריחה או הימלטות מעונש.</w:t>
      </w:r>
    </w:p>
    <w:p w14:paraId="27A85687" w14:textId="17BE8211" w:rsidR="00DD1989" w:rsidRPr="004B5429" w:rsidRDefault="00DD1989" w:rsidP="008F05D0">
      <w:pPr>
        <w:bidi/>
        <w:spacing w:after="0" w:line="276" w:lineRule="auto"/>
        <w:jc w:val="both"/>
        <w:rPr>
          <w:rFonts w:ascii="Segoe UI" w:hAnsi="Segoe UI" w:cs="Segoe UI"/>
          <w:color w:val="FF0000"/>
          <w:rtl/>
          <w:lang w:val="en-ZW"/>
        </w:rPr>
      </w:pPr>
      <w:r w:rsidRPr="004B5429">
        <w:rPr>
          <w:rFonts w:ascii="Segoe UI" w:hAnsi="Segoe UI" w:cs="Segoe UI" w:hint="cs"/>
          <w:b/>
          <w:bCs/>
          <w:color w:val="FF0000"/>
          <w:rtl/>
          <w:lang w:val="en-ZW"/>
        </w:rPr>
        <w:t>מדובר בעבירה שהייתה קיימת לפני הרפורמה בעבירות ההמתה בשנת 2019.</w:t>
      </w:r>
    </w:p>
    <w:p w14:paraId="02909395" w14:textId="77777777" w:rsidR="00AC5977" w:rsidRPr="008824E6" w:rsidRDefault="00AC5977" w:rsidP="008F05D0">
      <w:pPr>
        <w:bidi/>
        <w:spacing w:after="0" w:line="276" w:lineRule="auto"/>
        <w:jc w:val="both"/>
        <w:rPr>
          <w:rFonts w:ascii="Segoe UI" w:hAnsi="Segoe UI" w:cs="Segoe UI"/>
          <w:color w:val="FF0000"/>
          <w:rtl/>
          <w:lang w:val="en-ZW"/>
        </w:rPr>
      </w:pPr>
    </w:p>
    <w:p w14:paraId="24647D87" w14:textId="55DF7B66" w:rsidR="001E0862" w:rsidRPr="008824E6" w:rsidRDefault="00E644B5" w:rsidP="008F05D0">
      <w:pPr>
        <w:pStyle w:val="ab"/>
        <w:numPr>
          <w:ilvl w:val="0"/>
          <w:numId w:val="64"/>
        </w:numPr>
        <w:bidi/>
        <w:spacing w:after="0" w:line="276" w:lineRule="auto"/>
        <w:jc w:val="both"/>
        <w:rPr>
          <w:rFonts w:ascii="Segoe UI" w:hAnsi="Segoe UI" w:cs="Segoe UI"/>
          <w:b/>
          <w:bCs/>
          <w:u w:val="single"/>
          <w:lang w:val="en-ZW"/>
        </w:rPr>
      </w:pPr>
      <w:r w:rsidRPr="008824E6">
        <w:rPr>
          <w:rFonts w:ascii="Segoe UI" w:hAnsi="Segoe UI" w:cs="Segoe UI" w:hint="cs"/>
          <w:b/>
          <w:bCs/>
          <w:u w:val="single"/>
          <w:rtl/>
          <w:lang w:val="en-ZW"/>
        </w:rPr>
        <w:t>עונש מופחת</w:t>
      </w:r>
    </w:p>
    <w:p w14:paraId="6D5AA8D3" w14:textId="77777777" w:rsidR="00E644B5" w:rsidRPr="00E644B5" w:rsidRDefault="00E644B5"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Segoe UI" w:hAnsi="Segoe UI" w:cs="Segoe UI"/>
          <w:b/>
          <w:bCs/>
          <w:color w:val="FF0000"/>
          <w:sz w:val="24"/>
          <w:szCs w:val="24"/>
          <w:lang w:val="en-US"/>
        </w:rPr>
      </w:pPr>
      <w:r w:rsidRPr="00E644B5">
        <w:rPr>
          <w:rFonts w:ascii="Segoe UI" w:hAnsi="Segoe UI" w:cs="Segoe UI"/>
          <w:b/>
          <w:bCs/>
          <w:color w:val="FF0000"/>
          <w:sz w:val="24"/>
          <w:szCs w:val="24"/>
          <w:rtl/>
          <w:lang w:val="en-ZW"/>
        </w:rPr>
        <w:t>עונש מופחת (תיקון מס' 44) תשנ"ה-1995 [לפני הרפורמה]</w:t>
      </w:r>
    </w:p>
    <w:p w14:paraId="4A0B8908" w14:textId="77777777" w:rsidR="00E644B5" w:rsidRPr="00E644B5" w:rsidRDefault="00E644B5"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Style w:val="default"/>
          <w:rFonts w:ascii="FrankRuehl" w:eastAsiaTheme="majorEastAsia" w:hAnsi="FrankRuehl" w:cs="FrankRuehl"/>
          <w:sz w:val="26"/>
          <w:szCs w:val="26"/>
          <w:rtl/>
          <w:lang w:val="en-US"/>
        </w:rPr>
      </w:pPr>
      <w:r w:rsidRPr="00E644B5">
        <w:rPr>
          <w:rStyle w:val="big-number"/>
          <w:rFonts w:ascii="Miriam" w:eastAsia="Times New Roman" w:hAnsi="Miriam" w:cs="Miriam"/>
          <w:sz w:val="32"/>
          <w:szCs w:val="32"/>
          <w:rtl/>
          <w:lang w:val="en-US"/>
        </w:rPr>
        <w:t>300א</w:t>
      </w:r>
      <w:r w:rsidRPr="00E644B5">
        <w:rPr>
          <w:rStyle w:val="default"/>
          <w:rFonts w:ascii="FrankRuehl" w:eastAsiaTheme="majorEastAsia" w:hAnsi="FrankRuehl" w:cs="FrankRuehl"/>
          <w:sz w:val="26"/>
          <w:szCs w:val="26"/>
          <w:rtl/>
          <w:lang w:val="en-US"/>
        </w:rPr>
        <w:t>.       על אף האמור בסעיף 300, ניתן להטיל עונש קל מהקבוע בו, אם נעברה העבירה באחד מאלה:</w:t>
      </w:r>
    </w:p>
    <w:p w14:paraId="3794E4C7" w14:textId="77777777" w:rsidR="00E644B5" w:rsidRPr="00E644B5" w:rsidRDefault="00E644B5"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Style w:val="default"/>
          <w:rFonts w:ascii="FrankRuehl" w:eastAsiaTheme="majorEastAsia" w:hAnsi="FrankRuehl" w:cs="FrankRuehl"/>
          <w:sz w:val="26"/>
          <w:szCs w:val="26"/>
          <w:rtl/>
          <w:lang w:val="en-US"/>
        </w:rPr>
      </w:pPr>
      <w:r w:rsidRPr="00E644B5">
        <w:rPr>
          <w:rStyle w:val="default"/>
          <w:rFonts w:ascii="FrankRuehl" w:eastAsiaTheme="majorEastAsia" w:hAnsi="FrankRuehl" w:cs="FrankRuehl"/>
          <w:sz w:val="26"/>
          <w:szCs w:val="26"/>
          <w:rtl/>
          <w:lang w:val="en-US"/>
        </w:rPr>
        <w:t>(א)  במצב שבו, בשל הפרעה נפשית חמורה או בשל ליקוי בכושרו השכלי, הוגבלה יכולתו של הנאשם במידה ניכרת, אך לא עד כדי חוסר יכולת של ממש כאמור בסעיף 34ח –</w:t>
      </w:r>
    </w:p>
    <w:p w14:paraId="66197D35" w14:textId="77777777" w:rsidR="00E644B5" w:rsidRPr="00E644B5" w:rsidRDefault="00E644B5"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Style w:val="default"/>
          <w:rFonts w:ascii="FrankRuehl" w:eastAsiaTheme="majorEastAsia" w:hAnsi="FrankRuehl" w:cs="FrankRuehl"/>
          <w:sz w:val="26"/>
          <w:szCs w:val="26"/>
          <w:rtl/>
          <w:lang w:val="en-US"/>
        </w:rPr>
      </w:pPr>
      <w:r w:rsidRPr="00E644B5">
        <w:rPr>
          <w:rStyle w:val="default"/>
          <w:rFonts w:ascii="FrankRuehl" w:eastAsiaTheme="majorEastAsia" w:hAnsi="FrankRuehl" w:cs="FrankRuehl"/>
          <w:sz w:val="26"/>
          <w:szCs w:val="26"/>
          <w:rtl/>
          <w:lang w:val="en-US"/>
        </w:rPr>
        <w:t>(1)   להבין את אשר הוא עושה או את הפסול שבמעשהו; או</w:t>
      </w:r>
    </w:p>
    <w:p w14:paraId="7AE54F10" w14:textId="77777777" w:rsidR="00E644B5" w:rsidRPr="00E644B5" w:rsidRDefault="00E644B5"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Style w:val="default"/>
          <w:rFonts w:ascii="FrankRuehl" w:eastAsiaTheme="majorEastAsia" w:hAnsi="FrankRuehl" w:cs="FrankRuehl"/>
          <w:sz w:val="26"/>
          <w:szCs w:val="26"/>
          <w:rtl/>
          <w:lang w:val="en-US"/>
        </w:rPr>
      </w:pPr>
      <w:r w:rsidRPr="00E644B5">
        <w:rPr>
          <w:rStyle w:val="default"/>
          <w:rFonts w:ascii="FrankRuehl" w:eastAsiaTheme="majorEastAsia" w:hAnsi="FrankRuehl" w:cs="FrankRuehl"/>
          <w:sz w:val="26"/>
          <w:szCs w:val="26"/>
          <w:rtl/>
          <w:lang w:val="en-US"/>
        </w:rPr>
        <w:t>(2)   להימנע מעשיית המעשה.</w:t>
      </w:r>
    </w:p>
    <w:p w14:paraId="798DCD05" w14:textId="0B96E67C" w:rsidR="00E644B5" w:rsidRPr="004B5429" w:rsidRDefault="004560C3" w:rsidP="008F05D0">
      <w:pPr>
        <w:bidi/>
        <w:spacing w:after="0" w:line="276" w:lineRule="auto"/>
        <w:jc w:val="both"/>
        <w:rPr>
          <w:rFonts w:ascii="Segoe UI" w:hAnsi="Segoe UI" w:cs="Segoe UI"/>
          <w:color w:val="7030A0"/>
          <w:rtl/>
          <w:lang w:val="en-ZW"/>
        </w:rPr>
      </w:pPr>
      <w:r w:rsidRPr="004B5429">
        <w:rPr>
          <w:rFonts w:ascii="Segoe UI" w:hAnsi="Segoe UI" w:cs="Segoe UI" w:hint="cs"/>
          <w:color w:val="7030A0"/>
          <w:rtl/>
          <w:lang w:val="en-ZW"/>
        </w:rPr>
        <w:t xml:space="preserve">לפני הרפורמה התחשבו נניח בנשים שרצחו את בעליהן בגלל התעללות רבת שנים, כיום לאחר הרפורמה בעבירות ההמתה הן יורשעו פשוט בסעיפים מקלים מראש. </w:t>
      </w:r>
    </w:p>
    <w:p w14:paraId="3714D387" w14:textId="77777777" w:rsidR="00AC5977" w:rsidRPr="008824E6" w:rsidRDefault="00AC5977" w:rsidP="008F05D0">
      <w:pPr>
        <w:bidi/>
        <w:spacing w:after="0" w:line="276" w:lineRule="auto"/>
        <w:jc w:val="both"/>
        <w:rPr>
          <w:rFonts w:ascii="Segoe UI" w:hAnsi="Segoe UI" w:cs="Segoe UI"/>
          <w:color w:val="7030A0"/>
          <w:rtl/>
          <w:lang w:val="en-ZW"/>
        </w:rPr>
      </w:pPr>
    </w:p>
    <w:p w14:paraId="183FA7AD" w14:textId="1033EC8A" w:rsidR="00FA0624" w:rsidRPr="008824E6" w:rsidRDefault="00FA0624" w:rsidP="008F05D0">
      <w:pPr>
        <w:pStyle w:val="ab"/>
        <w:numPr>
          <w:ilvl w:val="0"/>
          <w:numId w:val="64"/>
        </w:numPr>
        <w:bidi/>
        <w:spacing w:after="0" w:line="276" w:lineRule="auto"/>
        <w:jc w:val="both"/>
        <w:rPr>
          <w:rFonts w:ascii="Segoe UI" w:hAnsi="Segoe UI" w:cs="Segoe UI"/>
          <w:b/>
          <w:bCs/>
          <w:u w:val="single"/>
          <w:rtl/>
          <w:lang w:val="en-ZW"/>
        </w:rPr>
      </w:pPr>
      <w:r w:rsidRPr="008824E6">
        <w:rPr>
          <w:rFonts w:ascii="Segoe UI" w:hAnsi="Segoe UI" w:cs="Segoe UI" w:hint="cs"/>
          <w:b/>
          <w:bCs/>
          <w:u w:val="single"/>
          <w:rtl/>
          <w:lang w:val="en-ZW"/>
        </w:rPr>
        <w:t>עונש חובה ונסיבות מקלות</w:t>
      </w:r>
    </w:p>
    <w:p w14:paraId="4A15850D" w14:textId="77777777" w:rsidR="00916D02" w:rsidRPr="00916D02" w:rsidRDefault="00916D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916D02">
        <w:rPr>
          <w:rFonts w:ascii="Time New Roman" w:eastAsia="Times New Roman" w:hAnsi="Time New Roman" w:cs="Times New Roman"/>
          <w:b/>
          <w:bCs/>
          <w:color w:val="008000"/>
          <w:sz w:val="27"/>
          <w:szCs w:val="27"/>
          <w:rtl/>
          <w:lang w:val="en-US"/>
        </w:rPr>
        <w:t>עונש חובה ונסיבות מקלות (תיקון מס' 44) תשנ"ה-1995</w:t>
      </w:r>
    </w:p>
    <w:p w14:paraId="369E2774" w14:textId="77777777" w:rsidR="00916D02" w:rsidRPr="00916D02" w:rsidRDefault="00916D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916D02">
        <w:rPr>
          <w:rFonts w:ascii="Miriam" w:eastAsia="Times New Roman" w:hAnsi="Miriam" w:cs="Miriam"/>
          <w:sz w:val="32"/>
          <w:szCs w:val="32"/>
          <w:rtl/>
          <w:lang w:val="en-US"/>
        </w:rPr>
        <w:t>35</w:t>
      </w:r>
      <w:r w:rsidRPr="00916D02">
        <w:rPr>
          <w:rFonts w:ascii="FrankRuehl" w:eastAsia="Times New Roman" w:hAnsi="FrankRuehl" w:cs="FrankRuehl"/>
          <w:sz w:val="26"/>
          <w:szCs w:val="26"/>
          <w:rtl/>
          <w:lang w:val="en-US"/>
        </w:rPr>
        <w:t>א.  (א)  הורשע אדם בעבירה שדינה עונש חובה, ניתן להטיל עליו עונש קל מעונש החובה הקבוע לעבירה, אם העבירה נעברה בנסיבות מקלות מיוחדות שיפורשו בגזר הדין.</w:t>
      </w:r>
    </w:p>
    <w:p w14:paraId="6C5C5DE9" w14:textId="77777777" w:rsidR="00916D02" w:rsidRPr="00916D02" w:rsidRDefault="00916D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916D02">
        <w:rPr>
          <w:rFonts w:ascii="FrankRuehl" w:eastAsia="Times New Roman" w:hAnsi="FrankRuehl" w:cs="FrankRuehl"/>
          <w:sz w:val="26"/>
          <w:szCs w:val="26"/>
          <w:rtl/>
          <w:lang w:val="en-US"/>
        </w:rPr>
        <w:t>          (ב)  הוראות סעיף קטן (א) לא יחולו על אלה:</w:t>
      </w:r>
    </w:p>
    <w:p w14:paraId="2E8BAC81" w14:textId="77777777" w:rsidR="00916D02" w:rsidRPr="00916D02" w:rsidRDefault="00916D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916D02">
        <w:rPr>
          <w:rFonts w:ascii="Time New Roman" w:eastAsia="Times New Roman" w:hAnsi="Time New Roman" w:cs="Times New Roman"/>
          <w:b/>
          <w:bCs/>
          <w:color w:val="008000"/>
          <w:sz w:val="27"/>
          <w:szCs w:val="27"/>
          <w:rtl/>
          <w:lang w:val="en-US"/>
        </w:rPr>
        <w:lastRenderedPageBreak/>
        <w:t>(תיקון מס' 137) תשע"ט-2019</w:t>
      </w:r>
    </w:p>
    <w:p w14:paraId="3F65AA41" w14:textId="77777777" w:rsidR="00916D02" w:rsidRPr="00916D02" w:rsidRDefault="00916D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916D02">
        <w:rPr>
          <w:rFonts w:ascii="FrankRuehl" w:eastAsia="Times New Roman" w:hAnsi="FrankRuehl" w:cs="FrankRuehl"/>
          <w:sz w:val="26"/>
          <w:szCs w:val="26"/>
          <w:rtl/>
          <w:lang w:val="en-US"/>
        </w:rPr>
        <w:t>(1)   עבירת רצח בנסיבות מחמירות לפי סעיף 301א;</w:t>
      </w:r>
    </w:p>
    <w:p w14:paraId="3A414DD7" w14:textId="77777777" w:rsidR="00916D02" w:rsidRPr="00916D02" w:rsidRDefault="00916D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916D02">
        <w:rPr>
          <w:rFonts w:ascii="FrankRuehl" w:eastAsia="Times New Roman" w:hAnsi="FrankRuehl" w:cs="FrankRuehl"/>
          <w:sz w:val="26"/>
          <w:szCs w:val="26"/>
          <w:rtl/>
          <w:lang w:val="en-US"/>
        </w:rPr>
        <w:t>(2)   עבירה לפי –</w:t>
      </w:r>
    </w:p>
    <w:p w14:paraId="7653FCDB" w14:textId="77777777" w:rsidR="00916D02" w:rsidRPr="00916D02" w:rsidRDefault="00916D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916D02">
        <w:rPr>
          <w:rFonts w:ascii="FrankRuehl" w:eastAsia="Times New Roman" w:hAnsi="FrankRuehl" w:cs="FrankRuehl"/>
          <w:sz w:val="26"/>
          <w:szCs w:val="26"/>
          <w:rtl/>
          <w:lang w:val="en-US"/>
        </w:rPr>
        <w:t>(א)   חוק לעשיית דין בנאצים ובעוזריהם, תש"י-1950;</w:t>
      </w:r>
    </w:p>
    <w:p w14:paraId="0F184FE7" w14:textId="77777777" w:rsidR="00916D02" w:rsidRPr="00916D02" w:rsidRDefault="00916D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916D02">
        <w:rPr>
          <w:rFonts w:ascii="FrankRuehl" w:eastAsia="Times New Roman" w:hAnsi="FrankRuehl" w:cs="FrankRuehl"/>
          <w:sz w:val="26"/>
          <w:szCs w:val="26"/>
          <w:rtl/>
          <w:lang w:val="en-US"/>
        </w:rPr>
        <w:t>(ב)   חוק בדבר מניעתו וענישתו של הפשע השמדת עם, תש"י-1950;</w:t>
      </w:r>
    </w:p>
    <w:p w14:paraId="6969100A" w14:textId="361D63F1" w:rsidR="00916D02" w:rsidRPr="00ED2AB1" w:rsidRDefault="00916D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916D02">
        <w:rPr>
          <w:rFonts w:ascii="FrankRuehl" w:eastAsia="Times New Roman" w:hAnsi="FrankRuehl" w:cs="FrankRuehl"/>
          <w:sz w:val="26"/>
          <w:szCs w:val="26"/>
          <w:rtl/>
          <w:lang w:val="en-US"/>
        </w:rPr>
        <w:t>(ג)    חוק הטיס (עבירות ושיפוט), תשל"א-1971.</w:t>
      </w:r>
    </w:p>
    <w:p w14:paraId="062619F4" w14:textId="77777777" w:rsidR="002F4B66" w:rsidRPr="008824E6" w:rsidRDefault="002F4B66" w:rsidP="008F05D0">
      <w:pPr>
        <w:bidi/>
        <w:spacing w:after="0" w:line="276" w:lineRule="auto"/>
        <w:jc w:val="both"/>
        <w:rPr>
          <w:rFonts w:ascii="Segoe UI" w:hAnsi="Segoe UI" w:cs="Segoe UI"/>
          <w:b/>
          <w:bCs/>
          <w:u w:val="single"/>
          <w:lang w:val="en-ZW"/>
        </w:rPr>
      </w:pPr>
    </w:p>
    <w:p w14:paraId="434972E3" w14:textId="0961C097" w:rsidR="00916D02" w:rsidRPr="008824E6" w:rsidRDefault="00916D02" w:rsidP="008F05D0">
      <w:pPr>
        <w:pStyle w:val="ab"/>
        <w:numPr>
          <w:ilvl w:val="0"/>
          <w:numId w:val="64"/>
        </w:numPr>
        <w:bidi/>
        <w:spacing w:after="0" w:line="276" w:lineRule="auto"/>
        <w:jc w:val="both"/>
        <w:rPr>
          <w:rFonts w:ascii="Segoe UI" w:hAnsi="Segoe UI" w:cs="Segoe UI"/>
          <w:b/>
          <w:bCs/>
          <w:u w:val="single"/>
          <w:lang w:val="en-ZW"/>
        </w:rPr>
      </w:pPr>
      <w:r w:rsidRPr="008824E6">
        <w:rPr>
          <w:rFonts w:ascii="Segoe UI" w:hAnsi="Segoe UI" w:cs="Segoe UI" w:hint="cs"/>
          <w:b/>
          <w:bCs/>
          <w:u w:val="single"/>
          <w:rtl/>
          <w:lang w:val="en-ZW"/>
        </w:rPr>
        <w:t>חלופת מאסר</w:t>
      </w:r>
    </w:p>
    <w:p w14:paraId="00F8304F" w14:textId="4BFB477C" w:rsidR="00C17666" w:rsidRPr="004B5429" w:rsidRDefault="00C17666" w:rsidP="008F05D0">
      <w:pPr>
        <w:numPr>
          <w:ilvl w:val="0"/>
          <w:numId w:val="65"/>
        </w:numPr>
        <w:bidi/>
        <w:spacing w:after="0" w:line="276" w:lineRule="auto"/>
        <w:ind w:left="723"/>
        <w:jc w:val="both"/>
        <w:rPr>
          <w:rFonts w:ascii="Segoe UI" w:hAnsi="Segoe UI" w:cs="Segoe UI"/>
          <w:lang w:val="en-US"/>
        </w:rPr>
      </w:pPr>
      <w:r w:rsidRPr="004B5429">
        <w:rPr>
          <w:rFonts w:ascii="Segoe UI" w:hAnsi="Segoe UI" w:cs="Segoe UI"/>
          <w:rtl/>
          <w:lang w:val="en-US"/>
        </w:rPr>
        <w:t>מאסר לסירוגין שמגביל את החירות במידה ולא פוגעות בפרנסה</w:t>
      </w:r>
      <w:r w:rsidR="00E43FB6" w:rsidRPr="004B5429">
        <w:rPr>
          <w:rFonts w:ascii="Segoe UI" w:hAnsi="Segoe UI" w:cs="Segoe UI" w:hint="cs"/>
          <w:rtl/>
          <w:lang w:val="en-US"/>
        </w:rPr>
        <w:t>.</w:t>
      </w:r>
    </w:p>
    <w:p w14:paraId="4C61F647" w14:textId="59C71CBE" w:rsidR="00C17666" w:rsidRPr="004B5429" w:rsidRDefault="00C17666" w:rsidP="008F05D0">
      <w:pPr>
        <w:numPr>
          <w:ilvl w:val="0"/>
          <w:numId w:val="65"/>
        </w:numPr>
        <w:bidi/>
        <w:spacing w:after="0" w:line="276" w:lineRule="auto"/>
        <w:ind w:left="723"/>
        <w:jc w:val="both"/>
        <w:rPr>
          <w:rFonts w:ascii="Segoe UI" w:hAnsi="Segoe UI" w:cs="Segoe UI"/>
          <w:rtl/>
          <w:lang w:val="en-US"/>
        </w:rPr>
      </w:pPr>
      <w:r w:rsidRPr="004B5429">
        <w:rPr>
          <w:rFonts w:ascii="Segoe UI" w:hAnsi="Segoe UI" w:cs="Segoe UI"/>
          <w:rtl/>
          <w:lang w:val="en-US"/>
        </w:rPr>
        <w:t xml:space="preserve">מאסר </w:t>
      </w:r>
      <w:r w:rsidRPr="004B5429">
        <w:rPr>
          <w:rFonts w:ascii="Segoe UI" w:hAnsi="Segoe UI" w:cs="Segoe UI"/>
          <w:b/>
          <w:bCs/>
          <w:rtl/>
          <w:lang w:val="en-US"/>
        </w:rPr>
        <w:t xml:space="preserve">סוף שבוע </w:t>
      </w:r>
      <w:r w:rsidRPr="004B5429">
        <w:rPr>
          <w:rFonts w:ascii="Segoe UI" w:hAnsi="Segoe UI" w:cs="Segoe UI"/>
          <w:rtl/>
          <w:lang w:val="en-US"/>
        </w:rPr>
        <w:t>- העבריין עובד כל השבוע ושוללים את החירות בסוף השבוע</w:t>
      </w:r>
      <w:r w:rsidRPr="004B5429">
        <w:rPr>
          <w:rFonts w:ascii="Segoe UI" w:hAnsi="Segoe UI" w:cs="Segoe UI" w:hint="cs"/>
          <w:rtl/>
          <w:lang w:val="en-US"/>
        </w:rPr>
        <w:t xml:space="preserve"> </w:t>
      </w:r>
      <w:r w:rsidRPr="004B5429">
        <w:rPr>
          <w:rFonts w:ascii="Segoe UI" w:hAnsi="Segoe UI" w:cs="Segoe UI"/>
          <w:rtl/>
          <w:lang w:val="en-US"/>
        </w:rPr>
        <w:t>(נקרא "מאסר למחצה". ניו זילנד</w:t>
      </w:r>
      <w:r w:rsidRPr="004B5429">
        <w:rPr>
          <w:rFonts w:ascii="Segoe UI" w:hAnsi="Segoe UI" w:cs="Segoe UI" w:hint="cs"/>
          <w:rtl/>
          <w:lang w:val="en-US"/>
        </w:rPr>
        <w:t xml:space="preserve"> </w:t>
      </w:r>
      <w:r w:rsidRPr="004B5429">
        <w:rPr>
          <w:rFonts w:ascii="Segoe UI" w:hAnsi="Segoe UI" w:cs="Segoe UI"/>
          <w:rtl/>
          <w:lang w:val="en-US"/>
        </w:rPr>
        <w:t xml:space="preserve">– בנוסף למאסר </w:t>
      </w:r>
      <w:proofErr w:type="spellStart"/>
      <w:r w:rsidRPr="004B5429">
        <w:rPr>
          <w:rFonts w:ascii="Segoe UI" w:hAnsi="Segoe UI" w:cs="Segoe UI"/>
          <w:rtl/>
          <w:lang w:val="en-US"/>
        </w:rPr>
        <w:t>סופ"ש</w:t>
      </w:r>
      <w:proofErr w:type="spellEnd"/>
      <w:r w:rsidRPr="004B5429">
        <w:rPr>
          <w:rFonts w:ascii="Segoe UI" w:hAnsi="Segoe UI" w:cs="Segoe UI" w:hint="cs"/>
          <w:rtl/>
          <w:lang w:val="en-US"/>
        </w:rPr>
        <w:t xml:space="preserve"> </w:t>
      </w:r>
      <w:r w:rsidRPr="004B5429">
        <w:rPr>
          <w:rFonts w:ascii="Segoe UI" w:hAnsi="Segoe UI" w:cs="Segoe UI"/>
          <w:rtl/>
          <w:lang w:val="en-US"/>
        </w:rPr>
        <w:t>–</w:t>
      </w:r>
      <w:r w:rsidRPr="004B5429">
        <w:rPr>
          <w:rFonts w:ascii="Segoe UI" w:hAnsi="Segoe UI" w:cs="Segoe UI" w:hint="cs"/>
          <w:rtl/>
          <w:lang w:val="en-US"/>
        </w:rPr>
        <w:t xml:space="preserve"> </w:t>
      </w:r>
      <w:r w:rsidRPr="004B5429">
        <w:rPr>
          <w:rFonts w:ascii="Segoe UI" w:hAnsi="Segoe UI" w:cs="Segoe UI"/>
          <w:rtl/>
          <w:lang w:val="en-US"/>
        </w:rPr>
        <w:t>נדרש להתייצב בכמה ימים מערבי השבוע (שעות הפנאי נשללות).</w:t>
      </w:r>
    </w:p>
    <w:p w14:paraId="6531E8BE" w14:textId="77777777" w:rsidR="00C17666" w:rsidRPr="004B5429" w:rsidRDefault="00C17666" w:rsidP="008F05D0">
      <w:pPr>
        <w:numPr>
          <w:ilvl w:val="0"/>
          <w:numId w:val="65"/>
        </w:numPr>
        <w:bidi/>
        <w:spacing w:after="0" w:line="276" w:lineRule="auto"/>
        <w:ind w:left="723"/>
        <w:jc w:val="both"/>
        <w:rPr>
          <w:rFonts w:ascii="Segoe UI" w:hAnsi="Segoe UI" w:cs="Segoe UI"/>
          <w:rtl/>
          <w:lang w:val="en-US"/>
        </w:rPr>
      </w:pPr>
      <w:r w:rsidRPr="004B5429">
        <w:rPr>
          <w:rFonts w:ascii="Segoe UI" w:hAnsi="Segoe UI" w:cs="Segoe UI"/>
          <w:b/>
          <w:bCs/>
          <w:rtl/>
          <w:lang w:val="en-US"/>
        </w:rPr>
        <w:t xml:space="preserve">מאסר לילה </w:t>
      </w:r>
      <w:r w:rsidRPr="004B5429">
        <w:rPr>
          <w:rFonts w:ascii="Segoe UI" w:hAnsi="Segoe UI" w:cs="Segoe UI"/>
          <w:rtl/>
          <w:lang w:val="en-US"/>
        </w:rPr>
        <w:t>- האסיר עובד כל יום בחוץ ובא רק בלילה לבית כלא (ענישה לעבירות קלות יחסית).</w:t>
      </w:r>
    </w:p>
    <w:p w14:paraId="1EC84390" w14:textId="3BFB2E13" w:rsidR="00916D02" w:rsidRPr="008824E6" w:rsidRDefault="00916D02" w:rsidP="008F05D0">
      <w:pPr>
        <w:bidi/>
        <w:spacing w:after="0" w:line="276" w:lineRule="auto"/>
        <w:jc w:val="both"/>
        <w:rPr>
          <w:rFonts w:ascii="Segoe UI" w:hAnsi="Segoe UI" w:cs="Segoe UI"/>
          <w:rtl/>
          <w:lang w:val="en-US"/>
        </w:rPr>
      </w:pPr>
    </w:p>
    <w:p w14:paraId="2E235FD4" w14:textId="12418E2B" w:rsidR="000A5FE6" w:rsidRDefault="000A5FE6" w:rsidP="008F05D0">
      <w:pPr>
        <w:pStyle w:val="2"/>
        <w:rPr>
          <w:rtl/>
        </w:rPr>
      </w:pPr>
      <w:bookmarkStart w:id="24" w:name="_Toc108218193"/>
      <w:r>
        <w:rPr>
          <w:rFonts w:hint="cs"/>
          <w:rtl/>
        </w:rPr>
        <w:t>עבודות שירות</w:t>
      </w:r>
      <w:r w:rsidR="009A345A">
        <w:rPr>
          <w:rFonts w:hint="cs"/>
          <w:rtl/>
        </w:rPr>
        <w:t xml:space="preserve"> (</w:t>
      </w:r>
      <w:proofErr w:type="spellStart"/>
      <w:r w:rsidR="009A345A" w:rsidRPr="009A345A">
        <w:rPr>
          <w:rFonts w:hint="cs"/>
          <w:color w:val="7030A0"/>
          <w:rtl/>
        </w:rPr>
        <w:t>עב"ש</w:t>
      </w:r>
      <w:proofErr w:type="spellEnd"/>
      <w:r w:rsidR="009A345A">
        <w:rPr>
          <w:rFonts w:hint="cs"/>
          <w:rtl/>
        </w:rPr>
        <w:t>)</w:t>
      </w:r>
      <w:bookmarkEnd w:id="24"/>
    </w:p>
    <w:p w14:paraId="499B2B5A" w14:textId="454AA97B" w:rsidR="007F6B0E" w:rsidRPr="004B5429" w:rsidRDefault="007F6B0E" w:rsidP="008F05D0">
      <w:pPr>
        <w:pStyle w:val="ab"/>
        <w:numPr>
          <w:ilvl w:val="0"/>
          <w:numId w:val="66"/>
        </w:numPr>
        <w:bidi/>
        <w:spacing w:line="276" w:lineRule="auto"/>
        <w:jc w:val="both"/>
        <w:rPr>
          <w:rFonts w:ascii="Segoe UI" w:hAnsi="Segoe UI" w:cs="Segoe UI"/>
          <w:lang w:val="en-ZW"/>
        </w:rPr>
      </w:pPr>
      <w:r w:rsidRPr="004B5429">
        <w:rPr>
          <w:rFonts w:ascii="Segoe UI" w:hAnsi="Segoe UI" w:cs="Segoe UI"/>
          <w:rtl/>
          <w:lang w:val="en-ZW"/>
        </w:rPr>
        <w:t>אם בית משפט גזר על אדם עונש מאסר שאינו עולה על תשעה חודשים - יכול השופט להחליט שהנאשם ירצה את העונש כולו או חלקו – בעבודות שירות מחוץ לכ</w:t>
      </w:r>
      <w:r w:rsidRPr="004B5429">
        <w:rPr>
          <w:rFonts w:ascii="Segoe UI" w:hAnsi="Segoe UI" w:cs="Segoe UI" w:hint="cs"/>
          <w:rtl/>
          <w:lang w:val="en-ZW"/>
        </w:rPr>
        <w:t>ו</w:t>
      </w:r>
      <w:r w:rsidRPr="004B5429">
        <w:rPr>
          <w:rFonts w:ascii="Segoe UI" w:hAnsi="Segoe UI" w:cs="Segoe UI"/>
          <w:rtl/>
          <w:lang w:val="en-ZW"/>
        </w:rPr>
        <w:t>תלי בית סוהר</w:t>
      </w:r>
      <w:r w:rsidRPr="004B5429">
        <w:rPr>
          <w:rFonts w:ascii="Segoe UI" w:hAnsi="Segoe UI" w:cs="Segoe UI"/>
          <w:lang w:val="en-ZW"/>
        </w:rPr>
        <w:t>.</w:t>
      </w:r>
    </w:p>
    <w:p w14:paraId="60DAF28A" w14:textId="77777777" w:rsidR="007F6B0E" w:rsidRPr="004B5429" w:rsidRDefault="007F6B0E" w:rsidP="008F05D0">
      <w:pPr>
        <w:pStyle w:val="ab"/>
        <w:numPr>
          <w:ilvl w:val="0"/>
          <w:numId w:val="66"/>
        </w:numPr>
        <w:bidi/>
        <w:spacing w:line="276" w:lineRule="auto"/>
        <w:jc w:val="both"/>
        <w:rPr>
          <w:rFonts w:ascii="Segoe UI" w:hAnsi="Segoe UI" w:cs="Segoe UI"/>
          <w:lang w:val="en-ZW"/>
        </w:rPr>
      </w:pPr>
      <w:r w:rsidRPr="004B5429">
        <w:rPr>
          <w:rFonts w:ascii="Segoe UI" w:hAnsi="Segoe UI" w:cs="Segoe UI"/>
          <w:rtl/>
          <w:lang w:val="en-ZW"/>
        </w:rPr>
        <w:t>עבודות שירות יושתו על עבריינים שלא עברו עבירות חמורות ושאינם בעלי עבר פלילי מכביד</w:t>
      </w:r>
      <w:r w:rsidRPr="004B5429">
        <w:rPr>
          <w:rFonts w:ascii="Segoe UI" w:hAnsi="Segoe UI" w:cs="Segoe UI"/>
          <w:lang w:val="en-ZW"/>
        </w:rPr>
        <w:t xml:space="preserve">. </w:t>
      </w:r>
    </w:p>
    <w:p w14:paraId="3EC4CE30" w14:textId="3A605F05" w:rsidR="007F6B0E" w:rsidRPr="004B5429" w:rsidRDefault="007F6B0E" w:rsidP="008F05D0">
      <w:pPr>
        <w:pStyle w:val="ab"/>
        <w:numPr>
          <w:ilvl w:val="0"/>
          <w:numId w:val="66"/>
        </w:numPr>
        <w:bidi/>
        <w:spacing w:line="276" w:lineRule="auto"/>
        <w:jc w:val="both"/>
        <w:rPr>
          <w:rFonts w:ascii="Segoe UI" w:hAnsi="Segoe UI" w:cs="Segoe UI"/>
          <w:lang w:val="en-ZW"/>
        </w:rPr>
      </w:pPr>
      <w:r w:rsidRPr="004B5429">
        <w:rPr>
          <w:rFonts w:ascii="Segoe UI" w:hAnsi="Segoe UI" w:cs="Segoe UI"/>
          <w:rtl/>
          <w:lang w:val="en-ZW"/>
        </w:rPr>
        <w:t>בפועל נשלחים לרצות עונש זה עברייני סמים קלים, עברייני הונאה, אלימות קלה וכו' (מסוכנות קטנה)</w:t>
      </w:r>
      <w:r w:rsidR="006F445C" w:rsidRPr="004B5429">
        <w:rPr>
          <w:rFonts w:ascii="Segoe UI" w:hAnsi="Segoe UI" w:cs="Segoe UI" w:hint="cs"/>
          <w:rtl/>
          <w:lang w:val="en-ZW"/>
        </w:rPr>
        <w:t>.</w:t>
      </w:r>
    </w:p>
    <w:p w14:paraId="40226CFA" w14:textId="77777777" w:rsidR="006F445C" w:rsidRPr="004B5429" w:rsidRDefault="006F445C" w:rsidP="008F05D0">
      <w:pPr>
        <w:pStyle w:val="ab"/>
        <w:numPr>
          <w:ilvl w:val="0"/>
          <w:numId w:val="66"/>
        </w:numPr>
        <w:bidi/>
        <w:spacing w:line="276" w:lineRule="auto"/>
        <w:jc w:val="both"/>
        <w:rPr>
          <w:rFonts w:ascii="Segoe UI" w:hAnsi="Segoe UI" w:cs="Segoe UI"/>
          <w:lang w:val="en-US"/>
        </w:rPr>
      </w:pPr>
      <w:r w:rsidRPr="004B5429">
        <w:rPr>
          <w:rFonts w:ascii="Segoe UI" w:hAnsi="Segoe UI" w:cs="Segoe UI"/>
          <w:rtl/>
          <w:lang w:val="en-ZW"/>
        </w:rPr>
        <w:t>המרת מאסר בעבודות שירות משרתת מטרות ערכיות, וגם מטרות מעשיות.</w:t>
      </w:r>
    </w:p>
    <w:p w14:paraId="03BB80C0" w14:textId="77777777" w:rsidR="006F445C" w:rsidRPr="004B5429" w:rsidRDefault="006F445C" w:rsidP="008F05D0">
      <w:pPr>
        <w:pStyle w:val="ab"/>
        <w:numPr>
          <w:ilvl w:val="0"/>
          <w:numId w:val="66"/>
        </w:numPr>
        <w:bidi/>
        <w:spacing w:line="276" w:lineRule="auto"/>
        <w:jc w:val="both"/>
        <w:rPr>
          <w:rFonts w:ascii="Segoe UI" w:hAnsi="Segoe UI" w:cs="Segoe UI"/>
          <w:rtl/>
          <w:lang w:val="en-ZW"/>
        </w:rPr>
      </w:pPr>
      <w:r w:rsidRPr="004B5429">
        <w:rPr>
          <w:rFonts w:ascii="Segoe UI" w:hAnsi="Segoe UI" w:cs="Segoe UI"/>
          <w:rtl/>
          <w:lang w:val="en-ZW"/>
        </w:rPr>
        <w:t>ברמה המעשית היא מאפשרת להקטין את הצפיפות בבתי הסוהר ולהוזיל את עלויות הענישה.</w:t>
      </w:r>
    </w:p>
    <w:p w14:paraId="6A7F3663" w14:textId="14F9F386" w:rsidR="002F4B66" w:rsidRPr="004B5429" w:rsidRDefault="006F445C" w:rsidP="008F05D0">
      <w:pPr>
        <w:pStyle w:val="ab"/>
        <w:numPr>
          <w:ilvl w:val="0"/>
          <w:numId w:val="66"/>
        </w:numPr>
        <w:bidi/>
        <w:spacing w:line="276" w:lineRule="auto"/>
        <w:jc w:val="both"/>
        <w:rPr>
          <w:rFonts w:ascii="Segoe UI" w:hAnsi="Segoe UI" w:cs="Segoe UI"/>
          <w:rtl/>
          <w:lang w:val="en-ZW"/>
        </w:rPr>
      </w:pPr>
      <w:r w:rsidRPr="004B5429">
        <w:rPr>
          <w:rFonts w:ascii="Segoe UI" w:hAnsi="Segoe UI" w:cs="Segoe UI"/>
          <w:rtl/>
          <w:lang w:val="en-ZW"/>
        </w:rPr>
        <w:t xml:space="preserve">ברמה הערכית, מאפשרת לשקם את הנאשם, ולאפשר לו לחזור לחיים תקינים ללא החוויה השלילית של המאסר בכלא. </w:t>
      </w:r>
    </w:p>
    <w:p w14:paraId="48478075"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Time New Roman" w:hAnsi="Time New Roman"/>
          <w:b/>
          <w:bCs/>
          <w:color w:val="008000"/>
          <w:sz w:val="27"/>
          <w:szCs w:val="27"/>
          <w:rtl/>
        </w:rPr>
        <w:t>נשיאת מאסר בעבודת שירות (תיקון מס' 21) תשמ"ז-1987 (תיקון מס' 102) תש"ע-2009 (תיקון מס' 133 – הוראת שעה) תשע"ח-2018</w:t>
      </w:r>
    </w:p>
    <w:p w14:paraId="00A6A368" w14:textId="61B96AF6"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t>51</w:t>
      </w:r>
      <w:r>
        <w:rPr>
          <w:rStyle w:val="default"/>
          <w:rFonts w:ascii="FrankRuehl" w:eastAsiaTheme="majorEastAsia" w:hAnsi="FrankRuehl" w:cs="FrankRuehl"/>
          <w:sz w:val="26"/>
          <w:szCs w:val="26"/>
          <w:rtl/>
        </w:rPr>
        <w:t xml:space="preserve">ב.  (א)  בית משפט שגזר על נאשם מאסר בפועל לתקופה </w:t>
      </w:r>
      <w:r w:rsidRPr="00B05D17">
        <w:rPr>
          <w:rStyle w:val="default"/>
          <w:rFonts w:ascii="FrankRuehl" w:eastAsiaTheme="majorEastAsia" w:hAnsi="FrankRuehl" w:cs="FrankRuehl"/>
          <w:b/>
          <w:bCs/>
          <w:color w:val="FF0000"/>
          <w:sz w:val="26"/>
          <w:szCs w:val="26"/>
          <w:rtl/>
        </w:rPr>
        <w:t>שאינה עולה על תשעה חדשים</w:t>
      </w:r>
      <w:r>
        <w:rPr>
          <w:rStyle w:val="default"/>
          <w:rFonts w:ascii="FrankRuehl" w:eastAsiaTheme="majorEastAsia" w:hAnsi="FrankRuehl" w:cs="FrankRuehl"/>
          <w:sz w:val="26"/>
          <w:szCs w:val="26"/>
          <w:rtl/>
        </w:rPr>
        <w:t xml:space="preserve">, </w:t>
      </w:r>
      <w:r w:rsidRPr="00EF05F6">
        <w:rPr>
          <w:rStyle w:val="default"/>
          <w:rFonts w:ascii="FrankRuehl" w:eastAsiaTheme="majorEastAsia" w:hAnsi="FrankRuehl" w:cs="FrankRuehl"/>
          <w:b/>
          <w:bCs/>
          <w:sz w:val="26"/>
          <w:szCs w:val="26"/>
          <w:rtl/>
        </w:rPr>
        <w:t>רשאי</w:t>
      </w:r>
      <w:r>
        <w:rPr>
          <w:rStyle w:val="default"/>
          <w:rFonts w:ascii="FrankRuehl" w:eastAsiaTheme="majorEastAsia" w:hAnsi="FrankRuehl" w:cs="FrankRuehl"/>
          <w:sz w:val="26"/>
          <w:szCs w:val="26"/>
          <w:rtl/>
        </w:rPr>
        <w:t xml:space="preserve"> להחליט, בגזר הדין, שהנידון </w:t>
      </w:r>
      <w:proofErr w:type="spellStart"/>
      <w:r>
        <w:rPr>
          <w:rStyle w:val="default"/>
          <w:rFonts w:ascii="FrankRuehl" w:eastAsiaTheme="majorEastAsia" w:hAnsi="FrankRuehl" w:cs="FrankRuehl"/>
          <w:sz w:val="26"/>
          <w:szCs w:val="26"/>
          <w:rtl/>
        </w:rPr>
        <w:t>ישא</w:t>
      </w:r>
      <w:proofErr w:type="spellEnd"/>
      <w:r>
        <w:rPr>
          <w:rStyle w:val="default"/>
          <w:rFonts w:ascii="FrankRuehl" w:eastAsiaTheme="majorEastAsia" w:hAnsi="FrankRuehl" w:cs="FrankRuehl"/>
          <w:sz w:val="26"/>
          <w:szCs w:val="26"/>
          <w:rtl/>
        </w:rPr>
        <w:t xml:space="preserve"> את עונש המאסר, כולו או חלקו, בעבודת שירות; קבע בית המשפט כי חלק מעונש המאסר יהיה בעבודת שירות, יישא הנידון את חלק העונש האמור בתום תקופת המאסר בפועל, אלא אם כן קבע בית המשפט אחרת. </w:t>
      </w:r>
    </w:p>
    <w:p w14:paraId="21494306" w14:textId="77777777" w:rsidR="00B4159B" w:rsidRDefault="00B4159B" w:rsidP="008F05D0">
      <w:pPr>
        <w:pStyle w:val="p00"/>
        <w:bidi/>
        <w:spacing w:before="72" w:beforeAutospacing="0" w:after="0" w:afterAutospacing="0" w:line="276" w:lineRule="auto"/>
        <w:ind w:left="363" w:right="363"/>
        <w:jc w:val="both"/>
        <w:rPr>
          <w:rtl/>
        </w:rPr>
      </w:pPr>
    </w:p>
    <w:p w14:paraId="13D76AAE" w14:textId="75ACE9CF" w:rsidR="00EF05F6" w:rsidRP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color w:val="FF0000"/>
          <w:rtl/>
        </w:rPr>
      </w:pPr>
      <w:r>
        <w:rPr>
          <w:rFonts w:ascii="Time New Roman" w:hAnsi="Time New Roman"/>
          <w:b/>
          <w:bCs/>
          <w:color w:val="008000"/>
          <w:sz w:val="27"/>
          <w:szCs w:val="27"/>
          <w:rtl/>
        </w:rPr>
        <w:t>(תיקון מס' 102) תש"ע-2009</w:t>
      </w:r>
      <w:r>
        <w:rPr>
          <w:rFonts w:hint="cs"/>
          <w:rtl/>
        </w:rPr>
        <w:t xml:space="preserve"> </w:t>
      </w:r>
      <w:r w:rsidRPr="0088365A">
        <w:rPr>
          <w:rFonts w:ascii="Segoe UI" w:hAnsi="Segoe UI" w:cs="Segoe UI"/>
          <w:b/>
          <w:bCs/>
          <w:color w:val="FF0000"/>
          <w:sz w:val="22"/>
          <w:szCs w:val="22"/>
          <w:rtl/>
        </w:rPr>
        <w:t xml:space="preserve">תנאים </w:t>
      </w:r>
      <w:proofErr w:type="spellStart"/>
      <w:r w:rsidR="007A6972" w:rsidRPr="0088365A">
        <w:rPr>
          <w:rFonts w:ascii="Segoe UI" w:hAnsi="Segoe UI" w:cs="Segoe UI"/>
          <w:b/>
          <w:bCs/>
          <w:color w:val="FF0000"/>
          <w:sz w:val="22"/>
          <w:szCs w:val="22"/>
          <w:rtl/>
        </w:rPr>
        <w:t>לעב"ש</w:t>
      </w:r>
      <w:proofErr w:type="spellEnd"/>
    </w:p>
    <w:p w14:paraId="4A245AE5"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(ב)  בית המשפט לא יחליט כאמור בסעיף קטן (א) כי נאשם יישא את עונש המאסר, כולו או חלקו, בעבודת שירות, אלא אם כן מתקיימים כל אלה:</w:t>
      </w:r>
    </w:p>
    <w:p w14:paraId="6FBFE5AF"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 xml:space="preserve">(1)   בית המשפט קיבל, לפני מתן גזר הדין, </w:t>
      </w:r>
      <w:r w:rsidRPr="00B05D17">
        <w:rPr>
          <w:rStyle w:val="default"/>
          <w:rFonts w:ascii="FrankRuehl" w:eastAsiaTheme="majorEastAsia" w:hAnsi="FrankRuehl" w:cs="FrankRuehl"/>
          <w:b/>
          <w:bCs/>
          <w:color w:val="FF0000"/>
          <w:sz w:val="26"/>
          <w:szCs w:val="26"/>
          <w:rtl/>
        </w:rPr>
        <w:t>חוות דעת מטעם הממונה</w:t>
      </w:r>
      <w:r w:rsidRPr="0088365A">
        <w:rPr>
          <w:rStyle w:val="default"/>
          <w:rFonts w:ascii="FrankRuehl" w:eastAsiaTheme="majorEastAsia" w:hAnsi="FrankRuehl" w:cs="FrankRuehl"/>
          <w:b/>
          <w:bCs/>
          <w:color w:val="FF0000"/>
          <w:sz w:val="22"/>
          <w:szCs w:val="22"/>
          <w:rtl/>
        </w:rPr>
        <w:t xml:space="preserve"> </w:t>
      </w:r>
      <w:r>
        <w:rPr>
          <w:rStyle w:val="default"/>
          <w:rFonts w:ascii="FrankRuehl" w:eastAsiaTheme="majorEastAsia" w:hAnsi="FrankRuehl" w:cs="FrankRuehl"/>
          <w:sz w:val="26"/>
          <w:szCs w:val="26"/>
          <w:rtl/>
        </w:rPr>
        <w:t>(בסימן זה – חוות דעת הממונה) בדבר התאמתו של הנאשם לעבודת שירות, וכן בדבר האפשרות להשמתו בה ובדבר עבודת השירות שהנאשם יכול לעבוד בה והתנאים שבהם תבוצע;</w:t>
      </w:r>
    </w:p>
    <w:p w14:paraId="6702F83B" w14:textId="12AFDF59" w:rsidR="00BC26D8" w:rsidRPr="00BC26D8"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 xml:space="preserve">(2)   </w:t>
      </w:r>
      <w:r w:rsidRPr="00B05D17">
        <w:rPr>
          <w:rStyle w:val="default"/>
          <w:rFonts w:ascii="FrankRuehl" w:eastAsiaTheme="majorEastAsia" w:hAnsi="FrankRuehl" w:cs="FrankRuehl"/>
          <w:b/>
          <w:bCs/>
          <w:color w:val="FF0000"/>
          <w:sz w:val="26"/>
          <w:szCs w:val="26"/>
          <w:rtl/>
        </w:rPr>
        <w:t>הנאשם הסכים</w:t>
      </w:r>
      <w:r w:rsidRPr="0088365A">
        <w:rPr>
          <w:rStyle w:val="default"/>
          <w:rFonts w:ascii="FrankRuehl" w:eastAsiaTheme="majorEastAsia" w:hAnsi="FrankRuehl" w:cs="FrankRuehl"/>
          <w:color w:val="FF0000"/>
          <w:sz w:val="22"/>
          <w:szCs w:val="22"/>
          <w:rtl/>
        </w:rPr>
        <w:t xml:space="preserve"> </w:t>
      </w:r>
      <w:r>
        <w:rPr>
          <w:rStyle w:val="default"/>
          <w:rFonts w:ascii="FrankRuehl" w:eastAsiaTheme="majorEastAsia" w:hAnsi="FrankRuehl" w:cs="FrankRuehl"/>
          <w:sz w:val="26"/>
          <w:szCs w:val="26"/>
          <w:rtl/>
        </w:rPr>
        <w:t xml:space="preserve">לשאת את עונש המאסר בעבודת שירות, בהתאם </w:t>
      </w:r>
      <w:r w:rsidRPr="00B05D17">
        <w:rPr>
          <w:rStyle w:val="default"/>
          <w:rFonts w:ascii="FrankRuehl" w:eastAsiaTheme="majorEastAsia" w:hAnsi="FrankRuehl" w:cs="FrankRuehl"/>
          <w:b/>
          <w:bCs/>
          <w:color w:val="FF0000"/>
          <w:sz w:val="26"/>
          <w:szCs w:val="26"/>
          <w:rtl/>
        </w:rPr>
        <w:t>לתנאים</w:t>
      </w:r>
      <w:r w:rsidRPr="0088365A">
        <w:rPr>
          <w:rStyle w:val="default"/>
          <w:rFonts w:ascii="FrankRuehl" w:eastAsiaTheme="majorEastAsia" w:hAnsi="FrankRuehl" w:cs="FrankRuehl"/>
          <w:sz w:val="22"/>
          <w:szCs w:val="22"/>
          <w:rtl/>
        </w:rPr>
        <w:t xml:space="preserve"> </w:t>
      </w:r>
      <w:r>
        <w:rPr>
          <w:rStyle w:val="default"/>
          <w:rFonts w:ascii="FrankRuehl" w:eastAsiaTheme="majorEastAsia" w:hAnsi="FrankRuehl" w:cs="FrankRuehl"/>
          <w:sz w:val="26"/>
          <w:szCs w:val="26"/>
          <w:rtl/>
        </w:rPr>
        <w:t>שנקבעו בחוות דעת הממונה.</w:t>
      </w:r>
    </w:p>
    <w:p w14:paraId="4762F4CE" w14:textId="77777777" w:rsidR="00BC26D8" w:rsidRPr="00BC26D8" w:rsidRDefault="00BC26D8" w:rsidP="008F05D0">
      <w:pPr>
        <w:pStyle w:val="p00"/>
        <w:bidi/>
        <w:spacing w:before="72" w:beforeAutospacing="0" w:after="0" w:afterAutospacing="0" w:line="276" w:lineRule="auto"/>
        <w:ind w:left="363" w:right="363"/>
        <w:jc w:val="both"/>
        <w:rPr>
          <w:rFonts w:ascii="Segoe UI" w:hAnsi="Segoe UI" w:cs="Segoe UI"/>
          <w:rtl/>
        </w:rPr>
      </w:pPr>
    </w:p>
    <w:p w14:paraId="0B663677" w14:textId="6F1310C6" w:rsidR="00EF05F6" w:rsidRPr="00636049"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Fonts w:ascii="Segoe UI" w:hAnsi="Segoe UI" w:cs="Segoe UI"/>
          <w:color w:val="FF0000"/>
          <w:sz w:val="28"/>
          <w:szCs w:val="28"/>
          <w:rtl/>
        </w:rPr>
      </w:pPr>
      <w:r>
        <w:rPr>
          <w:rStyle w:val="default"/>
          <w:rFonts w:ascii="Time New Roman" w:eastAsiaTheme="majorEastAsia" w:hAnsi="Time New Roman"/>
          <w:b/>
          <w:bCs/>
          <w:color w:val="008000"/>
          <w:sz w:val="27"/>
          <w:szCs w:val="27"/>
          <w:rtl/>
        </w:rPr>
        <w:t>(תיקון מס' 102) תש"ע-2009</w:t>
      </w:r>
      <w:r w:rsidR="007A6972">
        <w:rPr>
          <w:rFonts w:hint="cs"/>
          <w:rtl/>
        </w:rPr>
        <w:t xml:space="preserve"> </w:t>
      </w:r>
      <w:r w:rsidR="007A6972" w:rsidRPr="0088365A">
        <w:rPr>
          <w:rFonts w:ascii="Segoe UI" w:hAnsi="Segoe UI" w:cs="Segoe UI"/>
          <w:b/>
          <w:bCs/>
          <w:color w:val="FF0000"/>
          <w:sz w:val="22"/>
          <w:szCs w:val="22"/>
          <w:rtl/>
        </w:rPr>
        <w:t xml:space="preserve">מי מתאים לרצות מאסר בדרך של </w:t>
      </w:r>
      <w:proofErr w:type="spellStart"/>
      <w:r w:rsidR="007A6972" w:rsidRPr="0088365A">
        <w:rPr>
          <w:rFonts w:ascii="Segoe UI" w:hAnsi="Segoe UI" w:cs="Segoe UI"/>
          <w:b/>
          <w:bCs/>
          <w:color w:val="FF0000"/>
          <w:sz w:val="22"/>
          <w:szCs w:val="22"/>
          <w:rtl/>
        </w:rPr>
        <w:t>עב"ש</w:t>
      </w:r>
      <w:proofErr w:type="spellEnd"/>
      <w:r w:rsidR="007A6972" w:rsidRPr="0088365A">
        <w:rPr>
          <w:rFonts w:ascii="Segoe UI" w:hAnsi="Segoe UI" w:cs="Segoe UI"/>
          <w:b/>
          <w:bCs/>
          <w:color w:val="FF0000"/>
          <w:sz w:val="22"/>
          <w:szCs w:val="22"/>
          <w:rtl/>
        </w:rPr>
        <w:t xml:space="preserve">? מה בודק הממונה על </w:t>
      </w:r>
      <w:proofErr w:type="spellStart"/>
      <w:r w:rsidR="007A6972" w:rsidRPr="0088365A">
        <w:rPr>
          <w:rFonts w:ascii="Segoe UI" w:hAnsi="Segoe UI" w:cs="Segoe UI"/>
          <w:b/>
          <w:bCs/>
          <w:color w:val="FF0000"/>
          <w:sz w:val="22"/>
          <w:szCs w:val="22"/>
          <w:rtl/>
        </w:rPr>
        <w:t>עב"ש</w:t>
      </w:r>
      <w:proofErr w:type="spellEnd"/>
      <w:r w:rsidR="007A6972" w:rsidRPr="0088365A">
        <w:rPr>
          <w:rFonts w:ascii="Segoe UI" w:hAnsi="Segoe UI" w:cs="Segoe UI"/>
          <w:b/>
          <w:bCs/>
          <w:color w:val="FF0000"/>
          <w:sz w:val="22"/>
          <w:szCs w:val="22"/>
          <w:rtl/>
        </w:rPr>
        <w:t>?</w:t>
      </w:r>
    </w:p>
    <w:p w14:paraId="6B44311E"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          (ב1) בחוות דעת הממונה יפורטו אלה:</w:t>
      </w:r>
    </w:p>
    <w:p w14:paraId="321D4D73"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 xml:space="preserve">(1)   התאמתו, אי-התאמתו או מגבלות על התאמתו של הנאשם לביצוע עונשו בעבודת שירות, נוכח קיומו של יסוד סביר לחשש לפגיעה בגופו או בחייו של אדם, לרבות בנאשם עצמו, אם יישא הנאשם את עונש המאסר בעבודת שירות; </w:t>
      </w:r>
      <w:r>
        <w:rPr>
          <w:rStyle w:val="default"/>
          <w:rFonts w:ascii="FrankRuehl" w:eastAsiaTheme="majorEastAsia" w:hAnsi="FrankRuehl" w:cs="FrankRuehl"/>
          <w:sz w:val="26"/>
          <w:szCs w:val="26"/>
          <w:rtl/>
        </w:rPr>
        <w:lastRenderedPageBreak/>
        <w:t>קביעת אי-התאמתו או מגבלות על התאמתו של הנאשם תתבסס על חוות דעת שקיבל הממונה, אם ניתנה כזו, מקצין משטרה שהסמיך לכך ראש אגף החקירות והמודיעין במשטרת ישראל, עובד שירות הביטחון הכללי שהסמיך לכך ראש אגף החקירות בשירות הביטחון הכללי או קצין בשירות בתי הסוהר שהסמיך לכך ראש חטיבת המודיעין בשירות בתי הסוהר, לפי העניין;</w:t>
      </w:r>
    </w:p>
    <w:p w14:paraId="293110DE"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(2)   אפשרות השמתו או אי-השמתו של הנאשם בעבודת שירות מתאימה למצבו הבריאותי ולמוגבלויותיו, אם ישנן, יכולתו להיות מועסק בסוגי מקומות העבודה שניתן להעסיק בהם עובד שירות ויכולתו לעמוד בשעות העבודה הנדרשות ובנוהלי עבודה הנהוגים בסוגי מקומות עבודה כאמור; לעניין זה, רשאי הממונה להתבסס על אלה:</w:t>
      </w:r>
    </w:p>
    <w:p w14:paraId="5A60D130"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(א)   העבירה שבה הורשע הנאשם;</w:t>
      </w:r>
    </w:p>
    <w:p w14:paraId="4F4615A6" w14:textId="1DBE1A2F" w:rsidR="00EF05F6" w:rsidRPr="00922EE7"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color w:val="7030A0"/>
          <w:rtl/>
        </w:rPr>
      </w:pPr>
      <w:r>
        <w:rPr>
          <w:rStyle w:val="default"/>
          <w:rFonts w:ascii="FrankRuehl" w:eastAsiaTheme="majorEastAsia" w:hAnsi="FrankRuehl" w:cs="FrankRuehl"/>
          <w:sz w:val="26"/>
          <w:szCs w:val="26"/>
          <w:rtl/>
        </w:rPr>
        <w:t>(ב)   הרשעות קודמות של הנאשם;</w:t>
      </w:r>
      <w:r w:rsidR="00922EE7">
        <w:rPr>
          <w:rFonts w:hint="cs"/>
          <w:rtl/>
        </w:rPr>
        <w:t xml:space="preserve"> </w:t>
      </w:r>
      <w:r w:rsidR="00922EE7">
        <w:rPr>
          <w:rFonts w:hint="cs"/>
          <w:color w:val="7030A0"/>
          <w:rtl/>
        </w:rPr>
        <w:t xml:space="preserve">למה הרשעות קודמות זה רלוונטי? כי אם כבר 20 פעמים עשית </w:t>
      </w:r>
      <w:proofErr w:type="spellStart"/>
      <w:r w:rsidR="00922EE7">
        <w:rPr>
          <w:rFonts w:hint="cs"/>
          <w:color w:val="7030A0"/>
          <w:rtl/>
        </w:rPr>
        <w:t>עב"ש</w:t>
      </w:r>
      <w:proofErr w:type="spellEnd"/>
      <w:r w:rsidR="00922EE7">
        <w:rPr>
          <w:rFonts w:hint="cs"/>
          <w:color w:val="7030A0"/>
          <w:rtl/>
        </w:rPr>
        <w:t xml:space="preserve"> אז למה שניתן לך שוב </w:t>
      </w:r>
      <w:proofErr w:type="spellStart"/>
      <w:r w:rsidR="00922EE7">
        <w:rPr>
          <w:rFonts w:hint="cs"/>
          <w:color w:val="7030A0"/>
          <w:rtl/>
        </w:rPr>
        <w:t>עב"ש</w:t>
      </w:r>
      <w:proofErr w:type="spellEnd"/>
      <w:r w:rsidR="00922EE7">
        <w:rPr>
          <w:rFonts w:hint="cs"/>
          <w:color w:val="7030A0"/>
          <w:rtl/>
        </w:rPr>
        <w:t>?</w:t>
      </w:r>
      <w:r w:rsidR="00922EE7">
        <w:rPr>
          <w:rFonts w:hint="cs"/>
          <w:color w:val="7030A0"/>
        </w:rPr>
        <w:t xml:space="preserve"> </w:t>
      </w:r>
      <w:r w:rsidR="00922EE7">
        <w:rPr>
          <w:rFonts w:hint="cs"/>
          <w:color w:val="7030A0"/>
          <w:rtl/>
        </w:rPr>
        <w:t xml:space="preserve">הרי </w:t>
      </w:r>
      <w:proofErr w:type="spellStart"/>
      <w:r w:rsidR="00922EE7">
        <w:rPr>
          <w:rFonts w:hint="cs"/>
          <w:color w:val="7030A0"/>
          <w:rtl/>
        </w:rPr>
        <w:t>עב"ש</w:t>
      </w:r>
      <w:proofErr w:type="spellEnd"/>
      <w:r w:rsidR="00922EE7">
        <w:rPr>
          <w:rFonts w:hint="cs"/>
          <w:color w:val="7030A0"/>
          <w:rtl/>
        </w:rPr>
        <w:t xml:space="preserve"> זה סוג של חירות, אתה עובד במהלך היום ואחר כך אתה חופשי וזאת לא אמורה להיות מתנה עבור הנאשם.</w:t>
      </w:r>
    </w:p>
    <w:p w14:paraId="4EB95AC5"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Time New Roman" w:eastAsiaTheme="majorEastAsia" w:hAnsi="Time New Roman"/>
          <w:b/>
          <w:bCs/>
          <w:color w:val="008000"/>
          <w:sz w:val="27"/>
          <w:szCs w:val="27"/>
          <w:rtl/>
        </w:rPr>
        <w:t>(תיקון מס' 112) תשע"א-2011</w:t>
      </w:r>
    </w:p>
    <w:p w14:paraId="37DC0CC3"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(ג)    חוות דעת מטעם גורם טיפולי בעניינו של הנאשם, אם ניתנה, ובכלל זה – אם נערך תסקיר של קצין מבחן בקשר להליך שבו התבקשה חוות דעת הממונה – סיכום והמלצות של התסקיר, ואם הוכנה הערכת מסוכנות לפי חוק הגנה על הציבור מפני ביצוע עבירות מין, התשס"ו-2006 – תמצית הערכה עדכנית;</w:t>
      </w:r>
    </w:p>
    <w:p w14:paraId="0FE25C79"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Time New Roman" w:eastAsiaTheme="majorEastAsia" w:hAnsi="Time New Roman"/>
          <w:b/>
          <w:bCs/>
          <w:color w:val="008000"/>
          <w:sz w:val="27"/>
          <w:szCs w:val="27"/>
          <w:rtl/>
        </w:rPr>
        <w:t>(תיקון מס' 112) תשע"א-2011</w:t>
      </w:r>
    </w:p>
    <w:p w14:paraId="7A025A4E"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(ד)   צו פיקוח לפי חוק הגנה על הציבור מפני ביצוע עבירות מין, התשס"ו-2006, וצו על פי חוק מגבלות על חזרתו של עבריין מין לסביבת נפגע העבירה, התשס"ה-2004, אם הוצאו בעניינו של הנאשם;</w:t>
      </w:r>
    </w:p>
    <w:p w14:paraId="474F660F"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(ה)   הערכות שניתנו בעבר לעניין אופן הביצוע של עבודות שירות קודמות על ידי הנאשם;</w:t>
      </w:r>
    </w:p>
    <w:p w14:paraId="4C0B33E0" w14:textId="77777777" w:rsidR="00EF05F6" w:rsidRDefault="00EF05F6"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(ו)    מצבו הבריאותי של הנאשם ומוגבלויותיו, אם ישנן, לרבות חוות דעת מטעם גורם טיפולי לעניין זה.</w:t>
      </w:r>
    </w:p>
    <w:p w14:paraId="1E2A21C1" w14:textId="25C26610" w:rsidR="006F445C" w:rsidRDefault="006F445C" w:rsidP="008F05D0">
      <w:pPr>
        <w:bidi/>
        <w:spacing w:after="0" w:line="276" w:lineRule="auto"/>
        <w:ind w:left="363" w:right="363"/>
        <w:jc w:val="both"/>
        <w:rPr>
          <w:rFonts w:ascii="Segoe UI" w:hAnsi="Segoe UI" w:cs="Segoe UI"/>
          <w:sz w:val="24"/>
          <w:szCs w:val="24"/>
          <w:rtl/>
          <w:lang w:val="en-ZW"/>
        </w:rPr>
      </w:pPr>
    </w:p>
    <w:p w14:paraId="603349E8"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F53E77">
        <w:rPr>
          <w:rFonts w:ascii="Time New Roman" w:eastAsia="Times New Roman" w:hAnsi="Time New Roman" w:cs="Times New Roman"/>
          <w:b/>
          <w:bCs/>
          <w:color w:val="008000"/>
          <w:sz w:val="27"/>
          <w:szCs w:val="27"/>
          <w:rtl/>
          <w:lang w:val="en-US"/>
        </w:rPr>
        <w:t xml:space="preserve">הפסקה </w:t>
      </w:r>
      <w:proofErr w:type="spellStart"/>
      <w:r w:rsidRPr="00F53E77">
        <w:rPr>
          <w:rFonts w:ascii="Time New Roman" w:eastAsia="Times New Roman" w:hAnsi="Time New Roman" w:cs="Times New Roman"/>
          <w:b/>
          <w:bCs/>
          <w:color w:val="008000"/>
          <w:sz w:val="27"/>
          <w:szCs w:val="27"/>
          <w:rtl/>
          <w:lang w:val="en-US"/>
        </w:rPr>
        <w:t>מינהלית</w:t>
      </w:r>
      <w:proofErr w:type="spellEnd"/>
      <w:r w:rsidRPr="00F53E77">
        <w:rPr>
          <w:rFonts w:ascii="Time New Roman" w:eastAsia="Times New Roman" w:hAnsi="Time New Roman" w:cs="Times New Roman"/>
          <w:b/>
          <w:bCs/>
          <w:color w:val="008000"/>
          <w:sz w:val="27"/>
          <w:szCs w:val="27"/>
          <w:rtl/>
          <w:lang w:val="en-US"/>
        </w:rPr>
        <w:t xml:space="preserve"> של עבודת שירות (תיקון מס' 21) תשמ"ז-1987 (תיקון מס' 102) תש"ע-2009</w:t>
      </w:r>
    </w:p>
    <w:p w14:paraId="2AA73F5F"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Miriam" w:eastAsia="Times New Roman" w:hAnsi="Miriam" w:cs="Miriam"/>
          <w:sz w:val="32"/>
          <w:szCs w:val="32"/>
          <w:rtl/>
          <w:lang w:val="en-US"/>
        </w:rPr>
        <w:t>51</w:t>
      </w:r>
      <w:r w:rsidRPr="00F53E77">
        <w:rPr>
          <w:rFonts w:ascii="FrankRuehl" w:eastAsia="Times New Roman" w:hAnsi="FrankRuehl" w:cs="FrankRuehl"/>
          <w:sz w:val="26"/>
          <w:szCs w:val="26"/>
          <w:rtl/>
          <w:lang w:val="en-US"/>
        </w:rPr>
        <w:t xml:space="preserve">ט.  (א)  נציב בתי הסוהר או קצין בדרגת גונדר שהוסמך לכך על ידו, רשאי, לאחר שנתן לעובד השירות הזדמנות לטעון את טענותיו לפניו או לפני סוהר בכיר כהגדרתו בפקודת בתי הסוהר שהוסמך לכך על ידי הנציב, להחליט כי עבודתו של עובד השירות לא תחל או תופסק וכי הוא יישא את עונשו או את יתרת עונשו בבית סוהר, לפי העניין, אם ראה כי מתקיים בעובד השירות אחד מאלה לפי העניין: </w:t>
      </w:r>
    </w:p>
    <w:p w14:paraId="6D36DD2D"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Time New Roman" w:eastAsia="Times New Roman" w:hAnsi="Time New Roman" w:cs="Times New Roman"/>
          <w:b/>
          <w:bCs/>
          <w:color w:val="008000"/>
          <w:sz w:val="27"/>
          <w:szCs w:val="27"/>
          <w:rtl/>
          <w:lang w:val="en-US"/>
        </w:rPr>
        <w:t>(תיקון מס' 102) תש"ע-2009</w:t>
      </w:r>
    </w:p>
    <w:p w14:paraId="6CCFF3FE"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FrankRuehl" w:eastAsia="Times New Roman" w:hAnsi="FrankRuehl" w:cs="FrankRuehl"/>
          <w:sz w:val="26"/>
          <w:szCs w:val="26"/>
          <w:rtl/>
          <w:lang w:val="en-US"/>
        </w:rPr>
        <w:t xml:space="preserve">(1)   הוא </w:t>
      </w:r>
      <w:r w:rsidRPr="00901FCF">
        <w:rPr>
          <w:rFonts w:ascii="FrankRuehl" w:eastAsia="Times New Roman" w:hAnsi="FrankRuehl" w:cs="FrankRuehl"/>
          <w:b/>
          <w:bCs/>
          <w:sz w:val="26"/>
          <w:szCs w:val="26"/>
          <w:rtl/>
          <w:lang w:val="en-US"/>
        </w:rPr>
        <w:t xml:space="preserve">לא התייצב לתחילת ריצוי עבודת השירות או נעדר מהעבודה ללא אישור </w:t>
      </w:r>
      <w:r w:rsidRPr="00901FCF">
        <w:rPr>
          <w:rFonts w:ascii="FrankRuehl" w:eastAsia="Times New Roman" w:hAnsi="FrankRuehl" w:cs="FrankRuehl"/>
          <w:sz w:val="26"/>
          <w:szCs w:val="26"/>
          <w:rtl/>
          <w:lang w:val="en-US"/>
        </w:rPr>
        <w:t>הממונה</w:t>
      </w:r>
      <w:r w:rsidRPr="00F53E77">
        <w:rPr>
          <w:rFonts w:ascii="FrankRuehl" w:eastAsia="Times New Roman" w:hAnsi="FrankRuehl" w:cs="FrankRuehl"/>
          <w:sz w:val="26"/>
          <w:szCs w:val="26"/>
          <w:rtl/>
          <w:lang w:val="en-US"/>
        </w:rPr>
        <w:t>, רכז עבודת השירות, המפקח או רופא;</w:t>
      </w:r>
    </w:p>
    <w:p w14:paraId="00D03FCD"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Time New Roman" w:eastAsia="Times New Roman" w:hAnsi="Time New Roman" w:cs="Times New Roman"/>
          <w:b/>
          <w:bCs/>
          <w:color w:val="008000"/>
          <w:sz w:val="27"/>
          <w:szCs w:val="27"/>
          <w:rtl/>
          <w:lang w:val="en-US"/>
        </w:rPr>
        <w:t>(תיקון מס' 102) תש"ע-2009</w:t>
      </w:r>
    </w:p>
    <w:p w14:paraId="502C5DEF"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FrankRuehl" w:eastAsia="Times New Roman" w:hAnsi="FrankRuehl" w:cs="FrankRuehl"/>
          <w:sz w:val="26"/>
          <w:szCs w:val="26"/>
          <w:rtl/>
          <w:lang w:val="en-US"/>
        </w:rPr>
        <w:t xml:space="preserve">(2)   הוא </w:t>
      </w:r>
      <w:r w:rsidRPr="00901FCF">
        <w:rPr>
          <w:rFonts w:ascii="FrankRuehl" w:eastAsia="Times New Roman" w:hAnsi="FrankRuehl" w:cs="FrankRuehl"/>
          <w:b/>
          <w:bCs/>
          <w:sz w:val="26"/>
          <w:szCs w:val="26"/>
          <w:rtl/>
          <w:lang w:val="en-US"/>
        </w:rPr>
        <w:t>אינו מבצע כראוי</w:t>
      </w:r>
      <w:r w:rsidRPr="00F53E77">
        <w:rPr>
          <w:rFonts w:ascii="FrankRuehl" w:eastAsia="Times New Roman" w:hAnsi="FrankRuehl" w:cs="FrankRuehl"/>
          <w:sz w:val="26"/>
          <w:szCs w:val="26"/>
          <w:rtl/>
          <w:lang w:val="en-US"/>
        </w:rPr>
        <w:t xml:space="preserve"> את המשימות שהוטלו עליו או שהתנהגותו בעבודה אינה מניחה את הדעת; </w:t>
      </w:r>
    </w:p>
    <w:p w14:paraId="511C7816"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FrankRuehl" w:eastAsia="Times New Roman" w:hAnsi="FrankRuehl" w:cs="FrankRuehl"/>
          <w:sz w:val="26"/>
          <w:szCs w:val="26"/>
          <w:rtl/>
          <w:lang w:val="en-US"/>
        </w:rPr>
        <w:t xml:space="preserve">(3)   הוא </w:t>
      </w:r>
      <w:r w:rsidRPr="00901FCF">
        <w:rPr>
          <w:rFonts w:ascii="FrankRuehl" w:eastAsia="Times New Roman" w:hAnsi="FrankRuehl" w:cs="FrankRuehl"/>
          <w:b/>
          <w:bCs/>
          <w:sz w:val="26"/>
          <w:szCs w:val="26"/>
          <w:rtl/>
          <w:lang w:val="en-US"/>
        </w:rPr>
        <w:t>הפר תנאי</w:t>
      </w:r>
      <w:r w:rsidRPr="00F53E77">
        <w:rPr>
          <w:rFonts w:ascii="FrankRuehl" w:eastAsia="Times New Roman" w:hAnsi="FrankRuehl" w:cs="FrankRuehl"/>
          <w:sz w:val="26"/>
          <w:szCs w:val="26"/>
          <w:rtl/>
          <w:lang w:val="en-US"/>
        </w:rPr>
        <w:t xml:space="preserve"> מתנאי עבודת השירות שקבע בית המשפט לפי סעיף 51ב(ג);</w:t>
      </w:r>
    </w:p>
    <w:p w14:paraId="4C37B643"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Time New Roman" w:eastAsia="Times New Roman" w:hAnsi="Time New Roman" w:cs="Times New Roman"/>
          <w:b/>
          <w:bCs/>
          <w:color w:val="008000"/>
          <w:sz w:val="27"/>
          <w:szCs w:val="27"/>
          <w:rtl/>
          <w:lang w:val="en-US"/>
        </w:rPr>
        <w:t>(תיקון מס' 102) תש"ע-2009</w:t>
      </w:r>
    </w:p>
    <w:p w14:paraId="1058131E"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FrankRuehl" w:eastAsia="Times New Roman" w:hAnsi="FrankRuehl" w:cs="FrankRuehl"/>
          <w:sz w:val="26"/>
          <w:szCs w:val="26"/>
          <w:rtl/>
          <w:lang w:val="en-US"/>
        </w:rPr>
        <w:t xml:space="preserve">(4)   הוא </w:t>
      </w:r>
      <w:r w:rsidRPr="00901FCF">
        <w:rPr>
          <w:rFonts w:ascii="FrankRuehl" w:eastAsia="Times New Roman" w:hAnsi="FrankRuehl" w:cs="FrankRuehl"/>
          <w:b/>
          <w:bCs/>
          <w:sz w:val="26"/>
          <w:szCs w:val="26"/>
          <w:rtl/>
          <w:lang w:val="en-US"/>
        </w:rPr>
        <w:t xml:space="preserve">לא ציית להוראה </w:t>
      </w:r>
      <w:r w:rsidRPr="00901FCF">
        <w:rPr>
          <w:rFonts w:ascii="FrankRuehl" w:eastAsia="Times New Roman" w:hAnsi="FrankRuehl" w:cs="FrankRuehl"/>
          <w:sz w:val="26"/>
          <w:szCs w:val="26"/>
          <w:rtl/>
          <w:lang w:val="en-US"/>
        </w:rPr>
        <w:t>של הממונה</w:t>
      </w:r>
      <w:r w:rsidRPr="00F53E77">
        <w:rPr>
          <w:rFonts w:ascii="FrankRuehl" w:eastAsia="Times New Roman" w:hAnsi="FrankRuehl" w:cs="FrankRuehl"/>
          <w:sz w:val="26"/>
          <w:szCs w:val="26"/>
          <w:rtl/>
          <w:lang w:val="en-US"/>
        </w:rPr>
        <w:t>, של רכז עבודת השירות או של המפקח או לא קיים חובה המוטלת עליו לפי סימן זה;</w:t>
      </w:r>
    </w:p>
    <w:p w14:paraId="1DE21328"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Time New Roman" w:eastAsia="Times New Roman" w:hAnsi="Time New Roman" w:cs="Times New Roman"/>
          <w:b/>
          <w:bCs/>
          <w:color w:val="008000"/>
          <w:sz w:val="27"/>
          <w:szCs w:val="27"/>
          <w:rtl/>
          <w:lang w:val="en-US"/>
        </w:rPr>
        <w:t>(תיקון מס' 102) תש"ע-2009</w:t>
      </w:r>
    </w:p>
    <w:p w14:paraId="0505B449"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FrankRuehl" w:eastAsia="Times New Roman" w:hAnsi="FrankRuehl" w:cs="FrankRuehl"/>
          <w:sz w:val="26"/>
          <w:szCs w:val="26"/>
          <w:rtl/>
          <w:lang w:val="en-US"/>
        </w:rPr>
        <w:t xml:space="preserve">(5)   הוא </w:t>
      </w:r>
      <w:r w:rsidRPr="00901FCF">
        <w:rPr>
          <w:rFonts w:ascii="FrankRuehl" w:eastAsia="Times New Roman" w:hAnsi="FrankRuehl" w:cs="FrankRuehl"/>
          <w:b/>
          <w:bCs/>
          <w:sz w:val="26"/>
          <w:szCs w:val="26"/>
          <w:rtl/>
          <w:lang w:val="en-US"/>
        </w:rPr>
        <w:t>נתון במעצר או משוחרר בערובה בתנאים שאינם מאפשרים את התייצבותו</w:t>
      </w:r>
      <w:r w:rsidRPr="00F53E77">
        <w:rPr>
          <w:rFonts w:ascii="FrankRuehl" w:eastAsia="Times New Roman" w:hAnsi="FrankRuehl" w:cs="FrankRuehl"/>
          <w:sz w:val="26"/>
          <w:szCs w:val="26"/>
          <w:rtl/>
          <w:lang w:val="en-US"/>
        </w:rPr>
        <w:t xml:space="preserve"> להמשך ביצוע עבודת השירות;</w:t>
      </w:r>
    </w:p>
    <w:p w14:paraId="46E20453"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Time New Roman" w:eastAsia="Times New Roman" w:hAnsi="Time New Roman" w:cs="Times New Roman"/>
          <w:b/>
          <w:bCs/>
          <w:color w:val="008000"/>
          <w:sz w:val="27"/>
          <w:szCs w:val="27"/>
          <w:rtl/>
          <w:lang w:val="en-US"/>
        </w:rPr>
        <w:t>(תיקון מס' 102) תש"ע-2009</w:t>
      </w:r>
    </w:p>
    <w:p w14:paraId="67CCB9A5" w14:textId="77777777" w:rsidR="00F53E77" w:rsidRPr="00F53E77" w:rsidRDefault="00F53E7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53E77">
        <w:rPr>
          <w:rFonts w:ascii="FrankRuehl" w:eastAsia="Times New Roman" w:hAnsi="FrankRuehl" w:cs="FrankRuehl"/>
          <w:sz w:val="26"/>
          <w:szCs w:val="26"/>
          <w:rtl/>
          <w:lang w:val="en-US"/>
        </w:rPr>
        <w:t xml:space="preserve">(6)   הוא </w:t>
      </w:r>
      <w:r w:rsidRPr="00901FCF">
        <w:rPr>
          <w:rFonts w:ascii="FrankRuehl" w:eastAsia="Times New Roman" w:hAnsi="FrankRuehl" w:cs="FrankRuehl"/>
          <w:b/>
          <w:bCs/>
          <w:sz w:val="26"/>
          <w:szCs w:val="26"/>
          <w:rtl/>
          <w:lang w:val="en-US"/>
        </w:rPr>
        <w:t>הסתיר פרט או מסר פרט כוזב שהם מהותיים לצורך קביעת התאמתו</w:t>
      </w:r>
      <w:r w:rsidRPr="00F53E77">
        <w:rPr>
          <w:rFonts w:ascii="FrankRuehl" w:eastAsia="Times New Roman" w:hAnsi="FrankRuehl" w:cs="FrankRuehl"/>
          <w:sz w:val="26"/>
          <w:szCs w:val="26"/>
          <w:rtl/>
          <w:lang w:val="en-US"/>
        </w:rPr>
        <w:t xml:space="preserve"> לעבודת השירות או השמתו בה.</w:t>
      </w:r>
    </w:p>
    <w:p w14:paraId="5C692CC3" w14:textId="77777777" w:rsidR="00FE4294" w:rsidRDefault="00FE4294" w:rsidP="008F05D0">
      <w:pPr>
        <w:bidi/>
        <w:spacing w:after="0" w:line="276" w:lineRule="auto"/>
        <w:jc w:val="both"/>
        <w:rPr>
          <w:rFonts w:ascii="Segoe UI" w:hAnsi="Segoe UI" w:cs="Segoe UI"/>
          <w:color w:val="7030A0"/>
          <w:sz w:val="24"/>
          <w:szCs w:val="24"/>
          <w:lang w:val="en-ZW"/>
        </w:rPr>
      </w:pPr>
    </w:p>
    <w:p w14:paraId="2DD22D82" w14:textId="566E3E5F" w:rsidR="00F53E77" w:rsidRDefault="00951384" w:rsidP="008F05D0">
      <w:pPr>
        <w:pStyle w:val="2"/>
        <w:rPr>
          <w:rtl/>
        </w:rPr>
      </w:pPr>
      <w:bookmarkStart w:id="25" w:name="_Toc108218194"/>
      <w:r>
        <w:rPr>
          <w:rFonts w:hint="cs"/>
          <w:rtl/>
        </w:rPr>
        <w:lastRenderedPageBreak/>
        <w:t>מאסר על תנאי</w:t>
      </w:r>
      <w:r w:rsidR="00BF0250">
        <w:rPr>
          <w:rFonts w:hint="cs"/>
          <w:rtl/>
        </w:rPr>
        <w:t xml:space="preserve"> (</w:t>
      </w:r>
      <w:r w:rsidR="00BF0250" w:rsidRPr="00BF0250">
        <w:rPr>
          <w:rFonts w:hint="cs"/>
          <w:color w:val="7030A0"/>
          <w:rtl/>
        </w:rPr>
        <w:t>מע"ת</w:t>
      </w:r>
      <w:r w:rsidR="00BF0250">
        <w:rPr>
          <w:rFonts w:hint="cs"/>
          <w:rtl/>
        </w:rPr>
        <w:t>)</w:t>
      </w:r>
      <w:bookmarkEnd w:id="25"/>
    </w:p>
    <w:p w14:paraId="1C4984A5" w14:textId="77777777" w:rsidR="00A85C2F" w:rsidRPr="00A85C2F" w:rsidRDefault="00A85C2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A85C2F">
        <w:rPr>
          <w:rFonts w:ascii="Time New Roman" w:eastAsia="Times New Roman" w:hAnsi="Time New Roman" w:cs="Times New Roman"/>
          <w:b/>
          <w:bCs/>
          <w:color w:val="008000"/>
          <w:sz w:val="27"/>
          <w:szCs w:val="27"/>
          <w:rtl/>
          <w:lang w:val="en-US"/>
        </w:rPr>
        <w:t>מאסר על תנאי  [יא/18]</w:t>
      </w:r>
    </w:p>
    <w:p w14:paraId="4B7262EA" w14:textId="77777777" w:rsidR="00A85C2F" w:rsidRPr="00A85C2F" w:rsidRDefault="00A85C2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A85C2F">
        <w:rPr>
          <w:rFonts w:ascii="Miriam" w:eastAsia="Times New Roman" w:hAnsi="Miriam" w:cs="Miriam"/>
          <w:sz w:val="32"/>
          <w:szCs w:val="32"/>
          <w:rtl/>
          <w:lang w:val="en-US"/>
        </w:rPr>
        <w:t xml:space="preserve">52.  </w:t>
      </w:r>
      <w:r w:rsidRPr="00A85C2F">
        <w:rPr>
          <w:rFonts w:ascii="FrankRuehl" w:eastAsia="Times New Roman" w:hAnsi="FrankRuehl" w:cs="FrankRuehl"/>
          <w:sz w:val="26"/>
          <w:szCs w:val="26"/>
          <w:rtl/>
          <w:lang w:val="en-US"/>
        </w:rPr>
        <w:t>(א)  הטיל בית המשפט עונש מאסר, רשאי הוא להורות בגזר הדין שהעונש, כולו או מקצתו, יהיה על תנאי.</w:t>
      </w:r>
    </w:p>
    <w:p w14:paraId="7E4994F4" w14:textId="77777777" w:rsidR="00A85C2F" w:rsidRPr="00A85C2F" w:rsidRDefault="00A85C2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A85C2F">
        <w:rPr>
          <w:rFonts w:ascii="FrankRuehl" w:eastAsia="Times New Roman" w:hAnsi="FrankRuehl" w:cs="FrankRuehl"/>
          <w:sz w:val="26"/>
          <w:szCs w:val="26"/>
          <w:rtl/>
          <w:lang w:val="en-US"/>
        </w:rPr>
        <w:t xml:space="preserve">          (ב)  (1)   מי שנידון למאסר על תנאי </w:t>
      </w:r>
      <w:r w:rsidRPr="00A85C2F">
        <w:rPr>
          <w:rFonts w:ascii="FrankRuehl" w:eastAsia="Times New Roman" w:hAnsi="FrankRuehl" w:cs="FrankRuehl"/>
          <w:b/>
          <w:bCs/>
          <w:color w:val="FF0000"/>
          <w:sz w:val="26"/>
          <w:szCs w:val="26"/>
          <w:rtl/>
          <w:lang w:val="en-US"/>
        </w:rPr>
        <w:t xml:space="preserve">לא </w:t>
      </w:r>
      <w:proofErr w:type="spellStart"/>
      <w:r w:rsidRPr="00A85C2F">
        <w:rPr>
          <w:rFonts w:ascii="FrankRuehl" w:eastAsia="Times New Roman" w:hAnsi="FrankRuehl" w:cs="FrankRuehl"/>
          <w:b/>
          <w:bCs/>
          <w:color w:val="FF0000"/>
          <w:sz w:val="26"/>
          <w:szCs w:val="26"/>
          <w:rtl/>
          <w:lang w:val="en-US"/>
        </w:rPr>
        <w:t>ישא</w:t>
      </w:r>
      <w:proofErr w:type="spellEnd"/>
      <w:r w:rsidRPr="00A85C2F">
        <w:rPr>
          <w:rFonts w:ascii="FrankRuehl" w:eastAsia="Times New Roman" w:hAnsi="FrankRuehl" w:cs="FrankRuehl"/>
          <w:b/>
          <w:bCs/>
          <w:color w:val="FF0000"/>
          <w:sz w:val="26"/>
          <w:szCs w:val="26"/>
          <w:rtl/>
          <w:lang w:val="en-US"/>
        </w:rPr>
        <w:t xml:space="preserve"> את ענשו אלא אם עבר</w:t>
      </w:r>
      <w:r w:rsidRPr="00A85C2F">
        <w:rPr>
          <w:rFonts w:ascii="FrankRuehl" w:eastAsia="Times New Roman" w:hAnsi="FrankRuehl" w:cs="FrankRuehl"/>
          <w:color w:val="FF0000"/>
          <w:sz w:val="24"/>
          <w:szCs w:val="24"/>
          <w:rtl/>
          <w:lang w:val="en-US"/>
        </w:rPr>
        <w:t xml:space="preserve"> </w:t>
      </w:r>
      <w:r w:rsidRPr="00A85C2F">
        <w:rPr>
          <w:rFonts w:ascii="FrankRuehl" w:eastAsia="Times New Roman" w:hAnsi="FrankRuehl" w:cs="FrankRuehl"/>
          <w:sz w:val="26"/>
          <w:szCs w:val="26"/>
          <w:rtl/>
          <w:lang w:val="en-US"/>
        </w:rPr>
        <w:t xml:space="preserve">- תוך תקופה שנקבעה בגזר דינו ושלא תפחת משנה ולא תעלה על שלוש שנים (להלן - תקופת התנאי) - </w:t>
      </w:r>
      <w:r w:rsidRPr="00A85C2F">
        <w:rPr>
          <w:rFonts w:ascii="FrankRuehl" w:eastAsia="Times New Roman" w:hAnsi="FrankRuehl" w:cs="FrankRuehl"/>
          <w:b/>
          <w:bCs/>
          <w:color w:val="FF0000"/>
          <w:sz w:val="26"/>
          <w:szCs w:val="26"/>
          <w:rtl/>
          <w:lang w:val="en-US"/>
        </w:rPr>
        <w:t>אחת העבירות שנקבעו בגזר הדין והורשע בשל עבירה כזאת (להלן - עבירה נוספת) תוך תקופת התנאי או לאחריה</w:t>
      </w:r>
      <w:r w:rsidRPr="00A85C2F">
        <w:rPr>
          <w:rFonts w:ascii="FrankRuehl" w:eastAsia="Times New Roman" w:hAnsi="FrankRuehl" w:cs="FrankRuehl"/>
          <w:sz w:val="26"/>
          <w:szCs w:val="26"/>
          <w:rtl/>
          <w:lang w:val="en-US"/>
        </w:rPr>
        <w:t>.</w:t>
      </w:r>
    </w:p>
    <w:p w14:paraId="12BC8A04" w14:textId="77777777" w:rsidR="00A85C2F" w:rsidRPr="00A85C2F" w:rsidRDefault="00A85C2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A85C2F">
        <w:rPr>
          <w:rFonts w:ascii="Time New Roman" w:eastAsia="Times New Roman" w:hAnsi="Time New Roman" w:cs="Times New Roman"/>
          <w:b/>
          <w:bCs/>
          <w:color w:val="008000"/>
          <w:sz w:val="27"/>
          <w:szCs w:val="27"/>
          <w:rtl/>
          <w:lang w:val="en-US"/>
        </w:rPr>
        <w:t>(תיקון מס' 23) תשמ"ח-1988</w:t>
      </w:r>
    </w:p>
    <w:p w14:paraId="660787A7" w14:textId="77777777" w:rsidR="00A85C2F" w:rsidRPr="00A85C2F" w:rsidRDefault="00A85C2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A85C2F">
        <w:rPr>
          <w:rFonts w:ascii="FrankRuehl" w:eastAsia="Times New Roman" w:hAnsi="FrankRuehl" w:cs="FrankRuehl"/>
          <w:sz w:val="26"/>
          <w:szCs w:val="26"/>
          <w:rtl/>
          <w:lang w:val="en-US"/>
        </w:rPr>
        <w:t xml:space="preserve">          (ג)   </w:t>
      </w:r>
      <w:r w:rsidRPr="00A85C2F">
        <w:rPr>
          <w:rFonts w:ascii="FrankRuehl" w:eastAsia="Times New Roman" w:hAnsi="FrankRuehl" w:cs="FrankRuehl"/>
          <w:b/>
          <w:bCs/>
          <w:color w:val="FF0000"/>
          <w:sz w:val="26"/>
          <w:szCs w:val="26"/>
          <w:rtl/>
          <w:lang w:val="en-US"/>
        </w:rPr>
        <w:t>תקופת התנאי תתחיל ביום מתן גזר הדין ואם הנידון נושא אותו זמן עונש מאסר - ביום שחרורו מן המאסר</w:t>
      </w:r>
      <w:r w:rsidRPr="00A85C2F">
        <w:rPr>
          <w:rFonts w:ascii="FrankRuehl" w:eastAsia="Times New Roman" w:hAnsi="FrankRuehl" w:cs="FrankRuehl"/>
          <w:sz w:val="26"/>
          <w:szCs w:val="26"/>
          <w:rtl/>
          <w:lang w:val="en-US"/>
        </w:rPr>
        <w:t xml:space="preserve">; אולם תקופה שאסיר נמצא בה מחוץ לבית הסוהר בשל שחרור בערובה </w:t>
      </w:r>
      <w:proofErr w:type="spellStart"/>
      <w:r w:rsidRPr="00A85C2F">
        <w:rPr>
          <w:rFonts w:ascii="FrankRuehl" w:eastAsia="Times New Roman" w:hAnsi="FrankRuehl" w:cs="FrankRuehl"/>
          <w:sz w:val="26"/>
          <w:szCs w:val="26"/>
          <w:rtl/>
          <w:lang w:val="en-US"/>
        </w:rPr>
        <w:t>מכח</w:t>
      </w:r>
      <w:proofErr w:type="spellEnd"/>
      <w:r w:rsidRPr="00A85C2F">
        <w:rPr>
          <w:rFonts w:ascii="FrankRuehl" w:eastAsia="Times New Roman" w:hAnsi="FrankRuehl" w:cs="FrankRuehl"/>
          <w:sz w:val="26"/>
          <w:szCs w:val="26"/>
          <w:rtl/>
          <w:lang w:val="en-US"/>
        </w:rPr>
        <w:t xml:space="preserve"> סימן ב' בפרק ג' לחוק סדר הדין הפלילי [נוסח משולב], תשמ"ב–1982, בשל חופשה מיוחדת או </w:t>
      </w:r>
      <w:proofErr w:type="spellStart"/>
      <w:r w:rsidRPr="00A85C2F">
        <w:rPr>
          <w:rFonts w:ascii="FrankRuehl" w:eastAsia="Times New Roman" w:hAnsi="FrankRuehl" w:cs="FrankRuehl"/>
          <w:sz w:val="26"/>
          <w:szCs w:val="26"/>
          <w:rtl/>
          <w:lang w:val="en-US"/>
        </w:rPr>
        <w:t>מכח</w:t>
      </w:r>
      <w:proofErr w:type="spellEnd"/>
      <w:r w:rsidRPr="00A85C2F">
        <w:rPr>
          <w:rFonts w:ascii="FrankRuehl" w:eastAsia="Times New Roman" w:hAnsi="FrankRuehl" w:cs="FrankRuehl"/>
          <w:sz w:val="26"/>
          <w:szCs w:val="26"/>
          <w:rtl/>
          <w:lang w:val="en-US"/>
        </w:rPr>
        <w:t xml:space="preserve"> סימן ב1 לפרק ו', יראו אותה כתקופת תנאי מצטברת לתקופת התנאי שקבע בית המשפט; והכל כשבית המשפט לא הורה אחרת.</w:t>
      </w:r>
    </w:p>
    <w:p w14:paraId="49EC0774" w14:textId="77777777" w:rsidR="00A85C2F" w:rsidRPr="00A85C2F" w:rsidRDefault="00A85C2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A85C2F">
        <w:rPr>
          <w:rFonts w:ascii="FrankRuehl" w:eastAsia="Times New Roman" w:hAnsi="FrankRuehl" w:cs="FrankRuehl"/>
          <w:sz w:val="26"/>
          <w:szCs w:val="26"/>
          <w:rtl/>
          <w:lang w:val="en-US"/>
        </w:rPr>
        <w:t xml:space="preserve">          (ד)  קביעת העבירות לפי סעיף קטן (ב) יכול שתהיה בציון סוג של עבירות או בפירוט עבירות </w:t>
      </w:r>
      <w:proofErr w:type="spellStart"/>
      <w:r w:rsidRPr="00A85C2F">
        <w:rPr>
          <w:rFonts w:ascii="FrankRuehl" w:eastAsia="Times New Roman" w:hAnsi="FrankRuehl" w:cs="FrankRuehl"/>
          <w:sz w:val="26"/>
          <w:szCs w:val="26"/>
          <w:rtl/>
          <w:lang w:val="en-US"/>
        </w:rPr>
        <w:t>מסויימות</w:t>
      </w:r>
      <w:proofErr w:type="spellEnd"/>
      <w:r w:rsidRPr="00A85C2F">
        <w:rPr>
          <w:rFonts w:ascii="FrankRuehl" w:eastAsia="Times New Roman" w:hAnsi="FrankRuehl" w:cs="FrankRuehl"/>
          <w:sz w:val="26"/>
          <w:szCs w:val="26"/>
          <w:rtl/>
          <w:lang w:val="en-US"/>
        </w:rPr>
        <w:t xml:space="preserve">, אם דרך תיאורן ואם דרך אזכור הוראות חוק; אוזכרה הוראת חוק והיא בוטלה לאחר מכן והוראה אחרת באה במקומה, יראו את גזר הדין כמאזכר את ההוראה האחרת. </w:t>
      </w:r>
    </w:p>
    <w:p w14:paraId="04C19A00" w14:textId="77777777" w:rsidR="00A85C2F" w:rsidRPr="00A85C2F" w:rsidRDefault="00A85C2F" w:rsidP="008F05D0">
      <w:pPr>
        <w:bidi/>
        <w:spacing w:after="0" w:line="276" w:lineRule="auto"/>
        <w:jc w:val="both"/>
        <w:rPr>
          <w:rFonts w:ascii="Segoe UI" w:hAnsi="Segoe UI" w:cs="Segoe UI"/>
          <w:sz w:val="24"/>
          <w:szCs w:val="24"/>
          <w:rtl/>
          <w:lang w:val="en-ZW"/>
        </w:rPr>
      </w:pPr>
    </w:p>
    <w:p w14:paraId="444633AA" w14:textId="77777777" w:rsidR="00CA28F2" w:rsidRPr="00213465" w:rsidRDefault="00CA28F2" w:rsidP="008F05D0">
      <w:pPr>
        <w:pStyle w:val="ab"/>
        <w:numPr>
          <w:ilvl w:val="0"/>
          <w:numId w:val="67"/>
        </w:numPr>
        <w:bidi/>
        <w:spacing w:after="0" w:line="276" w:lineRule="auto"/>
        <w:jc w:val="both"/>
        <w:rPr>
          <w:rFonts w:ascii="Segoe UI" w:hAnsi="Segoe UI" w:cs="Segoe UI"/>
          <w:lang w:val="en-US"/>
        </w:rPr>
      </w:pPr>
      <w:r w:rsidRPr="00213465">
        <w:rPr>
          <w:rFonts w:ascii="Segoe UI" w:hAnsi="Segoe UI" w:cs="Segoe UI"/>
          <w:rtl/>
          <w:lang w:val="en-ZW"/>
        </w:rPr>
        <w:t>מאסר על תנאי הוא יחסית חדש. התחיל לפני 130 שנה.</w:t>
      </w:r>
    </w:p>
    <w:p w14:paraId="5438D4C0" w14:textId="77777777" w:rsidR="00CA28F2" w:rsidRPr="00213465" w:rsidRDefault="00CA28F2" w:rsidP="008F05D0">
      <w:pPr>
        <w:pStyle w:val="ab"/>
        <w:numPr>
          <w:ilvl w:val="0"/>
          <w:numId w:val="67"/>
        </w:numPr>
        <w:bidi/>
        <w:spacing w:after="0" w:line="276" w:lineRule="auto"/>
        <w:jc w:val="both"/>
        <w:rPr>
          <w:rFonts w:ascii="Segoe UI" w:hAnsi="Segoe UI" w:cs="Segoe UI"/>
          <w:rtl/>
          <w:lang w:val="en-ZW"/>
        </w:rPr>
      </w:pPr>
      <w:r w:rsidRPr="00213465">
        <w:rPr>
          <w:rFonts w:ascii="Segoe UI" w:hAnsi="Segoe UI" w:cs="Segoe UI"/>
          <w:rtl/>
          <w:lang w:val="en-ZW"/>
        </w:rPr>
        <w:t xml:space="preserve">הסיבה: ספקות לגבי היעילות של הענישה הרגילה. </w:t>
      </w:r>
    </w:p>
    <w:p w14:paraId="2346BB58" w14:textId="77777777" w:rsidR="00CA28F2" w:rsidRPr="00213465" w:rsidRDefault="00CA28F2" w:rsidP="008F05D0">
      <w:pPr>
        <w:pStyle w:val="ab"/>
        <w:numPr>
          <w:ilvl w:val="0"/>
          <w:numId w:val="67"/>
        </w:numPr>
        <w:bidi/>
        <w:spacing w:after="0" w:line="276" w:lineRule="auto"/>
        <w:jc w:val="both"/>
        <w:rPr>
          <w:rFonts w:ascii="Segoe UI" w:hAnsi="Segoe UI" w:cs="Segoe UI"/>
          <w:rtl/>
          <w:lang w:val="en-ZW"/>
        </w:rPr>
      </w:pPr>
      <w:r w:rsidRPr="00213465">
        <w:rPr>
          <w:rFonts w:ascii="Segoe UI" w:hAnsi="Segoe UI" w:cs="Segoe UI"/>
          <w:rtl/>
          <w:lang w:val="en-ZW"/>
        </w:rPr>
        <w:t>הטענה: הענישה - יותר מזיקה מתורמת לעבריין.</w:t>
      </w:r>
    </w:p>
    <w:p w14:paraId="7D3FB335" w14:textId="3FD4FB9C" w:rsidR="00C33496" w:rsidRPr="00213465" w:rsidRDefault="00CA28F2" w:rsidP="008F05D0">
      <w:pPr>
        <w:pStyle w:val="ab"/>
        <w:numPr>
          <w:ilvl w:val="0"/>
          <w:numId w:val="67"/>
        </w:numPr>
        <w:bidi/>
        <w:spacing w:after="0" w:line="276" w:lineRule="auto"/>
        <w:jc w:val="both"/>
        <w:rPr>
          <w:rFonts w:ascii="Segoe UI" w:hAnsi="Segoe UI" w:cs="Segoe UI"/>
          <w:rtl/>
          <w:lang w:val="en-ZW"/>
        </w:rPr>
      </w:pPr>
      <w:r w:rsidRPr="00213465">
        <w:rPr>
          <w:rFonts w:ascii="Segoe UI" w:hAnsi="Segoe UI" w:cs="Segoe UI"/>
          <w:rtl/>
          <w:lang w:val="en-ZW"/>
        </w:rPr>
        <w:t>בית המשפט קובע בגזר הדין עונש מאסר לתקופה קצובה אך הנאשם אינו נכלא לתקופה זו אלא אם בפרק זמן מסוים שב ועבר את העבירות המפורטות בגזר הדין.</w:t>
      </w:r>
    </w:p>
    <w:p w14:paraId="78C730F4" w14:textId="01D82E98" w:rsidR="00C33496" w:rsidRPr="00213465" w:rsidRDefault="00C33496" w:rsidP="008F05D0">
      <w:pPr>
        <w:bidi/>
        <w:spacing w:after="0" w:line="276" w:lineRule="auto"/>
        <w:jc w:val="both"/>
        <w:rPr>
          <w:rFonts w:ascii="Segoe UI" w:hAnsi="Segoe UI" w:cs="Segoe UI"/>
          <w:color w:val="7030A0"/>
          <w:rtl/>
          <w:lang w:val="en-ZW"/>
        </w:rPr>
      </w:pPr>
      <w:r w:rsidRPr="00213465">
        <w:rPr>
          <w:rFonts w:ascii="Segoe UI" w:hAnsi="Segoe UI" w:cs="Segoe UI" w:hint="cs"/>
          <w:color w:val="7030A0"/>
          <w:rtl/>
          <w:lang w:val="en-ZW"/>
        </w:rPr>
        <w:t xml:space="preserve">נשאלת השאלה מתי מתחיל התנאי? גישה אחת יכולה לומר שהתנאי מתחיל כאשר אתה משתחרר מהכלא. גישה אחרת יכולה לומר שאם אדם ריצה </w:t>
      </w:r>
      <w:proofErr w:type="spellStart"/>
      <w:r w:rsidRPr="00213465">
        <w:rPr>
          <w:rFonts w:ascii="Segoe UI" w:hAnsi="Segoe UI" w:cs="Segoe UI" w:hint="cs"/>
          <w:color w:val="7030A0"/>
          <w:rtl/>
          <w:lang w:val="en-ZW"/>
        </w:rPr>
        <w:t>עב"ש</w:t>
      </w:r>
      <w:proofErr w:type="spellEnd"/>
      <w:r w:rsidRPr="00213465">
        <w:rPr>
          <w:rFonts w:ascii="Segoe UI" w:hAnsi="Segoe UI" w:cs="Segoe UI" w:hint="cs"/>
          <w:color w:val="7030A0"/>
          <w:rtl/>
          <w:lang w:val="en-ZW"/>
        </w:rPr>
        <w:t xml:space="preserve"> </w:t>
      </w:r>
      <w:r w:rsidR="00A94A8D" w:rsidRPr="00213465">
        <w:rPr>
          <w:rFonts w:ascii="Segoe UI" w:hAnsi="Segoe UI" w:cs="Segoe UI" w:hint="cs"/>
          <w:color w:val="7030A0"/>
          <w:rtl/>
          <w:lang w:val="en-ZW"/>
        </w:rPr>
        <w:t xml:space="preserve">מתי נתחיל את התנאי? במהלך </w:t>
      </w:r>
      <w:proofErr w:type="spellStart"/>
      <w:r w:rsidR="00A94A8D" w:rsidRPr="00213465">
        <w:rPr>
          <w:rFonts w:ascii="Segoe UI" w:hAnsi="Segoe UI" w:cs="Segoe UI" w:hint="cs"/>
          <w:color w:val="7030A0"/>
          <w:rtl/>
          <w:lang w:val="en-ZW"/>
        </w:rPr>
        <w:t>עב"ש</w:t>
      </w:r>
      <w:proofErr w:type="spellEnd"/>
      <w:r w:rsidR="00A94A8D" w:rsidRPr="00213465">
        <w:rPr>
          <w:rFonts w:ascii="Segoe UI" w:hAnsi="Segoe UI" w:cs="Segoe UI" w:hint="cs"/>
          <w:color w:val="7030A0"/>
          <w:rtl/>
          <w:lang w:val="en-ZW"/>
        </w:rPr>
        <w:t xml:space="preserve"> או לאחר </w:t>
      </w:r>
      <w:proofErr w:type="spellStart"/>
      <w:r w:rsidR="00A94A8D" w:rsidRPr="00213465">
        <w:rPr>
          <w:rFonts w:ascii="Segoe UI" w:hAnsi="Segoe UI" w:cs="Segoe UI" w:hint="cs"/>
          <w:color w:val="7030A0"/>
          <w:rtl/>
          <w:lang w:val="en-ZW"/>
        </w:rPr>
        <w:t>עב"ש</w:t>
      </w:r>
      <w:proofErr w:type="spellEnd"/>
      <w:r w:rsidR="00A94A8D" w:rsidRPr="00213465">
        <w:rPr>
          <w:rFonts w:ascii="Segoe UI" w:hAnsi="Segoe UI" w:cs="Segoe UI" w:hint="cs"/>
          <w:color w:val="7030A0"/>
          <w:rtl/>
          <w:lang w:val="en-ZW"/>
        </w:rPr>
        <w:t>?</w:t>
      </w:r>
    </w:p>
    <w:p w14:paraId="5D80295A" w14:textId="58BB9D1F" w:rsidR="008C284E" w:rsidRPr="00213465" w:rsidRDefault="008C284E" w:rsidP="008F05D0">
      <w:pPr>
        <w:bidi/>
        <w:spacing w:after="0" w:line="276" w:lineRule="auto"/>
        <w:jc w:val="both"/>
        <w:rPr>
          <w:rFonts w:ascii="Segoe UI" w:hAnsi="Segoe UI" w:cs="Segoe UI"/>
          <w:color w:val="7030A0"/>
          <w:rtl/>
          <w:lang w:val="en-ZW"/>
        </w:rPr>
      </w:pPr>
      <w:r w:rsidRPr="00213465">
        <w:rPr>
          <w:rFonts w:ascii="Segoe UI" w:hAnsi="Segoe UI" w:cs="Segoe UI" w:hint="cs"/>
          <w:color w:val="7030A0"/>
          <w:rtl/>
          <w:lang w:val="en-ZW"/>
        </w:rPr>
        <w:t xml:space="preserve">יש גם המון גז"ד שלא ברור מה השופט קבע כעבירה שעליה יחול התנאי. המון פעמים שופטים לא מעמיקים בקביעה של התנאי ואז זה יוצר בעיות. </w:t>
      </w:r>
    </w:p>
    <w:p w14:paraId="308787F4" w14:textId="5502052D" w:rsidR="001613A5" w:rsidRPr="00213465" w:rsidRDefault="001613A5" w:rsidP="008F05D0">
      <w:pPr>
        <w:bidi/>
        <w:spacing w:after="0" w:line="276" w:lineRule="auto"/>
        <w:jc w:val="both"/>
        <w:rPr>
          <w:rFonts w:ascii="Segoe UI" w:hAnsi="Segoe UI" w:cs="Segoe UI"/>
          <w:color w:val="7030A0"/>
          <w:rtl/>
          <w:lang w:val="en-ZW"/>
        </w:rPr>
      </w:pPr>
      <w:r w:rsidRPr="00213465">
        <w:rPr>
          <w:rFonts w:ascii="Segoe UI" w:hAnsi="Segoe UI" w:cs="Segoe UI" w:hint="cs"/>
          <w:color w:val="7030A0"/>
          <w:rtl/>
          <w:lang w:val="en-ZW"/>
        </w:rPr>
        <w:t>לדוג' אדם ביצע שוד, פרץ לבנק וגנב מיליון שקל, הוא קיבל תנאי שאם יבצע שוד בנק ישב שנתיים. בפעם ההבאה תפסו אותו על גניבה האם מפעילים את התנאי או לא מפעילים את התנאי?</w:t>
      </w:r>
      <w:r w:rsidRPr="00213465">
        <w:rPr>
          <w:rFonts w:ascii="Segoe UI" w:hAnsi="Segoe UI" w:cs="Segoe UI" w:hint="cs"/>
          <w:color w:val="7030A0"/>
          <w:lang w:val="en-ZW"/>
        </w:rPr>
        <w:t xml:space="preserve"> </w:t>
      </w:r>
    </w:p>
    <w:p w14:paraId="7B47C059" w14:textId="77777777" w:rsidR="008C284E" w:rsidRPr="00674777" w:rsidRDefault="008C284E" w:rsidP="008F05D0">
      <w:pPr>
        <w:bidi/>
        <w:spacing w:after="0" w:line="276" w:lineRule="auto"/>
        <w:jc w:val="both"/>
        <w:rPr>
          <w:rFonts w:ascii="Segoe UI" w:hAnsi="Segoe UI" w:cs="Segoe UI"/>
          <w:color w:val="7030A0"/>
          <w:rtl/>
          <w:lang w:val="en-ZW"/>
        </w:rPr>
      </w:pPr>
    </w:p>
    <w:p w14:paraId="2FE36CF3" w14:textId="6ECD7341" w:rsidR="00571D0B" w:rsidRDefault="00571D0B" w:rsidP="008F05D0">
      <w:pPr>
        <w:pStyle w:val="110"/>
        <w:spacing w:line="276" w:lineRule="auto"/>
        <w:rPr>
          <w:rtl/>
        </w:rPr>
      </w:pPr>
      <w:r>
        <w:rPr>
          <w:rFonts w:hint="cs"/>
          <w:rtl/>
        </w:rPr>
        <w:t>היתרון של מע"ת</w:t>
      </w:r>
    </w:p>
    <w:p w14:paraId="64A84F3A" w14:textId="77777777" w:rsidR="00571D0B" w:rsidRPr="00213465" w:rsidRDefault="00571D0B" w:rsidP="008F05D0">
      <w:pPr>
        <w:pStyle w:val="ab"/>
        <w:numPr>
          <w:ilvl w:val="0"/>
          <w:numId w:val="68"/>
        </w:numPr>
        <w:bidi/>
        <w:spacing w:after="0" w:line="276" w:lineRule="auto"/>
        <w:jc w:val="both"/>
        <w:rPr>
          <w:rFonts w:ascii="Segoe UI" w:hAnsi="Segoe UI" w:cs="Segoe UI"/>
          <w:rtl/>
          <w:lang w:val="en-ZW"/>
        </w:rPr>
      </w:pPr>
      <w:r w:rsidRPr="00213465">
        <w:rPr>
          <w:rFonts w:ascii="Segoe UI" w:hAnsi="Segoe UI" w:cs="Segoe UI"/>
          <w:rtl/>
          <w:lang w:val="en-ZW"/>
        </w:rPr>
        <w:t>מאפשר לשופט גם להחמיר בדין וגם להקל בעת ובעונה אחת</w:t>
      </w:r>
      <w:r w:rsidRPr="00213465">
        <w:rPr>
          <w:rFonts w:ascii="Segoe UI" w:hAnsi="Segoe UI" w:cs="Segoe UI"/>
          <w:lang w:val="en-ZW"/>
        </w:rPr>
        <w:t xml:space="preserve">. </w:t>
      </w:r>
    </w:p>
    <w:p w14:paraId="27F45EE1" w14:textId="77777777" w:rsidR="00571D0B" w:rsidRPr="00213465" w:rsidRDefault="00571D0B" w:rsidP="008F05D0">
      <w:pPr>
        <w:pStyle w:val="ab"/>
        <w:numPr>
          <w:ilvl w:val="0"/>
          <w:numId w:val="68"/>
        </w:numPr>
        <w:bidi/>
        <w:spacing w:after="0" w:line="276" w:lineRule="auto"/>
        <w:jc w:val="both"/>
        <w:rPr>
          <w:rFonts w:ascii="Segoe UI" w:hAnsi="Segoe UI" w:cs="Segoe UI"/>
          <w:rtl/>
          <w:lang w:val="en-ZW"/>
        </w:rPr>
      </w:pPr>
      <w:r w:rsidRPr="00213465">
        <w:rPr>
          <w:rFonts w:ascii="Segoe UI" w:hAnsi="Segoe UI" w:cs="Segoe UI"/>
          <w:rtl/>
          <w:lang w:val="en-ZW"/>
        </w:rPr>
        <w:t>העבריין גם נשפט למאסר וגם נשאר חופשי</w:t>
      </w:r>
    </w:p>
    <w:p w14:paraId="639EF27F" w14:textId="412C27C2" w:rsidR="00A1458B" w:rsidRPr="00213465" w:rsidRDefault="00571D0B" w:rsidP="008F05D0">
      <w:pPr>
        <w:pStyle w:val="ab"/>
        <w:numPr>
          <w:ilvl w:val="0"/>
          <w:numId w:val="68"/>
        </w:numPr>
        <w:bidi/>
        <w:spacing w:after="0" w:line="276" w:lineRule="auto"/>
        <w:jc w:val="both"/>
        <w:rPr>
          <w:rFonts w:ascii="Segoe UI" w:hAnsi="Segoe UI" w:cs="Segoe UI"/>
          <w:rtl/>
          <w:lang w:val="en-ZW"/>
        </w:rPr>
      </w:pPr>
      <w:r w:rsidRPr="00213465">
        <w:rPr>
          <w:rFonts w:ascii="Segoe UI" w:hAnsi="Segoe UI" w:cs="Segoe UI"/>
          <w:rtl/>
          <w:lang w:val="en-ZW"/>
        </w:rPr>
        <w:t>מאסר על תנאי</w:t>
      </w:r>
      <w:r w:rsidRPr="00213465">
        <w:rPr>
          <w:rFonts w:ascii="Segoe UI" w:hAnsi="Segoe UI" w:cs="Segoe UI" w:hint="cs"/>
          <w:rtl/>
          <w:lang w:val="en-ZW"/>
        </w:rPr>
        <w:t xml:space="preserve"> </w:t>
      </w:r>
      <w:r w:rsidRPr="00213465">
        <w:rPr>
          <w:rFonts w:ascii="Segoe UI" w:hAnsi="Segoe UI" w:cs="Segoe UI"/>
          <w:rtl/>
          <w:lang w:val="en-ZW"/>
        </w:rPr>
        <w:t>–</w:t>
      </w:r>
      <w:r w:rsidRPr="00213465">
        <w:rPr>
          <w:rFonts w:ascii="Segoe UI" w:hAnsi="Segoe UI" w:cs="Segoe UI" w:hint="cs"/>
          <w:rtl/>
          <w:lang w:val="en-ZW"/>
        </w:rPr>
        <w:t xml:space="preserve"> </w:t>
      </w:r>
      <w:r w:rsidRPr="00213465">
        <w:rPr>
          <w:rFonts w:ascii="Segoe UI" w:hAnsi="Segoe UI" w:cs="Segoe UI"/>
          <w:rtl/>
          <w:lang w:val="en-ZW"/>
        </w:rPr>
        <w:t>מעין "עונש ביניים". העמדה במבחן היא אמצעי מקל מדדי ועונש מאסר הוא כבד מדי.</w:t>
      </w:r>
    </w:p>
    <w:p w14:paraId="09103428" w14:textId="77777777" w:rsidR="00A1458B" w:rsidRPr="00213465" w:rsidRDefault="00A1458B" w:rsidP="008F05D0">
      <w:pPr>
        <w:pStyle w:val="ab"/>
        <w:numPr>
          <w:ilvl w:val="0"/>
          <w:numId w:val="68"/>
        </w:numPr>
        <w:bidi/>
        <w:spacing w:after="0" w:line="276" w:lineRule="auto"/>
        <w:jc w:val="both"/>
        <w:rPr>
          <w:rFonts w:ascii="Segoe UI" w:hAnsi="Segoe UI" w:cs="Segoe UI"/>
          <w:rtl/>
          <w:lang w:val="en-ZW"/>
        </w:rPr>
      </w:pPr>
      <w:r w:rsidRPr="00213465">
        <w:rPr>
          <w:rFonts w:ascii="Segoe UI" w:hAnsi="Segoe UI" w:cs="Segoe UI"/>
          <w:rtl/>
          <w:lang w:val="en-ZW"/>
        </w:rPr>
        <w:t>כאשר מדברים על תיאוריות של הרתעה - עונש מאסר על תנאי הוא העונש הקלאסי</w:t>
      </w:r>
      <w:r w:rsidRPr="00213465">
        <w:rPr>
          <w:rFonts w:ascii="Segoe UI" w:hAnsi="Segoe UI" w:cs="Segoe UI"/>
          <w:lang w:val="en-ZW"/>
        </w:rPr>
        <w:t xml:space="preserve">. </w:t>
      </w:r>
    </w:p>
    <w:p w14:paraId="49EDC3F0" w14:textId="3B931669" w:rsidR="00A1458B" w:rsidRPr="00213465" w:rsidRDefault="00A1458B" w:rsidP="008F05D0">
      <w:pPr>
        <w:pStyle w:val="ab"/>
        <w:numPr>
          <w:ilvl w:val="0"/>
          <w:numId w:val="68"/>
        </w:numPr>
        <w:bidi/>
        <w:spacing w:after="0" w:line="276" w:lineRule="auto"/>
        <w:jc w:val="both"/>
        <w:rPr>
          <w:rFonts w:ascii="Segoe UI" w:hAnsi="Segoe UI" w:cs="Segoe UI"/>
          <w:rtl/>
          <w:lang w:val="en-ZW"/>
        </w:rPr>
      </w:pPr>
      <w:r w:rsidRPr="00213465">
        <w:rPr>
          <w:rFonts w:ascii="Segoe UI" w:hAnsi="Segoe UI" w:cs="Segoe UI"/>
          <w:rtl/>
          <w:lang w:val="en-ZW"/>
        </w:rPr>
        <w:t>המאסר על תנאי - "חרב על צווארו של העבריין"</w:t>
      </w:r>
    </w:p>
    <w:p w14:paraId="156DAB84" w14:textId="1DA60896" w:rsidR="00A1458B" w:rsidRPr="00213465" w:rsidRDefault="00A1458B" w:rsidP="008F05D0">
      <w:pPr>
        <w:pStyle w:val="ab"/>
        <w:numPr>
          <w:ilvl w:val="0"/>
          <w:numId w:val="68"/>
        </w:numPr>
        <w:bidi/>
        <w:spacing w:after="0" w:line="276" w:lineRule="auto"/>
        <w:jc w:val="both"/>
        <w:rPr>
          <w:rFonts w:ascii="Segoe UI" w:hAnsi="Segoe UI" w:cs="Segoe UI"/>
          <w:rtl/>
          <w:lang w:val="en-ZW"/>
        </w:rPr>
      </w:pPr>
      <w:r w:rsidRPr="00213465">
        <w:rPr>
          <w:rFonts w:ascii="Segoe UI" w:hAnsi="Segoe UI" w:cs="Segoe UI"/>
          <w:rtl/>
          <w:lang w:val="en-ZW"/>
        </w:rPr>
        <w:t>מטרתו המרכזית -  "תמרור אזהר</w:t>
      </w:r>
      <w:r w:rsidR="000259AE" w:rsidRPr="00213465">
        <w:rPr>
          <w:rFonts w:ascii="Segoe UI" w:hAnsi="Segoe UI" w:cs="Segoe UI" w:hint="cs"/>
          <w:rtl/>
          <w:lang w:val="en-ZW"/>
        </w:rPr>
        <w:t>ה"</w:t>
      </w:r>
    </w:p>
    <w:p w14:paraId="2B59A0F3" w14:textId="77777777" w:rsidR="00A1458B" w:rsidRPr="00213465" w:rsidRDefault="00A1458B" w:rsidP="008F05D0">
      <w:pPr>
        <w:pStyle w:val="ab"/>
        <w:numPr>
          <w:ilvl w:val="0"/>
          <w:numId w:val="68"/>
        </w:numPr>
        <w:bidi/>
        <w:spacing w:after="0" w:line="276" w:lineRule="auto"/>
        <w:jc w:val="both"/>
        <w:rPr>
          <w:rFonts w:ascii="Segoe UI" w:hAnsi="Segoe UI" w:cs="Segoe UI"/>
          <w:rtl/>
          <w:lang w:val="en-ZW"/>
        </w:rPr>
      </w:pPr>
      <w:r w:rsidRPr="00213465">
        <w:rPr>
          <w:rFonts w:ascii="Segoe UI" w:hAnsi="Segoe UI" w:cs="Segoe UI"/>
          <w:rtl/>
          <w:lang w:val="en-ZW"/>
        </w:rPr>
        <w:t>בפעם הבאה שיבצע מעשה הנכלל במסגרת התנאי, הוא ימצא עצמו מאחורי סורג ובריח</w:t>
      </w:r>
      <w:r w:rsidRPr="00213465">
        <w:rPr>
          <w:rFonts w:ascii="Segoe UI" w:hAnsi="Segoe UI" w:cs="Segoe UI"/>
          <w:lang w:val="en-ZW"/>
        </w:rPr>
        <w:t xml:space="preserve">. </w:t>
      </w:r>
    </w:p>
    <w:p w14:paraId="28805462" w14:textId="1DF0EAF6" w:rsidR="00A1458B" w:rsidRPr="00213465" w:rsidRDefault="00A1458B" w:rsidP="008F05D0">
      <w:pPr>
        <w:pStyle w:val="ab"/>
        <w:numPr>
          <w:ilvl w:val="0"/>
          <w:numId w:val="68"/>
        </w:numPr>
        <w:bidi/>
        <w:spacing w:after="0" w:line="276" w:lineRule="auto"/>
        <w:jc w:val="both"/>
        <w:rPr>
          <w:rFonts w:ascii="Segoe UI" w:hAnsi="Segoe UI" w:cs="Segoe UI"/>
          <w:rtl/>
          <w:lang w:val="en-ZW"/>
        </w:rPr>
      </w:pPr>
      <w:r w:rsidRPr="00213465">
        <w:rPr>
          <w:rFonts w:ascii="Segoe UI" w:hAnsi="Segoe UI" w:cs="Segoe UI"/>
          <w:rtl/>
          <w:lang w:val="en-ZW"/>
        </w:rPr>
        <w:t>כאשר הנאשם מבצע עבירה אשר מאפשרת את הפעלת עונש המאסר על תנאי שנגזר עליו, בית המשפט יפעיל את התנאי וישלח את הנאשם לבית הסוהר</w:t>
      </w:r>
      <w:r w:rsidRPr="00213465">
        <w:rPr>
          <w:rFonts w:ascii="Segoe UI" w:hAnsi="Segoe UI" w:cs="Segoe UI"/>
          <w:lang w:val="en-ZW"/>
        </w:rPr>
        <w:t xml:space="preserve"> </w:t>
      </w:r>
    </w:p>
    <w:p w14:paraId="32F2BE69" w14:textId="77777777" w:rsidR="00C755B8" w:rsidRPr="00A1458B" w:rsidRDefault="00C755B8" w:rsidP="008F05D0">
      <w:pPr>
        <w:bidi/>
        <w:spacing w:after="0" w:line="276" w:lineRule="auto"/>
        <w:jc w:val="both"/>
        <w:rPr>
          <w:rFonts w:ascii="Segoe UI" w:hAnsi="Segoe UI" w:cs="Segoe UI"/>
          <w:sz w:val="24"/>
          <w:szCs w:val="24"/>
          <w:rtl/>
          <w:lang w:val="en-ZW"/>
        </w:rPr>
      </w:pPr>
    </w:p>
    <w:p w14:paraId="7DA8639D" w14:textId="57C1CD9B" w:rsidR="00C755B8" w:rsidRPr="00213465" w:rsidRDefault="00874A08" w:rsidP="008F05D0">
      <w:pPr>
        <w:bidi/>
        <w:spacing w:after="0" w:line="276" w:lineRule="auto"/>
        <w:jc w:val="both"/>
        <w:rPr>
          <w:rFonts w:ascii="Segoe UI" w:hAnsi="Segoe UI" w:cs="Segoe UI"/>
          <w:rtl/>
          <w:lang w:val="en-ZW"/>
        </w:rPr>
      </w:pPr>
      <w:r w:rsidRPr="00213465">
        <w:rPr>
          <w:rFonts w:ascii="Segoe UI" w:hAnsi="Segoe UI" w:cs="Segoe UI" w:hint="cs"/>
          <w:b/>
          <w:bCs/>
          <w:color w:val="FF0000"/>
          <w:rtl/>
          <w:lang w:val="en-ZW"/>
        </w:rPr>
        <w:t>חריג</w:t>
      </w:r>
      <w:r w:rsidRPr="00213465">
        <w:rPr>
          <w:rFonts w:ascii="Segoe UI" w:hAnsi="Segoe UI" w:cs="Segoe UI" w:hint="cs"/>
          <w:rtl/>
          <w:lang w:val="en-ZW"/>
        </w:rPr>
        <w:t xml:space="preserve">: </w:t>
      </w:r>
      <w:r w:rsidR="00A1458B" w:rsidRPr="00213465">
        <w:rPr>
          <w:rFonts w:ascii="Segoe UI" w:hAnsi="Segoe UI" w:cs="Segoe UI"/>
          <w:rtl/>
          <w:lang w:val="en-ZW"/>
        </w:rPr>
        <w:t>סעיף 56 לחוק העונשין מאפשר להאריך את תקופת המאסר המותנה פעם אחת בלבד.</w:t>
      </w:r>
    </w:p>
    <w:p w14:paraId="2B806C94" w14:textId="77777777" w:rsidR="00C755B8" w:rsidRPr="00C755B8" w:rsidRDefault="00C755B8"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Times New Roman" w:eastAsia="Times New Roman" w:hAnsi="Times New Roman" w:cs="Times New Roman"/>
          <w:sz w:val="24"/>
          <w:szCs w:val="24"/>
          <w:lang w:val="en-US"/>
        </w:rPr>
      </w:pPr>
      <w:r w:rsidRPr="00C755B8">
        <w:rPr>
          <w:rFonts w:ascii="Time New Roman" w:eastAsia="Times New Roman" w:hAnsi="Time New Roman" w:cs="Times New Roman"/>
          <w:b/>
          <w:bCs/>
          <w:color w:val="008000"/>
          <w:sz w:val="27"/>
          <w:szCs w:val="27"/>
          <w:rtl/>
          <w:lang w:val="en-US"/>
        </w:rPr>
        <w:t>הארכת תקופת התנאי [יא/22] (תיקון מס' 23) תשמ"ח-1988</w:t>
      </w:r>
    </w:p>
    <w:p w14:paraId="78D23F08" w14:textId="77777777" w:rsidR="00C755B8" w:rsidRPr="00C755B8" w:rsidRDefault="00C755B8"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Times New Roman" w:eastAsia="Times New Roman" w:hAnsi="Times New Roman" w:cs="Times New Roman"/>
          <w:sz w:val="24"/>
          <w:szCs w:val="24"/>
          <w:rtl/>
          <w:lang w:val="en-US"/>
        </w:rPr>
      </w:pPr>
      <w:r w:rsidRPr="00C755B8">
        <w:rPr>
          <w:rFonts w:ascii="Miriam" w:eastAsia="Times New Roman" w:hAnsi="Miriam" w:cs="Miriam"/>
          <w:sz w:val="32"/>
          <w:szCs w:val="32"/>
          <w:rtl/>
          <w:lang w:val="en-US"/>
        </w:rPr>
        <w:t xml:space="preserve">56.  </w:t>
      </w:r>
      <w:r w:rsidRPr="00C755B8">
        <w:rPr>
          <w:rFonts w:ascii="FrankRuehl" w:eastAsia="Times New Roman" w:hAnsi="FrankRuehl" w:cs="FrankRuehl"/>
          <w:sz w:val="26"/>
          <w:szCs w:val="26"/>
          <w:rtl/>
          <w:lang w:val="en-US"/>
        </w:rPr>
        <w:t xml:space="preserve">(א)  בית המשפט </w:t>
      </w:r>
      <w:r w:rsidRPr="00C755B8">
        <w:rPr>
          <w:rFonts w:ascii="FrankRuehl" w:eastAsia="Times New Roman" w:hAnsi="FrankRuehl" w:cs="FrankRuehl"/>
          <w:color w:val="FF0000"/>
          <w:sz w:val="26"/>
          <w:szCs w:val="26"/>
          <w:rtl/>
          <w:lang w:val="en-US"/>
        </w:rPr>
        <w:t>ש</w:t>
      </w:r>
      <w:r w:rsidRPr="00C755B8">
        <w:rPr>
          <w:rFonts w:ascii="FrankRuehl" w:eastAsia="Times New Roman" w:hAnsi="FrankRuehl" w:cs="FrankRuehl"/>
          <w:b/>
          <w:bCs/>
          <w:color w:val="FF0000"/>
          <w:sz w:val="26"/>
          <w:szCs w:val="26"/>
          <w:rtl/>
          <w:lang w:val="en-US"/>
        </w:rPr>
        <w:t xml:space="preserve">הרשיע </w:t>
      </w:r>
      <w:r w:rsidRPr="00C755B8">
        <w:rPr>
          <w:rFonts w:ascii="FrankRuehl" w:eastAsia="Times New Roman" w:hAnsi="FrankRuehl" w:cs="FrankRuehl"/>
          <w:sz w:val="26"/>
          <w:szCs w:val="26"/>
          <w:rtl/>
          <w:lang w:val="en-US"/>
        </w:rPr>
        <w:t xml:space="preserve">נאשם בשל עבירה נוספת </w:t>
      </w:r>
      <w:r w:rsidRPr="00C755B8">
        <w:rPr>
          <w:rFonts w:ascii="FrankRuehl" w:eastAsia="Times New Roman" w:hAnsi="FrankRuehl" w:cs="FrankRuehl"/>
          <w:b/>
          <w:bCs/>
          <w:color w:val="FF0000"/>
          <w:sz w:val="26"/>
          <w:szCs w:val="26"/>
          <w:rtl/>
          <w:lang w:val="en-US"/>
        </w:rPr>
        <w:t>ולא הטיל עליו בשל אותה עבירה עונש מאסר</w:t>
      </w:r>
      <w:r w:rsidRPr="00C755B8">
        <w:rPr>
          <w:rFonts w:ascii="FrankRuehl" w:eastAsia="Times New Roman" w:hAnsi="FrankRuehl" w:cs="FrankRuehl"/>
          <w:sz w:val="26"/>
          <w:szCs w:val="26"/>
          <w:rtl/>
          <w:lang w:val="en-US"/>
        </w:rPr>
        <w:t xml:space="preserve"> רשאי, על אף האמור בסעיף 55 ובמקום לצוות על הפעלת המאסר על תנאי, לצוות, מטעמים שיירשמו, </w:t>
      </w:r>
      <w:r w:rsidRPr="00C755B8">
        <w:rPr>
          <w:rFonts w:ascii="FrankRuehl" w:eastAsia="Times New Roman" w:hAnsi="FrankRuehl" w:cs="FrankRuehl"/>
          <w:b/>
          <w:bCs/>
          <w:color w:val="FF0000"/>
          <w:sz w:val="26"/>
          <w:szCs w:val="26"/>
          <w:rtl/>
          <w:lang w:val="en-US"/>
        </w:rPr>
        <w:t>על הארכת תקופת התנאי,</w:t>
      </w:r>
      <w:r w:rsidRPr="00C755B8">
        <w:rPr>
          <w:rFonts w:ascii="FrankRuehl" w:eastAsia="Times New Roman" w:hAnsi="FrankRuehl" w:cs="FrankRuehl"/>
          <w:color w:val="FF0000"/>
          <w:sz w:val="26"/>
          <w:szCs w:val="26"/>
          <w:rtl/>
          <w:lang w:val="en-US"/>
        </w:rPr>
        <w:t xml:space="preserve"> </w:t>
      </w:r>
      <w:r w:rsidRPr="00C755B8">
        <w:rPr>
          <w:rFonts w:ascii="FrankRuehl" w:eastAsia="Times New Roman" w:hAnsi="FrankRuehl" w:cs="FrankRuehl"/>
          <w:sz w:val="26"/>
          <w:szCs w:val="26"/>
          <w:rtl/>
          <w:lang w:val="en-US"/>
        </w:rPr>
        <w:lastRenderedPageBreak/>
        <w:t xml:space="preserve">או חידושה, לתקופה נוספת שלא תעלה על שנתיים, אם שוכנע בית המשפט שבנסיבות </w:t>
      </w:r>
      <w:proofErr w:type="spellStart"/>
      <w:r w:rsidRPr="00C755B8">
        <w:rPr>
          <w:rFonts w:ascii="FrankRuehl" w:eastAsia="Times New Roman" w:hAnsi="FrankRuehl" w:cs="FrankRuehl"/>
          <w:sz w:val="26"/>
          <w:szCs w:val="26"/>
          <w:rtl/>
          <w:lang w:val="en-US"/>
        </w:rPr>
        <w:t>הענין</w:t>
      </w:r>
      <w:proofErr w:type="spellEnd"/>
      <w:r w:rsidRPr="00C755B8">
        <w:rPr>
          <w:rFonts w:ascii="FrankRuehl" w:eastAsia="Times New Roman" w:hAnsi="FrankRuehl" w:cs="FrankRuehl"/>
          <w:sz w:val="26"/>
          <w:szCs w:val="26"/>
          <w:rtl/>
          <w:lang w:val="en-US"/>
        </w:rPr>
        <w:t xml:space="preserve"> לא יהיה צודק להפעיל את המאסר על תנאי. </w:t>
      </w:r>
    </w:p>
    <w:p w14:paraId="34C90ADF" w14:textId="77777777" w:rsidR="00C755B8" w:rsidRPr="00C755B8" w:rsidRDefault="00C755B8"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Times New Roman" w:eastAsia="Times New Roman" w:hAnsi="Times New Roman" w:cs="Times New Roman"/>
          <w:sz w:val="24"/>
          <w:szCs w:val="24"/>
          <w:rtl/>
          <w:lang w:val="en-US"/>
        </w:rPr>
      </w:pPr>
      <w:r w:rsidRPr="00C755B8">
        <w:rPr>
          <w:rFonts w:ascii="FrankRuehl" w:eastAsia="Times New Roman" w:hAnsi="FrankRuehl" w:cs="FrankRuehl"/>
          <w:sz w:val="26"/>
          <w:szCs w:val="26"/>
          <w:rtl/>
          <w:lang w:val="en-US"/>
        </w:rPr>
        <w:t xml:space="preserve">          (ב)  </w:t>
      </w:r>
      <w:r w:rsidRPr="00C755B8">
        <w:rPr>
          <w:rFonts w:ascii="FrankRuehl" w:eastAsia="Times New Roman" w:hAnsi="FrankRuehl" w:cs="FrankRuehl"/>
          <w:b/>
          <w:bCs/>
          <w:color w:val="FF0000"/>
          <w:sz w:val="26"/>
          <w:szCs w:val="26"/>
          <w:rtl/>
          <w:lang w:val="en-US"/>
        </w:rPr>
        <w:t>לא ישתמש בית המשפט בסמכות לפי סעיף זה אלא לגבי ההרשעה הראשונה של הנאשם בשל עבירה נוספת.</w:t>
      </w:r>
      <w:r w:rsidRPr="00C755B8">
        <w:rPr>
          <w:rFonts w:ascii="FrankRuehl" w:eastAsia="Times New Roman" w:hAnsi="FrankRuehl" w:cs="FrankRuehl"/>
          <w:color w:val="FF0000"/>
          <w:sz w:val="26"/>
          <w:szCs w:val="26"/>
          <w:rtl/>
          <w:lang w:val="en-US"/>
        </w:rPr>
        <w:t xml:space="preserve"> </w:t>
      </w:r>
    </w:p>
    <w:p w14:paraId="36711E9C" w14:textId="77777777" w:rsidR="008553AB" w:rsidRPr="008553AB" w:rsidRDefault="008553AB" w:rsidP="008F05D0">
      <w:pPr>
        <w:bidi/>
        <w:spacing w:after="0" w:line="276" w:lineRule="auto"/>
        <w:jc w:val="both"/>
        <w:rPr>
          <w:rFonts w:ascii="Segoe UI" w:hAnsi="Segoe UI" w:cs="Segoe UI"/>
          <w:sz w:val="24"/>
          <w:szCs w:val="24"/>
          <w:rtl/>
          <w:lang w:val="en-ZW"/>
        </w:rPr>
      </w:pPr>
    </w:p>
    <w:p w14:paraId="2CB01E6A" w14:textId="7524E69B" w:rsidR="008553AB" w:rsidRPr="00213465" w:rsidRDefault="008553AB" w:rsidP="008F05D0">
      <w:pPr>
        <w:bidi/>
        <w:spacing w:after="0" w:line="276" w:lineRule="auto"/>
        <w:jc w:val="both"/>
        <w:rPr>
          <w:rFonts w:ascii="Segoe UI" w:hAnsi="Segoe UI" w:cs="Segoe UI"/>
          <w:rtl/>
          <w:lang w:val="en-ZW"/>
        </w:rPr>
      </w:pPr>
      <w:r w:rsidRPr="00213465">
        <w:rPr>
          <w:rFonts w:ascii="Segoe UI" w:hAnsi="Segoe UI" w:cs="Segoe UI"/>
          <w:b/>
          <w:bCs/>
          <w:color w:val="FF0000"/>
          <w:rtl/>
          <w:lang w:val="en-ZW"/>
        </w:rPr>
        <w:t>חריג</w:t>
      </w:r>
      <w:r w:rsidR="00445B10" w:rsidRPr="00213465">
        <w:rPr>
          <w:rFonts w:ascii="Segoe UI" w:hAnsi="Segoe UI" w:cs="Segoe UI" w:hint="cs"/>
          <w:b/>
          <w:bCs/>
          <w:color w:val="FF0000"/>
          <w:rtl/>
          <w:lang w:val="en-ZW"/>
        </w:rPr>
        <w:t xml:space="preserve"> לחריג</w:t>
      </w:r>
      <w:r w:rsidR="00445B10" w:rsidRPr="00213465">
        <w:rPr>
          <w:rFonts w:ascii="Segoe UI" w:hAnsi="Segoe UI" w:cs="Segoe UI" w:hint="cs"/>
          <w:rtl/>
          <w:lang w:val="en-ZW"/>
        </w:rPr>
        <w:t>:</w:t>
      </w:r>
      <w:r w:rsidRPr="00213465">
        <w:rPr>
          <w:rFonts w:ascii="Segoe UI" w:hAnsi="Segoe UI" w:cs="Segoe UI"/>
          <w:rtl/>
          <w:lang w:val="en-ZW"/>
        </w:rPr>
        <w:t xml:space="preserve"> סעיף 85 לחוק העונשין מאפשר לבית המשפט להאריך את תקופת התנאי אף יותר מפעם אחת, כאשר מדובר בנאשם העובר טיפול נגד שימוש בסמי</w:t>
      </w:r>
      <w:r w:rsidR="00445B10" w:rsidRPr="00213465">
        <w:rPr>
          <w:rFonts w:ascii="Segoe UI" w:hAnsi="Segoe UI" w:cs="Segoe UI" w:hint="cs"/>
          <w:rtl/>
          <w:lang w:val="en-ZW"/>
        </w:rPr>
        <w:t>ם.</w:t>
      </w:r>
      <w:r w:rsidRPr="00213465">
        <w:rPr>
          <w:rFonts w:ascii="Segoe UI" w:hAnsi="Segoe UI" w:cs="Segoe UI"/>
          <w:lang w:val="en-ZW"/>
        </w:rPr>
        <w:t xml:space="preserve"> </w:t>
      </w:r>
    </w:p>
    <w:p w14:paraId="5BF37732" w14:textId="41EAE0B4" w:rsidR="008553AB" w:rsidRPr="00213465" w:rsidRDefault="008553AB" w:rsidP="008F05D0">
      <w:pPr>
        <w:bidi/>
        <w:spacing w:after="0" w:line="276" w:lineRule="auto"/>
        <w:jc w:val="both"/>
        <w:rPr>
          <w:rFonts w:ascii="Segoe UI" w:hAnsi="Segoe UI" w:cs="Segoe UI"/>
          <w:rtl/>
          <w:lang w:val="en-ZW"/>
        </w:rPr>
      </w:pPr>
      <w:r w:rsidRPr="00213465">
        <w:rPr>
          <w:rFonts w:ascii="Segoe UI" w:hAnsi="Segoe UI" w:cs="Segoe UI"/>
          <w:rtl/>
          <w:lang w:val="en-ZW"/>
        </w:rPr>
        <w:t>התנאים: סיכוי לשיקום הנאשם</w:t>
      </w:r>
      <w:r w:rsidRPr="00213465">
        <w:rPr>
          <w:rFonts w:ascii="Segoe UI" w:hAnsi="Segoe UI" w:cs="Segoe UI"/>
          <w:lang w:val="en-ZW"/>
        </w:rPr>
        <w:t>,</w:t>
      </w:r>
      <w:r w:rsidR="00720230" w:rsidRPr="00213465">
        <w:rPr>
          <w:rFonts w:ascii="Segoe UI" w:hAnsi="Segoe UI" w:cs="Segoe UI" w:hint="cs"/>
          <w:rtl/>
          <w:lang w:val="en-ZW"/>
        </w:rPr>
        <w:t xml:space="preserve"> </w:t>
      </w:r>
      <w:r w:rsidRPr="00213465">
        <w:rPr>
          <w:rFonts w:ascii="Segoe UI" w:hAnsi="Segoe UI" w:cs="Segoe UI"/>
          <w:rtl/>
          <w:lang w:val="en-ZW"/>
        </w:rPr>
        <w:t>היעדר מסוכנות מצד הנאש</w:t>
      </w:r>
      <w:r w:rsidR="00720230" w:rsidRPr="00213465">
        <w:rPr>
          <w:rFonts w:ascii="Segoe UI" w:hAnsi="Segoe UI" w:cs="Segoe UI" w:hint="cs"/>
          <w:rtl/>
          <w:lang w:val="en-ZW"/>
        </w:rPr>
        <w:t>ם,</w:t>
      </w:r>
      <w:r w:rsidRPr="00213465">
        <w:rPr>
          <w:rFonts w:ascii="Segoe UI" w:hAnsi="Segoe UI" w:cs="Segoe UI"/>
          <w:lang w:val="en-ZW"/>
        </w:rPr>
        <w:t xml:space="preserve"> </w:t>
      </w:r>
      <w:r w:rsidRPr="00213465">
        <w:rPr>
          <w:rFonts w:ascii="Segoe UI" w:hAnsi="Segoe UI" w:cs="Segoe UI"/>
          <w:rtl/>
          <w:lang w:val="en-ZW"/>
        </w:rPr>
        <w:t>חשש כי עונש המאסר יגרום לו נזק חמור.</w:t>
      </w:r>
    </w:p>
    <w:p w14:paraId="32DE80F2" w14:textId="77777777" w:rsidR="00720230" w:rsidRPr="00720230" w:rsidRDefault="00720230"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720230">
        <w:rPr>
          <w:rFonts w:ascii="Time New Roman" w:eastAsia="Times New Roman" w:hAnsi="Time New Roman" w:cs="Times New Roman"/>
          <w:b/>
          <w:bCs/>
          <w:color w:val="008000"/>
          <w:sz w:val="27"/>
          <w:szCs w:val="27"/>
          <w:rtl/>
          <w:lang w:val="en-US"/>
        </w:rPr>
        <w:t>הארכה נוספת של תקופת התנאי (תיקון מס' 42)  תשנ"ה-1995</w:t>
      </w:r>
    </w:p>
    <w:p w14:paraId="1D058A93" w14:textId="77777777" w:rsidR="00720230" w:rsidRPr="00720230" w:rsidRDefault="00720230"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720230">
        <w:rPr>
          <w:rFonts w:ascii="Miriam" w:eastAsia="Times New Roman" w:hAnsi="Miriam" w:cs="Miriam"/>
          <w:sz w:val="32"/>
          <w:szCs w:val="32"/>
          <w:rtl/>
          <w:lang w:val="en-US"/>
        </w:rPr>
        <w:t xml:space="preserve">85.  </w:t>
      </w:r>
      <w:r w:rsidRPr="00720230">
        <w:rPr>
          <w:rFonts w:ascii="FrankRuehl" w:eastAsia="Times New Roman" w:hAnsi="FrankRuehl" w:cs="FrankRuehl"/>
          <w:sz w:val="26"/>
          <w:szCs w:val="26"/>
          <w:rtl/>
          <w:lang w:val="en-US"/>
        </w:rPr>
        <w:t xml:space="preserve">(א)  </w:t>
      </w:r>
      <w:r w:rsidRPr="00720230">
        <w:rPr>
          <w:rFonts w:ascii="FrankRuehl" w:eastAsia="Times New Roman" w:hAnsi="FrankRuehl" w:cs="FrankRuehl"/>
          <w:b/>
          <w:bCs/>
          <w:color w:val="FF0000"/>
          <w:sz w:val="26"/>
          <w:szCs w:val="26"/>
          <w:rtl/>
          <w:lang w:val="en-US"/>
        </w:rPr>
        <w:t>על אף הוראות סעיף 56(ב)</w:t>
      </w:r>
      <w:r w:rsidRPr="00720230">
        <w:rPr>
          <w:rFonts w:ascii="FrankRuehl" w:eastAsia="Times New Roman" w:hAnsi="FrankRuehl" w:cs="FrankRuehl"/>
          <w:sz w:val="26"/>
          <w:szCs w:val="26"/>
          <w:rtl/>
          <w:lang w:val="en-US"/>
        </w:rPr>
        <w:t xml:space="preserve">, רשאי בית המשפט שהרשיע אדם העובר טיפול למשתמשים בסמים, או שסיים טיפול כאמור, להשתמש בסמכותו לפי סעיף 56 יותר מפעם אחת, </w:t>
      </w:r>
      <w:r w:rsidRPr="00720230">
        <w:rPr>
          <w:rFonts w:ascii="FrankRuehl" w:eastAsia="Times New Roman" w:hAnsi="FrankRuehl" w:cs="FrankRuehl"/>
          <w:b/>
          <w:bCs/>
          <w:color w:val="FF0000"/>
          <w:sz w:val="26"/>
          <w:szCs w:val="26"/>
          <w:rtl/>
          <w:lang w:val="en-US"/>
        </w:rPr>
        <w:t>אם שוכנע כי לא יהיה זה צודק להפעיל את המאסר על תנאי משום שיש סיכוי לשיקומו של האדם, כי הפעלת המאסר על תנאי תסב לו נזק חמור, וכי אין סיכון לשלום הציבור בשל הארכת התנאי</w:t>
      </w:r>
      <w:r w:rsidRPr="00720230">
        <w:rPr>
          <w:rFonts w:ascii="FrankRuehl" w:eastAsia="Times New Roman" w:hAnsi="FrankRuehl" w:cs="FrankRuehl"/>
          <w:sz w:val="26"/>
          <w:szCs w:val="26"/>
          <w:rtl/>
          <w:lang w:val="en-US"/>
        </w:rPr>
        <w:t>.</w:t>
      </w:r>
    </w:p>
    <w:p w14:paraId="78A1E7E4" w14:textId="77777777" w:rsidR="00720230" w:rsidRPr="00720230" w:rsidRDefault="00720230"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720230">
        <w:rPr>
          <w:rFonts w:ascii="FrankRuehl" w:eastAsia="Times New Roman" w:hAnsi="FrankRuehl" w:cs="FrankRuehl"/>
          <w:sz w:val="26"/>
          <w:szCs w:val="26"/>
          <w:rtl/>
          <w:lang w:val="en-US"/>
        </w:rPr>
        <w:t>          (ב)  בטרם יחליט על הארכה נוספת של תקופת התנאי, יבקש בית המשפט תסקיר של קצין מבחן על הנאשם, על מצב התקדמותו בטיפול, וכן, אם הוא מקבל טיפול במוסד, על המוסד שבו הוא מטופל.</w:t>
      </w:r>
    </w:p>
    <w:p w14:paraId="6ABB2BBC" w14:textId="318336F5" w:rsidR="00720230" w:rsidRDefault="00720230"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eastAsia="Times New Roman" w:hAnsi="FrankRuehl" w:cs="FrankRuehl"/>
          <w:sz w:val="26"/>
          <w:szCs w:val="26"/>
          <w:rtl/>
          <w:lang w:val="en-US"/>
        </w:rPr>
      </w:pPr>
      <w:r w:rsidRPr="00720230">
        <w:rPr>
          <w:rFonts w:ascii="FrankRuehl" w:eastAsia="Times New Roman" w:hAnsi="FrankRuehl" w:cs="FrankRuehl"/>
          <w:sz w:val="26"/>
          <w:szCs w:val="26"/>
          <w:rtl/>
          <w:lang w:val="en-US"/>
        </w:rPr>
        <w:t>          (ג)   הארכה נוספת של תקופת התנאי, לפי סעיף זה, תלווה בצו מבחן כאמור בסימן זה ובתנאים האמורים בו; על ההארכה הנוספת יחולו הוראות סעיף 56(ג).</w:t>
      </w:r>
    </w:p>
    <w:p w14:paraId="11E023E8" w14:textId="381419E1" w:rsidR="0077008D" w:rsidRDefault="0077008D" w:rsidP="008F05D0">
      <w:pPr>
        <w:bidi/>
        <w:spacing w:after="0" w:line="276" w:lineRule="auto"/>
        <w:jc w:val="both"/>
        <w:rPr>
          <w:rFonts w:ascii="Segoe UI" w:eastAsia="Times New Roman" w:hAnsi="Segoe UI" w:cs="Segoe UI"/>
          <w:color w:val="7030A0"/>
          <w:sz w:val="24"/>
          <w:szCs w:val="24"/>
          <w:rtl/>
          <w:lang w:val="en-US"/>
        </w:rPr>
      </w:pPr>
    </w:p>
    <w:p w14:paraId="6802F565" w14:textId="77777777" w:rsidR="00590E4C" w:rsidRPr="00213465" w:rsidRDefault="00590E4C" w:rsidP="008F05D0">
      <w:pPr>
        <w:bidi/>
        <w:spacing w:after="0" w:line="276" w:lineRule="auto"/>
        <w:jc w:val="both"/>
        <w:rPr>
          <w:rFonts w:ascii="Segoe UI" w:eastAsia="Times New Roman" w:hAnsi="Segoe UI" w:cs="Segoe UI"/>
          <w:rtl/>
          <w:lang w:val="en-US"/>
        </w:rPr>
      </w:pPr>
      <w:r w:rsidRPr="00213465">
        <w:rPr>
          <w:rFonts w:ascii="Segoe UI" w:eastAsia="Times New Roman" w:hAnsi="Segoe UI" w:cs="Segoe UI"/>
          <w:rtl/>
          <w:lang w:val="en-US"/>
        </w:rPr>
        <w:t xml:space="preserve">אם מוטל על נאשם מאסר בפועל שירוצה בעבודת שירות וביהמ"ש גם מטיל עליו באותו גזר דין מאסר על תנאי, תקופת התנאי תתחיל לרוץ </w:t>
      </w:r>
      <w:r w:rsidRPr="00213465">
        <w:rPr>
          <w:rFonts w:ascii="Segoe UI" w:eastAsia="Times New Roman" w:hAnsi="Segoe UI" w:cs="Segoe UI"/>
          <w:u w:val="single"/>
          <w:rtl/>
          <w:lang w:val="en-US"/>
        </w:rPr>
        <w:t>ביום גזר הדין</w:t>
      </w:r>
      <w:r w:rsidRPr="00213465">
        <w:rPr>
          <w:rFonts w:ascii="Segoe UI" w:eastAsia="Times New Roman" w:hAnsi="Segoe UI" w:cs="Segoe UI"/>
          <w:rtl/>
          <w:lang w:val="en-US"/>
        </w:rPr>
        <w:t xml:space="preserve">. </w:t>
      </w:r>
    </w:p>
    <w:p w14:paraId="548D23AB" w14:textId="227CD939" w:rsidR="00590E4C" w:rsidRPr="00213465" w:rsidRDefault="00590E4C" w:rsidP="008F05D0">
      <w:pPr>
        <w:bidi/>
        <w:spacing w:after="0" w:line="276" w:lineRule="auto"/>
        <w:jc w:val="both"/>
        <w:rPr>
          <w:rFonts w:ascii="Segoe UI" w:eastAsia="Times New Roman" w:hAnsi="Segoe UI" w:cs="Segoe UI"/>
          <w:rtl/>
          <w:lang w:val="en-US"/>
        </w:rPr>
      </w:pPr>
      <w:r w:rsidRPr="00213465">
        <w:rPr>
          <w:rFonts w:ascii="Segoe UI" w:eastAsia="Times New Roman" w:hAnsi="Segoe UI" w:cs="Segoe UI"/>
          <w:rtl/>
          <w:lang w:val="en-US"/>
        </w:rPr>
        <w:t>זאת משום שכאשר נאשם מרצה מאסר בפועל בעבודות שירות למעשה הוא  לא אסיר בכלא ויש מקום להרתיע אותו מהרגע הראשון שהוא מבצע עבודות שירות. (</w:t>
      </w:r>
      <w:r w:rsidRPr="00213465">
        <w:rPr>
          <w:rFonts w:ascii="Segoe UI" w:eastAsia="Times New Roman" w:hAnsi="Segoe UI" w:cs="Segoe UI"/>
          <w:highlight w:val="yellow"/>
          <w:rtl/>
          <w:lang w:val="en-US"/>
        </w:rPr>
        <w:t xml:space="preserve">פס"ד </w:t>
      </w:r>
      <w:proofErr w:type="spellStart"/>
      <w:r w:rsidRPr="00213465">
        <w:rPr>
          <w:rFonts w:ascii="Segoe UI" w:eastAsia="Times New Roman" w:hAnsi="Segoe UI" w:cs="Segoe UI"/>
          <w:highlight w:val="yellow"/>
          <w:rtl/>
          <w:lang w:val="en-US"/>
        </w:rPr>
        <w:t>טולדנו</w:t>
      </w:r>
      <w:proofErr w:type="spellEnd"/>
      <w:r w:rsidRPr="00213465">
        <w:rPr>
          <w:rFonts w:ascii="Segoe UI" w:eastAsia="Times New Roman" w:hAnsi="Segoe UI" w:cs="Segoe UI"/>
          <w:rtl/>
          <w:lang w:val="en-US"/>
        </w:rPr>
        <w:t>)</w:t>
      </w:r>
    </w:p>
    <w:p w14:paraId="73A1CD55" w14:textId="77777777" w:rsidR="00684FD4" w:rsidRPr="00674777" w:rsidRDefault="00684FD4" w:rsidP="008F05D0">
      <w:pPr>
        <w:bidi/>
        <w:spacing w:after="0" w:line="276" w:lineRule="auto"/>
        <w:jc w:val="both"/>
        <w:rPr>
          <w:rFonts w:ascii="Segoe UI" w:eastAsia="Times New Roman" w:hAnsi="Segoe UI" w:cs="Segoe UI"/>
          <w:rtl/>
          <w:lang w:val="en-US"/>
        </w:rPr>
      </w:pPr>
    </w:p>
    <w:p w14:paraId="09EFF3A0" w14:textId="5A93F9F3" w:rsidR="00590E4C" w:rsidRPr="00590E4C" w:rsidRDefault="00590E4C" w:rsidP="008F05D0">
      <w:pPr>
        <w:pStyle w:val="110"/>
        <w:spacing w:line="276" w:lineRule="auto"/>
      </w:pPr>
      <w:r w:rsidRPr="00590E4C">
        <w:rPr>
          <w:rtl/>
        </w:rPr>
        <w:t>מה כולל "התנאי"?</w:t>
      </w:r>
    </w:p>
    <w:p w14:paraId="5561E6E4" w14:textId="77777777" w:rsidR="00590E4C" w:rsidRPr="00213465" w:rsidRDefault="00590E4C" w:rsidP="008F05D0">
      <w:pPr>
        <w:bidi/>
        <w:spacing w:after="0" w:line="276" w:lineRule="auto"/>
        <w:jc w:val="both"/>
        <w:rPr>
          <w:rFonts w:ascii="Segoe UI" w:eastAsia="Times New Roman" w:hAnsi="Segoe UI" w:cs="Segoe UI"/>
          <w:rtl/>
          <w:lang w:val="en-US"/>
        </w:rPr>
      </w:pPr>
      <w:r w:rsidRPr="00213465">
        <w:rPr>
          <w:rFonts w:ascii="Segoe UI" w:eastAsia="Times New Roman" w:hAnsi="Segoe UI" w:cs="Segoe UI"/>
          <w:rtl/>
          <w:lang w:val="en-US"/>
        </w:rPr>
        <w:t>נאשם מבצע עבירה מאוחרת שמפרה את התנאי אבל</w:t>
      </w:r>
      <w:r w:rsidRPr="00213465">
        <w:rPr>
          <w:rFonts w:ascii="Segoe UI" w:eastAsia="Times New Roman" w:hAnsi="Segoe UI" w:cs="Segoe UI"/>
          <w:b/>
          <w:bCs/>
          <w:rtl/>
          <w:lang w:val="en-US"/>
        </w:rPr>
        <w:t xml:space="preserve"> מילולית </w:t>
      </w:r>
      <w:r w:rsidRPr="00213465">
        <w:rPr>
          <w:rFonts w:ascii="Segoe UI" w:eastAsia="Times New Roman" w:hAnsi="Segoe UI" w:cs="Segoe UI"/>
          <w:rtl/>
          <w:lang w:val="en-US"/>
        </w:rPr>
        <w:t>היא לא זהה לעבירה שנכתבה במאסר על תנאי. מה הדין?</w:t>
      </w:r>
    </w:p>
    <w:p w14:paraId="27E39847" w14:textId="77777777" w:rsidR="00590E4C" w:rsidRPr="00213465" w:rsidRDefault="00590E4C" w:rsidP="008F05D0">
      <w:pPr>
        <w:bidi/>
        <w:spacing w:after="0" w:line="276" w:lineRule="auto"/>
        <w:jc w:val="both"/>
        <w:rPr>
          <w:rFonts w:ascii="Segoe UI" w:eastAsia="Times New Roman" w:hAnsi="Segoe UI" w:cs="Segoe UI"/>
          <w:rtl/>
          <w:lang w:val="en-US"/>
        </w:rPr>
      </w:pPr>
      <w:r w:rsidRPr="00213465">
        <w:rPr>
          <w:rFonts w:ascii="Segoe UI" w:eastAsia="Times New Roman" w:hAnsi="Segoe UI" w:cs="Segoe UI"/>
          <w:rtl/>
          <w:lang w:val="en-US"/>
        </w:rPr>
        <w:t xml:space="preserve">לדוג' במאסר על תנאי נכתב שאסור לנאשם לבצע עבירה של </w:t>
      </w:r>
      <w:r w:rsidRPr="00213465">
        <w:rPr>
          <w:rFonts w:ascii="Segoe UI" w:eastAsia="Times New Roman" w:hAnsi="Segoe UI" w:cs="Segoe UI"/>
          <w:u w:val="single"/>
          <w:rtl/>
          <w:lang w:val="en-US"/>
        </w:rPr>
        <w:t>גניבה</w:t>
      </w:r>
      <w:r w:rsidRPr="00213465">
        <w:rPr>
          <w:rFonts w:ascii="Segoe UI" w:eastAsia="Times New Roman" w:hAnsi="Segoe UI" w:cs="Segoe UI"/>
          <w:rtl/>
          <w:lang w:val="en-US"/>
        </w:rPr>
        <w:t xml:space="preserve">, העבירה המאוחרת שהוא ביצע היא עבירת </w:t>
      </w:r>
      <w:r w:rsidRPr="00213465">
        <w:rPr>
          <w:rFonts w:ascii="Segoe UI" w:eastAsia="Times New Roman" w:hAnsi="Segoe UI" w:cs="Segoe UI"/>
          <w:u w:val="single"/>
          <w:rtl/>
          <w:lang w:val="en-US"/>
        </w:rPr>
        <w:t>שוד</w:t>
      </w:r>
      <w:r w:rsidRPr="00213465">
        <w:rPr>
          <w:rFonts w:ascii="Segoe UI" w:eastAsia="Times New Roman" w:hAnsi="Segoe UI" w:cs="Segoe UI"/>
          <w:rtl/>
          <w:lang w:val="en-US"/>
        </w:rPr>
        <w:t xml:space="preserve">. </w:t>
      </w:r>
    </w:p>
    <w:p w14:paraId="6155B614" w14:textId="77777777" w:rsidR="00590E4C" w:rsidRPr="00213465" w:rsidRDefault="00590E4C" w:rsidP="008F05D0">
      <w:pPr>
        <w:bidi/>
        <w:spacing w:after="0" w:line="276" w:lineRule="auto"/>
        <w:jc w:val="both"/>
        <w:rPr>
          <w:rFonts w:ascii="Segoe UI" w:eastAsia="Times New Roman" w:hAnsi="Segoe UI" w:cs="Segoe UI"/>
          <w:rtl/>
          <w:lang w:val="en-US"/>
        </w:rPr>
      </w:pPr>
      <w:r w:rsidRPr="00213465">
        <w:rPr>
          <w:rFonts w:ascii="Segoe UI" w:eastAsia="Times New Roman" w:hAnsi="Segoe UI" w:cs="Segoe UI"/>
          <w:rtl/>
          <w:lang w:val="en-US"/>
        </w:rPr>
        <w:t xml:space="preserve">ת:  עבירת השוד תפעיל את התנאי של הגניבה. </w:t>
      </w:r>
    </w:p>
    <w:p w14:paraId="303718C0" w14:textId="7AA6830E" w:rsidR="00590E4C" w:rsidRPr="00213465" w:rsidRDefault="00590E4C" w:rsidP="008F05D0">
      <w:pPr>
        <w:bidi/>
        <w:spacing w:after="0" w:line="276" w:lineRule="auto"/>
        <w:jc w:val="both"/>
        <w:rPr>
          <w:rFonts w:ascii="Segoe UI" w:eastAsia="Times New Roman" w:hAnsi="Segoe UI" w:cs="Segoe UI"/>
          <w:rtl/>
          <w:lang w:val="en-US"/>
        </w:rPr>
      </w:pPr>
      <w:r w:rsidRPr="00213465">
        <w:rPr>
          <w:rFonts w:ascii="Segoe UI" w:eastAsia="Times New Roman" w:hAnsi="Segoe UI" w:cs="Segoe UI"/>
          <w:b/>
          <w:bCs/>
          <w:rtl/>
          <w:lang w:val="en-US"/>
        </w:rPr>
        <w:t>בודקים האם העבירה המאוחרת כוללת ביסודותיה את כל יסודות עבירת התנאי. שוד כוללת את כל יסודות עבירת הגניבה</w:t>
      </w:r>
      <w:r w:rsidRPr="00213465">
        <w:rPr>
          <w:rFonts w:ascii="Segoe UI" w:eastAsia="Times New Roman" w:hAnsi="Segoe UI" w:cs="Segoe UI"/>
          <w:rtl/>
          <w:lang w:val="en-US"/>
        </w:rPr>
        <w:t>, (היא אפילו רחבה ממנה. ולכן התנאי של הגניבה הופר)</w:t>
      </w:r>
      <w:r w:rsidR="004C4843" w:rsidRPr="00213465">
        <w:rPr>
          <w:rFonts w:ascii="Segoe UI" w:eastAsia="Times New Roman" w:hAnsi="Segoe UI" w:cs="Segoe UI" w:hint="cs"/>
          <w:rtl/>
          <w:lang w:val="en-US"/>
        </w:rPr>
        <w:t>.</w:t>
      </w:r>
    </w:p>
    <w:p w14:paraId="763196C4" w14:textId="18D3A296" w:rsidR="00590E4C" w:rsidRPr="00213465" w:rsidRDefault="00C4714F" w:rsidP="008F05D0">
      <w:pPr>
        <w:bidi/>
        <w:spacing w:after="0" w:line="276" w:lineRule="auto"/>
        <w:jc w:val="both"/>
        <w:rPr>
          <w:rFonts w:ascii="Segoe UI" w:eastAsia="Times New Roman" w:hAnsi="Segoe UI" w:cs="Segoe UI"/>
          <w:u w:val="single"/>
          <w:rtl/>
          <w:lang w:val="en-US"/>
        </w:rPr>
      </w:pPr>
      <w:r w:rsidRPr="00213465">
        <w:rPr>
          <w:rFonts w:ascii="Segoe UI" w:eastAsia="Times New Roman" w:hAnsi="Segoe UI" w:cs="Segoe UI" w:hint="cs"/>
          <w:u w:val="single"/>
          <w:rtl/>
          <w:lang w:val="en-US"/>
        </w:rPr>
        <w:t>דוגמה הפוכה</w:t>
      </w:r>
    </w:p>
    <w:p w14:paraId="0A11105D" w14:textId="295D768C" w:rsidR="00C4714F" w:rsidRPr="00213465" w:rsidRDefault="00C4714F" w:rsidP="008F05D0">
      <w:pPr>
        <w:pStyle w:val="ab"/>
        <w:numPr>
          <w:ilvl w:val="0"/>
          <w:numId w:val="69"/>
        </w:numPr>
        <w:bidi/>
        <w:spacing w:line="276" w:lineRule="auto"/>
        <w:jc w:val="both"/>
        <w:rPr>
          <w:rFonts w:ascii="Segoe UI" w:eastAsia="Times New Roman" w:hAnsi="Segoe UI" w:cs="Segoe UI"/>
          <w:lang w:val="en-US"/>
        </w:rPr>
      </w:pPr>
      <w:r w:rsidRPr="00213465">
        <w:rPr>
          <w:rFonts w:ascii="Segoe UI" w:eastAsia="Times New Roman" w:hAnsi="Segoe UI" w:cs="Segoe UI" w:hint="cs"/>
          <w:rtl/>
          <w:lang w:val="en-US"/>
        </w:rPr>
        <w:t>עבירת התנאי היא עבירת הצתה: "אסור לנאשם לבצע עבירת הצתה, בתוך שנתיים מיום גזר הדין", אחרת יופעל נגדו תנאי של שנתיים.</w:t>
      </w:r>
    </w:p>
    <w:p w14:paraId="0199B360" w14:textId="1A56C984" w:rsidR="00C4714F" w:rsidRPr="00213465" w:rsidRDefault="00C4714F" w:rsidP="008F05D0">
      <w:pPr>
        <w:pStyle w:val="ab"/>
        <w:numPr>
          <w:ilvl w:val="0"/>
          <w:numId w:val="69"/>
        </w:numPr>
        <w:bidi/>
        <w:spacing w:line="276" w:lineRule="auto"/>
        <w:jc w:val="both"/>
        <w:rPr>
          <w:rFonts w:ascii="Segoe UI" w:eastAsia="Times New Roman" w:hAnsi="Segoe UI" w:cs="Segoe UI"/>
          <w:lang w:val="en-US"/>
        </w:rPr>
      </w:pPr>
      <w:r w:rsidRPr="00213465">
        <w:rPr>
          <w:rFonts w:ascii="Segoe UI" w:eastAsia="Times New Roman" w:hAnsi="Segoe UI" w:cs="Segoe UI" w:hint="cs"/>
          <w:rtl/>
          <w:lang w:val="en-US"/>
        </w:rPr>
        <w:t xml:space="preserve">הנאשם ביצע עבירה מאוחרת, של </w:t>
      </w:r>
      <w:r w:rsidRPr="00213465">
        <w:rPr>
          <w:rFonts w:ascii="Segoe UI" w:eastAsia="Times New Roman" w:hAnsi="Segoe UI" w:cs="Segoe UI" w:hint="cs"/>
          <w:u w:val="single"/>
          <w:rtl/>
          <w:lang w:val="en-US"/>
        </w:rPr>
        <w:t>הסגת גבול</w:t>
      </w:r>
      <w:r w:rsidRPr="00213465">
        <w:rPr>
          <w:rFonts w:ascii="Segoe UI" w:eastAsia="Times New Roman" w:hAnsi="Segoe UI" w:cs="Segoe UI" w:hint="cs"/>
          <w:rtl/>
          <w:lang w:val="en-US"/>
        </w:rPr>
        <w:t>.</w:t>
      </w:r>
    </w:p>
    <w:p w14:paraId="16C8B9EA" w14:textId="362E8AA0" w:rsidR="00FB1895" w:rsidRDefault="00C4714F" w:rsidP="008F05D0">
      <w:pPr>
        <w:pStyle w:val="ab"/>
        <w:numPr>
          <w:ilvl w:val="0"/>
          <w:numId w:val="69"/>
        </w:numPr>
        <w:bidi/>
        <w:spacing w:after="0" w:line="276" w:lineRule="auto"/>
        <w:jc w:val="both"/>
        <w:rPr>
          <w:rFonts w:ascii="Segoe UI" w:eastAsia="Times New Roman" w:hAnsi="Segoe UI" w:cs="Segoe UI"/>
          <w:lang w:val="en-US"/>
        </w:rPr>
      </w:pPr>
      <w:r w:rsidRPr="00213465">
        <w:rPr>
          <w:rFonts w:ascii="Segoe UI" w:eastAsia="Times New Roman" w:hAnsi="Segoe UI" w:cs="Segoe UI" w:hint="cs"/>
          <w:rtl/>
          <w:lang w:val="en-US"/>
        </w:rPr>
        <w:t xml:space="preserve">העבירה של הסגת גבול כוללת חלק מיסודות עבירת ההצתה, אבל לא כוללת את רכיב ההצתה </w:t>
      </w:r>
      <w:r w:rsidRPr="00213465">
        <w:rPr>
          <w:rFonts w:ascii="Segoe UI" w:eastAsia="Times New Roman" w:hAnsi="Segoe UI" w:cs="Segoe UI"/>
          <w:rtl/>
          <w:lang w:val="en-US"/>
        </w:rPr>
        <w:t>–</w:t>
      </w:r>
      <w:r w:rsidRPr="00213465">
        <w:rPr>
          <w:rFonts w:ascii="Segoe UI" w:eastAsia="Times New Roman" w:hAnsi="Segoe UI" w:cs="Segoe UI" w:hint="cs"/>
          <w:rtl/>
          <w:lang w:val="en-US"/>
        </w:rPr>
        <w:t xml:space="preserve"> ולכן התנאי לא יופעל. </w:t>
      </w:r>
    </w:p>
    <w:p w14:paraId="3288EA5A" w14:textId="77777777" w:rsidR="00F546FA" w:rsidRPr="00F546FA" w:rsidRDefault="00F546FA" w:rsidP="008F05D0">
      <w:pPr>
        <w:bidi/>
        <w:spacing w:after="0" w:line="276" w:lineRule="auto"/>
        <w:jc w:val="both"/>
        <w:rPr>
          <w:rFonts w:ascii="Segoe UI" w:eastAsia="Times New Roman" w:hAnsi="Segoe UI" w:cs="Segoe UI"/>
          <w:lang w:val="en-US"/>
        </w:rPr>
      </w:pPr>
    </w:p>
    <w:p w14:paraId="3006D30D" w14:textId="33F6FB08" w:rsidR="007E71DC" w:rsidRDefault="007E71DC" w:rsidP="008F05D0">
      <w:pPr>
        <w:pStyle w:val="110"/>
        <w:spacing w:line="276" w:lineRule="auto"/>
        <w:rPr>
          <w:rtl/>
        </w:rPr>
      </w:pPr>
      <w:r>
        <w:rPr>
          <w:rFonts w:hint="cs"/>
          <w:rtl/>
        </w:rPr>
        <w:t>מסקנה בהפעלת תנאי</w:t>
      </w:r>
    </w:p>
    <w:p w14:paraId="1EC7244A" w14:textId="516D96E4" w:rsidR="007E71DC" w:rsidRPr="00213465" w:rsidRDefault="007E71DC" w:rsidP="008F05D0">
      <w:pPr>
        <w:bidi/>
        <w:spacing w:after="0" w:line="276" w:lineRule="auto"/>
        <w:jc w:val="both"/>
        <w:rPr>
          <w:rFonts w:ascii="Segoe UI" w:eastAsia="Times New Roman" w:hAnsi="Segoe UI" w:cs="Segoe UI"/>
          <w:rtl/>
          <w:lang w:val="en-US"/>
        </w:rPr>
      </w:pPr>
      <w:r w:rsidRPr="00213465">
        <w:rPr>
          <w:rFonts w:ascii="Segoe UI" w:eastAsia="Times New Roman" w:hAnsi="Segoe UI" w:cs="Segoe UI" w:hint="cs"/>
          <w:rtl/>
          <w:lang w:val="en-US"/>
        </w:rPr>
        <w:t xml:space="preserve">ניתן להפעיל מאסרים על תנאי גם אם עבירת התנאי היא לא מילולית זהה לעבירה המאוחרת, </w:t>
      </w:r>
      <w:r w:rsidRPr="00213465">
        <w:rPr>
          <w:rFonts w:ascii="Segoe UI" w:eastAsia="Times New Roman" w:hAnsi="Segoe UI" w:cs="Segoe UI" w:hint="cs"/>
          <w:u w:val="single"/>
          <w:rtl/>
          <w:lang w:val="en-US"/>
        </w:rPr>
        <w:t>ובלבד שכל יסודותיה של עבירת התנאי נמצאים בעבירה המאוחרת</w:t>
      </w:r>
      <w:r w:rsidRPr="00213465">
        <w:rPr>
          <w:rFonts w:ascii="Segoe UI" w:eastAsia="Times New Roman" w:hAnsi="Segoe UI" w:cs="Segoe UI" w:hint="cs"/>
          <w:rtl/>
          <w:lang w:val="en-US"/>
        </w:rPr>
        <w:t>.</w:t>
      </w:r>
    </w:p>
    <w:p w14:paraId="74427973" w14:textId="6E4AEE8E" w:rsidR="007E71DC" w:rsidRPr="00213465" w:rsidRDefault="008F6E42" w:rsidP="008F05D0">
      <w:pPr>
        <w:bidi/>
        <w:spacing w:after="0" w:line="276" w:lineRule="auto"/>
        <w:jc w:val="both"/>
        <w:rPr>
          <w:rFonts w:ascii="Segoe UI" w:eastAsia="Times New Roman" w:hAnsi="Segoe UI" w:cs="Segoe UI"/>
          <w:color w:val="7030A0"/>
          <w:rtl/>
          <w:lang w:val="en-US"/>
        </w:rPr>
      </w:pPr>
      <w:r w:rsidRPr="00213465">
        <w:rPr>
          <w:rFonts w:ascii="Segoe UI" w:eastAsia="Times New Roman" w:hAnsi="Segoe UI" w:cs="Segoe UI" w:hint="cs"/>
          <w:color w:val="7030A0"/>
          <w:rtl/>
          <w:lang w:val="en-US"/>
        </w:rPr>
        <w:t>הניסוח בגזר הדין לגבי מע"ת הוא מאוד חשוב כי זה משפיע בהמשך. אם השופט לא מנסח טוב או מנסח חלקית זה יוצר בעיות בעתיד.</w:t>
      </w:r>
    </w:p>
    <w:p w14:paraId="286E686F" w14:textId="07BE4FB3" w:rsidR="0077008D" w:rsidRPr="00F6407A" w:rsidRDefault="0077008D" w:rsidP="008F05D0">
      <w:pPr>
        <w:tabs>
          <w:tab w:val="left" w:pos="925"/>
        </w:tabs>
        <w:bidi/>
        <w:spacing w:after="0" w:line="276" w:lineRule="auto"/>
        <w:rPr>
          <w:rFonts w:ascii="Times New Roman" w:eastAsia="Times New Roman" w:hAnsi="Times New Roman" w:cs="Times New Roman"/>
          <w:rtl/>
          <w:lang w:val="en-US"/>
        </w:rPr>
      </w:pPr>
    </w:p>
    <w:p w14:paraId="461BE995" w14:textId="22154127" w:rsidR="00BC323F" w:rsidRDefault="00BC323F" w:rsidP="008F05D0">
      <w:pPr>
        <w:pStyle w:val="2"/>
        <w:rPr>
          <w:rtl/>
        </w:rPr>
      </w:pPr>
      <w:bookmarkStart w:id="26" w:name="_Toc108218195"/>
      <w:r>
        <w:rPr>
          <w:rFonts w:hint="cs"/>
          <w:rtl/>
        </w:rPr>
        <w:t>קנס (ס' 61 לחוק)</w:t>
      </w:r>
      <w:bookmarkEnd w:id="26"/>
    </w:p>
    <w:p w14:paraId="67937171" w14:textId="77777777" w:rsidR="00CC4353" w:rsidRPr="00213465" w:rsidRDefault="00CC4353" w:rsidP="008F05D0">
      <w:pPr>
        <w:numPr>
          <w:ilvl w:val="0"/>
          <w:numId w:val="70"/>
        </w:numPr>
        <w:bidi/>
        <w:spacing w:after="0" w:line="276" w:lineRule="auto"/>
        <w:ind w:left="360"/>
        <w:contextualSpacing/>
        <w:jc w:val="both"/>
        <w:rPr>
          <w:rFonts w:ascii="Segoe UI" w:eastAsia="Times New Roman" w:hAnsi="Segoe UI" w:cs="Segoe UI"/>
          <w:color w:val="83992A"/>
          <w:lang w:val="en-US"/>
        </w:rPr>
      </w:pPr>
      <w:r w:rsidRPr="00213465">
        <w:rPr>
          <w:rFonts w:ascii="Segoe UI" w:eastAsia="Times New Roman" w:hAnsi="Segoe UI" w:cs="Segoe UI"/>
          <w:color w:val="262626"/>
          <w:kern w:val="24"/>
          <w:rtl/>
          <w:lang w:val="en-US"/>
        </w:rPr>
        <w:t>הקנס הוא דוגמה קלאסית להומניזציה של הענישה.</w:t>
      </w:r>
    </w:p>
    <w:p w14:paraId="1E73E387" w14:textId="77777777" w:rsidR="00CC4353" w:rsidRPr="00213465" w:rsidRDefault="00CC4353" w:rsidP="008F05D0">
      <w:pPr>
        <w:numPr>
          <w:ilvl w:val="0"/>
          <w:numId w:val="70"/>
        </w:numPr>
        <w:bidi/>
        <w:spacing w:after="0" w:line="276" w:lineRule="auto"/>
        <w:ind w:left="360"/>
        <w:contextualSpacing/>
        <w:jc w:val="both"/>
        <w:rPr>
          <w:rFonts w:ascii="Segoe UI" w:eastAsia="Times New Roman" w:hAnsi="Segoe UI" w:cs="Segoe UI"/>
          <w:color w:val="83992A"/>
          <w:rtl/>
          <w:lang w:val="en-US"/>
        </w:rPr>
      </w:pPr>
      <w:r w:rsidRPr="00213465">
        <w:rPr>
          <w:rFonts w:ascii="Segoe UI" w:eastAsia="Times New Roman" w:hAnsi="Segoe UI" w:cs="Segoe UI"/>
          <w:color w:val="262626"/>
          <w:kern w:val="24"/>
          <w:rtl/>
          <w:lang w:val="en-US"/>
        </w:rPr>
        <w:t>קשור גם לעלייה ברמת המחייה של האנשים. בעבר - היה עוני רב ולא היה אפקטיבי להטיל קנס.</w:t>
      </w:r>
    </w:p>
    <w:p w14:paraId="5EEC85F6" w14:textId="77777777" w:rsidR="00CC4353" w:rsidRPr="00213465" w:rsidRDefault="00CC4353" w:rsidP="008F05D0">
      <w:pPr>
        <w:numPr>
          <w:ilvl w:val="0"/>
          <w:numId w:val="70"/>
        </w:numPr>
        <w:bidi/>
        <w:spacing w:after="0" w:line="276" w:lineRule="auto"/>
        <w:ind w:left="360"/>
        <w:contextualSpacing/>
        <w:jc w:val="both"/>
        <w:rPr>
          <w:rFonts w:ascii="Segoe UI" w:eastAsia="Times New Roman" w:hAnsi="Segoe UI" w:cs="Segoe UI"/>
          <w:color w:val="83992A"/>
          <w:rtl/>
          <w:lang w:val="en-US"/>
        </w:rPr>
      </w:pPr>
      <w:r w:rsidRPr="00213465">
        <w:rPr>
          <w:rFonts w:ascii="Segoe UI" w:eastAsia="Times New Roman" w:hAnsi="Segoe UI" w:cs="Segoe UI"/>
          <w:color w:val="262626"/>
          <w:kern w:val="24"/>
          <w:rtl/>
          <w:lang w:val="en-US"/>
        </w:rPr>
        <w:t xml:space="preserve">עבירות קנס - לרוב עבירות קלות. </w:t>
      </w:r>
      <w:r w:rsidRPr="00213465">
        <w:rPr>
          <w:rFonts w:ascii="Segoe UI" w:eastAsia="Times New Roman" w:hAnsi="Segoe UI" w:cs="Segoe UI"/>
          <w:color w:val="7030A0"/>
          <w:kern w:val="24"/>
          <w:rtl/>
          <w:lang w:val="en-US"/>
        </w:rPr>
        <w:t xml:space="preserve">לדוג' תיקי תעבורה, בעבירות חמורות זה רכיב נוסף בענישה. </w:t>
      </w:r>
    </w:p>
    <w:p w14:paraId="32DC18FE" w14:textId="77777777" w:rsidR="00CC4353" w:rsidRPr="00213465" w:rsidRDefault="00CC4353" w:rsidP="008F05D0">
      <w:pPr>
        <w:numPr>
          <w:ilvl w:val="0"/>
          <w:numId w:val="70"/>
        </w:numPr>
        <w:bidi/>
        <w:spacing w:after="0" w:line="276" w:lineRule="auto"/>
        <w:ind w:left="360"/>
        <w:contextualSpacing/>
        <w:jc w:val="both"/>
        <w:rPr>
          <w:rFonts w:ascii="Segoe UI" w:eastAsia="Times New Roman" w:hAnsi="Segoe UI" w:cs="Segoe UI"/>
          <w:color w:val="83992A"/>
          <w:rtl/>
          <w:lang w:val="en-US"/>
        </w:rPr>
      </w:pPr>
      <w:r w:rsidRPr="00213465">
        <w:rPr>
          <w:rFonts w:ascii="Segoe UI" w:eastAsia="Times New Roman" w:hAnsi="Segoe UI" w:cs="Segoe UI"/>
          <w:color w:val="262626"/>
          <w:kern w:val="24"/>
          <w:rtl/>
          <w:lang w:val="en-US"/>
        </w:rPr>
        <w:t xml:space="preserve">לרוב, </w:t>
      </w:r>
      <w:r w:rsidRPr="00213465">
        <w:rPr>
          <w:rFonts w:ascii="Segoe UI" w:eastAsia="Times New Roman" w:hAnsi="Segoe UI" w:cs="Segoe UI"/>
          <w:b/>
          <w:bCs/>
          <w:color w:val="262626"/>
          <w:kern w:val="24"/>
          <w:rtl/>
          <w:lang w:val="en-US"/>
        </w:rPr>
        <w:t xml:space="preserve">עונש שמצטרף </w:t>
      </w:r>
      <w:r w:rsidRPr="00213465">
        <w:rPr>
          <w:rFonts w:ascii="Segoe UI" w:eastAsia="Times New Roman" w:hAnsi="Segoe UI" w:cs="Segoe UI"/>
          <w:color w:val="262626"/>
          <w:kern w:val="24"/>
          <w:rtl/>
          <w:lang w:val="en-US"/>
        </w:rPr>
        <w:t>לעונשים נוספים</w:t>
      </w:r>
    </w:p>
    <w:p w14:paraId="40B78DF5" w14:textId="08CE7AA0" w:rsidR="00CC4353" w:rsidRPr="00213465" w:rsidRDefault="00CC4353" w:rsidP="008F05D0">
      <w:pPr>
        <w:numPr>
          <w:ilvl w:val="0"/>
          <w:numId w:val="70"/>
        </w:numPr>
        <w:bidi/>
        <w:spacing w:after="0" w:line="276" w:lineRule="auto"/>
        <w:ind w:left="360"/>
        <w:contextualSpacing/>
        <w:jc w:val="both"/>
        <w:rPr>
          <w:rFonts w:ascii="Segoe UI" w:eastAsia="Times New Roman" w:hAnsi="Segoe UI" w:cs="Segoe UI"/>
          <w:color w:val="7030A0"/>
          <w:rtl/>
          <w:lang w:val="en-US"/>
        </w:rPr>
      </w:pPr>
      <w:r w:rsidRPr="00213465">
        <w:rPr>
          <w:rFonts w:ascii="Segoe UI" w:eastAsia="+mn-ea" w:hAnsi="Segoe UI" w:cs="Segoe UI"/>
          <w:color w:val="7030A0"/>
          <w:kern w:val="24"/>
          <w:rtl/>
          <w:lang w:val="en-US"/>
        </w:rPr>
        <w:t xml:space="preserve">קנס זה דבר מאוד מודרני כי בעבר לא היה כסף לאנשים. לדוג' גם היום </w:t>
      </w:r>
      <w:proofErr w:type="spellStart"/>
      <w:r w:rsidRPr="00213465">
        <w:rPr>
          <w:rFonts w:ascii="Segoe UI" w:eastAsia="+mn-ea" w:hAnsi="Segoe UI" w:cs="Segoe UI"/>
          <w:color w:val="7030A0"/>
          <w:kern w:val="24"/>
          <w:rtl/>
          <w:lang w:val="en-US"/>
        </w:rPr>
        <w:t>באיו"ש</w:t>
      </w:r>
      <w:proofErr w:type="spellEnd"/>
      <w:r w:rsidRPr="00213465">
        <w:rPr>
          <w:rFonts w:ascii="Segoe UI" w:eastAsia="+mn-ea" w:hAnsi="Segoe UI" w:cs="Segoe UI"/>
          <w:color w:val="7030A0"/>
          <w:kern w:val="24"/>
          <w:rtl/>
          <w:lang w:val="en-US"/>
        </w:rPr>
        <w:t xml:space="preserve"> נותנים קנסות נמוכים כי יודעים </w:t>
      </w:r>
      <w:r w:rsidR="002A451A" w:rsidRPr="00213465">
        <w:rPr>
          <w:rFonts w:ascii="Segoe UI" w:eastAsia="+mn-ea" w:hAnsi="Segoe UI" w:cs="Segoe UI" w:hint="cs"/>
          <w:color w:val="7030A0"/>
          <w:kern w:val="24"/>
          <w:rtl/>
          <w:lang w:val="en-US"/>
        </w:rPr>
        <w:t>שהאוכלוסייה</w:t>
      </w:r>
      <w:r w:rsidRPr="00213465">
        <w:rPr>
          <w:rFonts w:ascii="Segoe UI" w:eastAsia="+mn-ea" w:hAnsi="Segoe UI" w:cs="Segoe UI"/>
          <w:color w:val="7030A0"/>
          <w:kern w:val="24"/>
          <w:rtl/>
          <w:lang w:val="en-US"/>
        </w:rPr>
        <w:t xml:space="preserve"> מאוד ענייה. </w:t>
      </w:r>
    </w:p>
    <w:p w14:paraId="773782A2" w14:textId="1117A539" w:rsidR="00BC323F" w:rsidRPr="00213465" w:rsidRDefault="00BC323F" w:rsidP="008F05D0">
      <w:pPr>
        <w:bidi/>
        <w:spacing w:after="0" w:line="276" w:lineRule="auto"/>
        <w:jc w:val="both"/>
        <w:rPr>
          <w:rFonts w:ascii="Segoe UI" w:hAnsi="Segoe UI" w:cs="Segoe UI"/>
          <w:rtl/>
          <w:lang w:val="en-ZW"/>
        </w:rPr>
      </w:pPr>
    </w:p>
    <w:p w14:paraId="2B043C80" w14:textId="24A71D13" w:rsidR="00BC323F" w:rsidRDefault="00CC4353" w:rsidP="008F05D0">
      <w:pPr>
        <w:pStyle w:val="110"/>
        <w:spacing w:line="276" w:lineRule="auto"/>
        <w:rPr>
          <w:rtl/>
        </w:rPr>
      </w:pPr>
      <w:r w:rsidRPr="00CC4353">
        <w:rPr>
          <w:rtl/>
        </w:rPr>
        <w:t>יתרונות הקנס</w:t>
      </w:r>
    </w:p>
    <w:p w14:paraId="6C9FCA58" w14:textId="77777777" w:rsidR="00213465" w:rsidRPr="00213465" w:rsidRDefault="000758A7" w:rsidP="008F05D0">
      <w:pPr>
        <w:bidi/>
        <w:spacing w:after="0" w:line="276" w:lineRule="auto"/>
        <w:jc w:val="both"/>
        <w:rPr>
          <w:rFonts w:ascii="Segoe UI" w:eastAsia="Times New Roman" w:hAnsi="Segoe UI" w:cs="Segoe UI"/>
          <w:color w:val="7030A0"/>
          <w:kern w:val="24"/>
          <w:rtl/>
          <w:lang w:val="en-US"/>
        </w:rPr>
      </w:pPr>
      <w:r w:rsidRPr="00213465">
        <w:rPr>
          <w:rFonts w:ascii="Segoe UI" w:eastAsia="Times New Roman" w:hAnsi="Segoe UI" w:cs="Segoe UI"/>
          <w:color w:val="262626"/>
          <w:kern w:val="24"/>
          <w:rtl/>
          <w:lang w:val="en-US"/>
        </w:rPr>
        <w:t xml:space="preserve">משמש כמקור הכנסה למדינה – </w:t>
      </w:r>
      <w:r w:rsidRPr="00213465">
        <w:rPr>
          <w:rFonts w:ascii="Segoe UI" w:eastAsia="Times New Roman" w:hAnsi="Segoe UI" w:cs="Segoe UI"/>
          <w:color w:val="7030A0"/>
          <w:kern w:val="24"/>
          <w:rtl/>
          <w:lang w:val="en-US"/>
        </w:rPr>
        <w:t>במקום שאתה תשב בכלא והמדינה תשלם עליך אז אתה תשלם למדינה</w:t>
      </w:r>
    </w:p>
    <w:p w14:paraId="25A30272" w14:textId="7C30865E" w:rsidR="000758A7" w:rsidRPr="00213465" w:rsidRDefault="000758A7" w:rsidP="008F05D0">
      <w:pPr>
        <w:bidi/>
        <w:spacing w:after="0" w:line="276" w:lineRule="auto"/>
        <w:jc w:val="both"/>
        <w:rPr>
          <w:rFonts w:ascii="Segoe UI" w:eastAsia="Times New Roman" w:hAnsi="Segoe UI" w:cs="Segoe UI"/>
          <w:color w:val="262626"/>
          <w:kern w:val="24"/>
          <w:lang w:val="en-US"/>
        </w:rPr>
      </w:pPr>
      <w:r w:rsidRPr="00213465">
        <w:rPr>
          <w:rFonts w:ascii="Segoe UI" w:eastAsia="Times New Roman" w:hAnsi="Segoe UI" w:cs="Segoe UI"/>
          <w:color w:val="7030A0"/>
          <w:kern w:val="24"/>
          <w:rtl/>
          <w:lang w:val="en-US"/>
        </w:rPr>
        <w:t xml:space="preserve">ותכניס לה עוד ועוד כסף. </w:t>
      </w:r>
    </w:p>
    <w:p w14:paraId="79A1A341" w14:textId="77777777" w:rsidR="000758A7" w:rsidRPr="00213465" w:rsidRDefault="000758A7" w:rsidP="008F05D0">
      <w:pPr>
        <w:numPr>
          <w:ilvl w:val="0"/>
          <w:numId w:val="71"/>
        </w:numPr>
        <w:bidi/>
        <w:spacing w:after="0" w:line="276" w:lineRule="auto"/>
        <w:ind w:left="360"/>
        <w:contextualSpacing/>
        <w:jc w:val="both"/>
        <w:rPr>
          <w:rFonts w:ascii="Segoe UI" w:eastAsia="Times New Roman" w:hAnsi="Segoe UI" w:cs="Segoe UI"/>
          <w:rtl/>
          <w:lang w:val="en-US"/>
        </w:rPr>
      </w:pPr>
      <w:r w:rsidRPr="00213465">
        <w:rPr>
          <w:rFonts w:ascii="Segoe UI" w:eastAsia="Times New Roman" w:hAnsi="Segoe UI" w:cs="Segoe UI"/>
          <w:kern w:val="24"/>
          <w:rtl/>
          <w:lang w:val="en-US"/>
        </w:rPr>
        <w:t xml:space="preserve">מערכת זולה להפעלה – </w:t>
      </w:r>
      <w:r w:rsidRPr="00213465">
        <w:rPr>
          <w:rFonts w:ascii="Segoe UI" w:eastAsia="Times New Roman" w:hAnsi="Segoe UI" w:cs="Segoe UI"/>
          <w:color w:val="7030A0"/>
          <w:kern w:val="24"/>
          <w:rtl/>
          <w:lang w:val="en-US"/>
        </w:rPr>
        <w:t xml:space="preserve">זה לא כלא שצריך מלא סוהרים ואנשי תחזוקה וכו'. </w:t>
      </w:r>
    </w:p>
    <w:p w14:paraId="4900FEA2" w14:textId="77777777" w:rsidR="000758A7" w:rsidRPr="00213465" w:rsidRDefault="000758A7" w:rsidP="008F05D0">
      <w:pPr>
        <w:numPr>
          <w:ilvl w:val="0"/>
          <w:numId w:val="71"/>
        </w:numPr>
        <w:bidi/>
        <w:spacing w:after="0" w:line="276" w:lineRule="auto"/>
        <w:ind w:left="360"/>
        <w:contextualSpacing/>
        <w:jc w:val="both"/>
        <w:rPr>
          <w:rFonts w:ascii="Segoe UI" w:eastAsia="Times New Roman" w:hAnsi="Segoe UI" w:cs="Segoe UI"/>
          <w:rtl/>
          <w:lang w:val="en-US"/>
        </w:rPr>
      </w:pPr>
      <w:r w:rsidRPr="00213465">
        <w:rPr>
          <w:rFonts w:ascii="Segoe UI" w:eastAsia="Times New Roman" w:hAnsi="Segoe UI" w:cs="Segoe UI"/>
          <w:kern w:val="24"/>
          <w:rtl/>
          <w:lang w:val="en-US"/>
        </w:rPr>
        <w:t xml:space="preserve">הפגיעה בנאשם איננה הרסנית </w:t>
      </w:r>
    </w:p>
    <w:p w14:paraId="463556CE" w14:textId="77777777" w:rsidR="000758A7" w:rsidRPr="00213465" w:rsidRDefault="000758A7" w:rsidP="008F05D0">
      <w:pPr>
        <w:numPr>
          <w:ilvl w:val="0"/>
          <w:numId w:val="71"/>
        </w:numPr>
        <w:bidi/>
        <w:spacing w:after="0" w:line="276" w:lineRule="auto"/>
        <w:ind w:left="360"/>
        <w:contextualSpacing/>
        <w:jc w:val="both"/>
        <w:rPr>
          <w:rFonts w:ascii="Segoe UI" w:eastAsia="Times New Roman" w:hAnsi="Segoe UI" w:cs="Segoe UI"/>
          <w:rtl/>
          <w:lang w:val="en-US"/>
        </w:rPr>
      </w:pPr>
      <w:r w:rsidRPr="00213465">
        <w:rPr>
          <w:rFonts w:ascii="Segoe UI" w:eastAsia="Times New Roman" w:hAnsi="Segoe UI" w:cs="Segoe UI"/>
          <w:kern w:val="24"/>
          <w:rtl/>
          <w:lang w:val="en-US"/>
        </w:rPr>
        <w:t xml:space="preserve">הנאשם אינו בקשר עם סביבה עבריינית  - </w:t>
      </w:r>
      <w:r w:rsidRPr="00213465">
        <w:rPr>
          <w:rFonts w:ascii="Segoe UI" w:eastAsia="Times New Roman" w:hAnsi="Segoe UI" w:cs="Segoe UI"/>
          <w:color w:val="7030A0"/>
          <w:kern w:val="24"/>
          <w:rtl/>
          <w:lang w:val="en-US"/>
        </w:rPr>
        <w:t xml:space="preserve">בניגוד לכלא ששם האדם יפגוש עבריינים. </w:t>
      </w:r>
    </w:p>
    <w:p w14:paraId="07500165" w14:textId="77777777" w:rsidR="000758A7" w:rsidRPr="00213465" w:rsidRDefault="000758A7" w:rsidP="008F05D0">
      <w:pPr>
        <w:numPr>
          <w:ilvl w:val="0"/>
          <w:numId w:val="71"/>
        </w:numPr>
        <w:bidi/>
        <w:spacing w:after="0" w:line="276" w:lineRule="auto"/>
        <w:ind w:left="360"/>
        <w:contextualSpacing/>
        <w:jc w:val="both"/>
        <w:rPr>
          <w:rFonts w:ascii="Segoe UI" w:eastAsia="Times New Roman" w:hAnsi="Segoe UI" w:cs="Segoe UI"/>
          <w:rtl/>
          <w:lang w:val="en-US"/>
        </w:rPr>
      </w:pPr>
      <w:r w:rsidRPr="00213465">
        <w:rPr>
          <w:rFonts w:ascii="Segoe UI" w:eastAsia="Times New Roman" w:hAnsi="Segoe UI" w:cs="Segoe UI"/>
          <w:kern w:val="24"/>
          <w:rtl/>
          <w:lang w:val="en-US"/>
        </w:rPr>
        <w:t>יכולת הרתעתית</w:t>
      </w:r>
    </w:p>
    <w:p w14:paraId="710C1A69" w14:textId="7DDF48E8" w:rsidR="002A451A" w:rsidRDefault="000758A7" w:rsidP="008F05D0">
      <w:pPr>
        <w:numPr>
          <w:ilvl w:val="0"/>
          <w:numId w:val="71"/>
        </w:numPr>
        <w:bidi/>
        <w:spacing w:after="0" w:line="276" w:lineRule="auto"/>
        <w:ind w:left="360"/>
        <w:contextualSpacing/>
        <w:jc w:val="both"/>
        <w:rPr>
          <w:rFonts w:ascii="Segoe UI" w:eastAsia="Times New Roman" w:hAnsi="Segoe UI" w:cs="Segoe UI"/>
          <w:lang w:val="en-US"/>
        </w:rPr>
      </w:pPr>
      <w:r w:rsidRPr="00213465">
        <w:rPr>
          <w:rFonts w:ascii="Segoe UI" w:eastAsia="Times New Roman" w:hAnsi="Segoe UI" w:cs="Segoe UI"/>
          <w:kern w:val="24"/>
          <w:rtl/>
          <w:lang w:val="en-US"/>
        </w:rPr>
        <w:t xml:space="preserve">הפיך. אם מתברר שהנאשם זוכה  - אפשר להחזיר כסף (א"א להחזיר חירות) – </w:t>
      </w:r>
      <w:r w:rsidRPr="00213465">
        <w:rPr>
          <w:rFonts w:ascii="Segoe UI" w:eastAsia="Times New Roman" w:hAnsi="Segoe UI" w:cs="Segoe UI"/>
          <w:color w:val="7030A0"/>
          <w:kern w:val="24"/>
          <w:rtl/>
          <w:lang w:val="en-US"/>
        </w:rPr>
        <w:t xml:space="preserve">אי אפשר להחזיר לבן אדם שבועיים בכלא אבל בניגוד לכך בכסף תמיד אפשר להחזיר. </w:t>
      </w:r>
    </w:p>
    <w:p w14:paraId="79FCDF11" w14:textId="77777777" w:rsidR="003220FF" w:rsidRPr="00DA111A" w:rsidRDefault="003220FF" w:rsidP="003220FF">
      <w:pPr>
        <w:bidi/>
        <w:spacing w:after="0" w:line="276" w:lineRule="auto"/>
        <w:ind w:left="360"/>
        <w:contextualSpacing/>
        <w:jc w:val="both"/>
        <w:rPr>
          <w:rFonts w:ascii="Segoe UI" w:eastAsia="Times New Roman" w:hAnsi="Segoe UI" w:cs="Segoe UI"/>
          <w:rtl/>
          <w:lang w:val="en-US"/>
        </w:rPr>
      </w:pPr>
    </w:p>
    <w:p w14:paraId="4BDDAF6D" w14:textId="060FCD56" w:rsidR="002A451A" w:rsidRDefault="002A451A" w:rsidP="008F05D0">
      <w:pPr>
        <w:pStyle w:val="110"/>
        <w:spacing w:line="276" w:lineRule="auto"/>
        <w:rPr>
          <w:rtl/>
        </w:rPr>
      </w:pPr>
      <w:r>
        <w:rPr>
          <w:rFonts w:hint="cs"/>
          <w:rtl/>
        </w:rPr>
        <w:t>הביקורת על הקנס</w:t>
      </w:r>
    </w:p>
    <w:p w14:paraId="6B35B9AA" w14:textId="77777777" w:rsidR="002372A9" w:rsidRPr="00213465" w:rsidRDefault="002372A9" w:rsidP="008F05D0">
      <w:pPr>
        <w:pStyle w:val="ab"/>
        <w:numPr>
          <w:ilvl w:val="0"/>
          <w:numId w:val="72"/>
        </w:numPr>
        <w:bidi/>
        <w:spacing w:after="0" w:line="276" w:lineRule="auto"/>
        <w:jc w:val="both"/>
        <w:rPr>
          <w:rFonts w:ascii="Segoe UI" w:eastAsia="Times New Roman" w:hAnsi="Segoe UI" w:cs="Segoe UI"/>
          <w:color w:val="83992A"/>
          <w:sz w:val="24"/>
          <w:szCs w:val="20"/>
          <w:lang w:val="en-US"/>
        </w:rPr>
      </w:pPr>
      <w:r w:rsidRPr="00213465">
        <w:rPr>
          <w:rFonts w:ascii="Segoe UI" w:eastAsia="Times New Roman" w:hAnsi="Segoe UI" w:cs="Segoe UI"/>
          <w:color w:val="262626"/>
          <w:kern w:val="24"/>
          <w:rtl/>
          <w:lang w:val="en-US"/>
        </w:rPr>
        <w:t xml:space="preserve">בחברות עברייניות - הקנס משולם על ידי "בעל הבית" </w:t>
      </w:r>
      <w:r w:rsidRPr="00213465">
        <w:rPr>
          <w:rFonts w:ascii="Segoe UI" w:eastAsia="Times New Roman" w:hAnsi="Segoe UI" w:cs="Segoe UI"/>
          <w:color w:val="7030A0"/>
          <w:kern w:val="24"/>
          <w:rtl/>
          <w:lang w:val="en-US"/>
        </w:rPr>
        <w:t xml:space="preserve">– לדוג' ראש משפחת הפשע או מפעיל </w:t>
      </w:r>
      <w:proofErr w:type="spellStart"/>
      <w:r w:rsidRPr="00213465">
        <w:rPr>
          <w:rFonts w:ascii="Segoe UI" w:eastAsia="Times New Roman" w:hAnsi="Segoe UI" w:cs="Segoe UI"/>
          <w:color w:val="7030A0"/>
          <w:kern w:val="24"/>
          <w:rtl/>
          <w:lang w:val="en-US"/>
        </w:rPr>
        <w:t>הכנופיה</w:t>
      </w:r>
      <w:proofErr w:type="spellEnd"/>
      <w:r w:rsidRPr="00213465">
        <w:rPr>
          <w:rFonts w:ascii="Segoe UI" w:eastAsia="Times New Roman" w:hAnsi="Segoe UI" w:cs="Segoe UI"/>
          <w:color w:val="7030A0"/>
          <w:kern w:val="24"/>
          <w:rtl/>
          <w:lang w:val="en-US"/>
        </w:rPr>
        <w:t xml:space="preserve"> וכו'. אנחנו נותנים לבן אדם קנס כדי להרתיע אותו והוא לא משלם אותו אלא מישהו אחר. אנחנו לא יכולים לדעת מי משלם את הקנס. </w:t>
      </w:r>
    </w:p>
    <w:p w14:paraId="0720B196" w14:textId="77777777" w:rsidR="002372A9" w:rsidRPr="00213465" w:rsidRDefault="002372A9" w:rsidP="008F05D0">
      <w:pPr>
        <w:pStyle w:val="ab"/>
        <w:numPr>
          <w:ilvl w:val="0"/>
          <w:numId w:val="72"/>
        </w:numPr>
        <w:bidi/>
        <w:spacing w:after="0" w:line="276" w:lineRule="auto"/>
        <w:jc w:val="both"/>
        <w:rPr>
          <w:rFonts w:ascii="Segoe UI" w:eastAsia="Times New Roman" w:hAnsi="Segoe UI" w:cs="Segoe UI"/>
          <w:color w:val="83992A"/>
          <w:sz w:val="24"/>
          <w:szCs w:val="20"/>
          <w:rtl/>
          <w:lang w:val="en-US"/>
        </w:rPr>
      </w:pPr>
      <w:r w:rsidRPr="00213465">
        <w:rPr>
          <w:rFonts w:ascii="Segoe UI" w:eastAsia="Times New Roman" w:hAnsi="Segoe UI" w:cs="Segoe UI"/>
          <w:color w:val="262626"/>
          <w:kern w:val="24"/>
          <w:rtl/>
          <w:lang w:val="en-US"/>
        </w:rPr>
        <w:t xml:space="preserve">לא מספיק מרתיע </w:t>
      </w:r>
      <w:r w:rsidRPr="00213465">
        <w:rPr>
          <w:rFonts w:ascii="Segoe UI" w:eastAsia="Times New Roman" w:hAnsi="Segoe UI" w:cs="Segoe UI"/>
          <w:color w:val="FF0000"/>
          <w:kern w:val="24"/>
          <w:rtl/>
          <w:lang w:val="en-US"/>
        </w:rPr>
        <w:t xml:space="preserve">– </w:t>
      </w:r>
      <w:r w:rsidRPr="00213465">
        <w:rPr>
          <w:rFonts w:ascii="Segoe UI" w:eastAsia="Times New Roman" w:hAnsi="Segoe UI" w:cs="Segoe UI"/>
          <w:color w:val="7030A0"/>
          <w:kern w:val="24"/>
          <w:rtl/>
          <w:lang w:val="en-US"/>
        </w:rPr>
        <w:t xml:space="preserve">בעיני הרבים זה לא מספיק מרתיע. </w:t>
      </w:r>
    </w:p>
    <w:p w14:paraId="0C4980AA" w14:textId="77777777" w:rsidR="002372A9" w:rsidRPr="00213465" w:rsidRDefault="002372A9" w:rsidP="008F05D0">
      <w:pPr>
        <w:pStyle w:val="ab"/>
        <w:numPr>
          <w:ilvl w:val="0"/>
          <w:numId w:val="72"/>
        </w:numPr>
        <w:bidi/>
        <w:spacing w:after="0" w:line="276" w:lineRule="auto"/>
        <w:jc w:val="both"/>
        <w:rPr>
          <w:rFonts w:ascii="Segoe UI" w:eastAsia="Times New Roman" w:hAnsi="Segoe UI" w:cs="Segoe UI"/>
          <w:color w:val="83992A"/>
          <w:sz w:val="24"/>
          <w:szCs w:val="20"/>
          <w:rtl/>
          <w:lang w:val="en-US"/>
        </w:rPr>
      </w:pPr>
      <w:r w:rsidRPr="00213465">
        <w:rPr>
          <w:rFonts w:ascii="Segoe UI" w:eastAsia="Times New Roman" w:hAnsi="Segoe UI" w:cs="Segoe UI"/>
          <w:color w:val="262626"/>
          <w:kern w:val="24"/>
          <w:rtl/>
          <w:lang w:val="en-US"/>
        </w:rPr>
        <w:t xml:space="preserve">יוצר אפליה בין "עניים" ל"עשירים" </w:t>
      </w:r>
      <w:r w:rsidRPr="00213465">
        <w:rPr>
          <w:rFonts w:ascii="Segoe UI" w:eastAsia="Times New Roman" w:hAnsi="Segoe UI" w:cs="Segoe UI"/>
          <w:color w:val="7030A0"/>
          <w:kern w:val="24"/>
          <w:rtl/>
          <w:lang w:val="en-US"/>
        </w:rPr>
        <w:t xml:space="preserve">– לדוג' קנס של 200אש"ח יכול להיות אדם שאין לו איך לשלם את זה אז הוא יעדיף להיכנס לכלא בתמורתם. </w:t>
      </w:r>
    </w:p>
    <w:p w14:paraId="7AD9C3EF" w14:textId="77777777" w:rsidR="002372A9" w:rsidRPr="00213465" w:rsidRDefault="002372A9" w:rsidP="008F05D0">
      <w:pPr>
        <w:bidi/>
        <w:spacing w:after="0" w:line="276" w:lineRule="auto"/>
        <w:jc w:val="both"/>
        <w:rPr>
          <w:rFonts w:ascii="Segoe UI" w:eastAsia="Times New Roman" w:hAnsi="Segoe UI" w:cs="Segoe UI"/>
          <w:sz w:val="20"/>
          <w:szCs w:val="20"/>
          <w:rtl/>
          <w:lang w:val="en-US"/>
        </w:rPr>
      </w:pPr>
      <w:r w:rsidRPr="00213465">
        <w:rPr>
          <w:rFonts w:ascii="Segoe UI" w:eastAsia="Times New Roman" w:hAnsi="Segoe UI" w:cs="Segoe UI"/>
          <w:b/>
          <w:bCs/>
          <w:color w:val="262626"/>
          <w:kern w:val="24"/>
          <w:lang w:val="en-US"/>
        </w:rPr>
        <w:t> </w:t>
      </w:r>
      <w:r w:rsidRPr="00213465">
        <w:rPr>
          <w:rFonts w:ascii="Segoe UI" w:eastAsia="Times New Roman" w:hAnsi="Segoe UI" w:cs="Segoe UI"/>
          <w:color w:val="262626"/>
          <w:kern w:val="24"/>
          <w:rtl/>
          <w:lang w:val="en-US"/>
        </w:rPr>
        <w:t>הפתרון לביקורת ג': שיטת הקנס היומי - זוהי שיטה שמבטיחה שוויון. השופט לא נוקב סכום של קנס אלא את מספר ימי הקנס של העבריין בהתאם לעבודתו, הכנסתו וכו'</w:t>
      </w:r>
    </w:p>
    <w:p w14:paraId="4267363A" w14:textId="77777777" w:rsidR="00213465" w:rsidRDefault="00213465" w:rsidP="008F05D0">
      <w:pPr>
        <w:bidi/>
        <w:spacing w:after="0" w:line="276" w:lineRule="auto"/>
        <w:jc w:val="both"/>
        <w:rPr>
          <w:rFonts w:ascii="Segoe UI" w:eastAsia="Calibri" w:hAnsi="Segoe UI" w:cs="Segoe UI"/>
          <w:color w:val="7030A0"/>
          <w:kern w:val="24"/>
          <w:rtl/>
          <w:lang w:val="en-US"/>
        </w:rPr>
      </w:pPr>
    </w:p>
    <w:p w14:paraId="772347B1" w14:textId="0C9836ED" w:rsidR="002A451A" w:rsidRPr="00213465" w:rsidRDefault="002372A9" w:rsidP="008F05D0">
      <w:pPr>
        <w:bidi/>
        <w:spacing w:after="0" w:line="276" w:lineRule="auto"/>
        <w:jc w:val="both"/>
        <w:rPr>
          <w:rFonts w:ascii="Segoe UI" w:eastAsia="Times New Roman" w:hAnsi="Segoe UI" w:cs="Segoe UI"/>
          <w:sz w:val="20"/>
          <w:szCs w:val="20"/>
          <w:rtl/>
          <w:lang w:val="en-US"/>
        </w:rPr>
      </w:pPr>
      <w:r w:rsidRPr="00213465">
        <w:rPr>
          <w:rFonts w:ascii="Segoe UI" w:eastAsia="Calibri" w:hAnsi="Segoe UI" w:cs="Segoe UI"/>
          <w:color w:val="7030A0"/>
          <w:kern w:val="24"/>
          <w:rtl/>
          <w:lang w:val="en-US"/>
        </w:rPr>
        <w:t>שאלה מעניינת – כמה ימי מאסר תמורת קנס? איך קובעים זאת</w:t>
      </w:r>
      <w:r w:rsidR="001901BC" w:rsidRPr="00213465">
        <w:rPr>
          <w:rFonts w:ascii="Segoe UI" w:eastAsia="Calibri" w:hAnsi="Segoe UI" w:cs="Segoe UI" w:hint="cs"/>
          <w:color w:val="7030A0"/>
          <w:kern w:val="24"/>
          <w:rtl/>
          <w:lang w:val="en-US"/>
        </w:rPr>
        <w:t xml:space="preserve">? בחוק לא מופיע כיצד יש לקבוע כמה ימי מאסר יהיו חלופה לאותו סכום של קנס שיוטל על המורשע. אפשר לראות גז"ד שבהם עבור 1,000 ₪ יש 5 ימי מאסר ואפשר לראות גז"ד שבהם עבור 500 ₪ יש 5 ימי מאסר, אין סדירות בנוגע לכך. </w:t>
      </w:r>
    </w:p>
    <w:p w14:paraId="1E1A202C" w14:textId="77777777"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lang w:val="en-US"/>
        </w:rPr>
      </w:pPr>
      <w:r w:rsidRPr="00F4081D">
        <w:rPr>
          <w:rFonts w:ascii="Time New Roman" w:eastAsia="Times New Roman" w:hAnsi="Time New Roman" w:cs="Times New Roman"/>
          <w:b/>
          <w:bCs/>
          <w:color w:val="008000"/>
          <w:sz w:val="27"/>
          <w:szCs w:val="27"/>
          <w:rtl/>
          <w:lang w:val="en-US"/>
        </w:rPr>
        <w:t>שיעור הקנסות (תיקון מס' 9) תש"ם-1980 (תיקון מס' 14) תשמ"ב-1982 צו תש"ע-2010</w:t>
      </w:r>
    </w:p>
    <w:p w14:paraId="6B50EBAF" w14:textId="77777777"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F4081D">
        <w:rPr>
          <w:rFonts w:ascii="Miriam" w:eastAsia="Times New Roman" w:hAnsi="Miriam" w:cs="Miriam"/>
          <w:sz w:val="32"/>
          <w:szCs w:val="32"/>
          <w:rtl/>
          <w:lang w:val="en-US"/>
        </w:rPr>
        <w:t xml:space="preserve">61.  </w:t>
      </w:r>
      <w:r w:rsidRPr="00F4081D">
        <w:rPr>
          <w:rFonts w:ascii="FrankRuehl" w:eastAsia="Times New Roman" w:hAnsi="FrankRuehl" w:cs="FrankRuehl"/>
          <w:sz w:val="26"/>
          <w:szCs w:val="26"/>
          <w:rtl/>
          <w:lang w:val="en-US"/>
        </w:rPr>
        <w:t xml:space="preserve">(א)  </w:t>
      </w:r>
      <w:r w:rsidRPr="00F4081D">
        <w:rPr>
          <w:rFonts w:ascii="FrankRuehl" w:eastAsia="Times New Roman" w:hAnsi="FrankRuehl" w:cs="FrankRuehl"/>
          <w:b/>
          <w:bCs/>
          <w:color w:val="FF0000"/>
          <w:sz w:val="26"/>
          <w:szCs w:val="26"/>
          <w:rtl/>
          <w:lang w:val="en-US"/>
        </w:rPr>
        <w:t>על אף האמור בכל חוק</w:t>
      </w:r>
      <w:r w:rsidRPr="00F4081D">
        <w:rPr>
          <w:rFonts w:ascii="FrankRuehl" w:eastAsia="Times New Roman" w:hAnsi="FrankRuehl" w:cs="FrankRuehl"/>
          <w:sz w:val="26"/>
          <w:szCs w:val="26"/>
          <w:rtl/>
          <w:lang w:val="en-US"/>
        </w:rPr>
        <w:t>, מקום שהוסמך בית המשפט בחוק להטיל קנס, רשאי הוא להטיל –</w:t>
      </w:r>
    </w:p>
    <w:p w14:paraId="1A6E7F27" w14:textId="77777777"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F4081D">
        <w:rPr>
          <w:rFonts w:ascii="FrankRuehl" w:eastAsia="Times New Roman" w:hAnsi="FrankRuehl" w:cs="FrankRuehl"/>
          <w:sz w:val="26"/>
          <w:szCs w:val="26"/>
          <w:rtl/>
          <w:lang w:val="en-US"/>
        </w:rPr>
        <w:t xml:space="preserve">(1)   אם קבוע לעבירה עונש מאסר </w:t>
      </w:r>
      <w:r w:rsidRPr="00F4081D">
        <w:rPr>
          <w:rFonts w:ascii="FrankRuehl" w:eastAsia="Times New Roman" w:hAnsi="FrankRuehl" w:cs="FrankRuehl"/>
          <w:b/>
          <w:bCs/>
          <w:sz w:val="26"/>
          <w:szCs w:val="26"/>
          <w:rtl/>
          <w:lang w:val="en-US"/>
        </w:rPr>
        <w:t>עד ששה חדשים</w:t>
      </w:r>
      <w:r w:rsidRPr="00F4081D">
        <w:rPr>
          <w:rFonts w:ascii="FrankRuehl" w:eastAsia="Times New Roman" w:hAnsi="FrankRuehl" w:cs="FrankRuehl"/>
          <w:sz w:val="26"/>
          <w:szCs w:val="26"/>
          <w:rtl/>
          <w:lang w:val="en-US"/>
        </w:rPr>
        <w:t xml:space="preserve"> או קנס בלבד, או קנס שלא נקבע לו סכום - קנס עד 14,400 שקלים חדשים;</w:t>
      </w:r>
    </w:p>
    <w:p w14:paraId="1C10C846" w14:textId="77777777"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F4081D">
        <w:rPr>
          <w:rFonts w:ascii="FrankRuehl" w:eastAsia="Times New Roman" w:hAnsi="FrankRuehl" w:cs="FrankRuehl"/>
          <w:sz w:val="26"/>
          <w:szCs w:val="26"/>
          <w:rtl/>
          <w:lang w:val="en-US"/>
        </w:rPr>
        <w:t xml:space="preserve">(2)   אם קבוע לעבירה עונש מאסר </w:t>
      </w:r>
      <w:r w:rsidRPr="00F4081D">
        <w:rPr>
          <w:rFonts w:ascii="FrankRuehl" w:eastAsia="Times New Roman" w:hAnsi="FrankRuehl" w:cs="FrankRuehl"/>
          <w:b/>
          <w:bCs/>
          <w:sz w:val="26"/>
          <w:szCs w:val="26"/>
          <w:rtl/>
          <w:lang w:val="en-US"/>
        </w:rPr>
        <w:t>למעלה מששה חדשים ולא יותר משנה</w:t>
      </w:r>
      <w:r w:rsidRPr="00F4081D">
        <w:rPr>
          <w:rFonts w:ascii="FrankRuehl" w:eastAsia="Times New Roman" w:hAnsi="FrankRuehl" w:cs="FrankRuehl"/>
          <w:sz w:val="26"/>
          <w:szCs w:val="26"/>
          <w:rtl/>
          <w:lang w:val="en-US"/>
        </w:rPr>
        <w:t xml:space="preserve"> - קנס עד 29,200 שקלים חדשים;</w:t>
      </w:r>
    </w:p>
    <w:p w14:paraId="4ADFD562" w14:textId="77777777"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F4081D">
        <w:rPr>
          <w:rFonts w:ascii="FrankRuehl" w:eastAsia="Times New Roman" w:hAnsi="FrankRuehl" w:cs="FrankRuehl"/>
          <w:sz w:val="26"/>
          <w:szCs w:val="26"/>
          <w:rtl/>
          <w:lang w:val="en-US"/>
        </w:rPr>
        <w:t xml:space="preserve">(3)   אם קבוע לעבירה עונש מאסר </w:t>
      </w:r>
      <w:r w:rsidRPr="00F4081D">
        <w:rPr>
          <w:rFonts w:ascii="FrankRuehl" w:eastAsia="Times New Roman" w:hAnsi="FrankRuehl" w:cs="FrankRuehl"/>
          <w:b/>
          <w:bCs/>
          <w:sz w:val="26"/>
          <w:szCs w:val="26"/>
          <w:rtl/>
          <w:lang w:val="en-US"/>
        </w:rPr>
        <w:t>למעלה משנה ולא יותר משלוש שנים</w:t>
      </w:r>
      <w:r w:rsidRPr="00F4081D">
        <w:rPr>
          <w:rFonts w:ascii="FrankRuehl" w:eastAsia="Times New Roman" w:hAnsi="FrankRuehl" w:cs="FrankRuehl"/>
          <w:sz w:val="26"/>
          <w:szCs w:val="26"/>
          <w:rtl/>
          <w:lang w:val="en-US"/>
        </w:rPr>
        <w:t xml:space="preserve"> - קנס עד 75,300 שקלים חדשים;</w:t>
      </w:r>
    </w:p>
    <w:p w14:paraId="0809F409" w14:textId="77777777"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F4081D">
        <w:rPr>
          <w:rFonts w:ascii="FrankRuehl" w:eastAsia="Times New Roman" w:hAnsi="FrankRuehl" w:cs="FrankRuehl"/>
          <w:sz w:val="26"/>
          <w:szCs w:val="26"/>
          <w:rtl/>
          <w:lang w:val="en-US"/>
        </w:rPr>
        <w:t xml:space="preserve">(4)   אם קבוע לעבירה עונש מאסר </w:t>
      </w:r>
      <w:r w:rsidRPr="00F4081D">
        <w:rPr>
          <w:rFonts w:ascii="FrankRuehl" w:eastAsia="Times New Roman" w:hAnsi="FrankRuehl" w:cs="FrankRuehl"/>
          <w:b/>
          <w:bCs/>
          <w:sz w:val="26"/>
          <w:szCs w:val="26"/>
          <w:rtl/>
          <w:lang w:val="en-US"/>
        </w:rPr>
        <w:t>למעלה משלוש שנים</w:t>
      </w:r>
      <w:r w:rsidRPr="00F4081D">
        <w:rPr>
          <w:rFonts w:ascii="FrankRuehl" w:eastAsia="Times New Roman" w:hAnsi="FrankRuehl" w:cs="FrankRuehl"/>
          <w:sz w:val="26"/>
          <w:szCs w:val="26"/>
          <w:rtl/>
          <w:lang w:val="en-US"/>
        </w:rPr>
        <w:t xml:space="preserve"> - קנס עד 226,000 שקלים חדשים.</w:t>
      </w:r>
    </w:p>
    <w:p w14:paraId="00E3B22C" w14:textId="77777777"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b/>
          <w:bCs/>
          <w:color w:val="FF0000"/>
          <w:sz w:val="24"/>
          <w:szCs w:val="24"/>
          <w:rtl/>
          <w:lang w:val="en-US"/>
        </w:rPr>
      </w:pPr>
      <w:r w:rsidRPr="00F4081D">
        <w:rPr>
          <w:rFonts w:ascii="FrankRuehl" w:eastAsia="Times New Roman" w:hAnsi="FrankRuehl" w:cs="FrankRuehl"/>
          <w:b/>
          <w:bCs/>
          <w:color w:val="FF0000"/>
          <w:sz w:val="26"/>
          <w:szCs w:val="26"/>
          <w:rtl/>
          <w:lang w:val="en-US"/>
        </w:rPr>
        <w:t xml:space="preserve">          (ב)  סעיף זה לא יפגע בהוראה המסמיכה את בית המשפט לקנוס בסכומים העולים על הסכומים האמורים בסעיף קטן (א) או בהוראות סעיף 63. </w:t>
      </w:r>
    </w:p>
    <w:p w14:paraId="3A36FE9A" w14:textId="77777777"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F4081D">
        <w:rPr>
          <w:rFonts w:ascii="Time New Roman" w:eastAsia="Times New Roman" w:hAnsi="Time New Roman" w:cs="Times New Roman"/>
          <w:b/>
          <w:bCs/>
          <w:color w:val="008000"/>
          <w:sz w:val="27"/>
          <w:szCs w:val="27"/>
          <w:rtl/>
          <w:lang w:val="en-US"/>
        </w:rPr>
        <w:lastRenderedPageBreak/>
        <w:t>(תיקון מס' 14) תשמ"ב-1982 צו תש"ע-2010</w:t>
      </w:r>
    </w:p>
    <w:p w14:paraId="6AD231C3" w14:textId="54026A65"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color w:val="7030A0"/>
          <w:sz w:val="24"/>
          <w:szCs w:val="24"/>
          <w:rtl/>
          <w:lang w:val="en-US"/>
        </w:rPr>
      </w:pPr>
      <w:r w:rsidRPr="00F4081D">
        <w:rPr>
          <w:rFonts w:ascii="FrankRuehl" w:eastAsia="Times New Roman" w:hAnsi="FrankRuehl" w:cs="FrankRuehl"/>
          <w:sz w:val="26"/>
          <w:szCs w:val="26"/>
          <w:rtl/>
          <w:lang w:val="en-US"/>
        </w:rPr>
        <w:t>          (ג)   מקום שקבוע בחוק לעבירה נמשכת קנס או קנס נוסף לכל יום של עבירה רשאי בית המשפט להטיל, במקום אותו קנס - קנס עד 1,400 שקלים חדשים.</w:t>
      </w:r>
      <w:r w:rsidR="009D315A">
        <w:rPr>
          <w:rFonts w:ascii="Times New Roman" w:eastAsia="Times New Roman" w:hAnsi="Times New Roman" w:cs="Times New Roman" w:hint="cs"/>
          <w:sz w:val="24"/>
          <w:szCs w:val="24"/>
          <w:rtl/>
          <w:lang w:val="en-US"/>
        </w:rPr>
        <w:t xml:space="preserve"> </w:t>
      </w:r>
      <w:r w:rsidR="009D315A">
        <w:rPr>
          <w:rFonts w:ascii="Times New Roman" w:eastAsia="Times New Roman" w:hAnsi="Times New Roman" w:cs="Times New Roman" w:hint="cs"/>
          <w:color w:val="7030A0"/>
          <w:sz w:val="24"/>
          <w:szCs w:val="24"/>
          <w:rtl/>
          <w:lang w:val="en-US"/>
        </w:rPr>
        <w:t xml:space="preserve">נפוץ בעבירות של זיהום וכו' שנקבע שהם מזהמים ואפשר לקבוע שעד שהם לא מפסיקים לזהם אז על כל יום משלמים סכום שאינו עולה על 1,400 ₪, צריך לשים לב שמדובר בסכום שהוא במקום אותו הקנס. </w:t>
      </w:r>
    </w:p>
    <w:p w14:paraId="1CCBE6A6" w14:textId="77777777" w:rsidR="00F4081D" w:rsidRPr="00F4081D" w:rsidRDefault="00F408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F4081D">
        <w:rPr>
          <w:rFonts w:ascii="FrankRuehl" w:eastAsia="Times New Roman" w:hAnsi="FrankRuehl" w:cs="FrankRuehl"/>
          <w:sz w:val="26"/>
          <w:szCs w:val="26"/>
          <w:rtl/>
          <w:lang w:val="en-US"/>
        </w:rPr>
        <w:t xml:space="preserve">          (ד)  סעיף זה אינו בא לשנות מסכומים שבית המשפט מוסמך להטיל כקנס בשל אי-ציות לצו </w:t>
      </w:r>
      <w:proofErr w:type="spellStart"/>
      <w:r w:rsidRPr="00F4081D">
        <w:rPr>
          <w:rFonts w:ascii="FrankRuehl" w:eastAsia="Times New Roman" w:hAnsi="FrankRuehl" w:cs="FrankRuehl"/>
          <w:sz w:val="26"/>
          <w:szCs w:val="26"/>
          <w:rtl/>
          <w:lang w:val="en-US"/>
        </w:rPr>
        <w:t>בענין</w:t>
      </w:r>
      <w:proofErr w:type="spellEnd"/>
      <w:r w:rsidRPr="00F4081D">
        <w:rPr>
          <w:rFonts w:ascii="FrankRuehl" w:eastAsia="Times New Roman" w:hAnsi="FrankRuehl" w:cs="FrankRuehl"/>
          <w:sz w:val="26"/>
          <w:szCs w:val="26"/>
          <w:rtl/>
          <w:lang w:val="en-US"/>
        </w:rPr>
        <w:t xml:space="preserve"> עדות או המצאת מסמכים או בשל בזיון בית משפט.</w:t>
      </w:r>
    </w:p>
    <w:p w14:paraId="32F4521B" w14:textId="62F4ED64" w:rsidR="002372A9" w:rsidRDefault="002372A9" w:rsidP="008F05D0">
      <w:pPr>
        <w:bidi/>
        <w:spacing w:after="0" w:line="276" w:lineRule="auto"/>
        <w:contextualSpacing/>
        <w:jc w:val="both"/>
        <w:rPr>
          <w:rFonts w:ascii="Segoe UI" w:eastAsia="Times New Roman" w:hAnsi="Segoe UI" w:cs="Segoe UI"/>
          <w:b/>
          <w:bCs/>
          <w:sz w:val="24"/>
          <w:szCs w:val="24"/>
          <w:u w:val="single"/>
          <w:rtl/>
          <w:lang w:val="en-US"/>
        </w:rPr>
      </w:pPr>
    </w:p>
    <w:p w14:paraId="75EDB910"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lang w:val="en-US"/>
        </w:rPr>
      </w:pPr>
      <w:r w:rsidRPr="005810CE">
        <w:rPr>
          <w:rFonts w:ascii="Time New Roman" w:eastAsia="Times New Roman" w:hAnsi="Time New Roman" w:cs="Times New Roman"/>
          <w:b/>
          <w:bCs/>
          <w:color w:val="008000"/>
          <w:sz w:val="27"/>
          <w:szCs w:val="27"/>
          <w:rtl/>
          <w:lang w:val="en-US"/>
        </w:rPr>
        <w:t>קנס לפי שווי הנזק או טובות ההנאה [יא/29] (תיקון מס' 9) תש"ם-1980</w:t>
      </w:r>
    </w:p>
    <w:p w14:paraId="3BE18DAE"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Miriam" w:eastAsia="Times New Roman" w:hAnsi="Miriam" w:cs="Miriam"/>
          <w:sz w:val="32"/>
          <w:szCs w:val="32"/>
          <w:rtl/>
          <w:lang w:val="en-US"/>
        </w:rPr>
        <w:t xml:space="preserve">63.  </w:t>
      </w:r>
      <w:r w:rsidRPr="005810CE">
        <w:rPr>
          <w:rFonts w:ascii="FrankRuehl" w:eastAsia="Times New Roman" w:hAnsi="FrankRuehl" w:cs="FrankRuehl"/>
          <w:sz w:val="26"/>
          <w:szCs w:val="26"/>
          <w:rtl/>
          <w:lang w:val="en-US"/>
        </w:rPr>
        <w:t xml:space="preserve">(א)  בשל עבירה שנתכוון בה הנאשם לגרום נזק ממון לאחר או להשיג טובת הנאה לעצמו או לאחר, </w:t>
      </w:r>
      <w:r w:rsidRPr="005810CE">
        <w:rPr>
          <w:rFonts w:ascii="FrankRuehl" w:eastAsia="Times New Roman" w:hAnsi="FrankRuehl" w:cs="FrankRuehl"/>
          <w:b/>
          <w:bCs/>
          <w:color w:val="FF0000"/>
          <w:sz w:val="26"/>
          <w:szCs w:val="26"/>
          <w:rtl/>
          <w:lang w:val="en-US"/>
        </w:rPr>
        <w:t xml:space="preserve">רשאי בית המשפט להטיל על הנאשם קנס פי ארבעה </w:t>
      </w:r>
      <w:proofErr w:type="spellStart"/>
      <w:r w:rsidRPr="005810CE">
        <w:rPr>
          <w:rFonts w:ascii="FrankRuehl" w:eastAsia="Times New Roman" w:hAnsi="FrankRuehl" w:cs="FrankRuehl"/>
          <w:b/>
          <w:bCs/>
          <w:color w:val="FF0000"/>
          <w:sz w:val="26"/>
          <w:szCs w:val="26"/>
          <w:rtl/>
          <w:lang w:val="en-US"/>
        </w:rPr>
        <w:t>משוויים</w:t>
      </w:r>
      <w:proofErr w:type="spellEnd"/>
      <w:r w:rsidRPr="005810CE">
        <w:rPr>
          <w:rFonts w:ascii="FrankRuehl" w:eastAsia="Times New Roman" w:hAnsi="FrankRuehl" w:cs="FrankRuehl"/>
          <w:b/>
          <w:bCs/>
          <w:color w:val="FF0000"/>
          <w:sz w:val="26"/>
          <w:szCs w:val="26"/>
          <w:rtl/>
          <w:lang w:val="en-US"/>
        </w:rPr>
        <w:t xml:space="preserve"> של הנזק שנגרם או של טובת ההנאה שהושגה על ידי העבירה, או את הקנס שנקבע בחיקוק, הכל לפי הגדול שבהם.</w:t>
      </w:r>
      <w:r w:rsidRPr="005810CE">
        <w:rPr>
          <w:rFonts w:ascii="FrankRuehl" w:eastAsia="Times New Roman" w:hAnsi="FrankRuehl" w:cs="FrankRuehl"/>
          <w:sz w:val="26"/>
          <w:szCs w:val="26"/>
          <w:rtl/>
          <w:lang w:val="en-US"/>
        </w:rPr>
        <w:t xml:space="preserve"> </w:t>
      </w:r>
    </w:p>
    <w:p w14:paraId="57051138"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Time New Roman" w:eastAsia="Times New Roman" w:hAnsi="Time New Roman" w:cs="Times New Roman"/>
          <w:b/>
          <w:bCs/>
          <w:color w:val="008000"/>
          <w:sz w:val="27"/>
          <w:szCs w:val="27"/>
          <w:rtl/>
          <w:lang w:val="en-US"/>
        </w:rPr>
        <w:t>(תיקון מס' 9) תש"ם-1980</w:t>
      </w:r>
    </w:p>
    <w:p w14:paraId="78727658"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FrankRuehl" w:eastAsia="Times New Roman" w:hAnsi="FrankRuehl" w:cs="FrankRuehl"/>
          <w:sz w:val="26"/>
          <w:szCs w:val="26"/>
          <w:rtl/>
          <w:lang w:val="en-US"/>
        </w:rPr>
        <w:t xml:space="preserve">          (ב)  הורשע אדם בעבירה, וקיבל דבר כשכר בעד ביצועה או כאמצעי לביצועה, רשאי בית המשפט להטיל עליו קנס פי ארבעה משוויו של הדבר, או את הקנס שנקבע בחיקוק, הכל לפי הגדול שבהם. </w:t>
      </w:r>
    </w:p>
    <w:p w14:paraId="5A33087A"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FrankRuehl" w:eastAsia="Times New Roman" w:hAnsi="FrankRuehl" w:cs="FrankRuehl"/>
          <w:sz w:val="26"/>
          <w:szCs w:val="26"/>
          <w:rtl/>
          <w:lang w:val="en-US"/>
        </w:rPr>
        <w:t xml:space="preserve">          (ג)   בקביעת סכום הקנס לפי סעיף זה רשאי בית המשפט להתחשב, בין השאר, בהשפעה שתהיה לסילוק הקנס על יכולתו של הנאשם לפצות את הניזוק בשל הנזק שנגרם לו על ידי העבירה. </w:t>
      </w:r>
    </w:p>
    <w:p w14:paraId="72D9098F"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Time New Roman" w:eastAsia="Times New Roman" w:hAnsi="Time New Roman" w:cs="Times New Roman"/>
          <w:b/>
          <w:bCs/>
          <w:color w:val="008000"/>
          <w:sz w:val="27"/>
          <w:szCs w:val="27"/>
          <w:rtl/>
          <w:lang w:val="en-US"/>
        </w:rPr>
        <w:t>(תיקון מס' 23) תשמ"ח-1988</w:t>
      </w:r>
    </w:p>
    <w:p w14:paraId="0B50999B"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FrankRuehl" w:eastAsia="Times New Roman" w:hAnsi="FrankRuehl" w:cs="FrankRuehl"/>
          <w:sz w:val="26"/>
          <w:szCs w:val="26"/>
          <w:rtl/>
          <w:lang w:val="en-US"/>
        </w:rPr>
        <w:t xml:space="preserve">          (ד)  קביעת הקנס לפי ערך הנזק שנגרם או טובת ההנאה שהופקה תהא כערכם ביום ביצוע העבירה או ביום מתן החלטת בית המשפט, לפי הגדול שבהם. </w:t>
      </w:r>
    </w:p>
    <w:p w14:paraId="69440CE9" w14:textId="0AE70479" w:rsidR="005810CE" w:rsidRDefault="005810CE" w:rsidP="008F05D0">
      <w:pPr>
        <w:bidi/>
        <w:spacing w:after="0" w:line="276" w:lineRule="auto"/>
        <w:contextualSpacing/>
        <w:jc w:val="both"/>
        <w:rPr>
          <w:rFonts w:ascii="Segoe UI" w:eastAsia="Times New Roman" w:hAnsi="Segoe UI" w:cs="Segoe UI"/>
          <w:b/>
          <w:bCs/>
          <w:sz w:val="24"/>
          <w:szCs w:val="24"/>
          <w:u w:val="single"/>
          <w:rtl/>
          <w:lang w:val="en-US"/>
        </w:rPr>
      </w:pPr>
    </w:p>
    <w:p w14:paraId="3464164C" w14:textId="7CE39D45"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lang w:val="en-US"/>
        </w:rPr>
      </w:pPr>
      <w:r w:rsidRPr="005810CE">
        <w:rPr>
          <w:rFonts w:ascii="Time New Roman" w:eastAsia="Times New Roman" w:hAnsi="Time New Roman" w:cs="Times New Roman"/>
          <w:b/>
          <w:bCs/>
          <w:color w:val="008000"/>
          <w:sz w:val="27"/>
          <w:szCs w:val="27"/>
          <w:rtl/>
          <w:lang w:val="en-US"/>
        </w:rPr>
        <w:t xml:space="preserve">מאסר במקום קנס </w:t>
      </w:r>
    </w:p>
    <w:p w14:paraId="4DACC021" w14:textId="4FAF5A88"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Miriam" w:eastAsia="Times New Roman" w:hAnsi="Miriam" w:cs="Miriam"/>
          <w:sz w:val="32"/>
          <w:szCs w:val="32"/>
          <w:rtl/>
          <w:lang w:val="en-US"/>
        </w:rPr>
        <w:t xml:space="preserve">71.  </w:t>
      </w:r>
      <w:r w:rsidRPr="005810CE">
        <w:rPr>
          <w:rFonts w:ascii="FrankRuehl" w:eastAsia="Times New Roman" w:hAnsi="FrankRuehl" w:cs="FrankRuehl"/>
          <w:sz w:val="26"/>
          <w:szCs w:val="26"/>
          <w:rtl/>
          <w:lang w:val="en-US"/>
        </w:rPr>
        <w:t xml:space="preserve">(א)  בית המשפט הדן אדם לקנס, </w:t>
      </w:r>
      <w:r w:rsidRPr="005810CE">
        <w:rPr>
          <w:rFonts w:ascii="FrankRuehl" w:eastAsia="Times New Roman" w:hAnsi="FrankRuehl" w:cs="FrankRuehl"/>
          <w:b/>
          <w:bCs/>
          <w:color w:val="FF0000"/>
          <w:sz w:val="26"/>
          <w:szCs w:val="26"/>
          <w:rtl/>
          <w:lang w:val="en-US"/>
        </w:rPr>
        <w:t>רשאי להטיל עליו מאסר עד שלוש שנים למקרה שהקנס כולו או מקצתו לא ישולם במועדו ובלבד שתקופת המאסר במקום קנס לא תעלה על תקופת המאסר הקבועה לעבירה שבשלה הוטל הקנס</w:t>
      </w:r>
      <w:r w:rsidRPr="005810CE">
        <w:rPr>
          <w:rFonts w:ascii="FrankRuehl" w:eastAsia="Times New Roman" w:hAnsi="FrankRuehl" w:cs="FrankRuehl"/>
          <w:sz w:val="26"/>
          <w:szCs w:val="26"/>
          <w:rtl/>
          <w:lang w:val="en-US"/>
        </w:rPr>
        <w:t>; נקבע לעבירה עונש קנס בלבד, או היתה העבירה של אחריות קפידה כאמור בסעיף 22(א) סיפה, לא תעלה תקופת המאסר במקום הקנס על שנה.</w:t>
      </w:r>
    </w:p>
    <w:p w14:paraId="7753860E"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Time New Roman" w:eastAsia="Times New Roman" w:hAnsi="Time New Roman" w:cs="Times New Roman"/>
          <w:b/>
          <w:bCs/>
          <w:color w:val="008000"/>
          <w:sz w:val="27"/>
          <w:szCs w:val="27"/>
          <w:rtl/>
          <w:lang w:val="en-US"/>
        </w:rPr>
        <w:t>(תיקון מס' 87) תשס"ו-2005</w:t>
      </w:r>
    </w:p>
    <w:p w14:paraId="5A4ABFA5"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FrankRuehl" w:eastAsia="Times New Roman" w:hAnsi="FrankRuehl" w:cs="FrankRuehl"/>
          <w:sz w:val="26"/>
          <w:szCs w:val="26"/>
          <w:rtl/>
          <w:lang w:val="en-US"/>
        </w:rPr>
        <w:t>          (ב)  (בוטל).</w:t>
      </w:r>
    </w:p>
    <w:p w14:paraId="00A700D3"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Time New Roman" w:eastAsia="Times New Roman" w:hAnsi="Time New Roman" w:cs="Times New Roman"/>
          <w:b/>
          <w:bCs/>
          <w:color w:val="008000"/>
          <w:sz w:val="27"/>
          <w:szCs w:val="27"/>
          <w:rtl/>
          <w:lang w:val="en-US"/>
        </w:rPr>
        <w:t>(תיקון מס' 9) תש"ם-1980</w:t>
      </w:r>
    </w:p>
    <w:p w14:paraId="21D75700"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FrankRuehl" w:eastAsia="Times New Roman" w:hAnsi="FrankRuehl" w:cs="FrankRuehl"/>
          <w:sz w:val="26"/>
          <w:szCs w:val="26"/>
          <w:rtl/>
          <w:lang w:val="en-US"/>
        </w:rPr>
        <w:t xml:space="preserve">          (ג)   </w:t>
      </w:r>
      <w:r w:rsidRPr="005810CE">
        <w:rPr>
          <w:rFonts w:ascii="FrankRuehl" w:eastAsia="Times New Roman" w:hAnsi="FrankRuehl" w:cs="FrankRuehl"/>
          <w:b/>
          <w:bCs/>
          <w:sz w:val="26"/>
          <w:szCs w:val="26"/>
          <w:rtl/>
          <w:lang w:val="en-US"/>
        </w:rPr>
        <w:t xml:space="preserve">נשא אדם מאסר לפי סעיף קטן (א), לא </w:t>
      </w:r>
      <w:proofErr w:type="spellStart"/>
      <w:r w:rsidRPr="005810CE">
        <w:rPr>
          <w:rFonts w:ascii="FrankRuehl" w:eastAsia="Times New Roman" w:hAnsi="FrankRuehl" w:cs="FrankRuehl"/>
          <w:b/>
          <w:bCs/>
          <w:sz w:val="26"/>
          <w:szCs w:val="26"/>
          <w:rtl/>
          <w:lang w:val="en-US"/>
        </w:rPr>
        <w:t>יחוייב</w:t>
      </w:r>
      <w:proofErr w:type="spellEnd"/>
      <w:r w:rsidRPr="005810CE">
        <w:rPr>
          <w:rFonts w:ascii="FrankRuehl" w:eastAsia="Times New Roman" w:hAnsi="FrankRuehl" w:cs="FrankRuehl"/>
          <w:b/>
          <w:bCs/>
          <w:sz w:val="26"/>
          <w:szCs w:val="26"/>
          <w:rtl/>
          <w:lang w:val="en-US"/>
        </w:rPr>
        <w:t xml:space="preserve"> בתשלום הקנס והתוספת</w:t>
      </w:r>
      <w:r w:rsidRPr="005810CE">
        <w:rPr>
          <w:rFonts w:ascii="FrankRuehl" w:eastAsia="Times New Roman" w:hAnsi="FrankRuehl" w:cs="FrankRuehl"/>
          <w:sz w:val="26"/>
          <w:szCs w:val="26"/>
          <w:rtl/>
          <w:lang w:val="en-US"/>
        </w:rPr>
        <w:t xml:space="preserve">; נשא חלק מתקופת המאסר, לא </w:t>
      </w:r>
      <w:proofErr w:type="spellStart"/>
      <w:r w:rsidRPr="005810CE">
        <w:rPr>
          <w:rFonts w:ascii="FrankRuehl" w:eastAsia="Times New Roman" w:hAnsi="FrankRuehl" w:cs="FrankRuehl"/>
          <w:sz w:val="26"/>
          <w:szCs w:val="26"/>
          <w:rtl/>
          <w:lang w:val="en-US"/>
        </w:rPr>
        <w:t>יחוייב</w:t>
      </w:r>
      <w:proofErr w:type="spellEnd"/>
      <w:r w:rsidRPr="005810CE">
        <w:rPr>
          <w:rFonts w:ascii="FrankRuehl" w:eastAsia="Times New Roman" w:hAnsi="FrankRuehl" w:cs="FrankRuehl"/>
          <w:sz w:val="26"/>
          <w:szCs w:val="26"/>
          <w:rtl/>
          <w:lang w:val="en-US"/>
        </w:rPr>
        <w:t xml:space="preserve"> בתשלום חלק הקנס היחסי לתקופה שנשא עליו מאסר, והתוספת שיהיה חייב בה תחושב לפי אותו חלק מן הקנס שלא נשא עליו מאסר.</w:t>
      </w:r>
    </w:p>
    <w:p w14:paraId="5D316541"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Time New Roman" w:eastAsia="Times New Roman" w:hAnsi="Time New Roman" w:cs="Times New Roman"/>
          <w:b/>
          <w:bCs/>
          <w:color w:val="008000"/>
          <w:sz w:val="27"/>
          <w:szCs w:val="27"/>
          <w:rtl/>
          <w:lang w:val="en-US"/>
        </w:rPr>
        <w:t>(תיקון מס' 92) תשס"ז-2007</w:t>
      </w:r>
    </w:p>
    <w:p w14:paraId="4B06542E" w14:textId="77777777" w:rsidR="005810CE" w:rsidRPr="005810CE"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FrankRuehl" w:eastAsia="Times New Roman" w:hAnsi="FrankRuehl" w:cs="FrankRuehl"/>
          <w:sz w:val="26"/>
          <w:szCs w:val="26"/>
          <w:rtl/>
          <w:lang w:val="en-US"/>
        </w:rPr>
        <w:t>          (ד)  הוטל מאסר לפי סעיף קטן (א) ולפני שנסתיימה תקופת המאסר שולם חלק מן הקנס תקוצר התקופה לפי היחס שבין הסכום ששולם לבין הקנס כולו.</w:t>
      </w:r>
    </w:p>
    <w:p w14:paraId="5BA34982" w14:textId="40B04B8B" w:rsidR="005810CE" w:rsidRPr="005B4C8F" w:rsidRDefault="005810CE"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5810CE">
        <w:rPr>
          <w:rFonts w:ascii="FrankRuehl" w:eastAsia="Times New Roman" w:hAnsi="FrankRuehl" w:cs="FrankRuehl"/>
          <w:sz w:val="26"/>
          <w:szCs w:val="26"/>
          <w:rtl/>
          <w:lang w:val="en-US"/>
        </w:rPr>
        <w:t xml:space="preserve">          (ה)  מי שהוטל עליו מאסר בשל אי תשלום קנס </w:t>
      </w:r>
      <w:proofErr w:type="spellStart"/>
      <w:r w:rsidRPr="005810CE">
        <w:rPr>
          <w:rFonts w:ascii="FrankRuehl" w:eastAsia="Times New Roman" w:hAnsi="FrankRuehl" w:cs="FrankRuehl"/>
          <w:sz w:val="26"/>
          <w:szCs w:val="26"/>
          <w:rtl/>
          <w:lang w:val="en-US"/>
        </w:rPr>
        <w:t>ישא</w:t>
      </w:r>
      <w:proofErr w:type="spellEnd"/>
      <w:r w:rsidRPr="005810CE">
        <w:rPr>
          <w:rFonts w:ascii="FrankRuehl" w:eastAsia="Times New Roman" w:hAnsi="FrankRuehl" w:cs="FrankRuehl"/>
          <w:sz w:val="26"/>
          <w:szCs w:val="26"/>
          <w:rtl/>
          <w:lang w:val="en-US"/>
        </w:rPr>
        <w:t xml:space="preserve"> אותו בנוסף לכל מאסר אחר, לרבות מאסר בשל אי-תשלום קנס אחר, בין שהמאסר האחר הוטל באותו משפט ובין שהוטל במשפט אחר, זולת אם הורה בית המשפט הוראה אחרת.</w:t>
      </w:r>
    </w:p>
    <w:p w14:paraId="770B2546" w14:textId="76E14DAB" w:rsidR="00633E49" w:rsidRPr="00213465" w:rsidRDefault="00633E49" w:rsidP="008F05D0">
      <w:pPr>
        <w:bidi/>
        <w:spacing w:after="0" w:line="276" w:lineRule="auto"/>
        <w:contextualSpacing/>
        <w:jc w:val="both"/>
        <w:rPr>
          <w:rFonts w:ascii="Segoe UI" w:eastAsia="Times New Roman" w:hAnsi="Segoe UI" w:cs="Segoe UI"/>
          <w:color w:val="7030A0"/>
          <w:rtl/>
          <w:lang w:val="en-US"/>
        </w:rPr>
      </w:pPr>
      <w:r w:rsidRPr="00213465">
        <w:rPr>
          <w:rFonts w:ascii="Segoe UI" w:eastAsia="Times New Roman" w:hAnsi="Segoe UI" w:cs="Segoe UI" w:hint="cs"/>
          <w:color w:val="7030A0"/>
          <w:rtl/>
          <w:lang w:val="en-US"/>
        </w:rPr>
        <w:t xml:space="preserve">מי שאחראי על גביית קנסות הוא המרכז לגביית קנסות </w:t>
      </w:r>
      <w:r w:rsidRPr="00213465">
        <w:rPr>
          <w:rFonts w:ascii="Segoe UI" w:eastAsia="Times New Roman" w:hAnsi="Segoe UI" w:cs="Segoe UI"/>
          <w:color w:val="7030A0"/>
          <w:rtl/>
          <w:lang w:val="en-US"/>
        </w:rPr>
        <w:t>–</w:t>
      </w:r>
      <w:r w:rsidRPr="00213465">
        <w:rPr>
          <w:rFonts w:ascii="Segoe UI" w:eastAsia="Times New Roman" w:hAnsi="Segoe UI" w:cs="Segoe UI" w:hint="cs"/>
          <w:color w:val="7030A0"/>
          <w:rtl/>
          <w:lang w:val="en-US"/>
        </w:rPr>
        <w:t xml:space="preserve"> מדובר במרכז שהוא סוג של גוף גבייה בעל כוח רב ויש לו יכולות לעקל דברים גם ללא צווים של ביהמ"ש. כלומר, הוא יכול אפילו לעקל רכוש מבלי שיש צו ביהמ"ש שמורה </w:t>
      </w:r>
      <w:r w:rsidRPr="00213465">
        <w:rPr>
          <w:rFonts w:ascii="Segoe UI" w:eastAsia="Times New Roman" w:hAnsi="Segoe UI" w:cs="Segoe UI" w:hint="cs"/>
          <w:color w:val="7030A0"/>
          <w:rtl/>
          <w:lang w:val="en-US"/>
        </w:rPr>
        <w:lastRenderedPageBreak/>
        <w:t xml:space="preserve">על כך במפורש. </w:t>
      </w:r>
      <w:r w:rsidR="007635BA" w:rsidRPr="00213465">
        <w:rPr>
          <w:rFonts w:ascii="Segoe UI" w:eastAsia="Times New Roman" w:hAnsi="Segoe UI" w:cs="Segoe UI" w:hint="cs"/>
          <w:color w:val="7030A0"/>
          <w:rtl/>
          <w:lang w:val="en-US"/>
        </w:rPr>
        <w:t xml:space="preserve">במקרים של קנסות המדינה אפילו מקבלת כספים שלא ברור מהיכן הגיעו, כלומר מקורם לא ברור העיקר שהקנס ישולם. זאת אומרת עבריין יכול לשלם קנס גם מכסף שהוא הלבין מעבירות כלשהן, העיקר שישלם. </w:t>
      </w:r>
    </w:p>
    <w:p w14:paraId="25DEAB9B" w14:textId="00C43173" w:rsidR="00B46138" w:rsidRPr="00213465" w:rsidRDefault="00B46138" w:rsidP="008F05D0">
      <w:pPr>
        <w:bidi/>
        <w:spacing w:after="0" w:line="276" w:lineRule="auto"/>
        <w:contextualSpacing/>
        <w:jc w:val="both"/>
        <w:rPr>
          <w:rFonts w:ascii="Segoe UI" w:eastAsia="Times New Roman" w:hAnsi="Segoe UI" w:cs="Segoe UI"/>
          <w:rtl/>
          <w:lang w:val="en-US"/>
        </w:rPr>
      </w:pPr>
      <w:r w:rsidRPr="00213465">
        <w:rPr>
          <w:rFonts w:ascii="Segoe UI" w:eastAsia="Times New Roman" w:hAnsi="Segoe UI" w:cs="Segoe UI" w:hint="cs"/>
          <w:rtl/>
          <w:lang w:val="en-US"/>
        </w:rPr>
        <w:t xml:space="preserve">משרד המשפטים בוחן: ביטול מאסר חלף קנס, יו"ר ועדת החוקה ח"כ אשר: אם לא יוגש חוק ממשלתי חברי הוועדה יגישו בעצמם הצעת חוק. </w:t>
      </w:r>
    </w:p>
    <w:p w14:paraId="01A9BBE2" w14:textId="67997BEE" w:rsidR="00B46138" w:rsidRPr="00D72EA6" w:rsidRDefault="00B46138" w:rsidP="008F05D0">
      <w:pPr>
        <w:bidi/>
        <w:spacing w:after="0" w:line="276" w:lineRule="auto"/>
        <w:contextualSpacing/>
        <w:jc w:val="both"/>
        <w:rPr>
          <w:rFonts w:ascii="Segoe UI" w:eastAsia="Times New Roman" w:hAnsi="Segoe UI" w:cs="Segoe UI"/>
          <w:rtl/>
          <w:lang w:val="en-US"/>
        </w:rPr>
      </w:pPr>
    </w:p>
    <w:p w14:paraId="063452F5" w14:textId="3A227665" w:rsidR="00B46138" w:rsidRPr="00213465" w:rsidRDefault="00B46138" w:rsidP="008F05D0">
      <w:pPr>
        <w:bidi/>
        <w:spacing w:after="0" w:line="276" w:lineRule="auto"/>
        <w:contextualSpacing/>
        <w:jc w:val="both"/>
        <w:rPr>
          <w:rFonts w:ascii="Segoe UI" w:eastAsia="Times New Roman" w:hAnsi="Segoe UI" w:cs="Segoe UI"/>
          <w:color w:val="7030A0"/>
          <w:rtl/>
          <w:lang w:val="en-US"/>
        </w:rPr>
      </w:pPr>
      <w:r w:rsidRPr="00213465">
        <w:rPr>
          <w:rFonts w:ascii="Segoe UI" w:eastAsia="Times New Roman" w:hAnsi="Segoe UI" w:cs="Segoe UI" w:hint="cs"/>
          <w:rtl/>
          <w:lang w:val="en-US"/>
        </w:rPr>
        <w:t xml:space="preserve">נבדק גם האם קיים קשר בין משפט פלילי לעוני </w:t>
      </w:r>
      <w:r w:rsidR="007635BA" w:rsidRPr="00213465">
        <w:rPr>
          <w:rFonts w:ascii="Segoe UI" w:eastAsia="Times New Roman" w:hAnsi="Segoe UI" w:cs="Segoe UI"/>
          <w:rtl/>
          <w:lang w:val="en-US"/>
        </w:rPr>
        <w:t>–</w:t>
      </w:r>
      <w:r w:rsidRPr="00213465">
        <w:rPr>
          <w:rFonts w:ascii="Segoe UI" w:eastAsia="Times New Roman" w:hAnsi="Segoe UI" w:cs="Segoe UI" w:hint="cs"/>
          <w:rtl/>
          <w:lang w:val="en-US"/>
        </w:rPr>
        <w:t xml:space="preserve"> </w:t>
      </w:r>
      <w:r w:rsidR="007635BA" w:rsidRPr="00213465">
        <w:rPr>
          <w:rFonts w:ascii="Segoe UI" w:eastAsia="Times New Roman" w:hAnsi="Segoe UI" w:cs="Segoe UI" w:hint="cs"/>
          <w:color w:val="7030A0"/>
          <w:rtl/>
          <w:lang w:val="en-US"/>
        </w:rPr>
        <w:t>הטענה היא שברור שיש</w:t>
      </w:r>
      <w:r w:rsidR="00D935B1" w:rsidRPr="00213465">
        <w:rPr>
          <w:rFonts w:ascii="Segoe UI" w:eastAsia="Times New Roman" w:hAnsi="Segoe UI" w:cs="Segoe UI" w:hint="cs"/>
          <w:color w:val="7030A0"/>
          <w:rtl/>
          <w:lang w:val="en-US"/>
        </w:rPr>
        <w:t xml:space="preserve"> קשר, נניח בהקשר של קנס אז לאנשים מהחברה היותר נמוכה, עניים, דרי רחוב וכו' לא יהיה כסף לשלם את הקנס אז בוודאי שהם יכנסו למאסר כחלף קנס. </w:t>
      </w:r>
      <w:r w:rsidR="00E11304" w:rsidRPr="00213465">
        <w:rPr>
          <w:rFonts w:ascii="Segoe UI" w:eastAsia="Times New Roman" w:hAnsi="Segoe UI" w:cs="Segoe UI" w:hint="cs"/>
          <w:color w:val="7030A0"/>
          <w:rtl/>
          <w:lang w:val="en-US"/>
        </w:rPr>
        <w:t>בניגוד לכך, מי שיש לו כסף יכול פשוט לשלם. יש גם את העניין שבקנס ניתן לפרוס להרבה תשלומים ואז אפשר לראות בתיקים של אנשים שיש להם קשיים כלכליים שפורסים סכומים מאוד נמוכים להרבה מאוד תשלומים רק כדי שהם יעמדו באפשרות לשלם את הקנס שביהמ"ש מטיל עליהם.</w:t>
      </w:r>
    </w:p>
    <w:p w14:paraId="5724DE20" w14:textId="3C6A5EDF" w:rsidR="00AA7420" w:rsidRPr="00D72EA6" w:rsidRDefault="00AA7420" w:rsidP="008F05D0">
      <w:pPr>
        <w:bidi/>
        <w:spacing w:after="0" w:line="276" w:lineRule="auto"/>
        <w:contextualSpacing/>
        <w:jc w:val="both"/>
        <w:rPr>
          <w:rFonts w:ascii="Segoe UI" w:eastAsia="Times New Roman" w:hAnsi="Segoe UI" w:cs="Segoe UI"/>
          <w:color w:val="7030A0"/>
          <w:rtl/>
          <w:lang w:val="en-US"/>
        </w:rPr>
      </w:pPr>
    </w:p>
    <w:p w14:paraId="2C7FD171" w14:textId="75BEE699" w:rsidR="00AA7420" w:rsidRDefault="00AA7420" w:rsidP="008F05D0">
      <w:pPr>
        <w:pStyle w:val="2"/>
        <w:rPr>
          <w:rtl/>
        </w:rPr>
      </w:pPr>
      <w:bookmarkStart w:id="27" w:name="_Toc108218196"/>
      <w:r>
        <w:rPr>
          <w:rFonts w:hint="cs"/>
          <w:rtl/>
        </w:rPr>
        <w:t>שירות לתועלת הציבור (</w:t>
      </w:r>
      <w:proofErr w:type="spellStart"/>
      <w:r>
        <w:rPr>
          <w:rFonts w:hint="cs"/>
          <w:rtl/>
        </w:rPr>
        <w:t>של"צ</w:t>
      </w:r>
      <w:proofErr w:type="spellEnd"/>
      <w:r>
        <w:rPr>
          <w:rFonts w:hint="cs"/>
          <w:rtl/>
        </w:rPr>
        <w:t>)</w:t>
      </w:r>
      <w:bookmarkEnd w:id="27"/>
    </w:p>
    <w:p w14:paraId="441768EC" w14:textId="77777777" w:rsidR="0063269E" w:rsidRPr="00213465" w:rsidRDefault="0063269E" w:rsidP="008F05D0">
      <w:pPr>
        <w:numPr>
          <w:ilvl w:val="0"/>
          <w:numId w:val="73"/>
        </w:numPr>
        <w:bidi/>
        <w:spacing w:after="0" w:line="276" w:lineRule="auto"/>
        <w:contextualSpacing/>
        <w:jc w:val="both"/>
        <w:rPr>
          <w:rFonts w:ascii="Times New Roman" w:eastAsia="Times New Roman" w:hAnsi="Times New Roman" w:cs="Times New Roman"/>
          <w:color w:val="83992A"/>
          <w:sz w:val="24"/>
          <w:lang w:val="en-US"/>
        </w:rPr>
      </w:pPr>
      <w:r w:rsidRPr="00213465">
        <w:rPr>
          <w:rFonts w:ascii="Segoe UI" w:eastAsia="Times New Roman" w:hAnsi="Segoe UI" w:cs="Segoe UI"/>
          <w:color w:val="262626"/>
          <w:kern w:val="24"/>
          <w:rtl/>
          <w:lang w:val="en-US"/>
        </w:rPr>
        <w:t xml:space="preserve">רעיון חדש שהחל בשנות השבעים באנגליה (ועדת ווטסון) שהמליצה על שירות לתועלת הציבור ללא שכר </w:t>
      </w:r>
      <w:r w:rsidRPr="00213465">
        <w:rPr>
          <w:rFonts w:ascii="Segoe UI" w:eastAsia="Times New Roman" w:hAnsi="Segoe UI" w:cs="Segoe UI"/>
          <w:b/>
          <w:bCs/>
          <w:color w:val="262626"/>
          <w:kern w:val="24"/>
          <w:rtl/>
          <w:lang w:val="en-US"/>
        </w:rPr>
        <w:t xml:space="preserve">בשעות הפנאי </w:t>
      </w:r>
      <w:r w:rsidRPr="00213465">
        <w:rPr>
          <w:rFonts w:ascii="Segoe UI" w:eastAsia="Times New Roman" w:hAnsi="Segoe UI" w:cs="Segoe UI"/>
          <w:color w:val="262626"/>
          <w:kern w:val="24"/>
          <w:rtl/>
          <w:lang w:val="en-US"/>
        </w:rPr>
        <w:t xml:space="preserve">של העבריין. </w:t>
      </w:r>
      <w:proofErr w:type="spellStart"/>
      <w:r w:rsidRPr="00213465">
        <w:rPr>
          <w:rFonts w:ascii="Segoe UI" w:eastAsia="Times New Roman" w:hAnsi="Segoe UI" w:cs="Segoe UI"/>
          <w:color w:val="7030A0"/>
          <w:kern w:val="24"/>
          <w:rtl/>
          <w:lang w:val="en-US"/>
        </w:rPr>
        <w:t>בדר"כ</w:t>
      </w:r>
      <w:proofErr w:type="spellEnd"/>
      <w:r w:rsidRPr="00213465">
        <w:rPr>
          <w:rFonts w:ascii="Segoe UI" w:eastAsia="Times New Roman" w:hAnsi="Segoe UI" w:cs="Segoe UI"/>
          <w:color w:val="7030A0"/>
          <w:kern w:val="24"/>
          <w:rtl/>
          <w:lang w:val="en-US"/>
        </w:rPr>
        <w:t xml:space="preserve"> בעבירות לא חמורות. </w:t>
      </w:r>
    </w:p>
    <w:p w14:paraId="5120F6E2" w14:textId="77777777" w:rsidR="0063269E" w:rsidRPr="00213465" w:rsidRDefault="0063269E" w:rsidP="008F05D0">
      <w:pPr>
        <w:numPr>
          <w:ilvl w:val="0"/>
          <w:numId w:val="73"/>
        </w:numPr>
        <w:bidi/>
        <w:spacing w:after="0" w:line="276" w:lineRule="auto"/>
        <w:contextualSpacing/>
        <w:jc w:val="both"/>
        <w:rPr>
          <w:rFonts w:ascii="Times New Roman" w:eastAsia="Times New Roman" w:hAnsi="Times New Roman" w:cs="Times New Roman"/>
          <w:color w:val="83992A"/>
          <w:sz w:val="24"/>
          <w:rtl/>
          <w:lang w:val="en-US"/>
        </w:rPr>
      </w:pPr>
      <w:r w:rsidRPr="00213465">
        <w:rPr>
          <w:rFonts w:ascii="Segoe UI" w:eastAsia="Times New Roman" w:hAnsi="Segoe UI" w:cs="Segoe UI"/>
          <w:color w:val="262626"/>
          <w:kern w:val="24"/>
          <w:rtl/>
          <w:lang w:val="en-US"/>
        </w:rPr>
        <w:t>הנהנים מעבודות שירות ציבור הם מוסדות קהילתיים (דוג: העמותה למען הקשיש).</w:t>
      </w:r>
    </w:p>
    <w:p w14:paraId="78AC0B13" w14:textId="77777777" w:rsidR="0063269E" w:rsidRPr="00213465" w:rsidRDefault="0063269E" w:rsidP="008F05D0">
      <w:pPr>
        <w:numPr>
          <w:ilvl w:val="0"/>
          <w:numId w:val="73"/>
        </w:numPr>
        <w:bidi/>
        <w:spacing w:after="0" w:line="276" w:lineRule="auto"/>
        <w:contextualSpacing/>
        <w:jc w:val="both"/>
        <w:rPr>
          <w:rFonts w:ascii="Times New Roman" w:eastAsia="Times New Roman" w:hAnsi="Times New Roman" w:cs="Times New Roman"/>
          <w:color w:val="83992A"/>
          <w:sz w:val="24"/>
          <w:rtl/>
          <w:lang w:val="en-US"/>
        </w:rPr>
      </w:pPr>
      <w:r w:rsidRPr="00213465">
        <w:rPr>
          <w:rFonts w:ascii="Segoe UI" w:eastAsia="Times New Roman" w:hAnsi="Segoe UI" w:cs="Segoe UI"/>
          <w:color w:val="262626"/>
          <w:kern w:val="24"/>
          <w:rtl/>
          <w:lang w:val="en-US"/>
        </w:rPr>
        <w:t xml:space="preserve">בעונש זה, העבריין מפצה את החברה בה פגע. </w:t>
      </w:r>
      <w:r w:rsidRPr="00213465">
        <w:rPr>
          <w:rFonts w:ascii="Segoe UI" w:eastAsia="Times New Roman" w:hAnsi="Segoe UI" w:cs="Segoe UI"/>
          <w:color w:val="7030A0"/>
          <w:kern w:val="24"/>
          <w:rtl/>
          <w:lang w:val="en-US"/>
        </w:rPr>
        <w:t xml:space="preserve">בן אדם מחזיר לחברה שבה הוא עצמו פגע. </w:t>
      </w:r>
    </w:p>
    <w:p w14:paraId="76DB940C" w14:textId="77777777" w:rsidR="0063269E" w:rsidRPr="00D72EA6" w:rsidRDefault="0063269E" w:rsidP="008F05D0">
      <w:pPr>
        <w:bidi/>
        <w:spacing w:after="0" w:line="276" w:lineRule="auto"/>
        <w:contextualSpacing/>
        <w:jc w:val="both"/>
        <w:rPr>
          <w:rFonts w:ascii="Segoe UI" w:eastAsia="Times New Roman" w:hAnsi="Segoe UI" w:cs="Segoe UI"/>
          <w:b/>
          <w:bCs/>
          <w:color w:val="262626"/>
          <w:kern w:val="24"/>
          <w:u w:val="single"/>
          <w:rtl/>
          <w:lang w:val="en-US"/>
        </w:rPr>
      </w:pPr>
    </w:p>
    <w:p w14:paraId="7B31C2F9" w14:textId="496A0171" w:rsidR="0063269E" w:rsidRPr="0063269E" w:rsidRDefault="0063269E" w:rsidP="008F05D0">
      <w:pPr>
        <w:pStyle w:val="110"/>
        <w:spacing w:line="276" w:lineRule="auto"/>
        <w:rPr>
          <w:rFonts w:ascii="Times New Roman" w:hAnsi="Times New Roman" w:cs="Times New Roman"/>
          <w:color w:val="83992A"/>
          <w:sz w:val="28"/>
          <w:rtl/>
        </w:rPr>
      </w:pPr>
      <w:r w:rsidRPr="0063269E">
        <w:rPr>
          <w:rtl/>
        </w:rPr>
        <w:t>יתרונו</w:t>
      </w:r>
      <w:r w:rsidR="00DC6BDD">
        <w:rPr>
          <w:rFonts w:hint="cs"/>
          <w:rtl/>
        </w:rPr>
        <w:t xml:space="preserve">ת </w:t>
      </w:r>
      <w:proofErr w:type="spellStart"/>
      <w:r w:rsidR="00DC6BDD">
        <w:rPr>
          <w:rFonts w:hint="cs"/>
          <w:rtl/>
        </w:rPr>
        <w:t>השל"צ</w:t>
      </w:r>
      <w:proofErr w:type="spellEnd"/>
    </w:p>
    <w:p w14:paraId="3F11BA07" w14:textId="77777777" w:rsidR="0063269E" w:rsidRPr="00213465" w:rsidRDefault="0063269E" w:rsidP="008F05D0">
      <w:pPr>
        <w:numPr>
          <w:ilvl w:val="0"/>
          <w:numId w:val="74"/>
        </w:numPr>
        <w:bidi/>
        <w:spacing w:after="0" w:line="276" w:lineRule="auto"/>
        <w:contextualSpacing/>
        <w:jc w:val="both"/>
        <w:rPr>
          <w:rFonts w:ascii="Times New Roman" w:eastAsia="Times New Roman" w:hAnsi="Times New Roman" w:cs="Times New Roman"/>
          <w:color w:val="83992A"/>
          <w:sz w:val="24"/>
          <w:rtl/>
          <w:lang w:val="en-US"/>
        </w:rPr>
      </w:pPr>
      <w:r w:rsidRPr="00213465">
        <w:rPr>
          <w:rFonts w:ascii="Segoe UI" w:eastAsia="Times New Roman" w:hAnsi="Segoe UI" w:cs="Segoe UI"/>
          <w:color w:val="262626"/>
          <w:kern w:val="24"/>
          <w:rtl/>
          <w:lang w:val="en-US"/>
        </w:rPr>
        <w:t xml:space="preserve">עונש חסכוני  שנותן ערך כספי בחזרה למדינה </w:t>
      </w:r>
    </w:p>
    <w:p w14:paraId="261A63DB" w14:textId="77777777" w:rsidR="0063269E" w:rsidRPr="00213465" w:rsidRDefault="0063269E" w:rsidP="008F05D0">
      <w:pPr>
        <w:numPr>
          <w:ilvl w:val="0"/>
          <w:numId w:val="74"/>
        </w:numPr>
        <w:bidi/>
        <w:spacing w:after="0" w:line="276" w:lineRule="auto"/>
        <w:contextualSpacing/>
        <w:jc w:val="both"/>
        <w:rPr>
          <w:rFonts w:ascii="Times New Roman" w:eastAsia="Times New Roman" w:hAnsi="Times New Roman" w:cs="Times New Roman"/>
          <w:color w:val="83992A"/>
          <w:sz w:val="24"/>
          <w:rtl/>
          <w:lang w:val="en-US"/>
        </w:rPr>
      </w:pPr>
      <w:r w:rsidRPr="00213465">
        <w:rPr>
          <w:rFonts w:ascii="Segoe UI" w:eastAsia="Times New Roman" w:hAnsi="Segoe UI" w:cs="Segoe UI"/>
          <w:color w:val="262626"/>
          <w:kern w:val="24"/>
          <w:rtl/>
          <w:lang w:val="en-US"/>
        </w:rPr>
        <w:t>זה לא רק עניין כספי (קנס) אלא מעורב בו השקעה אישית של העבריין</w:t>
      </w:r>
    </w:p>
    <w:p w14:paraId="5D757CB5" w14:textId="77777777" w:rsidR="0063269E" w:rsidRPr="00213465" w:rsidRDefault="0063269E" w:rsidP="008F05D0">
      <w:pPr>
        <w:numPr>
          <w:ilvl w:val="0"/>
          <w:numId w:val="74"/>
        </w:numPr>
        <w:bidi/>
        <w:spacing w:after="0" w:line="276" w:lineRule="auto"/>
        <w:contextualSpacing/>
        <w:jc w:val="both"/>
        <w:rPr>
          <w:rFonts w:ascii="Times New Roman" w:eastAsia="Times New Roman" w:hAnsi="Times New Roman" w:cs="Times New Roman"/>
          <w:color w:val="83992A"/>
          <w:sz w:val="24"/>
          <w:rtl/>
          <w:lang w:val="en-US"/>
        </w:rPr>
      </w:pPr>
      <w:r w:rsidRPr="00213465">
        <w:rPr>
          <w:rFonts w:ascii="Segoe UI" w:eastAsia="Times New Roman" w:hAnsi="Segoe UI" w:cs="Segoe UI"/>
          <w:color w:val="262626"/>
          <w:kern w:val="24"/>
          <w:rtl/>
          <w:lang w:val="en-US"/>
        </w:rPr>
        <w:t xml:space="preserve">אלמנט חינוכי-שיקומי (חוליגנים במשחקי כדורגל באנגליה) </w:t>
      </w:r>
      <w:r w:rsidRPr="00213465">
        <w:rPr>
          <w:rFonts w:ascii="Segoe UI" w:eastAsia="Times New Roman" w:hAnsi="Segoe UI" w:cs="Segoe UI"/>
          <w:color w:val="7030A0"/>
          <w:kern w:val="24"/>
          <w:rtl/>
          <w:lang w:val="en-US"/>
        </w:rPr>
        <w:t xml:space="preserve">לדוג' אם הורשעתי בתור נער בעבירה כלשהי אז נותנים לו לעשות </w:t>
      </w:r>
      <w:proofErr w:type="spellStart"/>
      <w:r w:rsidRPr="00213465">
        <w:rPr>
          <w:rFonts w:ascii="Segoe UI" w:eastAsia="Times New Roman" w:hAnsi="Segoe UI" w:cs="Segoe UI"/>
          <w:color w:val="7030A0"/>
          <w:kern w:val="24"/>
          <w:rtl/>
          <w:lang w:val="en-US"/>
        </w:rPr>
        <w:t>של"צ</w:t>
      </w:r>
      <w:proofErr w:type="spellEnd"/>
      <w:r w:rsidRPr="00213465">
        <w:rPr>
          <w:rFonts w:ascii="Segoe UI" w:eastAsia="Times New Roman" w:hAnsi="Segoe UI" w:cs="Segoe UI"/>
          <w:color w:val="7030A0"/>
          <w:kern w:val="24"/>
          <w:rtl/>
          <w:lang w:val="en-US"/>
        </w:rPr>
        <w:t xml:space="preserve"> בעמותה שעוזרת לנוער או מחנכת נוער לעתיד, נוער לצבא וכו'. </w:t>
      </w:r>
    </w:p>
    <w:p w14:paraId="7F3E15C6" w14:textId="5E2A7E42" w:rsidR="0063269E" w:rsidRPr="00213465" w:rsidRDefault="0063269E" w:rsidP="008F05D0">
      <w:pPr>
        <w:numPr>
          <w:ilvl w:val="0"/>
          <w:numId w:val="74"/>
        </w:numPr>
        <w:bidi/>
        <w:spacing w:after="0" w:line="276" w:lineRule="auto"/>
        <w:contextualSpacing/>
        <w:jc w:val="both"/>
        <w:rPr>
          <w:rFonts w:ascii="Times New Roman" w:eastAsia="Times New Roman" w:hAnsi="Times New Roman" w:cs="Times New Roman"/>
          <w:color w:val="83992A"/>
          <w:sz w:val="24"/>
          <w:lang w:val="en-US"/>
        </w:rPr>
      </w:pPr>
      <w:r w:rsidRPr="00213465">
        <w:rPr>
          <w:rFonts w:ascii="Segoe UI" w:eastAsia="Times New Roman" w:hAnsi="Segoe UI" w:cs="Segoe UI"/>
          <w:color w:val="262626"/>
          <w:kern w:val="24"/>
          <w:rtl/>
          <w:lang w:val="en-US"/>
        </w:rPr>
        <w:t xml:space="preserve">העבריינים לא מסתובבים בסביבה עבריינית אלא באזור נורמטיבי </w:t>
      </w:r>
    </w:p>
    <w:p w14:paraId="1F3AA23D" w14:textId="276EC618" w:rsidR="0063269E" w:rsidRPr="00D72EA6" w:rsidRDefault="0063269E" w:rsidP="008F05D0">
      <w:pPr>
        <w:bidi/>
        <w:spacing w:after="0" w:line="276" w:lineRule="auto"/>
        <w:contextualSpacing/>
        <w:jc w:val="both"/>
        <w:rPr>
          <w:rFonts w:ascii="Times New Roman" w:eastAsia="Times New Roman" w:hAnsi="Times New Roman" w:cs="Times New Roman"/>
          <w:color w:val="83992A"/>
          <w:sz w:val="24"/>
          <w:rtl/>
          <w:lang w:val="en-US"/>
        </w:rPr>
      </w:pPr>
    </w:p>
    <w:p w14:paraId="5FB24894" w14:textId="214A28BB" w:rsidR="0063269E" w:rsidRDefault="00DC6BDD" w:rsidP="008F05D0">
      <w:pPr>
        <w:pStyle w:val="110"/>
        <w:spacing w:line="276" w:lineRule="auto"/>
        <w:rPr>
          <w:rtl/>
        </w:rPr>
      </w:pPr>
      <w:r>
        <w:rPr>
          <w:rFonts w:hint="cs"/>
          <w:rtl/>
        </w:rPr>
        <w:t xml:space="preserve">ההבחנה בין </w:t>
      </w:r>
      <w:proofErr w:type="spellStart"/>
      <w:r>
        <w:rPr>
          <w:rFonts w:hint="cs"/>
          <w:rtl/>
        </w:rPr>
        <w:t>עב"ש</w:t>
      </w:r>
      <w:proofErr w:type="spellEnd"/>
      <w:r>
        <w:rPr>
          <w:rFonts w:hint="cs"/>
          <w:rtl/>
        </w:rPr>
        <w:t xml:space="preserve"> לבין </w:t>
      </w:r>
      <w:proofErr w:type="spellStart"/>
      <w:r>
        <w:rPr>
          <w:rFonts w:hint="cs"/>
          <w:rtl/>
        </w:rPr>
        <w:t>של"צ</w:t>
      </w:r>
      <w:proofErr w:type="spellEnd"/>
    </w:p>
    <w:p w14:paraId="314F36FF" w14:textId="394B2F4D" w:rsidR="0063269E" w:rsidRPr="00213465" w:rsidRDefault="00DC6BDD" w:rsidP="008F05D0">
      <w:pPr>
        <w:bidi/>
        <w:spacing w:after="0" w:line="276" w:lineRule="auto"/>
        <w:contextualSpacing/>
        <w:jc w:val="both"/>
        <w:rPr>
          <w:rFonts w:ascii="Segoe UI" w:eastAsia="Times New Roman" w:hAnsi="Segoe UI" w:cs="Segoe UI"/>
          <w:color w:val="7030A0"/>
          <w:sz w:val="24"/>
          <w:rtl/>
          <w:lang w:val="en-US"/>
        </w:rPr>
      </w:pPr>
      <w:proofErr w:type="spellStart"/>
      <w:r w:rsidRPr="00213465">
        <w:rPr>
          <w:rFonts w:ascii="Segoe UI" w:eastAsia="Times New Roman" w:hAnsi="Segoe UI" w:cs="Segoe UI" w:hint="cs"/>
          <w:b/>
          <w:bCs/>
          <w:sz w:val="24"/>
          <w:rtl/>
          <w:lang w:val="en-US"/>
        </w:rPr>
        <w:t>עב"ש</w:t>
      </w:r>
      <w:proofErr w:type="spellEnd"/>
      <w:r w:rsidRPr="00213465">
        <w:rPr>
          <w:rFonts w:ascii="Segoe UI" w:eastAsia="Times New Roman" w:hAnsi="Segoe UI" w:cs="Segoe UI" w:hint="cs"/>
          <w:sz w:val="24"/>
          <w:rtl/>
          <w:lang w:val="en-US"/>
        </w:rPr>
        <w:t xml:space="preserve"> </w:t>
      </w:r>
      <w:r w:rsidRPr="00213465">
        <w:rPr>
          <w:rFonts w:ascii="Segoe UI" w:eastAsia="Times New Roman" w:hAnsi="Segoe UI" w:cs="Segoe UI"/>
          <w:sz w:val="24"/>
          <w:rtl/>
          <w:lang w:val="en-US"/>
        </w:rPr>
        <w:t>–</w:t>
      </w:r>
      <w:r w:rsidRPr="00213465">
        <w:rPr>
          <w:rFonts w:ascii="Segoe UI" w:eastAsia="Times New Roman" w:hAnsi="Segoe UI" w:cs="Segoe UI" w:hint="cs"/>
          <w:sz w:val="24"/>
          <w:rtl/>
          <w:lang w:val="en-US"/>
        </w:rPr>
        <w:t xml:space="preserve"> עונש של </w:t>
      </w:r>
      <w:r w:rsidRPr="00213465">
        <w:rPr>
          <w:rFonts w:ascii="Segoe UI" w:eastAsia="Times New Roman" w:hAnsi="Segoe UI" w:cs="Segoe UI" w:hint="cs"/>
          <w:b/>
          <w:bCs/>
          <w:sz w:val="24"/>
          <w:rtl/>
          <w:lang w:val="en-US"/>
        </w:rPr>
        <w:t>מאסר בפועל</w:t>
      </w:r>
      <w:r w:rsidRPr="00213465">
        <w:rPr>
          <w:rFonts w:ascii="Segoe UI" w:eastAsia="Times New Roman" w:hAnsi="Segoe UI" w:cs="Segoe UI" w:hint="cs"/>
          <w:sz w:val="24"/>
          <w:rtl/>
          <w:lang w:val="en-US"/>
        </w:rPr>
        <w:t xml:space="preserve">, אשר ריצויו הומר </w:t>
      </w:r>
      <w:proofErr w:type="spellStart"/>
      <w:r w:rsidRPr="00213465">
        <w:rPr>
          <w:rFonts w:ascii="Segoe UI" w:eastAsia="Times New Roman" w:hAnsi="Segoe UI" w:cs="Segoe UI" w:hint="cs"/>
          <w:sz w:val="24"/>
          <w:rtl/>
          <w:lang w:val="en-US"/>
        </w:rPr>
        <w:t>בעב"ש</w:t>
      </w:r>
      <w:proofErr w:type="spellEnd"/>
      <w:r w:rsidRPr="00213465">
        <w:rPr>
          <w:rFonts w:ascii="Segoe UI" w:eastAsia="Times New Roman" w:hAnsi="Segoe UI" w:cs="Segoe UI" w:hint="cs"/>
          <w:sz w:val="24"/>
          <w:rtl/>
          <w:lang w:val="en-US"/>
        </w:rPr>
        <w:t xml:space="preserve">. </w:t>
      </w:r>
      <w:r w:rsidRPr="00213465">
        <w:rPr>
          <w:rFonts w:ascii="Segoe UI" w:eastAsia="Times New Roman" w:hAnsi="Segoe UI" w:cs="Segoe UI" w:hint="cs"/>
          <w:color w:val="7030A0"/>
          <w:sz w:val="24"/>
          <w:rtl/>
          <w:lang w:val="en-US"/>
        </w:rPr>
        <w:t xml:space="preserve">כלומר, האדם נשפט ונגזר עליו רכיב ענישה של </w:t>
      </w:r>
      <w:proofErr w:type="spellStart"/>
      <w:r w:rsidRPr="00213465">
        <w:rPr>
          <w:rFonts w:ascii="Segoe UI" w:eastAsia="Times New Roman" w:hAnsi="Segoe UI" w:cs="Segoe UI" w:hint="cs"/>
          <w:color w:val="7030A0"/>
          <w:sz w:val="24"/>
          <w:rtl/>
          <w:lang w:val="en-US"/>
        </w:rPr>
        <w:t>מב"פ</w:t>
      </w:r>
      <w:proofErr w:type="spellEnd"/>
      <w:r w:rsidRPr="00213465">
        <w:rPr>
          <w:rFonts w:ascii="Segoe UI" w:eastAsia="Times New Roman" w:hAnsi="Segoe UI" w:cs="Segoe UI" w:hint="cs"/>
          <w:color w:val="7030A0"/>
          <w:sz w:val="24"/>
          <w:rtl/>
          <w:lang w:val="en-US"/>
        </w:rPr>
        <w:t xml:space="preserve">, אולם ביהמ"ש המיר לו את אופן הריצוי מהכלא למקום שבו מרצים </w:t>
      </w:r>
      <w:proofErr w:type="spellStart"/>
      <w:r w:rsidRPr="00213465">
        <w:rPr>
          <w:rFonts w:ascii="Segoe UI" w:eastAsia="Times New Roman" w:hAnsi="Segoe UI" w:cs="Segoe UI" w:hint="cs"/>
          <w:color w:val="7030A0"/>
          <w:sz w:val="24"/>
          <w:rtl/>
          <w:lang w:val="en-US"/>
        </w:rPr>
        <w:t>עב"ש</w:t>
      </w:r>
      <w:proofErr w:type="spellEnd"/>
      <w:r w:rsidRPr="00213465">
        <w:rPr>
          <w:rFonts w:ascii="Segoe UI" w:eastAsia="Times New Roman" w:hAnsi="Segoe UI" w:cs="Segoe UI" w:hint="cs"/>
          <w:color w:val="7030A0"/>
          <w:sz w:val="24"/>
          <w:rtl/>
          <w:lang w:val="en-US"/>
        </w:rPr>
        <w:t xml:space="preserve">. </w:t>
      </w:r>
    </w:p>
    <w:p w14:paraId="14625CAA" w14:textId="1DED0EAB" w:rsidR="0063269E" w:rsidRPr="00213465" w:rsidRDefault="00DC6BDD" w:rsidP="008F05D0">
      <w:pPr>
        <w:bidi/>
        <w:spacing w:after="0" w:line="276" w:lineRule="auto"/>
        <w:contextualSpacing/>
        <w:jc w:val="both"/>
        <w:rPr>
          <w:rFonts w:ascii="Segoe UI" w:eastAsia="Times New Roman" w:hAnsi="Segoe UI" w:cs="Segoe UI"/>
          <w:sz w:val="24"/>
          <w:rtl/>
          <w:lang w:val="en-US"/>
        </w:rPr>
      </w:pPr>
      <w:r w:rsidRPr="00213465">
        <w:rPr>
          <w:rFonts w:ascii="Segoe UI" w:eastAsia="Times New Roman" w:hAnsi="Segoe UI" w:cs="Segoe UI" w:hint="cs"/>
          <w:sz w:val="24"/>
          <w:rtl/>
          <w:lang w:val="en-US"/>
        </w:rPr>
        <w:t xml:space="preserve">ביהמ"ש רשאי להמיר עונש של </w:t>
      </w:r>
      <w:proofErr w:type="spellStart"/>
      <w:r w:rsidRPr="00213465">
        <w:rPr>
          <w:rFonts w:ascii="Segoe UI" w:eastAsia="Times New Roman" w:hAnsi="Segoe UI" w:cs="Segoe UI" w:hint="cs"/>
          <w:sz w:val="24"/>
          <w:rtl/>
          <w:lang w:val="en-US"/>
        </w:rPr>
        <w:t>מב"פ</w:t>
      </w:r>
      <w:proofErr w:type="spellEnd"/>
      <w:r w:rsidRPr="00213465">
        <w:rPr>
          <w:rFonts w:ascii="Segoe UI" w:eastAsia="Times New Roman" w:hAnsi="Segoe UI" w:cs="Segoe UI" w:hint="cs"/>
          <w:sz w:val="24"/>
          <w:rtl/>
          <w:lang w:val="en-US"/>
        </w:rPr>
        <w:t xml:space="preserve"> </w:t>
      </w:r>
      <w:proofErr w:type="spellStart"/>
      <w:r w:rsidR="007A10FD" w:rsidRPr="00213465">
        <w:rPr>
          <w:rFonts w:ascii="Segoe UI" w:eastAsia="Times New Roman" w:hAnsi="Segoe UI" w:cs="Segoe UI" w:hint="cs"/>
          <w:sz w:val="24"/>
          <w:rtl/>
          <w:lang w:val="en-US"/>
        </w:rPr>
        <w:t>לעב"ש</w:t>
      </w:r>
      <w:proofErr w:type="spellEnd"/>
      <w:r w:rsidR="007A10FD" w:rsidRPr="00213465">
        <w:rPr>
          <w:rFonts w:ascii="Segoe UI" w:eastAsia="Times New Roman" w:hAnsi="Segoe UI" w:cs="Segoe UI" w:hint="cs"/>
          <w:sz w:val="24"/>
          <w:rtl/>
          <w:lang w:val="en-US"/>
        </w:rPr>
        <w:t xml:space="preserve"> רק כאשר אורך תקופת המאסר אינה עולה על </w:t>
      </w:r>
      <w:r w:rsidR="007A10FD" w:rsidRPr="00213465">
        <w:rPr>
          <w:rFonts w:ascii="Segoe UI" w:eastAsia="Times New Roman" w:hAnsi="Segoe UI" w:cs="Segoe UI" w:hint="cs"/>
          <w:b/>
          <w:bCs/>
          <w:sz w:val="24"/>
          <w:rtl/>
          <w:lang w:val="en-US"/>
        </w:rPr>
        <w:t>9 חודשים</w:t>
      </w:r>
      <w:r w:rsidR="007A10FD" w:rsidRPr="00213465">
        <w:rPr>
          <w:rFonts w:ascii="Segoe UI" w:eastAsia="Times New Roman" w:hAnsi="Segoe UI" w:cs="Segoe UI" w:hint="cs"/>
          <w:sz w:val="24"/>
          <w:rtl/>
          <w:lang w:val="en-US"/>
        </w:rPr>
        <w:t xml:space="preserve">. </w:t>
      </w:r>
    </w:p>
    <w:p w14:paraId="2A58846C" w14:textId="45C261D0" w:rsidR="0063269E" w:rsidRPr="00213465" w:rsidRDefault="003D4A21" w:rsidP="008F05D0">
      <w:pPr>
        <w:bidi/>
        <w:spacing w:after="0" w:line="276" w:lineRule="auto"/>
        <w:contextualSpacing/>
        <w:jc w:val="both"/>
        <w:rPr>
          <w:rFonts w:ascii="Segoe UI" w:eastAsia="Times New Roman" w:hAnsi="Segoe UI" w:cs="Segoe UI"/>
          <w:sz w:val="24"/>
          <w:rtl/>
          <w:lang w:val="en-US"/>
        </w:rPr>
      </w:pPr>
      <w:r w:rsidRPr="00213465">
        <w:rPr>
          <w:rFonts w:ascii="Segoe UI" w:eastAsia="Times New Roman" w:hAnsi="Segoe UI" w:cs="Segoe UI" w:hint="cs"/>
          <w:sz w:val="24"/>
          <w:rtl/>
          <w:lang w:val="en-US"/>
        </w:rPr>
        <w:t xml:space="preserve">בטרם גוזר ביהמ"ש את דינו של הנאשם, נשלח הנאשם לממונה על עבודות השירות, אשר נותן חוות דעת לביהמ"ש האם הנאשם מתאים לבצע עבודות שירות. </w:t>
      </w:r>
    </w:p>
    <w:p w14:paraId="4D2F5309" w14:textId="4D22DBDB" w:rsidR="0063269E" w:rsidRPr="00213465" w:rsidRDefault="00BC2106" w:rsidP="008F05D0">
      <w:pPr>
        <w:bidi/>
        <w:spacing w:after="0" w:line="276" w:lineRule="auto"/>
        <w:contextualSpacing/>
        <w:jc w:val="both"/>
        <w:rPr>
          <w:rFonts w:ascii="Segoe UI" w:eastAsia="Times New Roman" w:hAnsi="Segoe UI" w:cs="Segoe UI"/>
          <w:color w:val="7030A0"/>
          <w:sz w:val="24"/>
          <w:rtl/>
          <w:lang w:val="en-US"/>
        </w:rPr>
      </w:pPr>
      <w:r w:rsidRPr="00213465">
        <w:rPr>
          <w:rFonts w:ascii="Segoe UI" w:eastAsia="Times New Roman" w:hAnsi="Segoe UI" w:cs="Segoe UI" w:hint="cs"/>
          <w:color w:val="7030A0"/>
          <w:sz w:val="24"/>
          <w:rtl/>
          <w:lang w:val="en-US"/>
        </w:rPr>
        <w:t>דוג' מתוך התיק של ציפי ובר רפאלי:</w:t>
      </w:r>
    </w:p>
    <w:p w14:paraId="1A349293" w14:textId="32BABB4D" w:rsidR="00632CEE" w:rsidRPr="005B4C8F" w:rsidRDefault="00BC2106" w:rsidP="008F05D0">
      <w:pPr>
        <w:bidi/>
        <w:spacing w:after="0" w:line="276" w:lineRule="auto"/>
        <w:ind w:left="363" w:right="363"/>
        <w:contextualSpacing/>
        <w:jc w:val="center"/>
        <w:rPr>
          <w:rFonts w:ascii="Segoe UI" w:eastAsia="Times New Roman" w:hAnsi="Segoe UI" w:cs="Segoe UI"/>
          <w:color w:val="7030A0"/>
          <w:sz w:val="28"/>
          <w:szCs w:val="24"/>
          <w:rtl/>
          <w:lang w:val="en-US"/>
        </w:rPr>
      </w:pPr>
      <w:r w:rsidRPr="00BC2106">
        <w:rPr>
          <w:rFonts w:ascii="Segoe UI" w:eastAsia="Times New Roman" w:hAnsi="Segoe UI" w:cs="Segoe UI"/>
          <w:noProof/>
          <w:color w:val="7030A0"/>
          <w:sz w:val="28"/>
          <w:szCs w:val="24"/>
          <w:rtl/>
          <w:lang w:val="en-US"/>
        </w:rPr>
        <w:drawing>
          <wp:inline distT="0" distB="0" distL="0" distR="0" wp14:anchorId="47BC3B7A" wp14:editId="1967E2B9">
            <wp:extent cx="5866532" cy="2470150"/>
            <wp:effectExtent l="19050" t="19050" r="20320" b="25400"/>
            <wp:docPr id="2" name="תמונה 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טקסט&#10;&#10;התיאור נוצר באופן אוטומטי"/>
                    <pic:cNvPicPr/>
                  </pic:nvPicPr>
                  <pic:blipFill rotWithShape="1">
                    <a:blip r:embed="rId28"/>
                    <a:srcRect b="13229"/>
                    <a:stretch/>
                  </pic:blipFill>
                  <pic:spPr bwMode="auto">
                    <a:xfrm>
                      <a:off x="0" y="0"/>
                      <a:ext cx="5902213" cy="248517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35F6D0" w14:textId="5B02EC6A" w:rsidR="00DB0775" w:rsidRPr="008804A8" w:rsidRDefault="00DB0775" w:rsidP="008F05D0">
      <w:pPr>
        <w:bidi/>
        <w:spacing w:after="0" w:line="276" w:lineRule="auto"/>
        <w:contextualSpacing/>
        <w:jc w:val="both"/>
        <w:rPr>
          <w:rFonts w:ascii="Segoe UI" w:eastAsia="Times New Roman" w:hAnsi="Segoe UI" w:cs="Segoe UI"/>
          <w:color w:val="7030A0"/>
          <w:rtl/>
          <w:lang w:val="en-US"/>
        </w:rPr>
      </w:pPr>
      <w:proofErr w:type="spellStart"/>
      <w:r w:rsidRPr="008804A8">
        <w:rPr>
          <w:rFonts w:ascii="Segoe UI" w:eastAsia="Times New Roman" w:hAnsi="Segoe UI" w:cs="Segoe UI" w:hint="cs"/>
          <w:b/>
          <w:bCs/>
          <w:rtl/>
          <w:lang w:val="en-US"/>
        </w:rPr>
        <w:lastRenderedPageBreak/>
        <w:t>של"צ</w:t>
      </w:r>
      <w:proofErr w:type="spellEnd"/>
      <w:r w:rsidRPr="008804A8">
        <w:rPr>
          <w:rFonts w:ascii="Segoe UI" w:eastAsia="Times New Roman" w:hAnsi="Segoe UI" w:cs="Segoe UI" w:hint="cs"/>
          <w:b/>
          <w:bCs/>
          <w:rtl/>
          <w:lang w:val="en-US"/>
        </w:rPr>
        <w:t xml:space="preserve"> -</w:t>
      </w:r>
      <w:r w:rsidRPr="008804A8">
        <w:rPr>
          <w:rFonts w:ascii="Segoe UI" w:eastAsia="Times New Roman" w:hAnsi="Segoe UI" w:cs="Segoe UI" w:hint="cs"/>
          <w:rtl/>
          <w:lang w:val="en-US"/>
        </w:rPr>
        <w:t xml:space="preserve">עונש שניתן בין כעונש יחיד ובין כעונש נוסף, כאשר ביהמ"ש קובע מכסת שעות שהנאשם צריך לבצע לתועלת הציבור במשך שנה, כאשר הפיקוח על </w:t>
      </w:r>
      <w:proofErr w:type="spellStart"/>
      <w:r w:rsidRPr="008804A8">
        <w:rPr>
          <w:rFonts w:ascii="Segoe UI" w:eastAsia="Times New Roman" w:hAnsi="Segoe UI" w:cs="Segoe UI" w:hint="cs"/>
          <w:rtl/>
          <w:lang w:val="en-US"/>
        </w:rPr>
        <w:t>השל"צ</w:t>
      </w:r>
      <w:proofErr w:type="spellEnd"/>
      <w:r w:rsidRPr="008804A8">
        <w:rPr>
          <w:rFonts w:ascii="Segoe UI" w:eastAsia="Times New Roman" w:hAnsi="Segoe UI" w:cs="Segoe UI" w:hint="cs"/>
          <w:rtl/>
          <w:lang w:val="en-US"/>
        </w:rPr>
        <w:t xml:space="preserve"> הינו באחריות שירות המבחן, אשר מדווח לביהמ"ש [</w:t>
      </w:r>
      <w:proofErr w:type="spellStart"/>
      <w:r w:rsidRPr="008804A8">
        <w:rPr>
          <w:rFonts w:ascii="Segoe UI" w:eastAsia="Times New Roman" w:hAnsi="Segoe UI" w:cs="Segoe UI" w:hint="cs"/>
          <w:rtl/>
          <w:lang w:val="en-US"/>
        </w:rPr>
        <w:t>של"צ</w:t>
      </w:r>
      <w:proofErr w:type="spellEnd"/>
      <w:r w:rsidRPr="008804A8">
        <w:rPr>
          <w:rFonts w:ascii="Segoe UI" w:eastAsia="Times New Roman" w:hAnsi="Segoe UI" w:cs="Segoe UI" w:hint="cs"/>
          <w:rtl/>
          <w:lang w:val="en-US"/>
        </w:rPr>
        <w:t xml:space="preserve"> לא נחשב מאסר </w:t>
      </w:r>
      <w:r w:rsidRPr="008804A8">
        <w:rPr>
          <w:rFonts w:ascii="Segoe UI" w:eastAsia="Times New Roman" w:hAnsi="Segoe UI" w:cs="Segoe UI" w:hint="cs"/>
          <w:color w:val="7030A0"/>
          <w:rtl/>
          <w:lang w:val="en-US"/>
        </w:rPr>
        <w:t xml:space="preserve">וניתן לתת </w:t>
      </w:r>
      <w:proofErr w:type="spellStart"/>
      <w:r w:rsidRPr="008804A8">
        <w:rPr>
          <w:rFonts w:ascii="Segoe UI" w:eastAsia="Times New Roman" w:hAnsi="Segoe UI" w:cs="Segoe UI" w:hint="cs"/>
          <w:color w:val="7030A0"/>
          <w:rtl/>
          <w:lang w:val="en-US"/>
        </w:rPr>
        <w:t>של"צ</w:t>
      </w:r>
      <w:proofErr w:type="spellEnd"/>
      <w:r w:rsidRPr="008804A8">
        <w:rPr>
          <w:rFonts w:ascii="Segoe UI" w:eastAsia="Times New Roman" w:hAnsi="Segoe UI" w:cs="Segoe UI" w:hint="cs"/>
          <w:color w:val="7030A0"/>
          <w:rtl/>
          <w:lang w:val="en-US"/>
        </w:rPr>
        <w:t xml:space="preserve"> גם בתיקים של אי-הרשעה</w:t>
      </w:r>
      <w:r w:rsidRPr="008804A8">
        <w:rPr>
          <w:rFonts w:ascii="Segoe UI" w:eastAsia="Times New Roman" w:hAnsi="Segoe UI" w:cs="Segoe UI" w:hint="cs"/>
          <w:rtl/>
          <w:lang w:val="en-US"/>
        </w:rPr>
        <w:t xml:space="preserve">]. </w:t>
      </w:r>
      <w:r w:rsidRPr="008804A8">
        <w:rPr>
          <w:rFonts w:ascii="Segoe UI" w:eastAsia="Times New Roman" w:hAnsi="Segoe UI" w:cs="Segoe UI" w:hint="cs"/>
          <w:color w:val="7030A0"/>
          <w:rtl/>
          <w:lang w:val="en-US"/>
        </w:rPr>
        <w:t xml:space="preserve">לדוג' אתה תרצה 450 </w:t>
      </w:r>
      <w:proofErr w:type="spellStart"/>
      <w:r w:rsidRPr="008804A8">
        <w:rPr>
          <w:rFonts w:ascii="Segoe UI" w:eastAsia="Times New Roman" w:hAnsi="Segoe UI" w:cs="Segoe UI" w:hint="cs"/>
          <w:color w:val="7030A0"/>
          <w:rtl/>
          <w:lang w:val="en-US"/>
        </w:rPr>
        <w:t>של"צ</w:t>
      </w:r>
      <w:proofErr w:type="spellEnd"/>
      <w:r w:rsidRPr="008804A8">
        <w:rPr>
          <w:rFonts w:ascii="Segoe UI" w:eastAsia="Times New Roman" w:hAnsi="Segoe UI" w:cs="Segoe UI" w:hint="cs"/>
          <w:color w:val="7030A0"/>
          <w:rtl/>
          <w:lang w:val="en-US"/>
        </w:rPr>
        <w:t xml:space="preserve"> בתוך שנה. </w:t>
      </w:r>
    </w:p>
    <w:p w14:paraId="2BE0E5EE" w14:textId="6AF96C64" w:rsidR="00993968" w:rsidRPr="008804A8" w:rsidRDefault="00993968" w:rsidP="008F05D0">
      <w:pPr>
        <w:bidi/>
        <w:spacing w:after="0" w:line="276" w:lineRule="auto"/>
        <w:contextualSpacing/>
        <w:jc w:val="both"/>
        <w:rPr>
          <w:rFonts w:ascii="Segoe UI" w:eastAsia="Times New Roman" w:hAnsi="Segoe UI" w:cs="Segoe UI"/>
          <w:color w:val="7030A0"/>
          <w:rtl/>
          <w:lang w:val="en-US"/>
        </w:rPr>
      </w:pPr>
      <w:r w:rsidRPr="008804A8">
        <w:rPr>
          <w:rFonts w:ascii="Segoe UI" w:eastAsia="Times New Roman" w:hAnsi="Segoe UI" w:cs="Segoe UI" w:hint="cs"/>
          <w:color w:val="7030A0"/>
          <w:rtl/>
          <w:lang w:val="en-US"/>
        </w:rPr>
        <w:t>דוג':</w:t>
      </w:r>
    </w:p>
    <w:p w14:paraId="7DC0336F" w14:textId="0C322039" w:rsidR="00993968" w:rsidRDefault="00993968" w:rsidP="008F05D0">
      <w:pPr>
        <w:bidi/>
        <w:spacing w:after="0" w:line="276" w:lineRule="auto"/>
        <w:ind w:left="363" w:right="363"/>
        <w:contextualSpacing/>
        <w:jc w:val="center"/>
        <w:rPr>
          <w:rFonts w:ascii="Segoe UI" w:eastAsia="Times New Roman" w:hAnsi="Segoe UI" w:cs="Segoe UI"/>
          <w:color w:val="7030A0"/>
          <w:sz w:val="24"/>
          <w:szCs w:val="24"/>
          <w:rtl/>
          <w:lang w:val="en-US"/>
        </w:rPr>
      </w:pPr>
      <w:r w:rsidRPr="00993968">
        <w:rPr>
          <w:rFonts w:ascii="Segoe UI" w:eastAsia="Times New Roman" w:hAnsi="Segoe UI" w:cs="Segoe UI"/>
          <w:noProof/>
          <w:color w:val="7030A0"/>
          <w:sz w:val="24"/>
          <w:szCs w:val="24"/>
          <w:rtl/>
          <w:lang w:val="en-US"/>
        </w:rPr>
        <w:drawing>
          <wp:inline distT="0" distB="0" distL="0" distR="0" wp14:anchorId="23ACC50F" wp14:editId="72E62E36">
            <wp:extent cx="5594491" cy="1647825"/>
            <wp:effectExtent l="19050" t="19050" r="25400" b="9525"/>
            <wp:docPr id="4" name="תמונה 4" descr="תמונה שמכילה טקסט, מקור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 מקורה, צילום מסך&#10;&#10;התיאור נוצר באופן אוטומטי"/>
                    <pic:cNvPicPr/>
                  </pic:nvPicPr>
                  <pic:blipFill>
                    <a:blip r:embed="rId29"/>
                    <a:stretch>
                      <a:fillRect/>
                    </a:stretch>
                  </pic:blipFill>
                  <pic:spPr>
                    <a:xfrm>
                      <a:off x="0" y="0"/>
                      <a:ext cx="5602031" cy="1650046"/>
                    </a:xfrm>
                    <a:prstGeom prst="rect">
                      <a:avLst/>
                    </a:prstGeom>
                    <a:ln w="12700">
                      <a:solidFill>
                        <a:schemeClr val="tx1"/>
                      </a:solidFill>
                    </a:ln>
                  </pic:spPr>
                </pic:pic>
              </a:graphicData>
            </a:graphic>
          </wp:inline>
        </w:drawing>
      </w:r>
    </w:p>
    <w:p w14:paraId="572E8131" w14:textId="77777777" w:rsidR="0010265D" w:rsidRPr="00294BFA" w:rsidRDefault="0010265D" w:rsidP="008F05D0">
      <w:pPr>
        <w:bidi/>
        <w:spacing w:after="0" w:line="276" w:lineRule="auto"/>
        <w:contextualSpacing/>
        <w:jc w:val="both"/>
        <w:rPr>
          <w:rFonts w:ascii="Segoe UI" w:eastAsia="Times New Roman" w:hAnsi="Segoe UI" w:cs="Segoe UI"/>
          <w:b/>
          <w:bCs/>
          <w:u w:val="single"/>
          <w:rtl/>
          <w:lang w:val="en-US"/>
        </w:rPr>
      </w:pPr>
    </w:p>
    <w:p w14:paraId="7A0AF183" w14:textId="1F4224A5" w:rsidR="00993968" w:rsidRDefault="00993968" w:rsidP="008F05D0">
      <w:pPr>
        <w:pStyle w:val="110"/>
        <w:spacing w:line="276" w:lineRule="auto"/>
        <w:rPr>
          <w:rtl/>
        </w:rPr>
      </w:pPr>
      <w:r>
        <w:rPr>
          <w:rFonts w:hint="cs"/>
          <w:rtl/>
        </w:rPr>
        <w:t xml:space="preserve">סיכום ההבדלים בין </w:t>
      </w:r>
      <w:proofErr w:type="spellStart"/>
      <w:r>
        <w:rPr>
          <w:rFonts w:hint="cs"/>
          <w:rtl/>
        </w:rPr>
        <w:t>עב"ש</w:t>
      </w:r>
      <w:proofErr w:type="spellEnd"/>
      <w:r>
        <w:rPr>
          <w:rFonts w:hint="cs"/>
          <w:rtl/>
        </w:rPr>
        <w:t xml:space="preserve"> </w:t>
      </w:r>
      <w:proofErr w:type="spellStart"/>
      <w:r>
        <w:rPr>
          <w:rFonts w:hint="cs"/>
          <w:rtl/>
        </w:rPr>
        <w:t>לשל"צ</w:t>
      </w:r>
      <w:proofErr w:type="spellEnd"/>
    </w:p>
    <w:p w14:paraId="3857C58B" w14:textId="77777777" w:rsidR="008D2331" w:rsidRPr="001567D7" w:rsidRDefault="008F2B6E" w:rsidP="008F05D0">
      <w:pPr>
        <w:pStyle w:val="ab"/>
        <w:numPr>
          <w:ilvl w:val="0"/>
          <w:numId w:val="75"/>
        </w:numPr>
        <w:bidi/>
        <w:spacing w:after="0" w:line="276" w:lineRule="auto"/>
        <w:jc w:val="both"/>
        <w:rPr>
          <w:rFonts w:ascii="Segoe UI" w:eastAsia="Times New Roman" w:hAnsi="Segoe UI" w:cs="Segoe UI"/>
          <w:color w:val="7030A0"/>
          <w:lang w:val="en-US"/>
        </w:rPr>
      </w:pPr>
      <w:r w:rsidRPr="001567D7">
        <w:rPr>
          <w:rFonts w:ascii="Segoe UI" w:eastAsia="Times New Roman" w:hAnsi="Segoe UI" w:cs="Segoe UI" w:hint="cs"/>
          <w:b/>
          <w:bCs/>
          <w:rtl/>
          <w:lang w:val="en-US"/>
        </w:rPr>
        <w:t>ראשית</w:t>
      </w:r>
      <w:r w:rsidRPr="001567D7">
        <w:rPr>
          <w:rFonts w:ascii="Segoe UI" w:eastAsia="Times New Roman" w:hAnsi="Segoe UI" w:cs="Segoe UI" w:hint="cs"/>
          <w:rtl/>
          <w:lang w:val="en-US"/>
        </w:rPr>
        <w:t xml:space="preserve">, במידה ונאשם אינו מבצע </w:t>
      </w:r>
      <w:proofErr w:type="spellStart"/>
      <w:r w:rsidRPr="001567D7">
        <w:rPr>
          <w:rFonts w:ascii="Segoe UI" w:eastAsia="Times New Roman" w:hAnsi="Segoe UI" w:cs="Segoe UI" w:hint="cs"/>
          <w:rtl/>
          <w:lang w:val="en-US"/>
        </w:rPr>
        <w:t>עב"ש</w:t>
      </w:r>
      <w:proofErr w:type="spellEnd"/>
      <w:r w:rsidRPr="001567D7">
        <w:rPr>
          <w:rFonts w:ascii="Segoe UI" w:eastAsia="Times New Roman" w:hAnsi="Segoe UI" w:cs="Segoe UI" w:hint="cs"/>
          <w:rtl/>
          <w:lang w:val="en-US"/>
        </w:rPr>
        <w:t xml:space="preserve"> שהוטלו עליו, רשאי הממונה על </w:t>
      </w:r>
      <w:proofErr w:type="spellStart"/>
      <w:r w:rsidRPr="001567D7">
        <w:rPr>
          <w:rFonts w:ascii="Segoe UI" w:eastAsia="Times New Roman" w:hAnsi="Segoe UI" w:cs="Segoe UI" w:hint="cs"/>
          <w:rtl/>
          <w:lang w:val="en-US"/>
        </w:rPr>
        <w:t>עב"ש</w:t>
      </w:r>
      <w:proofErr w:type="spellEnd"/>
      <w:r w:rsidRPr="001567D7">
        <w:rPr>
          <w:rFonts w:ascii="Segoe UI" w:eastAsia="Times New Roman" w:hAnsi="Segoe UI" w:cs="Segoe UI" w:hint="cs"/>
          <w:rtl/>
          <w:lang w:val="en-US"/>
        </w:rPr>
        <w:t xml:space="preserve"> להחליט על הפסקת </w:t>
      </w:r>
      <w:proofErr w:type="spellStart"/>
      <w:r w:rsidRPr="001567D7">
        <w:rPr>
          <w:rFonts w:ascii="Segoe UI" w:eastAsia="Times New Roman" w:hAnsi="Segoe UI" w:cs="Segoe UI" w:hint="cs"/>
          <w:rtl/>
          <w:lang w:val="en-US"/>
        </w:rPr>
        <w:t>עב"ש</w:t>
      </w:r>
      <w:proofErr w:type="spellEnd"/>
      <w:r w:rsidRPr="001567D7">
        <w:rPr>
          <w:rFonts w:ascii="Segoe UI" w:eastAsia="Times New Roman" w:hAnsi="Segoe UI" w:cs="Segoe UI" w:hint="cs"/>
          <w:rtl/>
          <w:lang w:val="en-US"/>
        </w:rPr>
        <w:t xml:space="preserve">, ואז יהא על הנאשם לרצות את יתרת התקופה בכלא, מאסר ממש. </w:t>
      </w:r>
      <w:r w:rsidRPr="001567D7">
        <w:rPr>
          <w:rFonts w:ascii="Segoe UI" w:eastAsia="Times New Roman" w:hAnsi="Segoe UI" w:cs="Segoe UI" w:hint="cs"/>
          <w:color w:val="7030A0"/>
          <w:rtl/>
          <w:lang w:val="en-US"/>
        </w:rPr>
        <w:t xml:space="preserve">זאת רק משום שהוא נחשב לאורך כל תקופת </w:t>
      </w:r>
      <w:proofErr w:type="spellStart"/>
      <w:r w:rsidRPr="001567D7">
        <w:rPr>
          <w:rFonts w:ascii="Segoe UI" w:eastAsia="Times New Roman" w:hAnsi="Segoe UI" w:cs="Segoe UI" w:hint="cs"/>
          <w:color w:val="7030A0"/>
          <w:rtl/>
          <w:lang w:val="en-US"/>
        </w:rPr>
        <w:t>עב"ש</w:t>
      </w:r>
      <w:proofErr w:type="spellEnd"/>
      <w:r w:rsidRPr="001567D7">
        <w:rPr>
          <w:rFonts w:ascii="Segoe UI" w:eastAsia="Times New Roman" w:hAnsi="Segoe UI" w:cs="Segoe UI" w:hint="cs"/>
          <w:color w:val="7030A0"/>
          <w:rtl/>
          <w:lang w:val="en-US"/>
        </w:rPr>
        <w:t xml:space="preserve"> אסיר. </w:t>
      </w:r>
    </w:p>
    <w:p w14:paraId="17E54B93" w14:textId="1A423BBE" w:rsidR="008F2B6E" w:rsidRPr="001567D7" w:rsidRDefault="008F2B6E" w:rsidP="008F05D0">
      <w:pPr>
        <w:pStyle w:val="ab"/>
        <w:bidi/>
        <w:spacing w:after="0" w:line="276" w:lineRule="auto"/>
        <w:ind w:left="360"/>
        <w:jc w:val="both"/>
        <w:rPr>
          <w:rFonts w:ascii="Segoe UI" w:eastAsia="Times New Roman" w:hAnsi="Segoe UI" w:cs="Segoe UI"/>
          <w:color w:val="7030A0"/>
          <w:rtl/>
          <w:lang w:val="en-US"/>
        </w:rPr>
      </w:pPr>
      <w:r w:rsidRPr="001567D7">
        <w:rPr>
          <w:rFonts w:ascii="Segoe UI" w:eastAsia="Times New Roman" w:hAnsi="Segoe UI" w:cs="Segoe UI" w:hint="cs"/>
          <w:rtl/>
          <w:lang w:val="en-US"/>
        </w:rPr>
        <w:t xml:space="preserve">לעומת זאת, כאשר מוטל עונש </w:t>
      </w:r>
      <w:proofErr w:type="spellStart"/>
      <w:r w:rsidRPr="001567D7">
        <w:rPr>
          <w:rFonts w:ascii="Segoe UI" w:eastAsia="Times New Roman" w:hAnsi="Segoe UI" w:cs="Segoe UI" w:hint="cs"/>
          <w:rtl/>
          <w:lang w:val="en-US"/>
        </w:rPr>
        <w:t>של"צ</w:t>
      </w:r>
      <w:proofErr w:type="spellEnd"/>
      <w:r w:rsidRPr="001567D7">
        <w:rPr>
          <w:rFonts w:ascii="Segoe UI" w:eastAsia="Times New Roman" w:hAnsi="Segoe UI" w:cs="Segoe UI" w:hint="cs"/>
          <w:rtl/>
          <w:lang w:val="en-US"/>
        </w:rPr>
        <w:t xml:space="preserve"> והנאשם לא מבצע את </w:t>
      </w:r>
      <w:proofErr w:type="spellStart"/>
      <w:r w:rsidRPr="001567D7">
        <w:rPr>
          <w:rFonts w:ascii="Segoe UI" w:eastAsia="Times New Roman" w:hAnsi="Segoe UI" w:cs="Segoe UI" w:hint="cs"/>
          <w:rtl/>
          <w:lang w:val="en-US"/>
        </w:rPr>
        <w:t>השל"צ</w:t>
      </w:r>
      <w:proofErr w:type="spellEnd"/>
      <w:r w:rsidRPr="001567D7">
        <w:rPr>
          <w:rFonts w:ascii="Segoe UI" w:eastAsia="Times New Roman" w:hAnsi="Segoe UI" w:cs="Segoe UI" w:hint="cs"/>
          <w:rtl/>
          <w:lang w:val="en-US"/>
        </w:rPr>
        <w:t xml:space="preserve">, שירות המבחן מודיע על כך לביהמ"ש וביהמ"ש רשאי לגזור את דינו של הנאשם מחדש. </w:t>
      </w:r>
      <w:r w:rsidRPr="001567D7">
        <w:rPr>
          <w:rFonts w:ascii="Segoe UI" w:eastAsia="Times New Roman" w:hAnsi="Segoe UI" w:cs="Segoe UI" w:hint="cs"/>
          <w:color w:val="7030A0"/>
          <w:rtl/>
          <w:lang w:val="en-US"/>
        </w:rPr>
        <w:t xml:space="preserve">כלומר, הפקעת </w:t>
      </w:r>
      <w:proofErr w:type="spellStart"/>
      <w:r w:rsidRPr="001567D7">
        <w:rPr>
          <w:rFonts w:ascii="Segoe UI" w:eastAsia="Times New Roman" w:hAnsi="Segoe UI" w:cs="Segoe UI" w:hint="cs"/>
          <w:color w:val="7030A0"/>
          <w:rtl/>
          <w:lang w:val="en-US"/>
        </w:rPr>
        <w:t>של"צ</w:t>
      </w:r>
      <w:proofErr w:type="spellEnd"/>
      <w:r w:rsidRPr="001567D7">
        <w:rPr>
          <w:rFonts w:ascii="Segoe UI" w:eastAsia="Times New Roman" w:hAnsi="Segoe UI" w:cs="Segoe UI" w:hint="cs"/>
          <w:color w:val="7030A0"/>
          <w:rtl/>
          <w:lang w:val="en-US"/>
        </w:rPr>
        <w:t xml:space="preserve">. </w:t>
      </w:r>
    </w:p>
    <w:p w14:paraId="79FA9E1E" w14:textId="2F8252D4" w:rsidR="008D2331" w:rsidRPr="001567D7" w:rsidRDefault="008D2331" w:rsidP="008F05D0">
      <w:pPr>
        <w:pStyle w:val="ab"/>
        <w:numPr>
          <w:ilvl w:val="0"/>
          <w:numId w:val="75"/>
        </w:numPr>
        <w:bidi/>
        <w:spacing w:after="0" w:line="276" w:lineRule="auto"/>
        <w:jc w:val="both"/>
        <w:rPr>
          <w:rFonts w:ascii="Segoe UI" w:eastAsia="Times New Roman" w:hAnsi="Segoe UI" w:cs="Segoe UI"/>
          <w:color w:val="7030A0"/>
          <w:lang w:val="en-US"/>
        </w:rPr>
      </w:pPr>
      <w:r w:rsidRPr="001567D7">
        <w:rPr>
          <w:rFonts w:ascii="Segoe UI" w:eastAsia="Times New Roman" w:hAnsi="Segoe UI" w:cs="Segoe UI" w:hint="cs"/>
          <w:b/>
          <w:bCs/>
          <w:rtl/>
          <w:lang w:val="en-US"/>
        </w:rPr>
        <w:t>שנית,</w:t>
      </w:r>
      <w:r w:rsidRPr="001567D7">
        <w:rPr>
          <w:rFonts w:ascii="Segoe UI" w:eastAsia="Times New Roman" w:hAnsi="Segoe UI" w:cs="Segoe UI" w:hint="cs"/>
          <w:rtl/>
          <w:lang w:val="en-US"/>
        </w:rPr>
        <w:t xml:space="preserve"> כיוון שעונש של </w:t>
      </w:r>
      <w:proofErr w:type="spellStart"/>
      <w:r w:rsidRPr="001567D7">
        <w:rPr>
          <w:rFonts w:ascii="Segoe UI" w:eastAsia="Times New Roman" w:hAnsi="Segoe UI" w:cs="Segoe UI" w:hint="cs"/>
          <w:rtl/>
          <w:lang w:val="en-US"/>
        </w:rPr>
        <w:t>עב"ש</w:t>
      </w:r>
      <w:proofErr w:type="spellEnd"/>
      <w:r w:rsidRPr="001567D7">
        <w:rPr>
          <w:rFonts w:ascii="Segoe UI" w:eastAsia="Times New Roman" w:hAnsi="Segoe UI" w:cs="Segoe UI" w:hint="cs"/>
          <w:rtl/>
          <w:lang w:val="en-US"/>
        </w:rPr>
        <w:t xml:space="preserve"> הינו למעשה במקום עונש מאסר מאחורי סורג ובריח, </w:t>
      </w:r>
      <w:proofErr w:type="spellStart"/>
      <w:r w:rsidRPr="001567D7">
        <w:rPr>
          <w:rFonts w:ascii="Segoe UI" w:eastAsia="Times New Roman" w:hAnsi="Segoe UI" w:cs="Segoe UI" w:hint="cs"/>
          <w:rtl/>
          <w:lang w:val="en-US"/>
        </w:rPr>
        <w:t>עב"ש</w:t>
      </w:r>
      <w:proofErr w:type="spellEnd"/>
      <w:r w:rsidRPr="001567D7">
        <w:rPr>
          <w:rFonts w:ascii="Segoe UI" w:eastAsia="Times New Roman" w:hAnsi="Segoe UI" w:cs="Segoe UI" w:hint="cs"/>
          <w:rtl/>
          <w:lang w:val="en-US"/>
        </w:rPr>
        <w:t xml:space="preserve"> מבוצעות כל יום בשעות העבודה הרגילות </w:t>
      </w:r>
      <w:r w:rsidRPr="001567D7">
        <w:rPr>
          <w:rFonts w:ascii="Segoe UI" w:eastAsia="Times New Roman" w:hAnsi="Segoe UI" w:cs="Segoe UI" w:hint="cs"/>
          <w:color w:val="7030A0"/>
          <w:rtl/>
          <w:lang w:val="en-US"/>
        </w:rPr>
        <w:t xml:space="preserve">(לרוב בין השעות 8 עד 17). </w:t>
      </w:r>
    </w:p>
    <w:p w14:paraId="35B06AA7" w14:textId="4EDAC964" w:rsidR="008D2331" w:rsidRPr="001567D7" w:rsidRDefault="008D2331" w:rsidP="008F05D0">
      <w:pPr>
        <w:pStyle w:val="ab"/>
        <w:bidi/>
        <w:spacing w:after="0" w:line="276" w:lineRule="auto"/>
        <w:ind w:left="360"/>
        <w:jc w:val="both"/>
        <w:rPr>
          <w:rFonts w:ascii="Segoe UI" w:eastAsia="Times New Roman" w:hAnsi="Segoe UI" w:cs="Segoe UI"/>
          <w:rtl/>
          <w:lang w:val="en-US"/>
        </w:rPr>
      </w:pPr>
      <w:r w:rsidRPr="001567D7">
        <w:rPr>
          <w:rFonts w:ascii="Segoe UI" w:eastAsia="Times New Roman" w:hAnsi="Segoe UI" w:cs="Segoe UI" w:hint="cs"/>
          <w:rtl/>
          <w:lang w:val="en-US"/>
        </w:rPr>
        <w:t xml:space="preserve">לעומת זאת, כאשר ממוטל עונש </w:t>
      </w:r>
      <w:proofErr w:type="spellStart"/>
      <w:r w:rsidRPr="001567D7">
        <w:rPr>
          <w:rFonts w:ascii="Segoe UI" w:eastAsia="Times New Roman" w:hAnsi="Segoe UI" w:cs="Segoe UI" w:hint="cs"/>
          <w:rtl/>
          <w:lang w:val="en-US"/>
        </w:rPr>
        <w:t>של"צ</w:t>
      </w:r>
      <w:proofErr w:type="spellEnd"/>
      <w:r w:rsidRPr="001567D7">
        <w:rPr>
          <w:rFonts w:ascii="Segoe UI" w:eastAsia="Times New Roman" w:hAnsi="Segoe UI" w:cs="Segoe UI" w:hint="cs"/>
          <w:rtl/>
          <w:lang w:val="en-US"/>
        </w:rPr>
        <w:t xml:space="preserve"> </w:t>
      </w:r>
      <w:r w:rsidR="00BC11FB" w:rsidRPr="001567D7">
        <w:rPr>
          <w:rFonts w:ascii="Segoe UI" w:eastAsia="Times New Roman" w:hAnsi="Segoe UI" w:cs="Segoe UI" w:hint="cs"/>
          <w:rtl/>
          <w:lang w:val="en-US"/>
        </w:rPr>
        <w:t xml:space="preserve">ביהמ"ש קובע את מכסת השעות השנתית ושירות המבחן בונה תכנית </w:t>
      </w:r>
      <w:proofErr w:type="spellStart"/>
      <w:r w:rsidR="00BC11FB" w:rsidRPr="001567D7">
        <w:rPr>
          <w:rFonts w:ascii="Segoe UI" w:eastAsia="Times New Roman" w:hAnsi="Segoe UI" w:cs="Segoe UI" w:hint="cs"/>
          <w:rtl/>
          <w:lang w:val="en-US"/>
        </w:rPr>
        <w:t>של"צ</w:t>
      </w:r>
      <w:proofErr w:type="spellEnd"/>
      <w:r w:rsidR="00BC11FB" w:rsidRPr="001567D7">
        <w:rPr>
          <w:rFonts w:ascii="Segoe UI" w:eastAsia="Times New Roman" w:hAnsi="Segoe UI" w:cs="Segoe UI" w:hint="cs"/>
          <w:rtl/>
          <w:lang w:val="en-US"/>
        </w:rPr>
        <w:t xml:space="preserve"> בתיאום עם הנאשם, על מנת להתאים את </w:t>
      </w:r>
      <w:proofErr w:type="spellStart"/>
      <w:r w:rsidR="00BC11FB" w:rsidRPr="001567D7">
        <w:rPr>
          <w:rFonts w:ascii="Segoe UI" w:eastAsia="Times New Roman" w:hAnsi="Segoe UI" w:cs="Segoe UI" w:hint="cs"/>
          <w:rtl/>
          <w:lang w:val="en-US"/>
        </w:rPr>
        <w:t>השל"צ</w:t>
      </w:r>
      <w:proofErr w:type="spellEnd"/>
      <w:r w:rsidR="00BC11FB" w:rsidRPr="001567D7">
        <w:rPr>
          <w:rFonts w:ascii="Segoe UI" w:eastAsia="Times New Roman" w:hAnsi="Segoe UI" w:cs="Segoe UI" w:hint="cs"/>
          <w:rtl/>
          <w:lang w:val="en-US"/>
        </w:rPr>
        <w:t xml:space="preserve"> </w:t>
      </w:r>
      <w:r w:rsidR="00BC11FB" w:rsidRPr="001567D7">
        <w:rPr>
          <w:rFonts w:ascii="Segoe UI" w:eastAsia="Times New Roman" w:hAnsi="Segoe UI" w:cs="Segoe UI" w:hint="cs"/>
          <w:color w:val="7030A0"/>
          <w:rtl/>
          <w:lang w:val="en-US"/>
        </w:rPr>
        <w:t xml:space="preserve">לחייו הרגילים של הנאשם. </w:t>
      </w:r>
    </w:p>
    <w:p w14:paraId="3A6CF086" w14:textId="5FA13AB4" w:rsidR="00BC11FB" w:rsidRPr="001567D7" w:rsidRDefault="00BC11FB" w:rsidP="008F05D0">
      <w:pPr>
        <w:pStyle w:val="ab"/>
        <w:bidi/>
        <w:spacing w:after="0" w:line="276" w:lineRule="auto"/>
        <w:ind w:left="360"/>
        <w:jc w:val="both"/>
        <w:rPr>
          <w:rFonts w:ascii="Segoe UI" w:eastAsia="Times New Roman" w:hAnsi="Segoe UI" w:cs="Segoe UI"/>
          <w:color w:val="7030A0"/>
          <w:rtl/>
          <w:lang w:val="en-US"/>
        </w:rPr>
      </w:pPr>
      <w:proofErr w:type="spellStart"/>
      <w:r w:rsidRPr="001567D7">
        <w:rPr>
          <w:rFonts w:ascii="Segoe UI" w:eastAsia="Times New Roman" w:hAnsi="Segoe UI" w:cs="Segoe UI" w:hint="cs"/>
          <w:color w:val="7030A0"/>
          <w:rtl/>
          <w:lang w:val="en-US"/>
        </w:rPr>
        <w:t>של"צ</w:t>
      </w:r>
      <w:proofErr w:type="spellEnd"/>
      <w:r w:rsidRPr="001567D7">
        <w:rPr>
          <w:rFonts w:ascii="Segoe UI" w:eastAsia="Times New Roman" w:hAnsi="Segoe UI" w:cs="Segoe UI" w:hint="cs"/>
          <w:color w:val="7030A0"/>
          <w:rtl/>
          <w:lang w:val="en-US"/>
        </w:rPr>
        <w:t xml:space="preserve"> תמיד יותר מקל עם הנאשם בניגוד </w:t>
      </w:r>
      <w:proofErr w:type="spellStart"/>
      <w:r w:rsidRPr="001567D7">
        <w:rPr>
          <w:rFonts w:ascii="Segoe UI" w:eastAsia="Times New Roman" w:hAnsi="Segoe UI" w:cs="Segoe UI" w:hint="cs"/>
          <w:color w:val="7030A0"/>
          <w:rtl/>
          <w:lang w:val="en-US"/>
        </w:rPr>
        <w:t>לעב"ש</w:t>
      </w:r>
      <w:proofErr w:type="spellEnd"/>
      <w:r w:rsidRPr="001567D7">
        <w:rPr>
          <w:rFonts w:ascii="Segoe UI" w:eastAsia="Times New Roman" w:hAnsi="Segoe UI" w:cs="Segoe UI" w:hint="cs"/>
          <w:color w:val="7030A0"/>
          <w:rtl/>
          <w:lang w:val="en-US"/>
        </w:rPr>
        <w:t xml:space="preserve"> שלא מעניין </w:t>
      </w:r>
      <w:r w:rsidR="000B1724" w:rsidRPr="001567D7">
        <w:rPr>
          <w:rFonts w:ascii="Segoe UI" w:eastAsia="Times New Roman" w:hAnsi="Segoe UI" w:cs="Segoe UI" w:hint="cs"/>
          <w:color w:val="7030A0"/>
          <w:rtl/>
          <w:lang w:val="en-US"/>
        </w:rPr>
        <w:t xml:space="preserve">את ביהמ"ש ואת הממונה על </w:t>
      </w:r>
      <w:proofErr w:type="spellStart"/>
      <w:r w:rsidR="000B1724" w:rsidRPr="001567D7">
        <w:rPr>
          <w:rFonts w:ascii="Segoe UI" w:eastAsia="Times New Roman" w:hAnsi="Segoe UI" w:cs="Segoe UI" w:hint="cs"/>
          <w:color w:val="7030A0"/>
          <w:rtl/>
          <w:lang w:val="en-US"/>
        </w:rPr>
        <w:t>עב"ש</w:t>
      </w:r>
      <w:proofErr w:type="spellEnd"/>
      <w:r w:rsidRPr="001567D7">
        <w:rPr>
          <w:rFonts w:ascii="Segoe UI" w:eastAsia="Times New Roman" w:hAnsi="Segoe UI" w:cs="Segoe UI" w:hint="cs"/>
          <w:color w:val="7030A0"/>
          <w:rtl/>
          <w:lang w:val="en-US"/>
        </w:rPr>
        <w:t xml:space="preserve"> </w:t>
      </w:r>
      <w:r w:rsidR="000B1724" w:rsidRPr="001567D7">
        <w:rPr>
          <w:rFonts w:ascii="Segoe UI" w:eastAsia="Times New Roman" w:hAnsi="Segoe UI" w:cs="Segoe UI" w:hint="cs"/>
          <w:color w:val="7030A0"/>
          <w:rtl/>
          <w:lang w:val="en-US"/>
        </w:rPr>
        <w:t>ה</w:t>
      </w:r>
      <w:r w:rsidRPr="001567D7">
        <w:rPr>
          <w:rFonts w:ascii="Segoe UI" w:eastAsia="Times New Roman" w:hAnsi="Segoe UI" w:cs="Segoe UI" w:hint="cs"/>
          <w:color w:val="7030A0"/>
          <w:rtl/>
          <w:lang w:val="en-US"/>
        </w:rPr>
        <w:t xml:space="preserve">אם הנאשם עובד בעבודה מסודרת או </w:t>
      </w:r>
      <w:r w:rsidR="000B1724" w:rsidRPr="001567D7">
        <w:rPr>
          <w:rFonts w:ascii="Segoe UI" w:eastAsia="Times New Roman" w:hAnsi="Segoe UI" w:cs="Segoe UI" w:hint="cs"/>
          <w:color w:val="7030A0"/>
          <w:rtl/>
          <w:lang w:val="en-US"/>
        </w:rPr>
        <w:t>ה</w:t>
      </w:r>
      <w:r w:rsidRPr="001567D7">
        <w:rPr>
          <w:rFonts w:ascii="Segoe UI" w:eastAsia="Times New Roman" w:hAnsi="Segoe UI" w:cs="Segoe UI" w:hint="cs"/>
          <w:color w:val="7030A0"/>
          <w:rtl/>
          <w:lang w:val="en-US"/>
        </w:rPr>
        <w:t xml:space="preserve">אם זה פוגע בו כלכלית. </w:t>
      </w:r>
      <w:proofErr w:type="spellStart"/>
      <w:r w:rsidRPr="001567D7">
        <w:rPr>
          <w:rFonts w:ascii="Segoe UI" w:eastAsia="Times New Roman" w:hAnsi="Segoe UI" w:cs="Segoe UI" w:hint="cs"/>
          <w:color w:val="7030A0"/>
          <w:rtl/>
          <w:lang w:val="en-US"/>
        </w:rPr>
        <w:t>בעב"ש</w:t>
      </w:r>
      <w:proofErr w:type="spellEnd"/>
      <w:r w:rsidRPr="001567D7">
        <w:rPr>
          <w:rFonts w:ascii="Segoe UI" w:eastAsia="Times New Roman" w:hAnsi="Segoe UI" w:cs="Segoe UI" w:hint="cs"/>
          <w:color w:val="7030A0"/>
          <w:rtl/>
          <w:lang w:val="en-US"/>
        </w:rPr>
        <w:t xml:space="preserve"> הוא חייב להתייצב במקום שנקבע ששם הוא ירצה </w:t>
      </w:r>
      <w:proofErr w:type="spellStart"/>
      <w:r w:rsidRPr="001567D7">
        <w:rPr>
          <w:rFonts w:ascii="Segoe UI" w:eastAsia="Times New Roman" w:hAnsi="Segoe UI" w:cs="Segoe UI" w:hint="cs"/>
          <w:color w:val="7030A0"/>
          <w:rtl/>
          <w:lang w:val="en-US"/>
        </w:rPr>
        <w:t>עב"ש</w:t>
      </w:r>
      <w:proofErr w:type="spellEnd"/>
      <w:r w:rsidRPr="001567D7">
        <w:rPr>
          <w:rFonts w:ascii="Segoe UI" w:eastAsia="Times New Roman" w:hAnsi="Segoe UI" w:cs="Segoe UI" w:hint="cs"/>
          <w:color w:val="7030A0"/>
          <w:rtl/>
          <w:lang w:val="en-US"/>
        </w:rPr>
        <w:t xml:space="preserve"> בשעה 8 ולסיים את </w:t>
      </w:r>
      <w:proofErr w:type="spellStart"/>
      <w:r w:rsidRPr="001567D7">
        <w:rPr>
          <w:rFonts w:ascii="Segoe UI" w:eastAsia="Times New Roman" w:hAnsi="Segoe UI" w:cs="Segoe UI" w:hint="cs"/>
          <w:color w:val="7030A0"/>
          <w:rtl/>
          <w:lang w:val="en-US"/>
        </w:rPr>
        <w:t>עב"ש</w:t>
      </w:r>
      <w:proofErr w:type="spellEnd"/>
      <w:r w:rsidRPr="001567D7">
        <w:rPr>
          <w:rFonts w:ascii="Segoe UI" w:eastAsia="Times New Roman" w:hAnsi="Segoe UI" w:cs="Segoe UI" w:hint="cs"/>
          <w:color w:val="7030A0"/>
          <w:rtl/>
          <w:lang w:val="en-US"/>
        </w:rPr>
        <w:t xml:space="preserve"> בשעה 17. </w:t>
      </w:r>
      <w:proofErr w:type="spellStart"/>
      <w:r w:rsidRPr="001567D7">
        <w:rPr>
          <w:rFonts w:ascii="Segoe UI" w:eastAsia="Times New Roman" w:hAnsi="Segoe UI" w:cs="Segoe UI" w:hint="cs"/>
          <w:color w:val="7030A0"/>
          <w:rtl/>
          <w:lang w:val="en-US"/>
        </w:rPr>
        <w:t>של"צ</w:t>
      </w:r>
      <w:proofErr w:type="spellEnd"/>
      <w:r w:rsidRPr="001567D7">
        <w:rPr>
          <w:rFonts w:ascii="Segoe UI" w:eastAsia="Times New Roman" w:hAnsi="Segoe UI" w:cs="Segoe UI" w:hint="cs"/>
          <w:color w:val="7030A0"/>
          <w:rtl/>
          <w:lang w:val="en-US"/>
        </w:rPr>
        <w:t xml:space="preserve"> יכול להיות גם בשעות הלילה נניח אחרי העבודה הוא מגיע </w:t>
      </w:r>
      <w:r w:rsidR="002B02B7" w:rsidRPr="001567D7">
        <w:rPr>
          <w:rFonts w:ascii="Segoe UI" w:eastAsia="Times New Roman" w:hAnsi="Segoe UI" w:cs="Segoe UI" w:hint="cs"/>
          <w:color w:val="7030A0"/>
          <w:rtl/>
          <w:lang w:val="en-US"/>
        </w:rPr>
        <w:t>לעמותה לכמה שעות וזאת במשך כשנה או במשך פרק זמן שהממונה והנאשם יבנו את הת</w:t>
      </w:r>
      <w:r w:rsidR="00CA200E">
        <w:rPr>
          <w:rFonts w:ascii="Segoe UI" w:eastAsia="Times New Roman" w:hAnsi="Segoe UI" w:cs="Segoe UI" w:hint="cs"/>
          <w:color w:val="7030A0"/>
          <w:rtl/>
          <w:lang w:val="en-US"/>
        </w:rPr>
        <w:t>ו</w:t>
      </w:r>
      <w:r w:rsidR="002B02B7" w:rsidRPr="001567D7">
        <w:rPr>
          <w:rFonts w:ascii="Segoe UI" w:eastAsia="Times New Roman" w:hAnsi="Segoe UI" w:cs="Segoe UI" w:hint="cs"/>
          <w:color w:val="7030A0"/>
          <w:rtl/>
          <w:lang w:val="en-US"/>
        </w:rPr>
        <w:t xml:space="preserve">כנית. </w:t>
      </w:r>
    </w:p>
    <w:p w14:paraId="1619AE12" w14:textId="23C4C277" w:rsidR="008F2B6E" w:rsidRPr="001567D7" w:rsidRDefault="008F2B6E" w:rsidP="008F05D0">
      <w:pPr>
        <w:bidi/>
        <w:spacing w:after="0" w:line="276" w:lineRule="auto"/>
        <w:contextualSpacing/>
        <w:jc w:val="both"/>
        <w:rPr>
          <w:rFonts w:ascii="Segoe UI" w:eastAsia="Times New Roman" w:hAnsi="Segoe UI" w:cs="Segoe UI"/>
          <w:rtl/>
          <w:lang w:val="en-US"/>
        </w:rPr>
      </w:pPr>
    </w:p>
    <w:p w14:paraId="03AC946B"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lang w:val="en-US"/>
        </w:rPr>
      </w:pPr>
      <w:r w:rsidRPr="00DD0CA7">
        <w:rPr>
          <w:rFonts w:ascii="Time New Roman" w:eastAsia="Times New Roman" w:hAnsi="Time New Roman" w:cs="Times New Roman"/>
          <w:b/>
          <w:bCs/>
          <w:color w:val="008000"/>
          <w:sz w:val="27"/>
          <w:szCs w:val="27"/>
          <w:rtl/>
          <w:lang w:val="en-US"/>
        </w:rPr>
        <w:t>שירות לציבור (תיקון מס' 6) תשל"ט-1979 צו תשנ"ד-1994</w:t>
      </w:r>
    </w:p>
    <w:p w14:paraId="0EC673C3"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Miriam" w:eastAsia="Times New Roman" w:hAnsi="Miriam" w:cs="Miriam"/>
          <w:sz w:val="32"/>
          <w:szCs w:val="32"/>
          <w:rtl/>
          <w:lang w:val="en-US"/>
        </w:rPr>
        <w:t>71</w:t>
      </w:r>
      <w:r w:rsidRPr="00DD0CA7">
        <w:rPr>
          <w:rFonts w:ascii="FrankRuehl" w:eastAsia="Times New Roman" w:hAnsi="FrankRuehl" w:cs="FrankRuehl"/>
          <w:sz w:val="26"/>
          <w:szCs w:val="26"/>
          <w:rtl/>
          <w:lang w:val="en-US"/>
        </w:rPr>
        <w:t xml:space="preserve">א.  (א) בית משפט שהרשיע אדם </w:t>
      </w:r>
      <w:r w:rsidRPr="00DD0CA7">
        <w:rPr>
          <w:rFonts w:ascii="FrankRuehl" w:eastAsia="Times New Roman" w:hAnsi="FrankRuehl" w:cs="FrankRuehl"/>
          <w:b/>
          <w:bCs/>
          <w:color w:val="FF0000"/>
          <w:sz w:val="26"/>
          <w:szCs w:val="26"/>
          <w:rtl/>
          <w:lang w:val="en-US"/>
        </w:rPr>
        <w:t>ולא הטיל עליו עונש מאסר בפועל</w:t>
      </w:r>
      <w:r w:rsidRPr="00DD0CA7">
        <w:rPr>
          <w:rFonts w:ascii="FrankRuehl" w:eastAsia="Times New Roman" w:hAnsi="FrankRuehl" w:cs="FrankRuehl"/>
          <w:sz w:val="26"/>
          <w:szCs w:val="26"/>
          <w:rtl/>
          <w:lang w:val="en-US"/>
        </w:rPr>
        <w:t xml:space="preserve">, רשאי, במקום כל עונש אחר או בנוסף עליו, לחייבו בצו שיעשה, </w:t>
      </w:r>
      <w:r w:rsidRPr="00DD0CA7">
        <w:rPr>
          <w:rFonts w:ascii="FrankRuehl" w:eastAsia="Times New Roman" w:hAnsi="FrankRuehl" w:cs="FrankRuehl"/>
          <w:b/>
          <w:bCs/>
          <w:color w:val="FF0000"/>
          <w:sz w:val="26"/>
          <w:szCs w:val="26"/>
          <w:rtl/>
          <w:lang w:val="en-US"/>
        </w:rPr>
        <w:t>בשעות הפנאי שלו וללא שכר</w:t>
      </w:r>
      <w:r w:rsidRPr="00DD0CA7">
        <w:rPr>
          <w:rFonts w:ascii="FrankRuehl" w:eastAsia="Times New Roman" w:hAnsi="FrankRuehl" w:cs="FrankRuehl"/>
          <w:sz w:val="26"/>
          <w:szCs w:val="26"/>
          <w:rtl/>
          <w:lang w:val="en-US"/>
        </w:rPr>
        <w:t xml:space="preserve">, </w:t>
      </w:r>
      <w:r w:rsidRPr="00DD0CA7">
        <w:rPr>
          <w:rFonts w:ascii="FrankRuehl" w:eastAsia="Times New Roman" w:hAnsi="FrankRuehl" w:cs="FrankRuehl"/>
          <w:b/>
          <w:bCs/>
          <w:sz w:val="26"/>
          <w:szCs w:val="26"/>
          <w:rtl/>
          <w:lang w:val="en-US"/>
        </w:rPr>
        <w:t>פעולה או שירות לתועלת הציבור או הזולת</w:t>
      </w:r>
      <w:r w:rsidRPr="00DD0CA7">
        <w:rPr>
          <w:rFonts w:ascii="FrankRuehl" w:eastAsia="Times New Roman" w:hAnsi="FrankRuehl" w:cs="FrankRuehl"/>
          <w:sz w:val="26"/>
          <w:szCs w:val="26"/>
          <w:rtl/>
          <w:lang w:val="en-US"/>
        </w:rPr>
        <w:t xml:space="preserve"> (להלן, בסימן זה - שירות לציבור), למשך תקופה, למספר שעות ובהתאם </w:t>
      </w:r>
      <w:proofErr w:type="spellStart"/>
      <w:r w:rsidRPr="00DD0CA7">
        <w:rPr>
          <w:rFonts w:ascii="FrankRuehl" w:eastAsia="Times New Roman" w:hAnsi="FrankRuehl" w:cs="FrankRuehl"/>
          <w:sz w:val="26"/>
          <w:szCs w:val="26"/>
          <w:rtl/>
          <w:lang w:val="en-US"/>
        </w:rPr>
        <w:t>לתכנית</w:t>
      </w:r>
      <w:proofErr w:type="spellEnd"/>
      <w:r w:rsidRPr="00DD0CA7">
        <w:rPr>
          <w:rFonts w:ascii="FrankRuehl" w:eastAsia="Times New Roman" w:hAnsi="FrankRuehl" w:cs="FrankRuehl"/>
          <w:sz w:val="26"/>
          <w:szCs w:val="26"/>
          <w:rtl/>
          <w:lang w:val="en-US"/>
        </w:rPr>
        <w:t xml:space="preserve">, </w:t>
      </w:r>
      <w:r w:rsidRPr="00DD0CA7">
        <w:rPr>
          <w:rFonts w:ascii="FrankRuehl" w:eastAsia="Times New Roman" w:hAnsi="FrankRuehl" w:cs="FrankRuehl"/>
          <w:b/>
          <w:bCs/>
          <w:color w:val="FF0000"/>
          <w:sz w:val="26"/>
          <w:szCs w:val="26"/>
          <w:rtl/>
          <w:lang w:val="en-US"/>
        </w:rPr>
        <w:t>הכל כפי שיקבע בית המשפט בצו; לצו כאמור ייקרא להלן "צו שירות".</w:t>
      </w:r>
    </w:p>
    <w:p w14:paraId="6E53BDBA"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FrankRuehl" w:eastAsia="Times New Roman" w:hAnsi="FrankRuehl" w:cs="FrankRuehl"/>
          <w:sz w:val="26"/>
          <w:szCs w:val="26"/>
          <w:rtl/>
          <w:lang w:val="en-US"/>
        </w:rPr>
        <w:t xml:space="preserve">          (ב)  מצא בית המשפט שנאשם ביצע עבירה, רשאי הוא לתת צו שירות </w:t>
      </w:r>
      <w:r w:rsidRPr="00DD0CA7">
        <w:rPr>
          <w:rFonts w:ascii="FrankRuehl" w:eastAsia="Times New Roman" w:hAnsi="FrankRuehl" w:cs="FrankRuehl"/>
          <w:b/>
          <w:bCs/>
          <w:color w:val="FF0000"/>
          <w:sz w:val="26"/>
          <w:szCs w:val="26"/>
          <w:rtl/>
          <w:lang w:val="en-US"/>
        </w:rPr>
        <w:t>גם ללא הרשעה</w:t>
      </w:r>
      <w:r w:rsidRPr="00DD0CA7">
        <w:rPr>
          <w:rFonts w:ascii="FrankRuehl" w:eastAsia="Times New Roman" w:hAnsi="FrankRuehl" w:cs="FrankRuehl"/>
          <w:sz w:val="26"/>
          <w:szCs w:val="26"/>
          <w:rtl/>
          <w:lang w:val="en-US"/>
        </w:rPr>
        <w:t>, בנוסף למבחן או בלעדיו, ומשעשה כן יהיה דינו של צו השירות, לענין סעיף 9 לפקודת המבחן [נוסח חדש], תשכ"ט–1969, כדין צו מבחן.</w:t>
      </w:r>
    </w:p>
    <w:p w14:paraId="1DA28A20"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FrankRuehl" w:eastAsia="Times New Roman" w:hAnsi="FrankRuehl" w:cs="FrankRuehl"/>
          <w:sz w:val="26"/>
          <w:szCs w:val="26"/>
          <w:rtl/>
          <w:lang w:val="en-US"/>
        </w:rPr>
        <w:t xml:space="preserve">          (ג)   בית המשפט לא </w:t>
      </w:r>
      <w:proofErr w:type="spellStart"/>
      <w:r w:rsidRPr="00DD0CA7">
        <w:rPr>
          <w:rFonts w:ascii="FrankRuehl" w:eastAsia="Times New Roman" w:hAnsi="FrankRuehl" w:cs="FrankRuehl"/>
          <w:sz w:val="26"/>
          <w:szCs w:val="26"/>
          <w:rtl/>
          <w:lang w:val="en-US"/>
        </w:rPr>
        <w:t>יתן</w:t>
      </w:r>
      <w:proofErr w:type="spellEnd"/>
      <w:r w:rsidRPr="00DD0CA7">
        <w:rPr>
          <w:rFonts w:ascii="FrankRuehl" w:eastAsia="Times New Roman" w:hAnsi="FrankRuehl" w:cs="FrankRuehl"/>
          <w:sz w:val="26"/>
          <w:szCs w:val="26"/>
          <w:rtl/>
          <w:lang w:val="en-US"/>
        </w:rPr>
        <w:t xml:space="preserve"> צו שירות אלא לאחר ששוכנע על פי תסקיר של קצין מבחן שנעשו סידורים על פי תכנית מפורטת שיאפשרו לנידון לעשות את השירות.</w:t>
      </w:r>
    </w:p>
    <w:p w14:paraId="7F99A358"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FrankRuehl" w:eastAsia="Times New Roman" w:hAnsi="FrankRuehl" w:cs="FrankRuehl"/>
          <w:sz w:val="26"/>
          <w:szCs w:val="26"/>
          <w:rtl/>
          <w:lang w:val="en-US"/>
        </w:rPr>
        <w:t>          (ד)  בית המשפט רשאי לקבוע בצו שירות הוראות ותנאים שיראה אותם נחוצים כדי להבטיח את ביצוע השירות ואת הפיקוח על ביצוע השירות בידי הנידון.</w:t>
      </w:r>
    </w:p>
    <w:p w14:paraId="441C703D"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FrankRuehl" w:eastAsia="Times New Roman" w:hAnsi="FrankRuehl" w:cs="FrankRuehl"/>
          <w:sz w:val="26"/>
          <w:szCs w:val="26"/>
          <w:rtl/>
          <w:lang w:val="en-US"/>
        </w:rPr>
        <w:lastRenderedPageBreak/>
        <w:t xml:space="preserve">          (ה)  בית המשפט יסביר לנידון בלשון פשוטה את משמעות הצו, את מטרת השירות ואת פרטיו, ויזהירו שאם לא ימלא אחר הצו יהיה צפוי לתוצאות האמורות בסעיף 71ד; בית המשפט לא </w:t>
      </w:r>
      <w:proofErr w:type="spellStart"/>
      <w:r w:rsidRPr="00DD0CA7">
        <w:rPr>
          <w:rFonts w:ascii="FrankRuehl" w:eastAsia="Times New Roman" w:hAnsi="FrankRuehl" w:cs="FrankRuehl"/>
          <w:sz w:val="26"/>
          <w:szCs w:val="26"/>
          <w:rtl/>
          <w:lang w:val="en-US"/>
        </w:rPr>
        <w:t>יתן</w:t>
      </w:r>
      <w:proofErr w:type="spellEnd"/>
      <w:r w:rsidRPr="00DD0CA7">
        <w:rPr>
          <w:rFonts w:ascii="FrankRuehl" w:eastAsia="Times New Roman" w:hAnsi="FrankRuehl" w:cs="FrankRuehl"/>
          <w:sz w:val="26"/>
          <w:szCs w:val="26"/>
          <w:rtl/>
          <w:lang w:val="en-US"/>
        </w:rPr>
        <w:t xml:space="preserve"> צו שירות אלא אם הביע הנידון את נכונותו למלא אחר הוראות הצו. </w:t>
      </w:r>
    </w:p>
    <w:p w14:paraId="120AA503" w14:textId="199C4A39" w:rsid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FrankRuehl" w:eastAsia="Times New Roman" w:hAnsi="FrankRuehl" w:cs="FrankRuehl"/>
          <w:sz w:val="26"/>
          <w:szCs w:val="26"/>
          <w:rtl/>
          <w:lang w:val="en-US"/>
        </w:rPr>
        <w:t xml:space="preserve">          (ו)   שירות לציבור יהיה </w:t>
      </w:r>
      <w:r w:rsidRPr="00DD0CA7">
        <w:rPr>
          <w:rFonts w:ascii="FrankRuehl" w:eastAsia="Times New Roman" w:hAnsi="FrankRuehl" w:cs="FrankRuehl"/>
          <w:b/>
          <w:bCs/>
          <w:sz w:val="26"/>
          <w:szCs w:val="26"/>
          <w:rtl/>
          <w:lang w:val="en-US"/>
        </w:rPr>
        <w:t>בפיקוחו של קצין מבחן</w:t>
      </w:r>
      <w:r w:rsidRPr="00DD0CA7">
        <w:rPr>
          <w:rFonts w:ascii="FrankRuehl" w:eastAsia="Times New Roman" w:hAnsi="FrankRuehl" w:cs="FrankRuehl"/>
          <w:sz w:val="26"/>
          <w:szCs w:val="26"/>
          <w:rtl/>
          <w:lang w:val="en-US"/>
        </w:rPr>
        <w:t xml:space="preserve">, והוא רשאי להיעזר באחרים לצורך זה. </w:t>
      </w:r>
    </w:p>
    <w:p w14:paraId="1BD82AFA" w14:textId="77777777" w:rsidR="00DD0CA7" w:rsidRPr="00294BFA" w:rsidRDefault="00DD0CA7" w:rsidP="008F05D0">
      <w:pPr>
        <w:bidi/>
        <w:spacing w:before="72" w:after="0" w:line="276" w:lineRule="auto"/>
        <w:ind w:left="363" w:right="363"/>
        <w:rPr>
          <w:rFonts w:ascii="Segoe UI" w:eastAsia="Times New Roman" w:hAnsi="Segoe UI" w:cs="Segoe UI"/>
          <w:rtl/>
          <w:lang w:val="en-US"/>
        </w:rPr>
      </w:pPr>
    </w:p>
    <w:p w14:paraId="3D691731"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bookmarkStart w:id="28" w:name="Rov624"/>
      <w:bookmarkStart w:id="29" w:name="Seif78"/>
      <w:bookmarkEnd w:id="28"/>
      <w:bookmarkEnd w:id="29"/>
      <w:r w:rsidRPr="00DD0CA7">
        <w:rPr>
          <w:rFonts w:ascii="Time New Roman" w:eastAsia="Times New Roman" w:hAnsi="Time New Roman" w:cs="Times New Roman"/>
          <w:b/>
          <w:bCs/>
          <w:color w:val="008000"/>
          <w:sz w:val="27"/>
          <w:szCs w:val="27"/>
          <w:rtl/>
          <w:lang w:val="en-US"/>
        </w:rPr>
        <w:t>תקופת צו שירות ושינויו (תיקון מס' 6) תשל"ט-1979 צו תשנ"ד-1994</w:t>
      </w:r>
    </w:p>
    <w:p w14:paraId="03AB8800"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Miriam" w:eastAsia="Times New Roman" w:hAnsi="Miriam" w:cs="Miriam"/>
          <w:sz w:val="32"/>
          <w:szCs w:val="32"/>
          <w:rtl/>
          <w:lang w:val="en-US"/>
        </w:rPr>
        <w:t>71</w:t>
      </w:r>
      <w:r w:rsidRPr="00DD0CA7">
        <w:rPr>
          <w:rFonts w:ascii="FrankRuehl" w:eastAsia="Times New Roman" w:hAnsi="FrankRuehl" w:cs="FrankRuehl"/>
          <w:sz w:val="26"/>
          <w:szCs w:val="26"/>
          <w:rtl/>
          <w:lang w:val="en-US"/>
        </w:rPr>
        <w:t xml:space="preserve">ב.  (א)  תקופת תקפו של צו שירות </w:t>
      </w:r>
      <w:r w:rsidRPr="00DD0CA7">
        <w:rPr>
          <w:rFonts w:ascii="FrankRuehl" w:eastAsia="Times New Roman" w:hAnsi="FrankRuehl" w:cs="FrankRuehl"/>
          <w:b/>
          <w:bCs/>
          <w:color w:val="FF0000"/>
          <w:sz w:val="26"/>
          <w:szCs w:val="26"/>
          <w:rtl/>
          <w:lang w:val="en-US"/>
        </w:rPr>
        <w:t>לא תעלה על שנה אחת</w:t>
      </w:r>
      <w:r w:rsidRPr="00DD0CA7">
        <w:rPr>
          <w:rFonts w:ascii="FrankRuehl" w:eastAsia="Times New Roman" w:hAnsi="FrankRuehl" w:cs="FrankRuehl"/>
          <w:sz w:val="26"/>
          <w:szCs w:val="26"/>
          <w:rtl/>
          <w:lang w:val="en-US"/>
        </w:rPr>
        <w:t xml:space="preserve">, </w:t>
      </w:r>
      <w:r w:rsidRPr="00DD0CA7">
        <w:rPr>
          <w:rFonts w:ascii="FrankRuehl" w:eastAsia="Times New Roman" w:hAnsi="FrankRuehl" w:cs="FrankRuehl"/>
          <w:b/>
          <w:bCs/>
          <w:sz w:val="26"/>
          <w:szCs w:val="26"/>
          <w:rtl/>
          <w:lang w:val="en-US"/>
        </w:rPr>
        <w:t>אולם רשאי בית המשפט להאריכה מנימוקים מיוחדים שיירשמו</w:t>
      </w:r>
      <w:r w:rsidRPr="00DD0CA7">
        <w:rPr>
          <w:rFonts w:ascii="FrankRuehl" w:eastAsia="Times New Roman" w:hAnsi="FrankRuehl" w:cs="FrankRuehl"/>
          <w:sz w:val="26"/>
          <w:szCs w:val="26"/>
          <w:rtl/>
          <w:lang w:val="en-US"/>
        </w:rPr>
        <w:t>, ובלבד שמכסת שעות העבודה לא תעלה על מכסת השעות שנתחייב בה הנידון מלכתחילה.</w:t>
      </w:r>
    </w:p>
    <w:p w14:paraId="668D0944" w14:textId="4EF56A1F" w:rsid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FrankRuehl" w:eastAsia="Times New Roman" w:hAnsi="FrankRuehl" w:cs="FrankRuehl"/>
          <w:sz w:val="26"/>
          <w:szCs w:val="26"/>
          <w:rtl/>
          <w:lang w:val="en-US"/>
        </w:rPr>
        <w:t xml:space="preserve">          (ב)  בית המשפט שנתן צו שירות רשאי - על פי בקשת קצין מבחן או על פי בקשת הנידון - לעיין מחדש בצו, לשנותו, לקבוע בו הוראות חדשות או לבטל הוראה מהוראותיו, הכל כפי שיראה לצודק בנסיבות </w:t>
      </w:r>
      <w:proofErr w:type="spellStart"/>
      <w:r w:rsidRPr="00DD0CA7">
        <w:rPr>
          <w:rFonts w:ascii="FrankRuehl" w:eastAsia="Times New Roman" w:hAnsi="FrankRuehl" w:cs="FrankRuehl"/>
          <w:sz w:val="26"/>
          <w:szCs w:val="26"/>
          <w:rtl/>
          <w:lang w:val="en-US"/>
        </w:rPr>
        <w:t>הענין</w:t>
      </w:r>
      <w:proofErr w:type="spellEnd"/>
      <w:r w:rsidRPr="00DD0CA7">
        <w:rPr>
          <w:rFonts w:ascii="FrankRuehl" w:eastAsia="Times New Roman" w:hAnsi="FrankRuehl" w:cs="FrankRuehl"/>
          <w:sz w:val="26"/>
          <w:szCs w:val="26"/>
          <w:rtl/>
          <w:lang w:val="en-US"/>
        </w:rPr>
        <w:t xml:space="preserve">. </w:t>
      </w:r>
    </w:p>
    <w:p w14:paraId="37F51508" w14:textId="77777777" w:rsidR="00DD0CA7" w:rsidRPr="00294BFA" w:rsidRDefault="00DD0CA7" w:rsidP="008F05D0">
      <w:pPr>
        <w:bidi/>
        <w:spacing w:before="72" w:after="0" w:line="276" w:lineRule="auto"/>
        <w:ind w:left="363" w:right="363"/>
        <w:rPr>
          <w:rFonts w:ascii="Segoe UI" w:eastAsia="Times New Roman" w:hAnsi="Segoe UI" w:cs="Segoe UI"/>
          <w:rtl/>
          <w:lang w:val="en-US"/>
        </w:rPr>
      </w:pPr>
    </w:p>
    <w:p w14:paraId="4BA9686B"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bookmarkStart w:id="30" w:name="Rov625"/>
      <w:bookmarkStart w:id="31" w:name="Seif79"/>
      <w:bookmarkEnd w:id="30"/>
      <w:bookmarkEnd w:id="31"/>
      <w:r w:rsidRPr="00DD0CA7">
        <w:rPr>
          <w:rFonts w:ascii="Time New Roman" w:eastAsia="Times New Roman" w:hAnsi="Time New Roman" w:cs="Times New Roman"/>
          <w:b/>
          <w:bCs/>
          <w:color w:val="008000"/>
          <w:sz w:val="27"/>
          <w:szCs w:val="27"/>
          <w:rtl/>
          <w:lang w:val="en-US"/>
        </w:rPr>
        <w:t>חיוביו של החייב בשירות (תיקון מס' 6) תשל"ט-1979 צו תשנ"ד-1994</w:t>
      </w:r>
    </w:p>
    <w:p w14:paraId="3D17AE3B"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Miriam" w:eastAsia="Times New Roman" w:hAnsi="Miriam" w:cs="Miriam"/>
          <w:sz w:val="32"/>
          <w:szCs w:val="32"/>
          <w:rtl/>
          <w:lang w:val="en-US"/>
        </w:rPr>
        <w:t>71</w:t>
      </w:r>
      <w:r w:rsidRPr="00DD0CA7">
        <w:rPr>
          <w:rFonts w:ascii="FrankRuehl" w:eastAsia="Times New Roman" w:hAnsi="FrankRuehl" w:cs="FrankRuehl"/>
          <w:sz w:val="26"/>
          <w:szCs w:val="26"/>
          <w:rtl/>
          <w:lang w:val="en-US"/>
        </w:rPr>
        <w:t xml:space="preserve">ג.   מי </w:t>
      </w:r>
      <w:proofErr w:type="spellStart"/>
      <w:r w:rsidRPr="00DD0CA7">
        <w:rPr>
          <w:rFonts w:ascii="FrankRuehl" w:eastAsia="Times New Roman" w:hAnsi="FrankRuehl" w:cs="FrankRuehl"/>
          <w:sz w:val="26"/>
          <w:szCs w:val="26"/>
          <w:rtl/>
          <w:lang w:val="en-US"/>
        </w:rPr>
        <w:t>שחוייב</w:t>
      </w:r>
      <w:proofErr w:type="spellEnd"/>
      <w:r w:rsidRPr="00DD0CA7">
        <w:rPr>
          <w:rFonts w:ascii="FrankRuehl" w:eastAsia="Times New Roman" w:hAnsi="FrankRuehl" w:cs="FrankRuehl"/>
          <w:sz w:val="26"/>
          <w:szCs w:val="26"/>
          <w:rtl/>
          <w:lang w:val="en-US"/>
        </w:rPr>
        <w:t xml:space="preserve"> בשירות לציבור לפי סימן זה יבצע את השירות שהוטל עליו בצו, בהתאם לאמור בו, ויציית להוראות קצין המבחן שקבע בית המשפט או של מי שהוא מינה לכך, בכל הקשור לשירות. </w:t>
      </w:r>
    </w:p>
    <w:p w14:paraId="2BEA9731" w14:textId="77777777" w:rsidR="00DD0CA7" w:rsidRPr="00294BFA" w:rsidRDefault="00DD0CA7" w:rsidP="008F05D0">
      <w:pPr>
        <w:bidi/>
        <w:spacing w:before="72" w:after="0" w:line="276" w:lineRule="auto"/>
        <w:ind w:left="363" w:right="1134"/>
        <w:jc w:val="both"/>
        <w:rPr>
          <w:rFonts w:ascii="Segoe UI" w:eastAsia="Times New Roman" w:hAnsi="Segoe UI" w:cs="Segoe UI"/>
          <w:b/>
          <w:bCs/>
          <w:color w:val="008000"/>
          <w:sz w:val="23"/>
          <w:rtl/>
          <w:lang w:val="en-US"/>
        </w:rPr>
      </w:pPr>
      <w:bookmarkStart w:id="32" w:name="Rov626"/>
      <w:bookmarkStart w:id="33" w:name="Seif80"/>
      <w:bookmarkEnd w:id="32"/>
      <w:bookmarkEnd w:id="33"/>
    </w:p>
    <w:p w14:paraId="5083F3B6" w14:textId="662B7313"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Time New Roman" w:eastAsia="Times New Roman" w:hAnsi="Time New Roman" w:cs="Times New Roman"/>
          <w:b/>
          <w:bCs/>
          <w:color w:val="008000"/>
          <w:sz w:val="27"/>
          <w:szCs w:val="27"/>
          <w:rtl/>
          <w:lang w:val="en-US"/>
        </w:rPr>
        <w:t>הפרת צו שירות (תיקון מס' 6) תשל"ט-1979 צו תשנ"ד-1994 (תיקון מס' 80) תשס"ד-2004</w:t>
      </w:r>
    </w:p>
    <w:p w14:paraId="712964A1"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Miriam" w:eastAsia="Times New Roman" w:hAnsi="Miriam" w:cs="Miriam"/>
          <w:sz w:val="32"/>
          <w:szCs w:val="32"/>
          <w:rtl/>
          <w:lang w:val="en-US"/>
        </w:rPr>
        <w:t>71</w:t>
      </w:r>
      <w:r w:rsidRPr="00DD0CA7">
        <w:rPr>
          <w:rFonts w:ascii="FrankRuehl" w:eastAsia="Times New Roman" w:hAnsi="FrankRuehl" w:cs="FrankRuehl"/>
          <w:sz w:val="26"/>
          <w:szCs w:val="26"/>
          <w:rtl/>
          <w:lang w:val="en-US"/>
        </w:rPr>
        <w:t>ד.  הוכח להנחת דעתו של בית המשפט שנתן את צו השירות שהנידון לא מילא אחר צו השירות, רשאי הוא –</w:t>
      </w:r>
    </w:p>
    <w:p w14:paraId="5C067AAF"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FrankRuehl" w:eastAsia="Times New Roman" w:hAnsi="FrankRuehl" w:cs="FrankRuehl"/>
          <w:sz w:val="26"/>
          <w:szCs w:val="26"/>
          <w:rtl/>
          <w:lang w:val="en-US"/>
        </w:rPr>
        <w:t xml:space="preserve">(1)  אם ניתן צו השירות </w:t>
      </w:r>
      <w:r w:rsidRPr="00DD0CA7">
        <w:rPr>
          <w:rFonts w:ascii="FrankRuehl" w:eastAsia="Times New Roman" w:hAnsi="FrankRuehl" w:cs="FrankRuehl"/>
          <w:b/>
          <w:bCs/>
          <w:sz w:val="26"/>
          <w:szCs w:val="26"/>
          <w:rtl/>
          <w:lang w:val="en-US"/>
        </w:rPr>
        <w:t>בלא הרשעה</w:t>
      </w:r>
      <w:r w:rsidRPr="00DD0CA7">
        <w:rPr>
          <w:rFonts w:ascii="FrankRuehl" w:eastAsia="Times New Roman" w:hAnsi="FrankRuehl" w:cs="FrankRuehl"/>
          <w:sz w:val="26"/>
          <w:szCs w:val="26"/>
          <w:rtl/>
          <w:lang w:val="en-US"/>
        </w:rPr>
        <w:t xml:space="preserve"> – לבטל את צו השירות, להרשיעו ולגזור עליו עונש על העבירה שבגללה ניתן צו השירות (בסעיף זה – העבירה המקורית);</w:t>
      </w:r>
    </w:p>
    <w:p w14:paraId="7F9D71B3"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FrankRuehl" w:eastAsia="Times New Roman" w:hAnsi="FrankRuehl" w:cs="FrankRuehl"/>
          <w:sz w:val="26"/>
          <w:szCs w:val="26"/>
          <w:rtl/>
          <w:lang w:val="en-US"/>
        </w:rPr>
        <w:t xml:space="preserve">(2)  אם ניתן צו השירות </w:t>
      </w:r>
      <w:r w:rsidRPr="00DD0CA7">
        <w:rPr>
          <w:rFonts w:ascii="FrankRuehl" w:eastAsia="Times New Roman" w:hAnsi="FrankRuehl" w:cs="FrankRuehl"/>
          <w:b/>
          <w:bCs/>
          <w:sz w:val="26"/>
          <w:szCs w:val="26"/>
          <w:rtl/>
          <w:lang w:val="en-US"/>
        </w:rPr>
        <w:t>לאחר הרשעה בלא כל עונש נוסף</w:t>
      </w:r>
      <w:r w:rsidRPr="00DD0CA7">
        <w:rPr>
          <w:rFonts w:ascii="FrankRuehl" w:eastAsia="Times New Roman" w:hAnsi="FrankRuehl" w:cs="FrankRuehl"/>
          <w:sz w:val="26"/>
          <w:szCs w:val="26"/>
          <w:rtl/>
          <w:lang w:val="en-US"/>
        </w:rPr>
        <w:t xml:space="preserve"> – לבטל את צו השירות ולהטיל עליו עונש על העבירה המקורית במקום צו השירות;</w:t>
      </w:r>
    </w:p>
    <w:p w14:paraId="561FCFF8" w14:textId="77777777" w:rsidR="00DD0CA7" w:rsidRPr="00DD0CA7" w:rsidRDefault="00DD0CA7"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D0CA7">
        <w:rPr>
          <w:rFonts w:ascii="FrankRuehl" w:eastAsia="Times New Roman" w:hAnsi="FrankRuehl" w:cs="FrankRuehl"/>
          <w:sz w:val="26"/>
          <w:szCs w:val="26"/>
          <w:rtl/>
          <w:lang w:val="en-US"/>
        </w:rPr>
        <w:t xml:space="preserve">(3)  אם ניתן צו השירות </w:t>
      </w:r>
      <w:r w:rsidRPr="00DD0CA7">
        <w:rPr>
          <w:rFonts w:ascii="FrankRuehl" w:eastAsia="Times New Roman" w:hAnsi="FrankRuehl" w:cs="FrankRuehl"/>
          <w:b/>
          <w:bCs/>
          <w:sz w:val="26"/>
          <w:szCs w:val="26"/>
          <w:rtl/>
          <w:lang w:val="en-US"/>
        </w:rPr>
        <w:t>לאחר הרשעה נוסף על עונש אחר</w:t>
      </w:r>
      <w:r w:rsidRPr="00DD0CA7">
        <w:rPr>
          <w:rFonts w:ascii="FrankRuehl" w:eastAsia="Times New Roman" w:hAnsi="FrankRuehl" w:cs="FrankRuehl"/>
          <w:sz w:val="26"/>
          <w:szCs w:val="26"/>
          <w:rtl/>
          <w:lang w:val="en-US"/>
        </w:rPr>
        <w:t xml:space="preserve"> – לבטל את צו השירות ולהטיל עליו עונש נוסף על העבירה המקורית במקום צו השירות, בהתחשב, בין השאר, בכל עונש שהוטל עליו על העבירה המקורית. </w:t>
      </w:r>
    </w:p>
    <w:p w14:paraId="3C938E82" w14:textId="77777777" w:rsidR="005B4C8F" w:rsidRDefault="005B4C8F" w:rsidP="008F05D0">
      <w:pPr>
        <w:bidi/>
        <w:spacing w:after="0" w:line="276" w:lineRule="auto"/>
        <w:contextualSpacing/>
        <w:jc w:val="both"/>
        <w:rPr>
          <w:rFonts w:ascii="Segoe UI" w:eastAsia="Times New Roman" w:hAnsi="Segoe UI" w:cs="Segoe UI"/>
          <w:sz w:val="24"/>
          <w:szCs w:val="24"/>
          <w:rtl/>
          <w:lang w:val="en-US"/>
        </w:rPr>
      </w:pPr>
    </w:p>
    <w:p w14:paraId="42D6D43E" w14:textId="6FE52206" w:rsidR="007005E5" w:rsidRDefault="007005E5" w:rsidP="008F05D0">
      <w:pPr>
        <w:pStyle w:val="2"/>
        <w:rPr>
          <w:rtl/>
        </w:rPr>
      </w:pPr>
      <w:bookmarkStart w:id="34" w:name="_Toc108218197"/>
      <w:r>
        <w:rPr>
          <w:rFonts w:hint="cs"/>
          <w:rtl/>
        </w:rPr>
        <w:t>התחייבות להימנע מעבירה</w:t>
      </w:r>
      <w:bookmarkEnd w:id="34"/>
      <w:r>
        <w:rPr>
          <w:rFonts w:hint="cs"/>
          <w:rtl/>
        </w:rPr>
        <w:t xml:space="preserve"> </w:t>
      </w:r>
    </w:p>
    <w:p w14:paraId="0FEEA658" w14:textId="77777777" w:rsidR="007005E5" w:rsidRPr="004F6FD8" w:rsidRDefault="007005E5" w:rsidP="008F05D0">
      <w:pPr>
        <w:pStyle w:val="NormalWeb"/>
        <w:bidi/>
        <w:spacing w:before="0" w:beforeAutospacing="0" w:after="0" w:afterAutospacing="0" w:line="276" w:lineRule="auto"/>
        <w:jc w:val="both"/>
        <w:rPr>
          <w:rFonts w:ascii="Segoe UI" w:hAnsi="Segoe UI" w:cs="Segoe UI"/>
          <w:sz w:val="22"/>
          <w:szCs w:val="22"/>
        </w:rPr>
      </w:pPr>
      <w:r w:rsidRPr="004F6FD8">
        <w:rPr>
          <w:rFonts w:ascii="Segoe UI" w:eastAsia="+mn-ea" w:hAnsi="Segoe UI" w:cs="Segoe UI"/>
          <w:color w:val="262626"/>
          <w:kern w:val="24"/>
          <w:sz w:val="22"/>
          <w:szCs w:val="22"/>
          <w:rtl/>
        </w:rPr>
        <w:t>סעיף 72 לחוק העונשין, תשל"ז-1977, קובע כי בית המשפט רשאי להטיל על אדם שהורשע התחייבות להימנע מעבירה, תוך תקופה שיקבע בית המשפט.</w:t>
      </w:r>
    </w:p>
    <w:p w14:paraId="517045C0" w14:textId="77777777" w:rsidR="007005E5" w:rsidRPr="004F6FD8" w:rsidRDefault="007005E5" w:rsidP="008F05D0">
      <w:pPr>
        <w:pStyle w:val="NormalWeb"/>
        <w:bidi/>
        <w:spacing w:before="0" w:beforeAutospacing="0" w:after="0" w:afterAutospacing="0" w:line="276" w:lineRule="auto"/>
        <w:jc w:val="both"/>
        <w:rPr>
          <w:rFonts w:ascii="Segoe UI" w:hAnsi="Segoe UI" w:cs="Segoe UI"/>
          <w:sz w:val="22"/>
          <w:szCs w:val="22"/>
          <w:rtl/>
        </w:rPr>
      </w:pPr>
      <w:r w:rsidRPr="004F6FD8">
        <w:rPr>
          <w:rFonts w:ascii="Segoe UI" w:eastAsia="+mn-ea" w:hAnsi="Segoe UI" w:cs="Segoe UI"/>
          <w:color w:val="262626"/>
          <w:kern w:val="24"/>
          <w:sz w:val="22"/>
          <w:szCs w:val="22"/>
          <w:rtl/>
        </w:rPr>
        <w:t xml:space="preserve">ההתחייבות היא </w:t>
      </w:r>
      <w:r w:rsidRPr="004F6FD8">
        <w:rPr>
          <w:rFonts w:ascii="Segoe UI" w:eastAsia="+mn-ea" w:hAnsi="Segoe UI" w:cs="Segoe UI"/>
          <w:b/>
          <w:bCs/>
          <w:color w:val="262626"/>
          <w:kern w:val="24"/>
          <w:sz w:val="22"/>
          <w:szCs w:val="22"/>
          <w:u w:val="single"/>
          <w:rtl/>
        </w:rPr>
        <w:t>בסכום כסף נתון</w:t>
      </w:r>
      <w:r w:rsidRPr="004F6FD8">
        <w:rPr>
          <w:rFonts w:ascii="Segoe UI" w:eastAsia="+mn-ea" w:hAnsi="Segoe UI" w:cs="Segoe UI"/>
          <w:color w:val="262626"/>
          <w:kern w:val="24"/>
          <w:sz w:val="22"/>
          <w:szCs w:val="22"/>
          <w:rtl/>
        </w:rPr>
        <w:t xml:space="preserve">, אשר על הנידון לשלמו אם התחייבותו תופר, כאילו היה זה קנס שהוטל כעונש נוסף בשל העבירה הקודמת. </w:t>
      </w:r>
    </w:p>
    <w:p w14:paraId="5B30B10A" w14:textId="77777777" w:rsidR="007005E5" w:rsidRPr="004F6FD8" w:rsidRDefault="007005E5" w:rsidP="008F05D0">
      <w:pPr>
        <w:pStyle w:val="NormalWeb"/>
        <w:bidi/>
        <w:spacing w:before="0" w:beforeAutospacing="0" w:after="0" w:afterAutospacing="0" w:line="276" w:lineRule="auto"/>
        <w:jc w:val="both"/>
        <w:rPr>
          <w:rFonts w:ascii="Segoe UI" w:hAnsi="Segoe UI" w:cs="Segoe UI"/>
          <w:sz w:val="22"/>
          <w:szCs w:val="22"/>
          <w:rtl/>
        </w:rPr>
      </w:pPr>
      <w:r w:rsidRPr="004F6FD8">
        <w:rPr>
          <w:rFonts w:ascii="Segoe UI" w:eastAsia="+mn-ea" w:hAnsi="Segoe UI" w:cs="Segoe UI"/>
          <w:color w:val="262626"/>
          <w:kern w:val="24"/>
          <w:sz w:val="22"/>
          <w:szCs w:val="22"/>
          <w:rtl/>
        </w:rPr>
        <w:t xml:space="preserve">מדובר </w:t>
      </w:r>
      <w:r w:rsidRPr="004F6FD8">
        <w:rPr>
          <w:rFonts w:ascii="Segoe UI" w:eastAsia="+mn-ea" w:hAnsi="Segoe UI" w:cs="Segoe UI"/>
          <w:b/>
          <w:bCs/>
          <w:color w:val="262626"/>
          <w:kern w:val="24"/>
          <w:sz w:val="22"/>
          <w:szCs w:val="22"/>
          <w:rtl/>
        </w:rPr>
        <w:t xml:space="preserve">בקנס על תנאי </w:t>
      </w:r>
      <w:r w:rsidRPr="004F6FD8">
        <w:rPr>
          <w:rFonts w:ascii="Segoe UI" w:eastAsia="+mn-ea" w:hAnsi="Segoe UI" w:cs="Segoe UI"/>
          <w:color w:val="262626"/>
          <w:kern w:val="24"/>
          <w:sz w:val="22"/>
          <w:szCs w:val="22"/>
          <w:rtl/>
        </w:rPr>
        <w:t xml:space="preserve">שהופך לקנס בפועל. השוני -  קנס על תנאי, צריך להיות </w:t>
      </w:r>
      <w:r w:rsidRPr="004F6FD8">
        <w:rPr>
          <w:rFonts w:ascii="Segoe UI" w:eastAsia="+mn-ea" w:hAnsi="Segoe UI" w:cs="Segoe UI"/>
          <w:b/>
          <w:bCs/>
          <w:color w:val="262626"/>
          <w:kern w:val="24"/>
          <w:sz w:val="22"/>
          <w:szCs w:val="22"/>
          <w:u w:val="single"/>
          <w:rtl/>
        </w:rPr>
        <w:t>נוסף</w:t>
      </w:r>
      <w:r w:rsidRPr="004F6FD8">
        <w:rPr>
          <w:rFonts w:ascii="Segoe UI" w:eastAsia="+mn-ea" w:hAnsi="Segoe UI" w:cs="Segoe UI"/>
          <w:color w:val="262626"/>
          <w:kern w:val="24"/>
          <w:sz w:val="22"/>
          <w:szCs w:val="22"/>
          <w:rtl/>
        </w:rPr>
        <w:t xml:space="preserve"> על כל עונש אחר, ואינו יכול לעמוד ברשות עצמו. </w:t>
      </w:r>
    </w:p>
    <w:p w14:paraId="7604A1C0" w14:textId="3B0D06C6" w:rsidR="007005E5" w:rsidRPr="004F6FD8" w:rsidRDefault="007005E5" w:rsidP="008F05D0">
      <w:pPr>
        <w:pStyle w:val="NormalWeb"/>
        <w:bidi/>
        <w:spacing w:before="0" w:beforeAutospacing="0" w:after="0" w:afterAutospacing="0" w:line="276" w:lineRule="auto"/>
        <w:jc w:val="both"/>
        <w:rPr>
          <w:rFonts w:ascii="Segoe UI" w:hAnsi="Segoe UI" w:cs="Segoe UI"/>
          <w:sz w:val="22"/>
          <w:szCs w:val="22"/>
          <w:rtl/>
        </w:rPr>
      </w:pPr>
      <w:r w:rsidRPr="004F6FD8">
        <w:rPr>
          <w:rFonts w:ascii="Segoe UI" w:eastAsia="+mn-ea" w:hAnsi="Segoe UI" w:cs="Segoe UI"/>
          <w:color w:val="7030A0"/>
          <w:kern w:val="24"/>
          <w:sz w:val="22"/>
          <w:szCs w:val="22"/>
          <w:rtl/>
        </w:rPr>
        <w:t>סוג של אני מתחיי</w:t>
      </w:r>
      <w:r w:rsidR="000908A1" w:rsidRPr="004F6FD8">
        <w:rPr>
          <w:rFonts w:ascii="Segoe UI" w:eastAsia="+mn-ea" w:hAnsi="Segoe UI" w:cs="Segoe UI" w:hint="cs"/>
          <w:color w:val="7030A0"/>
          <w:kern w:val="24"/>
          <w:sz w:val="22"/>
          <w:szCs w:val="22"/>
          <w:rtl/>
        </w:rPr>
        <w:t>ב</w:t>
      </w:r>
      <w:r w:rsidRPr="004F6FD8">
        <w:rPr>
          <w:rFonts w:ascii="Segoe UI" w:eastAsia="+mn-ea" w:hAnsi="Segoe UI" w:cs="Segoe UI"/>
          <w:color w:val="7030A0"/>
          <w:kern w:val="24"/>
          <w:sz w:val="22"/>
          <w:szCs w:val="22"/>
          <w:rtl/>
        </w:rPr>
        <w:t xml:space="preserve"> לא לבצע את העבירה ואם אבצע את העבירה אז אני אשלם את הסכום שעליו התחייבתי בעבר. </w:t>
      </w:r>
    </w:p>
    <w:p w14:paraId="6D9D33BD" w14:textId="4C77510A" w:rsidR="007005E5" w:rsidRPr="003A5016" w:rsidRDefault="007005E5" w:rsidP="008F05D0">
      <w:pPr>
        <w:bidi/>
        <w:spacing w:after="0" w:line="276" w:lineRule="auto"/>
        <w:contextualSpacing/>
        <w:jc w:val="both"/>
        <w:rPr>
          <w:rFonts w:ascii="Segoe UI" w:eastAsia="Times New Roman" w:hAnsi="Segoe UI" w:cs="Segoe UI"/>
          <w:rtl/>
          <w:lang w:val="en-US"/>
        </w:rPr>
      </w:pPr>
    </w:p>
    <w:p w14:paraId="36DA1C40" w14:textId="77777777" w:rsidR="00883A32" w:rsidRPr="00883A32" w:rsidRDefault="00883A3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lang w:val="en-US"/>
        </w:rPr>
      </w:pPr>
      <w:r w:rsidRPr="00883A32">
        <w:rPr>
          <w:rFonts w:ascii="Time New Roman" w:eastAsia="Times New Roman" w:hAnsi="Time New Roman" w:cs="Times New Roman"/>
          <w:b/>
          <w:bCs/>
          <w:color w:val="008000"/>
          <w:sz w:val="27"/>
          <w:szCs w:val="27"/>
          <w:rtl/>
          <w:lang w:val="en-US"/>
        </w:rPr>
        <w:t>התחייבות להימנע מעבירה (תיקון מס' 104) תש"ע-2010</w:t>
      </w:r>
    </w:p>
    <w:p w14:paraId="687A9957" w14:textId="77777777" w:rsidR="00883A32" w:rsidRPr="00883A32" w:rsidRDefault="00883A3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883A32">
        <w:rPr>
          <w:rFonts w:ascii="Miriam" w:eastAsia="Times New Roman" w:hAnsi="Miriam" w:cs="Miriam"/>
          <w:sz w:val="32"/>
          <w:szCs w:val="32"/>
          <w:rtl/>
          <w:lang w:val="en-US"/>
        </w:rPr>
        <w:t xml:space="preserve">72.  </w:t>
      </w:r>
      <w:r w:rsidRPr="00883A32">
        <w:rPr>
          <w:rFonts w:ascii="FrankRuehl" w:eastAsia="Times New Roman" w:hAnsi="FrankRuehl" w:cs="FrankRuehl"/>
          <w:sz w:val="26"/>
          <w:szCs w:val="26"/>
          <w:rtl/>
          <w:lang w:val="en-US"/>
        </w:rPr>
        <w:t>(א)  בית משפט שהרשיע אדם רשאי, נוסף על העונש שהטיל, לצוות שהנידון ייתן התחייבות להימנע מעבירה בתוך תקופה שיקבע בית המשפט ושלא תעלה על שלוש שנים.</w:t>
      </w:r>
    </w:p>
    <w:p w14:paraId="4259937E" w14:textId="0DEADB28" w:rsidR="00883A32" w:rsidRPr="00883A32" w:rsidRDefault="00883A3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color w:val="7030A0"/>
          <w:sz w:val="24"/>
          <w:szCs w:val="24"/>
          <w:rtl/>
          <w:lang w:val="en-US"/>
        </w:rPr>
      </w:pPr>
      <w:r w:rsidRPr="00883A32">
        <w:rPr>
          <w:rFonts w:ascii="FrankRuehl" w:eastAsia="Times New Roman" w:hAnsi="FrankRuehl" w:cs="FrankRuehl"/>
          <w:sz w:val="26"/>
          <w:szCs w:val="26"/>
          <w:rtl/>
          <w:lang w:val="en-US"/>
        </w:rPr>
        <w:lastRenderedPageBreak/>
        <w:t>          (ב)  קבע בית המשפט שנאשם ביצע עבירה אך לא הרשיעו, רשאי הוא לצוות כי הנאשם ייתן התחייבות להימנע מעבירה בתוך תקופה שיקבע בית המשפט ושלא תעלה על שנה אחת.</w:t>
      </w:r>
      <w:r>
        <w:rPr>
          <w:rFonts w:ascii="Times New Roman" w:eastAsia="Times New Roman" w:hAnsi="Times New Roman" w:cs="Times New Roman" w:hint="cs"/>
          <w:sz w:val="24"/>
          <w:szCs w:val="24"/>
          <w:rtl/>
          <w:lang w:val="en-US"/>
        </w:rPr>
        <w:t xml:space="preserve"> </w:t>
      </w:r>
      <w:r w:rsidRPr="00883A32">
        <w:rPr>
          <w:rFonts w:ascii="Times New Roman" w:eastAsia="Times New Roman" w:hAnsi="Times New Roman" w:cs="Times New Roman"/>
          <w:color w:val="7030A0"/>
          <w:sz w:val="24"/>
          <w:szCs w:val="24"/>
          <w:rtl/>
          <w:lang w:val="en-US"/>
        </w:rPr>
        <w:t>החוק אומר שבמקרים כאלה שמאשימים אדם שביצע את העבירה אבל לא מרשיעים אותו אז יש אפשרות להוסיף גם התחייבות מביצוע העבירה.</w:t>
      </w:r>
    </w:p>
    <w:p w14:paraId="017C3067" w14:textId="00D39FAA" w:rsidR="00883A32" w:rsidRPr="00883A32" w:rsidRDefault="00883A3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883A32">
        <w:rPr>
          <w:rFonts w:ascii="FrankRuehl" w:eastAsia="Times New Roman" w:hAnsi="FrankRuehl" w:cs="FrankRuehl"/>
          <w:sz w:val="26"/>
          <w:szCs w:val="26"/>
          <w:rtl/>
          <w:lang w:val="en-US"/>
        </w:rPr>
        <w:t>          (ג)   התחייבות כאמור בסעיף זה תהיה בסכום שלא יעלה על סכום הקנס שמותר להטיל בשל העבירה שבה הורשע הנידון או שנקבע שביצע אותה, לפי העניין, ותהיה בערבים או בלי ערבים, הכל כפי שיצווה בית המשפט.</w:t>
      </w:r>
      <w:r w:rsidR="001D3A03">
        <w:rPr>
          <w:rFonts w:ascii="Times New Roman" w:eastAsia="Times New Roman" w:hAnsi="Times New Roman" w:cs="Times New Roman" w:hint="cs"/>
          <w:sz w:val="24"/>
          <w:szCs w:val="24"/>
          <w:rtl/>
          <w:lang w:val="en-US"/>
        </w:rPr>
        <w:t xml:space="preserve"> </w:t>
      </w:r>
      <w:r w:rsidR="001D3A03" w:rsidRPr="001D3A03">
        <w:rPr>
          <w:rFonts w:ascii="Times New Roman" w:eastAsia="Times New Roman" w:hAnsi="Times New Roman" w:cs="Times New Roman"/>
          <w:color w:val="7030A0"/>
          <w:sz w:val="24"/>
          <w:szCs w:val="24"/>
          <w:rtl/>
          <w:lang w:val="en-US"/>
        </w:rPr>
        <w:t>משום שמדובר בסוג של קנס על תנאי.</w:t>
      </w:r>
    </w:p>
    <w:p w14:paraId="186CC4FA" w14:textId="047BCF97" w:rsidR="00883A32" w:rsidRDefault="00883A32" w:rsidP="008F05D0">
      <w:pPr>
        <w:bidi/>
        <w:spacing w:after="0" w:line="276" w:lineRule="auto"/>
        <w:contextualSpacing/>
        <w:jc w:val="both"/>
        <w:rPr>
          <w:rFonts w:ascii="Segoe UI" w:eastAsia="Times New Roman" w:hAnsi="Segoe UI" w:cs="Segoe UI"/>
          <w:rtl/>
          <w:lang w:val="en-US"/>
        </w:rPr>
      </w:pPr>
    </w:p>
    <w:p w14:paraId="1CD78E3A" w14:textId="3D206499" w:rsidR="00173723" w:rsidRPr="00173723" w:rsidRDefault="00173723" w:rsidP="008F05D0">
      <w:pPr>
        <w:bidi/>
        <w:spacing w:after="0" w:line="276" w:lineRule="auto"/>
        <w:contextualSpacing/>
        <w:jc w:val="both"/>
        <w:rPr>
          <w:rFonts w:ascii="Segoe UI" w:eastAsia="Times New Roman" w:hAnsi="Segoe UI" w:cs="Segoe UI"/>
          <w:color w:val="7030A0"/>
          <w:u w:val="single"/>
          <w:rtl/>
          <w:lang w:val="en-US"/>
        </w:rPr>
      </w:pPr>
      <w:r w:rsidRPr="00173723">
        <w:rPr>
          <w:rFonts w:ascii="Segoe UI" w:eastAsia="Times New Roman" w:hAnsi="Segoe UI" w:cs="Segoe UI" w:hint="cs"/>
          <w:color w:val="7030A0"/>
          <w:u w:val="single"/>
          <w:rtl/>
          <w:lang w:val="en-US"/>
        </w:rPr>
        <w:t>דוג' לגמר דין (אי הרשעה) עם רכיב ענישה של התחייבות</w:t>
      </w:r>
    </w:p>
    <w:p w14:paraId="091C5C61" w14:textId="545F03F9" w:rsidR="00173723" w:rsidRDefault="00173723" w:rsidP="008F05D0">
      <w:pPr>
        <w:bidi/>
        <w:spacing w:after="0" w:line="276" w:lineRule="auto"/>
        <w:ind w:left="363" w:right="363"/>
        <w:contextualSpacing/>
        <w:jc w:val="center"/>
        <w:rPr>
          <w:rFonts w:ascii="Segoe UI" w:eastAsia="Times New Roman" w:hAnsi="Segoe UI" w:cs="Segoe UI"/>
          <w:rtl/>
          <w:lang w:val="en-US"/>
        </w:rPr>
      </w:pPr>
      <w:r w:rsidRPr="00173723">
        <w:rPr>
          <w:rFonts w:ascii="Segoe UI" w:eastAsia="Times New Roman" w:hAnsi="Segoe UI" w:cs="Segoe UI"/>
          <w:noProof/>
          <w:rtl/>
          <w:lang w:val="en-US"/>
        </w:rPr>
        <w:drawing>
          <wp:inline distT="0" distB="0" distL="0" distR="0" wp14:anchorId="11DDF1C8" wp14:editId="5C64479A">
            <wp:extent cx="5131064" cy="1073205"/>
            <wp:effectExtent l="19050" t="19050" r="12700" b="12700"/>
            <wp:docPr id="8" name="תמונה 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טקסט&#10;&#10;התיאור נוצר באופן אוטומטי"/>
                    <pic:cNvPicPr/>
                  </pic:nvPicPr>
                  <pic:blipFill>
                    <a:blip r:embed="rId30"/>
                    <a:stretch>
                      <a:fillRect/>
                    </a:stretch>
                  </pic:blipFill>
                  <pic:spPr>
                    <a:xfrm>
                      <a:off x="0" y="0"/>
                      <a:ext cx="5131064" cy="1073205"/>
                    </a:xfrm>
                    <a:prstGeom prst="rect">
                      <a:avLst/>
                    </a:prstGeom>
                    <a:ln w="6350">
                      <a:solidFill>
                        <a:schemeClr val="tx1"/>
                      </a:solidFill>
                    </a:ln>
                  </pic:spPr>
                </pic:pic>
              </a:graphicData>
            </a:graphic>
          </wp:inline>
        </w:drawing>
      </w:r>
    </w:p>
    <w:p w14:paraId="5C284BB6" w14:textId="77777777" w:rsidR="00173723" w:rsidRPr="005E76D5" w:rsidRDefault="00173723" w:rsidP="008F05D0">
      <w:pPr>
        <w:bidi/>
        <w:spacing w:after="0" w:line="276" w:lineRule="auto"/>
        <w:contextualSpacing/>
        <w:rPr>
          <w:rFonts w:ascii="Segoe UI" w:eastAsia="Times New Roman" w:hAnsi="Segoe UI" w:cs="Segoe UI"/>
          <w:rtl/>
          <w:lang w:val="en-US"/>
        </w:rPr>
      </w:pPr>
    </w:p>
    <w:p w14:paraId="7A8010CE" w14:textId="6E2B57A8" w:rsidR="007D0396" w:rsidRPr="00111B31" w:rsidRDefault="007D0396" w:rsidP="008F05D0">
      <w:pPr>
        <w:pStyle w:val="2"/>
        <w:rPr>
          <w:rtl/>
        </w:rPr>
      </w:pPr>
      <w:bookmarkStart w:id="35" w:name="_Toc108218198"/>
      <w:r w:rsidRPr="00111B31">
        <w:rPr>
          <w:rFonts w:hint="cs"/>
          <w:rtl/>
        </w:rPr>
        <w:t>פיצויים</w:t>
      </w:r>
      <w:r w:rsidR="002D4D6B">
        <w:rPr>
          <w:rFonts w:hint="cs"/>
          <w:rtl/>
        </w:rPr>
        <w:t xml:space="preserve"> לנפגע העבירה</w:t>
      </w:r>
      <w:bookmarkEnd w:id="35"/>
    </w:p>
    <w:p w14:paraId="01E648B6" w14:textId="53CBC255" w:rsidR="007D0396" w:rsidRPr="004F6FD8" w:rsidRDefault="00DA043F" w:rsidP="008F05D0">
      <w:pPr>
        <w:bidi/>
        <w:spacing w:after="0" w:line="276" w:lineRule="auto"/>
        <w:contextualSpacing/>
        <w:jc w:val="both"/>
        <w:rPr>
          <w:rFonts w:ascii="Segoe UI" w:eastAsia="Times New Roman" w:hAnsi="Segoe UI" w:cs="Segoe UI"/>
          <w:color w:val="7030A0"/>
          <w:rtl/>
          <w:lang w:val="en-US"/>
        </w:rPr>
      </w:pPr>
      <w:r w:rsidRPr="004F6FD8">
        <w:rPr>
          <w:rFonts w:ascii="Segoe UI" w:eastAsia="Times New Roman" w:hAnsi="Segoe UI" w:cs="Segoe UI" w:hint="cs"/>
          <w:color w:val="7030A0"/>
          <w:rtl/>
          <w:lang w:val="en-US"/>
        </w:rPr>
        <w:t>פיצויים משולמים לנפגע העבירה/הקורבן של העבירה</w:t>
      </w:r>
    </w:p>
    <w:p w14:paraId="7C6B12D7" w14:textId="77777777" w:rsidR="00DA043F" w:rsidRPr="00DA043F" w:rsidRDefault="00DA043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lang w:val="en-US"/>
        </w:rPr>
      </w:pPr>
      <w:r w:rsidRPr="00DA043F">
        <w:rPr>
          <w:rFonts w:ascii="Time New Roman" w:eastAsia="Times New Roman" w:hAnsi="Time New Roman" w:cs="Times New Roman"/>
          <w:b/>
          <w:bCs/>
          <w:color w:val="008000"/>
          <w:sz w:val="27"/>
          <w:szCs w:val="27"/>
          <w:rtl/>
          <w:lang w:val="en-US"/>
        </w:rPr>
        <w:t>פיצוי [יא/40] (תיקון מס' 14) תשמ"ב-1982 (תיקון מס' 23) תשמ"ח-1988 (תיקון מס' 78) תשס"ד-2004 צו תש"ע-2010</w:t>
      </w:r>
    </w:p>
    <w:p w14:paraId="32BEB6B2" w14:textId="77777777" w:rsidR="00DA043F" w:rsidRPr="00DA043F" w:rsidRDefault="00DA043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A043F">
        <w:rPr>
          <w:rFonts w:ascii="Miriam" w:eastAsia="Times New Roman" w:hAnsi="Miriam" w:cs="Miriam"/>
          <w:sz w:val="32"/>
          <w:szCs w:val="32"/>
          <w:rtl/>
          <w:lang w:val="en-US"/>
        </w:rPr>
        <w:t xml:space="preserve">77.  </w:t>
      </w:r>
      <w:r w:rsidRPr="00DA043F">
        <w:rPr>
          <w:rFonts w:ascii="FrankRuehl" w:eastAsia="Times New Roman" w:hAnsi="FrankRuehl" w:cs="FrankRuehl"/>
          <w:sz w:val="26"/>
          <w:szCs w:val="26"/>
          <w:rtl/>
          <w:lang w:val="en-US"/>
        </w:rPr>
        <w:t xml:space="preserve">(א)  הורשע אדם, רשאי בית המשפט לחייבו, </w:t>
      </w:r>
      <w:r w:rsidRPr="00DA043F">
        <w:rPr>
          <w:rFonts w:ascii="FrankRuehl" w:eastAsia="Times New Roman" w:hAnsi="FrankRuehl" w:cs="FrankRuehl"/>
          <w:b/>
          <w:bCs/>
          <w:color w:val="FF0000"/>
          <w:sz w:val="26"/>
          <w:szCs w:val="26"/>
          <w:u w:val="single"/>
          <w:rtl/>
          <w:lang w:val="en-US"/>
        </w:rPr>
        <w:t>בשל כל אחת</w:t>
      </w:r>
      <w:r w:rsidRPr="00DA043F">
        <w:rPr>
          <w:rFonts w:ascii="FrankRuehl" w:eastAsia="Times New Roman" w:hAnsi="FrankRuehl" w:cs="FrankRuehl"/>
          <w:color w:val="FF0000"/>
          <w:sz w:val="26"/>
          <w:szCs w:val="26"/>
          <w:rtl/>
          <w:lang w:val="en-US"/>
        </w:rPr>
        <w:t xml:space="preserve"> </w:t>
      </w:r>
      <w:r w:rsidRPr="00DA043F">
        <w:rPr>
          <w:rFonts w:ascii="FrankRuehl" w:eastAsia="Times New Roman" w:hAnsi="FrankRuehl" w:cs="FrankRuehl"/>
          <w:sz w:val="26"/>
          <w:szCs w:val="26"/>
          <w:rtl/>
          <w:lang w:val="en-US"/>
        </w:rPr>
        <w:t xml:space="preserve">מן העבירות שהורשע בהן, </w:t>
      </w:r>
      <w:r w:rsidRPr="00DA043F">
        <w:rPr>
          <w:rFonts w:ascii="FrankRuehl" w:eastAsia="Times New Roman" w:hAnsi="FrankRuehl" w:cs="FrankRuehl"/>
          <w:b/>
          <w:bCs/>
          <w:color w:val="FF0000"/>
          <w:sz w:val="26"/>
          <w:szCs w:val="26"/>
          <w:rtl/>
          <w:lang w:val="en-US"/>
        </w:rPr>
        <w:t>לשלם לאדם שניזוק על ידי העבירה</w:t>
      </w:r>
      <w:r w:rsidRPr="00DA043F">
        <w:rPr>
          <w:rFonts w:ascii="FrankRuehl" w:eastAsia="Times New Roman" w:hAnsi="FrankRuehl" w:cs="FrankRuehl"/>
          <w:color w:val="FF0000"/>
          <w:sz w:val="26"/>
          <w:szCs w:val="26"/>
          <w:rtl/>
          <w:lang w:val="en-US"/>
        </w:rPr>
        <w:t xml:space="preserve"> </w:t>
      </w:r>
      <w:r w:rsidRPr="00DA043F">
        <w:rPr>
          <w:rFonts w:ascii="FrankRuehl" w:eastAsia="Times New Roman" w:hAnsi="FrankRuehl" w:cs="FrankRuehl"/>
          <w:sz w:val="26"/>
          <w:szCs w:val="26"/>
          <w:rtl/>
          <w:lang w:val="en-US"/>
        </w:rPr>
        <w:t>סכום שלא יעלה על 258,000 שקלים חדשים לפיצוי הנזק או הסבל שנגרם לו.</w:t>
      </w:r>
    </w:p>
    <w:p w14:paraId="5973966A" w14:textId="77777777" w:rsidR="00DA043F" w:rsidRPr="00DA043F" w:rsidRDefault="00DA043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A043F">
        <w:rPr>
          <w:rFonts w:ascii="FrankRuehl" w:eastAsia="Times New Roman" w:hAnsi="FrankRuehl" w:cs="FrankRuehl"/>
          <w:sz w:val="26"/>
          <w:szCs w:val="26"/>
          <w:rtl/>
          <w:lang w:val="en-US"/>
        </w:rPr>
        <w:t>          (ב)  קביעת הפיצויים לפי סעיף זה תהא לפי ערך הנזק או הסבל שנגרמו, ביום ביצוע העבירה או ביום מתן ההחלטה על הפיצויים, הכל לפי הגדול יותר.</w:t>
      </w:r>
    </w:p>
    <w:p w14:paraId="425E52D9" w14:textId="1894FE53" w:rsidR="00DA043F" w:rsidRPr="00DA043F" w:rsidRDefault="00DA043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color w:val="7030A0"/>
          <w:sz w:val="24"/>
          <w:szCs w:val="24"/>
          <w:rtl/>
          <w:lang w:val="en-US"/>
        </w:rPr>
      </w:pPr>
      <w:r w:rsidRPr="00DA043F">
        <w:rPr>
          <w:rFonts w:ascii="FrankRuehl" w:eastAsia="Times New Roman" w:hAnsi="FrankRuehl" w:cs="FrankRuehl"/>
          <w:sz w:val="26"/>
          <w:szCs w:val="26"/>
          <w:rtl/>
          <w:lang w:val="en-US"/>
        </w:rPr>
        <w:t>          (ג)   לענין גביה, דין פיצויים לפי סעיף זה כדין קנס</w:t>
      </w:r>
      <w:r w:rsidR="00063B1C" w:rsidRPr="00063B1C">
        <w:rPr>
          <w:rtl/>
        </w:rPr>
        <w:t xml:space="preserve"> </w:t>
      </w:r>
      <w:r w:rsidR="00063B1C" w:rsidRPr="00063B1C">
        <w:rPr>
          <w:rFonts w:ascii="FrankRuehl" w:eastAsia="Times New Roman" w:hAnsi="FrankRuehl" w:cs="FrankRuehl"/>
          <w:color w:val="7030A0"/>
          <w:sz w:val="26"/>
          <w:szCs w:val="26"/>
          <w:rtl/>
          <w:lang w:val="en-US"/>
        </w:rPr>
        <w:t>[זה מסמיך את המרכז לגביית קנסות לגבות פיצויים לקורבנות שלא שולמו להם]</w:t>
      </w:r>
      <w:r w:rsidR="00063B1C" w:rsidRPr="00063B1C">
        <w:rPr>
          <w:rFonts w:ascii="FrankRuehl" w:eastAsia="Times New Roman" w:hAnsi="FrankRuehl" w:cs="FrankRuehl" w:hint="cs"/>
          <w:color w:val="7030A0"/>
          <w:sz w:val="26"/>
          <w:szCs w:val="26"/>
          <w:rtl/>
          <w:lang w:val="en-US"/>
        </w:rPr>
        <w:t xml:space="preserve"> </w:t>
      </w:r>
      <w:r w:rsidRPr="00DA043F">
        <w:rPr>
          <w:rFonts w:ascii="FrankRuehl" w:eastAsia="Times New Roman" w:hAnsi="FrankRuehl" w:cs="FrankRuehl"/>
          <w:sz w:val="26"/>
          <w:szCs w:val="26"/>
          <w:rtl/>
          <w:lang w:val="en-US"/>
        </w:rPr>
        <w:t>; סכום ששולם או נגבה על חשבון קנס שיש בצדו חובת פיצויים, ייזקף תחילה על חשבון הפיצויים.</w:t>
      </w:r>
      <w:r w:rsidR="006B61C1">
        <w:rPr>
          <w:rFonts w:ascii="Times New Roman" w:eastAsia="Times New Roman" w:hAnsi="Times New Roman" w:cs="Times New Roman" w:hint="cs"/>
          <w:sz w:val="24"/>
          <w:szCs w:val="24"/>
          <w:rtl/>
          <w:lang w:val="en-US"/>
        </w:rPr>
        <w:t xml:space="preserve"> </w:t>
      </w:r>
      <w:r w:rsidR="006B61C1" w:rsidRPr="006B61C1">
        <w:rPr>
          <w:rFonts w:ascii="Times New Roman" w:eastAsia="Times New Roman" w:hAnsi="Times New Roman" w:cs="Times New Roman"/>
          <w:color w:val="7030A0"/>
          <w:sz w:val="24"/>
          <w:szCs w:val="24"/>
          <w:rtl/>
          <w:lang w:val="en-US"/>
        </w:rPr>
        <w:t xml:space="preserve">קודם כל פיצויים ורק אחר כך אם יש כסף אז זה ילך לקנס. זה משפיע במצבים שנניח הוא משלם 100אש"ח ובפועל צריך לשלם 50אש"ח קנס וגם 200אש"ח פיצויים, קודם כל זה נכנס לפיצויים וזה לא נחשב שבכלל שילם את הקנס </w:t>
      </w:r>
      <w:r w:rsidR="006B61C1" w:rsidRPr="00BF3244">
        <w:rPr>
          <w:rFonts w:ascii="Times New Roman" w:eastAsia="Times New Roman" w:hAnsi="Times New Roman" w:cs="Times New Roman"/>
          <w:color w:val="FF0000"/>
          <w:sz w:val="24"/>
          <w:szCs w:val="24"/>
          <w:rtl/>
          <w:lang w:val="en-US"/>
        </w:rPr>
        <w:t>ולכן הוא ירצה מאסר בתמורה לקנס.</w:t>
      </w:r>
    </w:p>
    <w:p w14:paraId="379D2FB7" w14:textId="77777777" w:rsidR="00DA043F" w:rsidRPr="00DA043F" w:rsidRDefault="00DA043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A043F">
        <w:rPr>
          <w:rFonts w:ascii="Time New Roman" w:eastAsia="Times New Roman" w:hAnsi="Time New Roman" w:cs="Times New Roman"/>
          <w:b/>
          <w:bCs/>
          <w:color w:val="008000"/>
          <w:sz w:val="27"/>
          <w:szCs w:val="27"/>
          <w:rtl/>
          <w:lang w:val="en-US"/>
        </w:rPr>
        <w:t>(תיקון מס' 114) תשע"ב-2012</w:t>
      </w:r>
    </w:p>
    <w:p w14:paraId="243C5400" w14:textId="77777777" w:rsidR="00DA043F" w:rsidRPr="00DA043F" w:rsidRDefault="00DA043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DA043F">
        <w:rPr>
          <w:rFonts w:ascii="Times New Roman" w:eastAsia="Times New Roman" w:hAnsi="Times New Roman" w:cs="Times New Roman" w:hint="cs"/>
          <w:sz w:val="26"/>
          <w:szCs w:val="26"/>
          <w:rtl/>
          <w:lang w:val="en-US"/>
        </w:rPr>
        <w:t xml:space="preserve">         </w:t>
      </w:r>
      <w:r w:rsidRPr="00DA043F">
        <w:rPr>
          <w:rFonts w:ascii="FrankRuehl" w:eastAsia="Times New Roman" w:hAnsi="FrankRuehl" w:cs="FrankRuehl"/>
          <w:sz w:val="26"/>
          <w:szCs w:val="26"/>
          <w:rtl/>
          <w:lang w:val="en-US"/>
        </w:rPr>
        <w:t xml:space="preserve">(ד)  הורה בית משפט כי פיצוי שהנאשם חויב בו לפי סעיף זה ישולם לשיעורין, והנאשם לא שילם את אחד התשלומים במועדו, תעמוד יתרת החוב לפירעון </w:t>
      </w:r>
      <w:proofErr w:type="spellStart"/>
      <w:r w:rsidRPr="00DA043F">
        <w:rPr>
          <w:rFonts w:ascii="FrankRuehl" w:eastAsia="Times New Roman" w:hAnsi="FrankRuehl" w:cs="FrankRuehl"/>
          <w:sz w:val="26"/>
          <w:szCs w:val="26"/>
          <w:rtl/>
          <w:lang w:val="en-US"/>
        </w:rPr>
        <w:t>מיידי</w:t>
      </w:r>
      <w:proofErr w:type="spellEnd"/>
      <w:r w:rsidRPr="00DA043F">
        <w:rPr>
          <w:rFonts w:ascii="FrankRuehl" w:eastAsia="Times New Roman" w:hAnsi="FrankRuehl" w:cs="FrankRuehl"/>
          <w:sz w:val="26"/>
          <w:szCs w:val="26"/>
          <w:rtl/>
          <w:lang w:val="en-US"/>
        </w:rPr>
        <w:t>.</w:t>
      </w:r>
    </w:p>
    <w:p w14:paraId="4AEB2925" w14:textId="6DC9685A" w:rsidR="00DA043F" w:rsidRDefault="00DA043F" w:rsidP="008F05D0">
      <w:pPr>
        <w:bidi/>
        <w:spacing w:after="0" w:line="276" w:lineRule="auto"/>
        <w:contextualSpacing/>
        <w:jc w:val="both"/>
        <w:rPr>
          <w:rFonts w:ascii="Segoe UI" w:eastAsia="Times New Roman" w:hAnsi="Segoe UI" w:cs="Segoe UI"/>
          <w:color w:val="7030A0"/>
          <w:sz w:val="24"/>
          <w:szCs w:val="24"/>
          <w:rtl/>
          <w:lang w:val="en-US"/>
        </w:rPr>
      </w:pPr>
    </w:p>
    <w:p w14:paraId="5B60E87F" w14:textId="5C88A885" w:rsidR="00512C4F" w:rsidRDefault="00512C4F" w:rsidP="008F05D0">
      <w:pPr>
        <w:pStyle w:val="110"/>
        <w:spacing w:line="276" w:lineRule="auto"/>
        <w:rPr>
          <w:rtl/>
        </w:rPr>
      </w:pPr>
      <w:r>
        <w:rPr>
          <w:rFonts w:hint="cs"/>
          <w:rtl/>
        </w:rPr>
        <w:t>האם הפיצויים הם עונש פלילי או 'פיצוי אזרחי'?</w:t>
      </w:r>
    </w:p>
    <w:p w14:paraId="623505CF" w14:textId="77777777" w:rsidR="00F55F68" w:rsidRPr="004F6FD8" w:rsidRDefault="00F55F68" w:rsidP="008F05D0">
      <w:pPr>
        <w:pStyle w:val="ab"/>
        <w:numPr>
          <w:ilvl w:val="0"/>
          <w:numId w:val="76"/>
        </w:numPr>
        <w:bidi/>
        <w:spacing w:after="0" w:line="276" w:lineRule="auto"/>
        <w:jc w:val="both"/>
        <w:rPr>
          <w:rFonts w:ascii="Segoe UI" w:eastAsia="Times New Roman" w:hAnsi="Segoe UI" w:cs="Segoe UI"/>
          <w:rtl/>
          <w:lang w:val="en-US"/>
        </w:rPr>
      </w:pPr>
      <w:r w:rsidRPr="004F6FD8">
        <w:rPr>
          <w:rFonts w:ascii="Segoe UI" w:eastAsia="Times New Roman" w:hAnsi="Segoe UI" w:cs="Segoe UI"/>
          <w:rtl/>
          <w:lang w:val="en-US"/>
        </w:rPr>
        <w:t>דפנה ברק ארז – "נקודת המוצא לדיון היא שהפיצוי הנפסק על-פי סעיף 77 לחוק הוא פיצוי אזרחי, ולא עונשי." (</w:t>
      </w:r>
      <w:r w:rsidRPr="004F6FD8">
        <w:rPr>
          <w:rFonts w:ascii="Segoe UI" w:eastAsia="Times New Roman" w:hAnsi="Segoe UI" w:cs="Segoe UI"/>
          <w:highlight w:val="yellow"/>
          <w:rtl/>
          <w:lang w:val="en-US"/>
        </w:rPr>
        <w:t xml:space="preserve">פס"ד </w:t>
      </w:r>
      <w:proofErr w:type="spellStart"/>
      <w:r w:rsidRPr="004F6FD8">
        <w:rPr>
          <w:rFonts w:ascii="Segoe UI" w:eastAsia="Times New Roman" w:hAnsi="Segoe UI" w:cs="Segoe UI"/>
          <w:highlight w:val="yellow"/>
          <w:rtl/>
          <w:lang w:val="en-US"/>
        </w:rPr>
        <w:t>טווק</w:t>
      </w:r>
      <w:proofErr w:type="spellEnd"/>
      <w:r w:rsidRPr="004F6FD8">
        <w:rPr>
          <w:rFonts w:ascii="Segoe UI" w:eastAsia="Times New Roman" w:hAnsi="Segoe UI" w:cs="Segoe UI"/>
          <w:rtl/>
          <w:lang w:val="en-US"/>
        </w:rPr>
        <w:t>)</w:t>
      </w:r>
    </w:p>
    <w:p w14:paraId="272CD235" w14:textId="77777777" w:rsidR="00F55F68" w:rsidRPr="004F6FD8" w:rsidRDefault="00F55F68" w:rsidP="008F05D0">
      <w:pPr>
        <w:pStyle w:val="ab"/>
        <w:numPr>
          <w:ilvl w:val="0"/>
          <w:numId w:val="76"/>
        </w:numPr>
        <w:bidi/>
        <w:spacing w:after="0" w:line="276" w:lineRule="auto"/>
        <w:jc w:val="both"/>
        <w:rPr>
          <w:rFonts w:ascii="Segoe UI" w:eastAsia="Times New Roman" w:hAnsi="Segoe UI" w:cs="Segoe UI"/>
          <w:rtl/>
          <w:lang w:val="en-US"/>
        </w:rPr>
      </w:pPr>
      <w:r w:rsidRPr="004F6FD8">
        <w:rPr>
          <w:rFonts w:ascii="Segoe UI" w:eastAsia="Times New Roman" w:hAnsi="Segoe UI" w:cs="Segoe UI"/>
          <w:b/>
          <w:bCs/>
          <w:rtl/>
          <w:lang w:val="en-US"/>
        </w:rPr>
        <w:t>בעבר</w:t>
      </w:r>
      <w:r w:rsidRPr="004F6FD8">
        <w:rPr>
          <w:rFonts w:ascii="Segoe UI" w:eastAsia="Times New Roman" w:hAnsi="Segoe UI" w:cs="Segoe UI"/>
          <w:rtl/>
          <w:lang w:val="en-US"/>
        </w:rPr>
        <w:t xml:space="preserve"> – נעשה שימוש יחסית מועט בעונש של "פיצויים" (זה לא נתפס כחלק מעשיית הפרקליטות; הפריע להסדרי טיעון; "לכו להליך אזרחי")</w:t>
      </w:r>
    </w:p>
    <w:p w14:paraId="2DA44513" w14:textId="125839C7" w:rsidR="00926B7F" w:rsidRPr="0060616D" w:rsidRDefault="00F55F68" w:rsidP="008F05D0">
      <w:pPr>
        <w:pStyle w:val="ab"/>
        <w:bidi/>
        <w:spacing w:after="0" w:line="276" w:lineRule="auto"/>
        <w:ind w:left="360"/>
        <w:jc w:val="both"/>
        <w:rPr>
          <w:rFonts w:ascii="Segoe UI" w:eastAsia="Times New Roman" w:hAnsi="Segoe UI" w:cs="Segoe UI"/>
          <w:rtl/>
          <w:lang w:val="en-US"/>
        </w:rPr>
      </w:pPr>
      <w:r w:rsidRPr="004F6FD8">
        <w:rPr>
          <w:rFonts w:ascii="Segoe UI" w:eastAsia="Times New Roman" w:hAnsi="Segoe UI" w:cs="Segoe UI"/>
          <w:b/>
          <w:bCs/>
          <w:rtl/>
          <w:lang w:val="en-US"/>
        </w:rPr>
        <w:t>היום</w:t>
      </w:r>
      <w:r w:rsidRPr="004F6FD8">
        <w:rPr>
          <w:rFonts w:ascii="Segoe UI" w:eastAsia="Times New Roman" w:hAnsi="Segoe UI" w:cs="Segoe UI"/>
          <w:rtl/>
          <w:lang w:val="en-US"/>
        </w:rPr>
        <w:t xml:space="preserve"> – חוק זכויות נפגעי עבירה שינה את "הטון</w:t>
      </w:r>
      <w:r w:rsidRPr="004F6FD8">
        <w:rPr>
          <w:rFonts w:ascii="Segoe UI" w:eastAsia="Times New Roman" w:hAnsi="Segoe UI" w:cs="Segoe UI"/>
          <w:lang w:val="en-US"/>
        </w:rPr>
        <w:t>"</w:t>
      </w:r>
      <w:r w:rsidR="004F6FD8">
        <w:rPr>
          <w:rFonts w:ascii="Segoe UI" w:eastAsia="Times New Roman" w:hAnsi="Segoe UI" w:cs="Segoe UI" w:hint="cs"/>
          <w:rtl/>
          <w:lang w:val="en-US"/>
        </w:rPr>
        <w:t xml:space="preserve">, </w:t>
      </w:r>
      <w:r w:rsidRPr="004F6FD8">
        <w:rPr>
          <w:rFonts w:ascii="Segoe UI" w:eastAsia="Times New Roman" w:hAnsi="Segoe UI" w:cs="Segoe UI"/>
          <w:rtl/>
          <w:lang w:val="en-US"/>
        </w:rPr>
        <w:t>הפיצויים הפכו להיות כלי נפוץ.</w:t>
      </w:r>
    </w:p>
    <w:p w14:paraId="08BA86C2" w14:textId="02CBA5EB" w:rsidR="00926B7F" w:rsidRPr="00926B7F" w:rsidRDefault="00926B7F" w:rsidP="008F05D0">
      <w:pPr>
        <w:pStyle w:val="ab"/>
        <w:numPr>
          <w:ilvl w:val="0"/>
          <w:numId w:val="76"/>
        </w:numPr>
        <w:bidi/>
        <w:spacing w:after="0" w:line="276" w:lineRule="auto"/>
        <w:jc w:val="both"/>
        <w:rPr>
          <w:rFonts w:ascii="Segoe UI" w:eastAsia="Times New Roman" w:hAnsi="Segoe UI" w:cs="Segoe UI"/>
          <w:rtl/>
          <w:lang w:val="en-US"/>
        </w:rPr>
      </w:pPr>
      <w:r w:rsidRPr="00926B7F">
        <w:rPr>
          <w:rFonts w:ascii="Segoe UI" w:eastAsia="Times New Roman" w:hAnsi="Segoe UI" w:cs="Segoe UI"/>
          <w:rtl/>
          <w:lang w:val="en-US"/>
        </w:rPr>
        <w:t>בחלק ממדינות העולם (גרמניה) – מקום שבו העבריין לא מפצה את נפגע העבירה – "המדינה נכנסת בנעליו" (משלמת במקום)</w:t>
      </w:r>
      <w:r w:rsidRPr="00926B7F">
        <w:rPr>
          <w:rFonts w:ascii="Segoe UI" w:eastAsia="Times New Roman" w:hAnsi="Segoe UI" w:cs="Segoe UI"/>
          <w:lang w:val="en-US"/>
        </w:rPr>
        <w:t>.</w:t>
      </w:r>
      <w:r w:rsidR="003F50E8">
        <w:rPr>
          <w:rFonts w:ascii="Segoe UI" w:eastAsia="Times New Roman" w:hAnsi="Segoe UI" w:cs="Segoe UI" w:hint="cs"/>
          <w:rtl/>
          <w:lang w:val="en-US"/>
        </w:rPr>
        <w:t xml:space="preserve"> </w:t>
      </w:r>
      <w:r w:rsidR="003F50E8">
        <w:rPr>
          <w:rFonts w:ascii="Segoe UI" w:eastAsia="Times New Roman" w:hAnsi="Segoe UI" w:cs="Segoe UI" w:hint="cs"/>
          <w:color w:val="7030A0"/>
          <w:rtl/>
          <w:lang w:val="en-US"/>
        </w:rPr>
        <w:t xml:space="preserve">זה מאוד נפוץ בעבירות אידיאולוגיות כמו טרור וכו'. </w:t>
      </w:r>
    </w:p>
    <w:p w14:paraId="5A87D4F7" w14:textId="23AB2641" w:rsidR="00926B7F" w:rsidRDefault="00926B7F" w:rsidP="008F05D0">
      <w:pPr>
        <w:pStyle w:val="ab"/>
        <w:numPr>
          <w:ilvl w:val="0"/>
          <w:numId w:val="76"/>
        </w:numPr>
        <w:bidi/>
        <w:spacing w:after="0" w:line="276" w:lineRule="auto"/>
        <w:jc w:val="both"/>
        <w:rPr>
          <w:rFonts w:ascii="Segoe UI" w:eastAsia="Times New Roman" w:hAnsi="Segoe UI" w:cs="Segoe UI"/>
          <w:lang w:val="en-US"/>
        </w:rPr>
      </w:pPr>
      <w:r w:rsidRPr="00926B7F">
        <w:rPr>
          <w:rFonts w:ascii="Segoe UI" w:eastAsia="Times New Roman" w:hAnsi="Segoe UI" w:cs="Segoe UI"/>
          <w:rtl/>
          <w:lang w:val="en-US"/>
        </w:rPr>
        <w:lastRenderedPageBreak/>
        <w:t xml:space="preserve">מוסדות האיחוד האירופי הנחו את המדינות החברות להעביר חוקים שונים בנושאי נפגעי עבירה (חקיקה שתדאג לטיפול ופיצוי במקרה שהעבריין לא נתפס). </w:t>
      </w:r>
      <w:r w:rsidR="008F6115">
        <w:rPr>
          <w:rFonts w:ascii="Segoe UI" w:eastAsia="Times New Roman" w:hAnsi="Segoe UI" w:cs="Segoe UI" w:hint="cs"/>
          <w:color w:val="7030A0"/>
          <w:rtl/>
          <w:lang w:val="en-US"/>
        </w:rPr>
        <w:t xml:space="preserve">יש הרבה עבירות שאי אפשר לדעת לדוג' מי פגע </w:t>
      </w:r>
      <w:r w:rsidR="008F6115">
        <w:rPr>
          <w:rFonts w:ascii="Segoe UI" w:eastAsia="Times New Roman" w:hAnsi="Segoe UI" w:cs="Segoe UI"/>
          <w:color w:val="7030A0"/>
          <w:rtl/>
          <w:lang w:val="en-US"/>
        </w:rPr>
        <w:t>–</w:t>
      </w:r>
      <w:r w:rsidR="008F6115">
        <w:rPr>
          <w:rFonts w:ascii="Segoe UI" w:eastAsia="Times New Roman" w:hAnsi="Segoe UI" w:cs="Segoe UI" w:hint="cs"/>
          <w:color w:val="7030A0"/>
          <w:rtl/>
          <w:lang w:val="en-US"/>
        </w:rPr>
        <w:t xml:space="preserve"> נניח עבירות סייבר של פריצה </w:t>
      </w:r>
      <w:r w:rsidR="00B34D6B">
        <w:rPr>
          <w:rFonts w:ascii="Segoe UI" w:eastAsia="Times New Roman" w:hAnsi="Segoe UI" w:cs="Segoe UI" w:hint="cs"/>
          <w:color w:val="7030A0"/>
          <w:rtl/>
          <w:lang w:val="en-US"/>
        </w:rPr>
        <w:t xml:space="preserve">לחשבונות או דברים כאלה. </w:t>
      </w:r>
    </w:p>
    <w:p w14:paraId="3B539F6F" w14:textId="0A0FDA75" w:rsidR="00926B7F" w:rsidRDefault="00926B7F" w:rsidP="008F05D0">
      <w:pPr>
        <w:bidi/>
        <w:spacing w:after="0" w:line="276" w:lineRule="auto"/>
        <w:jc w:val="both"/>
        <w:rPr>
          <w:rFonts w:ascii="Segoe UI" w:eastAsia="Times New Roman" w:hAnsi="Segoe UI" w:cs="Segoe UI"/>
          <w:rtl/>
          <w:lang w:val="en-US"/>
        </w:rPr>
      </w:pPr>
    </w:p>
    <w:p w14:paraId="17AA0B7C" w14:textId="374AA0F8" w:rsidR="00926B7F" w:rsidRPr="00926B7F" w:rsidRDefault="00926B7F" w:rsidP="008F05D0">
      <w:pPr>
        <w:pStyle w:val="110"/>
        <w:spacing w:line="276" w:lineRule="auto"/>
        <w:rPr>
          <w:rtl/>
        </w:rPr>
      </w:pPr>
      <w:r w:rsidRPr="00926B7F">
        <w:rPr>
          <w:rtl/>
        </w:rPr>
        <w:t>פיצויים – מגמות אחרונות</w:t>
      </w:r>
    </w:p>
    <w:p w14:paraId="71874546" w14:textId="31678796" w:rsidR="00926B7F" w:rsidRPr="00926B7F" w:rsidRDefault="00926B7F" w:rsidP="008F05D0">
      <w:pPr>
        <w:pStyle w:val="ab"/>
        <w:numPr>
          <w:ilvl w:val="0"/>
          <w:numId w:val="77"/>
        </w:numPr>
        <w:bidi/>
        <w:spacing w:after="0" w:line="276" w:lineRule="auto"/>
        <w:jc w:val="both"/>
        <w:rPr>
          <w:rFonts w:ascii="Segoe UI" w:eastAsia="Times New Roman" w:hAnsi="Segoe UI" w:cs="Segoe UI"/>
          <w:rtl/>
          <w:lang w:val="en-US"/>
        </w:rPr>
      </w:pPr>
      <w:r w:rsidRPr="00926B7F">
        <w:rPr>
          <w:rFonts w:ascii="Segoe UI" w:eastAsia="Times New Roman" w:hAnsi="Segoe UI" w:cs="Segoe UI"/>
          <w:rtl/>
          <w:lang w:val="en-US"/>
        </w:rPr>
        <w:t>מתן פיצוי כספי מהמרכז לגביית קנסות לקטין נפגע עבירה; תקנות המרכז לגביית קנסות, אגרות והוצאות (פיצוי לקטין שניזוק מעבירה), תשע"ג-2012</w:t>
      </w:r>
      <w:r w:rsidRPr="00926B7F">
        <w:rPr>
          <w:rFonts w:ascii="Segoe UI" w:eastAsia="Times New Roman" w:hAnsi="Segoe UI" w:cs="Segoe UI"/>
          <w:lang w:val="en-US"/>
        </w:rPr>
        <w:t>.</w:t>
      </w:r>
      <w:r w:rsidR="00B34D6B">
        <w:rPr>
          <w:rFonts w:ascii="Segoe UI" w:eastAsia="Times New Roman" w:hAnsi="Segoe UI" w:cs="Segoe UI" w:hint="cs"/>
          <w:rtl/>
          <w:lang w:val="en-US"/>
        </w:rPr>
        <w:t xml:space="preserve"> </w:t>
      </w:r>
      <w:r w:rsidR="00B34D6B">
        <w:rPr>
          <w:rFonts w:ascii="Segoe UI" w:eastAsia="Times New Roman" w:hAnsi="Segoe UI" w:cs="Segoe UI" w:hint="cs"/>
          <w:color w:val="7030A0"/>
          <w:rtl/>
          <w:lang w:val="en-US"/>
        </w:rPr>
        <w:t xml:space="preserve">צריך לשים לב שמדובר רק בקטינים! </w:t>
      </w:r>
    </w:p>
    <w:p w14:paraId="2A0A3581" w14:textId="3054AB8E" w:rsidR="00FE71AA" w:rsidRDefault="00926B7F" w:rsidP="008F05D0">
      <w:pPr>
        <w:pStyle w:val="ab"/>
        <w:numPr>
          <w:ilvl w:val="0"/>
          <w:numId w:val="77"/>
        </w:numPr>
        <w:bidi/>
        <w:spacing w:after="0" w:line="276" w:lineRule="auto"/>
        <w:jc w:val="both"/>
        <w:rPr>
          <w:rFonts w:ascii="Segoe UI" w:eastAsia="Times New Roman" w:hAnsi="Segoe UI" w:cs="Segoe UI"/>
          <w:lang w:val="en-US"/>
        </w:rPr>
      </w:pPr>
      <w:r w:rsidRPr="00926B7F">
        <w:rPr>
          <w:rFonts w:ascii="Segoe UI" w:eastAsia="Times New Roman" w:hAnsi="Segoe UI" w:cs="Segoe UI"/>
          <w:rtl/>
          <w:lang w:val="en-US"/>
        </w:rPr>
        <w:t xml:space="preserve">פיצויים לנפגעי עבירה כאשר הוטל על הנאשם שירות לתועלת הציבור ללא הרשעה. </w:t>
      </w:r>
    </w:p>
    <w:p w14:paraId="0BD853FD" w14:textId="331C1089" w:rsidR="00FE71AA" w:rsidRDefault="00926B7F" w:rsidP="008F05D0">
      <w:pPr>
        <w:pStyle w:val="ab"/>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0" w:right="363"/>
        <w:jc w:val="center"/>
        <w:rPr>
          <w:rFonts w:ascii="Segoe UI" w:eastAsia="Times New Roman" w:hAnsi="Segoe UI" w:cs="Segoe UI"/>
          <w:color w:val="7030A0"/>
          <w:rtl/>
          <w:lang w:val="en-US"/>
        </w:rPr>
      </w:pPr>
      <w:r w:rsidRPr="00217A86">
        <w:rPr>
          <w:rFonts w:ascii="Segoe UI" w:eastAsia="Times New Roman" w:hAnsi="Segoe UI" w:cs="Segoe UI"/>
          <w:highlight w:val="yellow"/>
          <w:rtl/>
          <w:lang w:val="en-US"/>
        </w:rPr>
        <w:t xml:space="preserve">רע"פ 2976/01 </w:t>
      </w:r>
      <w:r w:rsidRPr="00217A86">
        <w:rPr>
          <w:rFonts w:ascii="Segoe UI" w:eastAsia="Times New Roman" w:hAnsi="Segoe UI" w:cs="Segoe UI"/>
          <w:b/>
          <w:bCs/>
          <w:highlight w:val="yellow"/>
          <w:rtl/>
          <w:lang w:val="en-US"/>
        </w:rPr>
        <w:t>אסף נ' מדינת ישראל</w:t>
      </w:r>
    </w:p>
    <w:p w14:paraId="6D79753B" w14:textId="5D1F597A" w:rsidR="00926B7F" w:rsidRDefault="006148FD" w:rsidP="008F05D0">
      <w:pPr>
        <w:pStyle w:val="ab"/>
        <w:pBdr>
          <w:top w:val="single" w:sz="4" w:space="1" w:color="auto"/>
          <w:left w:val="single" w:sz="4" w:space="4" w:color="auto"/>
          <w:bottom w:val="single" w:sz="4" w:space="1" w:color="auto"/>
          <w:right w:val="single" w:sz="4" w:space="4" w:color="auto"/>
        </w:pBdr>
        <w:bidi/>
        <w:spacing w:after="0" w:line="276" w:lineRule="auto"/>
        <w:ind w:left="360" w:right="363"/>
        <w:jc w:val="both"/>
        <w:rPr>
          <w:rFonts w:ascii="Segoe UI" w:eastAsia="Times New Roman" w:hAnsi="Segoe UI" w:cs="Segoe UI"/>
          <w:rtl/>
          <w:lang w:val="en-US"/>
        </w:rPr>
      </w:pPr>
      <w:r w:rsidRPr="00FE71AA">
        <w:rPr>
          <w:rFonts w:ascii="Segoe UI" w:eastAsia="Times New Roman" w:hAnsi="Segoe UI" w:cs="Segoe UI" w:hint="cs"/>
          <w:color w:val="7030A0"/>
          <w:rtl/>
          <w:lang w:val="en-US"/>
        </w:rPr>
        <w:t xml:space="preserve">בעצם אומר העבריין איך אתם נותנים לי רכיב פיצויים אם לא הרשעתם אותי. </w:t>
      </w:r>
      <w:r w:rsidR="00FE71AA" w:rsidRPr="00FE71AA">
        <w:rPr>
          <w:rFonts w:ascii="Segoe UI" w:eastAsia="Times New Roman" w:hAnsi="Segoe UI" w:cs="Segoe UI" w:hint="cs"/>
          <w:color w:val="7030A0"/>
          <w:rtl/>
          <w:lang w:val="en-US"/>
        </w:rPr>
        <w:t xml:space="preserve">הדיון בפס"ד הוא מאוד מורכב וביהמ"ש מעדיף בסופו של דבר את האינטרס של פיצוי נפגע העבירה. כלומר, גם אם מדובר בעבריין שלא הורשע [בדרך כלל בקטינים, אנשים שזה ממש יפגע בעבודתם והעבירה ממש קלה יחסית]. בעצם פס"ד קובע שגם אם אין הרשעה פלילית עדיין ניתן לגזור פיצויים. זה לא כל כך פשוט כי זה לא מסתדר מבחינת ההיגיון אבל זה מה שביהמ"ש בעצם קובע. </w:t>
      </w:r>
    </w:p>
    <w:p w14:paraId="576F2850" w14:textId="0CCF7382" w:rsidR="000243FC" w:rsidRDefault="00F12DBB" w:rsidP="008F05D0">
      <w:pPr>
        <w:pStyle w:val="ab"/>
        <w:pBdr>
          <w:top w:val="single" w:sz="4" w:space="1" w:color="auto"/>
          <w:left w:val="single" w:sz="4" w:space="4" w:color="auto"/>
          <w:bottom w:val="single" w:sz="4" w:space="1" w:color="auto"/>
          <w:right w:val="single" w:sz="4" w:space="4" w:color="auto"/>
        </w:pBdr>
        <w:bidi/>
        <w:spacing w:after="0" w:line="276" w:lineRule="auto"/>
        <w:ind w:left="360" w:right="363"/>
        <w:jc w:val="both"/>
        <w:rPr>
          <w:rFonts w:ascii="Segoe UI" w:eastAsia="Times New Roman" w:hAnsi="Segoe UI" w:cs="Segoe UI"/>
          <w:rtl/>
          <w:lang w:val="en-US"/>
        </w:rPr>
      </w:pPr>
      <w:bookmarkStart w:id="36" w:name="DOCUMENT_TITLE"/>
      <w:r>
        <w:rPr>
          <w:rFonts w:ascii="Segoe UI" w:hAnsi="Segoe UI" w:cs="Segoe UI" w:hint="cs"/>
          <w:sz w:val="18"/>
          <w:rtl/>
        </w:rPr>
        <w:t>"</w:t>
      </w:r>
      <w:r w:rsidR="000243FC" w:rsidRPr="000243FC">
        <w:rPr>
          <w:rFonts w:ascii="Segoe UI" w:hAnsi="Segoe UI" w:cs="Segoe UI"/>
          <w:sz w:val="18"/>
          <w:rtl/>
        </w:rPr>
        <w:t>השאלה נושא הערעור היא אם מוסמך בית</w:t>
      </w:r>
      <w:r w:rsidR="000243FC" w:rsidRPr="000243FC">
        <w:rPr>
          <w:rFonts w:ascii="Segoe UI" w:hAnsi="Segoe UI" w:cs="Segoe UI"/>
          <w:vertAlign w:val="superscript"/>
          <w:rtl/>
        </w:rPr>
        <w:t>-</w:t>
      </w:r>
      <w:r w:rsidR="000243FC" w:rsidRPr="000243FC">
        <w:rPr>
          <w:rFonts w:ascii="Segoe UI" w:hAnsi="Segoe UI" w:cs="Segoe UI"/>
          <w:sz w:val="18"/>
          <w:rtl/>
        </w:rPr>
        <w:t>המשפט להורות על תשלום פיצוי לניזוק לפי סעיף 77 ל</w:t>
      </w:r>
      <w:hyperlink r:id="rId31" w:tgtFrame="blank" w:history="1">
        <w:r w:rsidR="000243FC" w:rsidRPr="000243FC">
          <w:rPr>
            <w:rStyle w:val="Hyperlink"/>
            <w:rFonts w:ascii="Segoe UI" w:hAnsi="Segoe UI" w:cs="Segoe UI"/>
            <w:sz w:val="18"/>
            <w:rtl/>
          </w:rPr>
          <w:t>חוק העונשין</w:t>
        </w:r>
      </w:hyperlink>
      <w:r w:rsidR="000243FC" w:rsidRPr="000243FC">
        <w:rPr>
          <w:rFonts w:ascii="Segoe UI" w:hAnsi="Segoe UI" w:cs="Segoe UI"/>
          <w:sz w:val="18"/>
          <w:rtl/>
        </w:rPr>
        <w:t>, תשל"ז-1977 (להלן – החוק), כאשר הוטל על הנאשם צו שירות לתועלת הציבור</w:t>
      </w:r>
      <w:r w:rsidR="000243FC" w:rsidRPr="000243FC">
        <w:rPr>
          <w:rFonts w:ascii="Segoe UI" w:hAnsi="Segoe UI" w:cs="Segoe UI"/>
        </w:rPr>
        <w:t xml:space="preserve"> </w:t>
      </w:r>
      <w:r w:rsidR="000243FC" w:rsidRPr="000243FC">
        <w:rPr>
          <w:rFonts w:ascii="Segoe UI" w:hAnsi="Segoe UI" w:cs="Segoe UI"/>
          <w:sz w:val="18"/>
          <w:rtl/>
        </w:rPr>
        <w:t>ללא הרשעה. במסגרת ההכרעה בשאלה דן בית</w:t>
      </w:r>
      <w:r w:rsidR="000243FC" w:rsidRPr="000243FC">
        <w:rPr>
          <w:rFonts w:ascii="Segoe UI" w:hAnsi="Segoe UI" w:cs="Segoe UI"/>
          <w:vertAlign w:val="superscript"/>
          <w:rtl/>
        </w:rPr>
        <w:t>-</w:t>
      </w:r>
      <w:r w:rsidR="000243FC" w:rsidRPr="000243FC">
        <w:rPr>
          <w:rFonts w:ascii="Segoe UI" w:hAnsi="Segoe UI" w:cs="Segoe UI"/>
          <w:sz w:val="18"/>
          <w:rtl/>
        </w:rPr>
        <w:t>המשפט בסוגיית אופיו של הפיצוי מכוח סעיף 77 לחוק</w:t>
      </w:r>
      <w:r w:rsidR="000243FC" w:rsidRPr="000243FC">
        <w:rPr>
          <w:rFonts w:ascii="Segoe UI" w:hAnsi="Segoe UI" w:cs="Segoe UI"/>
          <w:rtl/>
        </w:rPr>
        <w:t>:</w:t>
      </w:r>
      <w:r w:rsidR="000243FC" w:rsidRPr="000243FC">
        <w:rPr>
          <w:rFonts w:ascii="Segoe UI" w:hAnsi="Segoe UI" w:cs="Segoe UI"/>
          <w:sz w:val="18"/>
          <w:rtl/>
        </w:rPr>
        <w:t xml:space="preserve"> האם עונש או תרופה אזרחית.</w:t>
      </w:r>
      <w:bookmarkEnd w:id="36"/>
    </w:p>
    <w:p w14:paraId="60E74D50" w14:textId="2D2D6A3B" w:rsidR="000243FC" w:rsidRPr="00F12DBB" w:rsidRDefault="00F12DBB" w:rsidP="008F05D0">
      <w:pPr>
        <w:pStyle w:val="ab"/>
        <w:pBdr>
          <w:top w:val="single" w:sz="4" w:space="1" w:color="auto"/>
          <w:left w:val="single" w:sz="4" w:space="4" w:color="auto"/>
          <w:bottom w:val="single" w:sz="4" w:space="1" w:color="auto"/>
          <w:right w:val="single" w:sz="4" w:space="4" w:color="auto"/>
        </w:pBdr>
        <w:bidi/>
        <w:spacing w:line="276" w:lineRule="auto"/>
        <w:ind w:left="360" w:right="363"/>
        <w:jc w:val="both"/>
        <w:rPr>
          <w:rFonts w:ascii="Segoe UI" w:eastAsia="Times New Roman" w:hAnsi="Segoe UI" w:cs="Segoe UI"/>
          <w:rtl/>
          <w:lang w:val="en-US"/>
        </w:rPr>
      </w:pPr>
      <w:r>
        <w:rPr>
          <w:rFonts w:ascii="Segoe UI" w:eastAsia="Times New Roman" w:hAnsi="Segoe UI" w:cs="Segoe UI" w:hint="cs"/>
          <w:rtl/>
          <w:lang w:val="en-US"/>
        </w:rPr>
        <w:t>...</w:t>
      </w:r>
      <w:r w:rsidRPr="00F12DBB">
        <w:rPr>
          <w:rFonts w:ascii="Segoe UI" w:eastAsia="Times New Roman" w:hAnsi="Segoe UI" w:cs="Segoe UI"/>
          <w:rtl/>
          <w:lang w:val="en-US"/>
        </w:rPr>
        <w:t>הבחירה שלא להרשיע את הנאשם משקפת את בחירת בית</w:t>
      </w:r>
      <w:r w:rsidRPr="00F12DBB">
        <w:rPr>
          <w:rFonts w:ascii="Segoe UI" w:eastAsia="Times New Roman" w:hAnsi="Segoe UI" w:cs="Segoe UI"/>
          <w:vertAlign w:val="superscript"/>
        </w:rPr>
        <w:t>-</w:t>
      </w:r>
      <w:r w:rsidRPr="00F12DBB">
        <w:rPr>
          <w:rFonts w:ascii="Segoe UI" w:eastAsia="Times New Roman" w:hAnsi="Segoe UI" w:cs="Segoe UI"/>
          <w:rtl/>
          <w:lang w:val="en-US"/>
        </w:rPr>
        <w:t xml:space="preserve">המשפט לנקוט בעניינו אמצעי שיקום חלף הסנקציות </w:t>
      </w:r>
      <w:proofErr w:type="spellStart"/>
      <w:r w:rsidRPr="00F12DBB">
        <w:rPr>
          <w:rFonts w:ascii="Segoe UI" w:eastAsia="Times New Roman" w:hAnsi="Segoe UI" w:cs="Segoe UI"/>
          <w:rtl/>
          <w:lang w:val="en-US"/>
        </w:rPr>
        <w:t>התגמוליות</w:t>
      </w:r>
      <w:proofErr w:type="spellEnd"/>
      <w:r w:rsidRPr="00F12DBB">
        <w:rPr>
          <w:rFonts w:ascii="Segoe UI" w:eastAsia="Times New Roman" w:hAnsi="Segoe UI" w:cs="Segoe UI"/>
          <w:rtl/>
          <w:lang w:val="en-US"/>
        </w:rPr>
        <w:t>. בהיעדר הרשעה גוברת יד האמצעים המתקנים – המבחן ועבודות השירות, ובין האמצעים האלה אך טבעי הוא לכלול את החיוב בפיצוי הנפגע. במקרים מסוימים אף עשויה ההחלטה לחייבו בתשלום פיצויים לנפגע להקל על הבחירה שלא להרשיעו</w:t>
      </w:r>
      <w:r>
        <w:rPr>
          <w:rFonts w:ascii="Segoe UI" w:eastAsia="Times New Roman" w:hAnsi="Segoe UI" w:cs="Segoe UI" w:hint="cs"/>
          <w:rtl/>
          <w:lang w:val="en-US"/>
        </w:rPr>
        <w:t>"</w:t>
      </w:r>
      <w:r w:rsidR="00CE0A56">
        <w:rPr>
          <w:rFonts w:ascii="Segoe UI" w:eastAsia="Times New Roman" w:hAnsi="Segoe UI" w:cs="Segoe UI" w:hint="cs"/>
          <w:rtl/>
          <w:lang w:val="en-US"/>
        </w:rPr>
        <w:t>.</w:t>
      </w:r>
    </w:p>
    <w:p w14:paraId="0869F402" w14:textId="77777777" w:rsidR="005D146D" w:rsidRDefault="005D146D" w:rsidP="008F05D0">
      <w:pPr>
        <w:pStyle w:val="ab"/>
        <w:bidi/>
        <w:spacing w:before="160" w:after="0" w:line="276" w:lineRule="auto"/>
        <w:ind w:left="360"/>
        <w:jc w:val="both"/>
        <w:rPr>
          <w:rFonts w:ascii="Segoe UI" w:eastAsia="Times New Roman" w:hAnsi="Segoe UI" w:cs="Segoe UI"/>
          <w:lang w:val="en-US"/>
        </w:rPr>
      </w:pPr>
    </w:p>
    <w:p w14:paraId="33474D22" w14:textId="5166F096" w:rsidR="00737D8C" w:rsidRDefault="00926B7F" w:rsidP="008F05D0">
      <w:pPr>
        <w:pStyle w:val="ab"/>
        <w:numPr>
          <w:ilvl w:val="0"/>
          <w:numId w:val="77"/>
        </w:numPr>
        <w:bidi/>
        <w:spacing w:before="160" w:after="0" w:line="276" w:lineRule="auto"/>
        <w:jc w:val="both"/>
        <w:rPr>
          <w:rFonts w:ascii="Segoe UI" w:eastAsia="Times New Roman" w:hAnsi="Segoe UI" w:cs="Segoe UI"/>
          <w:lang w:val="en-US"/>
        </w:rPr>
      </w:pPr>
      <w:r w:rsidRPr="00926B7F">
        <w:rPr>
          <w:rFonts w:ascii="Segoe UI" w:eastAsia="Times New Roman" w:hAnsi="Segoe UI" w:cs="Segoe UI"/>
          <w:rtl/>
          <w:lang w:val="en-US"/>
        </w:rPr>
        <w:t xml:space="preserve">פיצוי לנפגעי עבירה גם במקרה שהצדדים בחרו לוותר עליו </w:t>
      </w:r>
    </w:p>
    <w:p w14:paraId="135EBBC8" w14:textId="3A0C547B" w:rsidR="006431BA" w:rsidRDefault="00926B7F" w:rsidP="008F05D0">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eastAsia="Times New Roman" w:hAnsi="Segoe UI" w:cs="Segoe UI"/>
          <w:rtl/>
          <w:lang w:val="en-US"/>
        </w:rPr>
      </w:pPr>
      <w:r w:rsidRPr="00217A86">
        <w:rPr>
          <w:rFonts w:ascii="Segoe UI" w:eastAsia="Times New Roman" w:hAnsi="Segoe UI" w:cs="Segoe UI"/>
          <w:highlight w:val="yellow"/>
          <w:rtl/>
          <w:lang w:val="en-US"/>
        </w:rPr>
        <w:t xml:space="preserve">ע"פ 5289/17 </w:t>
      </w:r>
      <w:proofErr w:type="spellStart"/>
      <w:r w:rsidRPr="00217A86">
        <w:rPr>
          <w:rFonts w:ascii="Segoe UI" w:eastAsia="Times New Roman" w:hAnsi="Segoe UI" w:cs="Segoe UI"/>
          <w:b/>
          <w:bCs/>
          <w:highlight w:val="yellow"/>
          <w:rtl/>
          <w:lang w:val="en-US"/>
        </w:rPr>
        <w:t>חסארמה</w:t>
      </w:r>
      <w:proofErr w:type="spellEnd"/>
      <w:r w:rsidRPr="00217A86">
        <w:rPr>
          <w:rFonts w:ascii="Segoe UI" w:eastAsia="Times New Roman" w:hAnsi="Segoe UI" w:cs="Segoe UI"/>
          <w:b/>
          <w:bCs/>
          <w:highlight w:val="yellow"/>
          <w:rtl/>
          <w:lang w:val="en-US"/>
        </w:rPr>
        <w:t xml:space="preserve"> נ' מדינת ישראל</w:t>
      </w:r>
    </w:p>
    <w:p w14:paraId="0713DCD2" w14:textId="7552D1AA" w:rsidR="00737D8C" w:rsidRPr="00737D8C" w:rsidRDefault="00737D8C"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eastAsia="Times New Roman" w:hAnsi="Segoe UI" w:cs="Segoe UI"/>
          <w:rtl/>
          <w:lang w:val="en-US"/>
        </w:rPr>
      </w:pPr>
      <w:r>
        <w:rPr>
          <w:rFonts w:ascii="Segoe UI" w:hAnsi="Segoe UI" w:cs="Segoe UI" w:hint="cs"/>
          <w:rtl/>
        </w:rPr>
        <w:t>"</w:t>
      </w:r>
      <w:r w:rsidRPr="00737D8C">
        <w:rPr>
          <w:rFonts w:ascii="Segoe UI" w:hAnsi="Segoe UI" w:cs="Segoe UI"/>
          <w:rtl/>
        </w:rPr>
        <w:t>לצד האמור, בית המשפט המחוזי הנכבד קבע כי יכולותיו הכלכליות של העבריין אינן מהוות שיקול בקביעת שיעור הפיצוי לטובת משפחת המנוח. ואכן סכום הפיצוי נתון לשיקול דעת בית המשפט ואין הוא מוגבל לסכום שנקצב על-ידי הצדדים, גם אם בחרו "לוותר" עליו. אם נאמר אחרת</w:t>
      </w:r>
      <w:r w:rsidRPr="00737D8C">
        <w:rPr>
          <w:rFonts w:ascii="Segoe UI" w:hAnsi="Segoe UI" w:cs="Segoe UI"/>
        </w:rPr>
        <w:t xml:space="preserve"> – </w:t>
      </w:r>
      <w:r w:rsidRPr="00737D8C">
        <w:rPr>
          <w:rFonts w:ascii="Segoe UI" w:hAnsi="Segoe UI" w:cs="Segoe UI"/>
          <w:rtl/>
        </w:rPr>
        <w:t xml:space="preserve">יאוין כוחו של בית המשפט לפי </w:t>
      </w:r>
      <w:hyperlink r:id="rId32" w:tgtFrame="blank" w:history="1">
        <w:r w:rsidRPr="00737D8C">
          <w:rPr>
            <w:rStyle w:val="Hyperlink"/>
            <w:rFonts w:ascii="Segoe UI" w:hAnsi="Segoe UI" w:cs="Segoe UI"/>
            <w:rtl/>
          </w:rPr>
          <w:t>סעיף 77</w:t>
        </w:r>
      </w:hyperlink>
      <w:r w:rsidRPr="00737D8C">
        <w:rPr>
          <w:rFonts w:ascii="Segoe UI" w:hAnsi="Segoe UI" w:cs="Segoe UI"/>
        </w:rPr>
        <w:t xml:space="preserve"> </w:t>
      </w:r>
      <w:r w:rsidRPr="00737D8C">
        <w:rPr>
          <w:rFonts w:ascii="Segoe UI" w:hAnsi="Segoe UI" w:cs="Segoe UI"/>
          <w:rtl/>
        </w:rPr>
        <w:t>ל</w:t>
      </w:r>
      <w:hyperlink r:id="rId33" w:tgtFrame="blank" w:history="1">
        <w:r w:rsidRPr="00737D8C">
          <w:rPr>
            <w:rStyle w:val="Hyperlink"/>
            <w:rFonts w:ascii="Segoe UI" w:hAnsi="Segoe UI" w:cs="Segoe UI"/>
            <w:rtl/>
          </w:rPr>
          <w:t>חוק העונשין</w:t>
        </w:r>
      </w:hyperlink>
      <w:r w:rsidRPr="00737D8C">
        <w:rPr>
          <w:rFonts w:ascii="Segoe UI" w:hAnsi="Segoe UI" w:cs="Segoe UI"/>
        </w:rPr>
        <w:t xml:space="preserve">, </w:t>
      </w:r>
      <w:r w:rsidRPr="00737D8C">
        <w:rPr>
          <w:rFonts w:ascii="Segoe UI" w:hAnsi="Segoe UI" w:cs="Segoe UI"/>
          <w:rtl/>
        </w:rPr>
        <w:t>ובנושא זה כמו גם בשאלות של ביטול תלונה והפסקת הליכים – אין רשויות האכיפה ובתי המשפט תלויים ברצונם הבלעדי של הצדדים</w:t>
      </w:r>
      <w:r>
        <w:rPr>
          <w:rFonts w:ascii="Segoe UI" w:hAnsi="Segoe UI" w:cs="Segoe UI" w:hint="cs"/>
          <w:rtl/>
        </w:rPr>
        <w:t>"</w:t>
      </w:r>
    </w:p>
    <w:p w14:paraId="3D0571DB" w14:textId="77777777" w:rsidR="005D146D" w:rsidRDefault="005D146D" w:rsidP="008F05D0">
      <w:pPr>
        <w:bidi/>
        <w:spacing w:after="0" w:line="276" w:lineRule="auto"/>
        <w:jc w:val="both"/>
        <w:rPr>
          <w:rFonts w:ascii="Segoe UI" w:eastAsia="Times New Roman" w:hAnsi="Segoe UI" w:cs="Segoe UI"/>
          <w:rtl/>
          <w:lang w:val="en-US"/>
        </w:rPr>
      </w:pPr>
    </w:p>
    <w:p w14:paraId="69079400" w14:textId="0B2703C5" w:rsidR="006431BA" w:rsidRDefault="006431BA" w:rsidP="008F05D0">
      <w:pPr>
        <w:pStyle w:val="110"/>
        <w:spacing w:line="276" w:lineRule="auto"/>
        <w:rPr>
          <w:rtl/>
        </w:rPr>
      </w:pPr>
      <w:r w:rsidRPr="006431BA">
        <w:rPr>
          <w:rtl/>
        </w:rPr>
        <w:t>פס"ד מרכזיים בתחום פיצויים</w:t>
      </w:r>
    </w:p>
    <w:p w14:paraId="72C85BA7" w14:textId="0B7113A0" w:rsidR="00C86F45" w:rsidRPr="00C86F45" w:rsidRDefault="00C86F45" w:rsidP="008F05D0">
      <w:pPr>
        <w:pStyle w:val="110"/>
        <w:spacing w:line="276" w:lineRule="auto"/>
        <w:rPr>
          <w:b w:val="0"/>
          <w:bCs w:val="0"/>
          <w:u w:val="none"/>
          <w:rtl/>
        </w:rPr>
      </w:pPr>
      <w:r w:rsidRPr="00C86F45">
        <w:rPr>
          <w:rFonts w:eastAsia="Times New Roman"/>
          <w:b w:val="0"/>
          <w:bCs w:val="0"/>
          <w:u w:val="none"/>
          <w:rtl/>
        </w:rPr>
        <w:t>ניתן לחייב בפיצוי גם על עבירה שנוגעת לתאונת דרכים, למרות ייחוד העילה שבחוק הפיצוי לנפגעי תאונות דרכים</w:t>
      </w:r>
    </w:p>
    <w:p w14:paraId="004AFBB5" w14:textId="78D0E885" w:rsidR="001852DF" w:rsidRDefault="001852DF" w:rsidP="008F05D0">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eastAsia="Times New Roman" w:hAnsi="Segoe UI" w:cs="Segoe UI"/>
          <w:rtl/>
          <w:lang w:val="en-US"/>
        </w:rPr>
      </w:pPr>
      <w:r w:rsidRPr="00217A86">
        <w:rPr>
          <w:rFonts w:ascii="Segoe UI" w:eastAsia="Times New Roman" w:hAnsi="Segoe UI" w:cs="Segoe UI"/>
          <w:highlight w:val="yellow"/>
          <w:rtl/>
          <w:lang w:val="en-US"/>
        </w:rPr>
        <w:t xml:space="preserve">ע"פ 3753/11 </w:t>
      </w:r>
      <w:r w:rsidRPr="00217A86">
        <w:rPr>
          <w:rFonts w:ascii="Segoe UI" w:eastAsia="Times New Roman" w:hAnsi="Segoe UI" w:cs="Segoe UI"/>
          <w:b/>
          <w:bCs/>
          <w:highlight w:val="yellow"/>
          <w:rtl/>
          <w:lang w:val="en-US"/>
        </w:rPr>
        <w:t>חדר</w:t>
      </w:r>
      <w:r w:rsidR="00AE2CAC" w:rsidRPr="00217A86">
        <w:rPr>
          <w:rFonts w:ascii="Segoe UI" w:eastAsia="Times New Roman" w:hAnsi="Segoe UI" w:cs="Segoe UI" w:hint="cs"/>
          <w:b/>
          <w:bCs/>
          <w:highlight w:val="yellow"/>
          <w:rtl/>
          <w:lang w:val="en-US"/>
        </w:rPr>
        <w:t xml:space="preserve"> נ' מדינת ישראל</w:t>
      </w:r>
    </w:p>
    <w:p w14:paraId="62C5A81A" w14:textId="0EE7D31E" w:rsidR="006431BA" w:rsidRPr="001852DF" w:rsidRDefault="000334B7"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eastAsia="Times New Roman" w:hAnsi="Segoe UI" w:cs="Segoe UI"/>
          <w:rtl/>
          <w:lang w:val="en-US"/>
        </w:rPr>
      </w:pPr>
      <w:r w:rsidRPr="001852DF">
        <w:rPr>
          <w:rFonts w:ascii="Segoe UI" w:eastAsia="Times New Roman" w:hAnsi="Segoe UI" w:cs="Segoe UI" w:hint="cs"/>
          <w:color w:val="7030A0"/>
          <w:rtl/>
          <w:lang w:val="en-US"/>
        </w:rPr>
        <w:t>מה קורה במצב שבו יש מצד אחד עבריין פלילי ומצד שני גם את ייחוד העילה?</w:t>
      </w:r>
      <w:r w:rsidRPr="001852DF">
        <w:rPr>
          <w:rFonts w:ascii="Segoe UI" w:eastAsia="Times New Roman" w:hAnsi="Segoe UI" w:cs="Segoe UI" w:hint="cs"/>
          <w:color w:val="7030A0"/>
          <w:lang w:val="en-US"/>
        </w:rPr>
        <w:t xml:space="preserve"> </w:t>
      </w:r>
      <w:r w:rsidRPr="001852DF">
        <w:rPr>
          <w:rFonts w:ascii="Segoe UI" w:eastAsia="Times New Roman" w:hAnsi="Segoe UI" w:cs="Segoe UI" w:hint="cs"/>
          <w:color w:val="7030A0"/>
          <w:rtl/>
          <w:lang w:val="en-US"/>
        </w:rPr>
        <w:t xml:space="preserve"> לדוג' אני נוסע בכביש ויש עבריין תנועה שחוצה באדום ונכנס בי, הוא אשם והוא ביצע עבירה פלילית. אני תובע את הביטוח שלי ומקבל כסף. מתנהל הליך פלילי נגד העבריין </w:t>
      </w:r>
      <w:r w:rsidRPr="001852DF">
        <w:rPr>
          <w:rFonts w:ascii="Segoe UI" w:eastAsia="Times New Roman" w:hAnsi="Segoe UI" w:cs="Segoe UI"/>
          <w:color w:val="7030A0"/>
          <w:rtl/>
          <w:lang w:val="en-US"/>
        </w:rPr>
        <w:t>–</w:t>
      </w:r>
      <w:r w:rsidRPr="001852DF">
        <w:rPr>
          <w:rFonts w:ascii="Segoe UI" w:eastAsia="Times New Roman" w:hAnsi="Segoe UI" w:cs="Segoe UI" w:hint="cs"/>
          <w:color w:val="7030A0"/>
          <w:rtl/>
          <w:lang w:val="en-US"/>
        </w:rPr>
        <w:t xml:space="preserve"> האם יש אפשרות לפסוק לי פיצויים בהליך הפלילי?</w:t>
      </w:r>
      <w:r w:rsidRPr="001852DF">
        <w:rPr>
          <w:rFonts w:ascii="Segoe UI" w:eastAsia="Times New Roman" w:hAnsi="Segoe UI" w:cs="Segoe UI" w:hint="cs"/>
          <w:color w:val="7030A0"/>
          <w:lang w:val="en-US"/>
        </w:rPr>
        <w:t xml:space="preserve"> </w:t>
      </w:r>
      <w:r w:rsidR="00EE1F68" w:rsidRPr="001852DF">
        <w:rPr>
          <w:rFonts w:ascii="Segoe UI" w:eastAsia="Times New Roman" w:hAnsi="Segoe UI" w:cs="Segoe UI" w:hint="cs"/>
          <w:color w:val="7030A0"/>
          <w:rtl/>
          <w:lang w:val="en-US"/>
        </w:rPr>
        <w:t xml:space="preserve">התשובה לשאלה הזאת כן. התשובה הזאת סותרת את ייחוד העילה בדיני הנזיקין אבל ביהמ"ש אומר שזה לא סותר כי הוא מעדיך את נפגעי העבירה. אפשר לקבל גם כסף מהביטוח וגם פיצויים במשפט הפלילי. </w:t>
      </w:r>
    </w:p>
    <w:p w14:paraId="24793B53" w14:textId="77777777" w:rsidR="00B278D5" w:rsidRDefault="00B278D5" w:rsidP="008F05D0">
      <w:pPr>
        <w:bidi/>
        <w:spacing w:after="0" w:line="276" w:lineRule="auto"/>
        <w:jc w:val="both"/>
        <w:rPr>
          <w:rFonts w:ascii="Segoe UI" w:eastAsia="Times New Roman" w:hAnsi="Segoe UI" w:cs="Segoe UI"/>
          <w:rtl/>
          <w:lang w:val="en-US"/>
        </w:rPr>
      </w:pPr>
    </w:p>
    <w:p w14:paraId="11C22577" w14:textId="28501D1A" w:rsidR="001852DF" w:rsidRDefault="006431BA" w:rsidP="008F05D0">
      <w:pPr>
        <w:bidi/>
        <w:spacing w:after="0" w:line="276" w:lineRule="auto"/>
        <w:jc w:val="both"/>
        <w:rPr>
          <w:rFonts w:ascii="Segoe UI" w:eastAsia="Times New Roman" w:hAnsi="Segoe UI" w:cs="Segoe UI"/>
          <w:rtl/>
          <w:lang w:val="en-US"/>
        </w:rPr>
      </w:pPr>
      <w:r w:rsidRPr="001852DF">
        <w:rPr>
          <w:rFonts w:ascii="Segoe UI" w:eastAsia="Times New Roman" w:hAnsi="Segoe UI" w:cs="Segoe UI"/>
          <w:rtl/>
          <w:lang w:val="en-US"/>
        </w:rPr>
        <w:t>תביעה אזרחית של הנפגע אינה מונעת פסיקה של פיצוי לנפגע העבירה בהליך הפלילי אולם יתחשבו בכך</w:t>
      </w:r>
      <w:r w:rsidR="00E85F0F">
        <w:rPr>
          <w:rFonts w:ascii="Segoe UI" w:eastAsia="Times New Roman" w:hAnsi="Segoe UI" w:cs="Segoe UI" w:hint="cs"/>
          <w:rtl/>
          <w:lang w:val="en-US"/>
        </w:rPr>
        <w:t>:</w:t>
      </w:r>
    </w:p>
    <w:p w14:paraId="3788180C" w14:textId="47416F71" w:rsidR="00187676" w:rsidRDefault="006431BA" w:rsidP="008F05D0">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eastAsia="Times New Roman" w:hAnsi="Segoe UI" w:cs="Segoe UI"/>
          <w:rtl/>
          <w:lang w:val="en-US"/>
        </w:rPr>
      </w:pPr>
      <w:r w:rsidRPr="00217A86">
        <w:rPr>
          <w:rFonts w:ascii="Segoe UI" w:eastAsia="Times New Roman" w:hAnsi="Segoe UI" w:cs="Segoe UI"/>
          <w:highlight w:val="yellow"/>
          <w:rtl/>
          <w:lang w:val="en-US"/>
        </w:rPr>
        <w:t xml:space="preserve">רע"פ  228/05 </w:t>
      </w:r>
      <w:proofErr w:type="spellStart"/>
      <w:r w:rsidRPr="00217A86">
        <w:rPr>
          <w:rFonts w:ascii="Segoe UI" w:eastAsia="Times New Roman" w:hAnsi="Segoe UI" w:cs="Segoe UI"/>
          <w:b/>
          <w:bCs/>
          <w:highlight w:val="yellow"/>
          <w:rtl/>
          <w:lang w:val="en-US"/>
        </w:rPr>
        <w:t>יאוגדייב</w:t>
      </w:r>
      <w:proofErr w:type="spellEnd"/>
      <w:r w:rsidR="00EE1F68" w:rsidRPr="00217A86">
        <w:rPr>
          <w:rFonts w:ascii="Segoe UI" w:eastAsia="Times New Roman" w:hAnsi="Segoe UI" w:cs="Segoe UI" w:hint="cs"/>
          <w:b/>
          <w:bCs/>
          <w:highlight w:val="yellow"/>
          <w:rtl/>
          <w:lang w:val="en-US"/>
        </w:rPr>
        <w:t xml:space="preserve"> </w:t>
      </w:r>
      <w:r w:rsidR="004D38EB" w:rsidRPr="00217A86">
        <w:rPr>
          <w:rFonts w:ascii="Segoe UI" w:eastAsia="Times New Roman" w:hAnsi="Segoe UI" w:cs="Segoe UI" w:hint="cs"/>
          <w:b/>
          <w:bCs/>
          <w:highlight w:val="yellow"/>
          <w:rtl/>
          <w:lang w:val="en-US"/>
        </w:rPr>
        <w:t>נ' מדינת ישראל</w:t>
      </w:r>
    </w:p>
    <w:p w14:paraId="17653495" w14:textId="54629732" w:rsidR="006431BA" w:rsidRPr="00187676" w:rsidRDefault="00EE1F68"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eastAsia="Times New Roman" w:hAnsi="Segoe UI" w:cs="Segoe UI"/>
          <w:color w:val="7030A0"/>
          <w:rtl/>
          <w:lang w:val="en-US"/>
        </w:rPr>
      </w:pPr>
      <w:r w:rsidRPr="00187676">
        <w:rPr>
          <w:rFonts w:ascii="Segoe UI" w:eastAsia="Times New Roman" w:hAnsi="Segoe UI" w:cs="Segoe UI" w:hint="cs"/>
          <w:color w:val="7030A0"/>
          <w:rtl/>
          <w:lang w:val="en-US"/>
        </w:rPr>
        <w:lastRenderedPageBreak/>
        <w:t>מה קורה במצב שבו אדם מתנהל נגדו הליך פלילי ובנוסף יש תביעה אזרחית נגררת. יש גם הליך פלילי וגם הליך אזרחי. הנאשם אומר בהליך הפלילי שהוא כבר תובע אותו בהליך אזרחי והוא יכול להוציא ממני שם כסף</w:t>
      </w:r>
      <w:r w:rsidR="001852DF" w:rsidRPr="00187676">
        <w:rPr>
          <w:rFonts w:ascii="Segoe UI" w:eastAsia="Times New Roman" w:hAnsi="Segoe UI" w:cs="Segoe UI" w:hint="cs"/>
          <w:color w:val="7030A0"/>
          <w:rtl/>
          <w:lang w:val="en-US"/>
        </w:rPr>
        <w:t xml:space="preserve"> אז למה שאשלם כסף גם בהליך הפלילי. ביהמ"ש אומר שהוא בעצם לא יודע מה יהיה בתביעה האזרחית והוא לא כבול לכך </w:t>
      </w:r>
      <w:r w:rsidR="00187676">
        <w:rPr>
          <w:rFonts w:ascii="Segoe UI" w:eastAsia="Times New Roman" w:hAnsi="Segoe UI" w:cs="Segoe UI" w:hint="cs"/>
          <w:color w:val="7030A0"/>
          <w:rtl/>
          <w:lang w:val="en-US"/>
        </w:rPr>
        <w:t>שהוא הגיש נגדך תביעה אזרחית. ביהמ"ש פוסל פיצויים שהוא חושב שסבירים וראויים בתיק הפלילי ואם התובע באזרחי יזכה, אולי יקזזו אולי לא, בכל מקרה אין קשר בין התביעות.</w:t>
      </w:r>
    </w:p>
    <w:p w14:paraId="64C461FF" w14:textId="77777777" w:rsidR="001852DF" w:rsidRDefault="001852DF" w:rsidP="008F05D0">
      <w:pPr>
        <w:bidi/>
        <w:spacing w:after="0" w:line="276" w:lineRule="auto"/>
        <w:jc w:val="both"/>
        <w:rPr>
          <w:rFonts w:ascii="Segoe UI" w:eastAsia="Times New Roman" w:hAnsi="Segoe UI" w:cs="Segoe UI"/>
          <w:rtl/>
          <w:lang w:val="en-US"/>
        </w:rPr>
      </w:pPr>
    </w:p>
    <w:p w14:paraId="03D10C05" w14:textId="3467C04F" w:rsidR="00F04818" w:rsidRDefault="006431BA" w:rsidP="008F05D0">
      <w:pPr>
        <w:bidi/>
        <w:spacing w:after="0" w:line="276" w:lineRule="auto"/>
        <w:jc w:val="both"/>
        <w:rPr>
          <w:rFonts w:ascii="Segoe UI" w:eastAsia="Times New Roman" w:hAnsi="Segoe UI" w:cs="Segoe UI"/>
          <w:rtl/>
          <w:lang w:val="en-US"/>
        </w:rPr>
      </w:pPr>
      <w:r w:rsidRPr="001852DF">
        <w:rPr>
          <w:rFonts w:ascii="Segoe UI" w:eastAsia="Times New Roman" w:hAnsi="Segoe UI" w:cs="Segoe UI"/>
          <w:rtl/>
          <w:lang w:val="en-US"/>
        </w:rPr>
        <w:t>תקרת הפיצויים בחוק הוא 258,000 שקלים. התקרה לנאשם ולא לכל נפגע בנפרד</w:t>
      </w:r>
    </w:p>
    <w:p w14:paraId="157F813E" w14:textId="555E436D" w:rsidR="002D7DCE" w:rsidRDefault="002D7DCE" w:rsidP="008F05D0">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eastAsia="Times New Roman" w:hAnsi="Segoe UI" w:cs="Segoe UI"/>
          <w:rtl/>
          <w:lang w:val="en-US"/>
        </w:rPr>
      </w:pPr>
      <w:proofErr w:type="spellStart"/>
      <w:r w:rsidRPr="00217A86">
        <w:rPr>
          <w:rFonts w:ascii="Segoe UI" w:eastAsia="Times New Roman" w:hAnsi="Segoe UI" w:cs="Segoe UI"/>
          <w:highlight w:val="yellow"/>
          <w:rtl/>
          <w:lang w:val="en-US"/>
        </w:rPr>
        <w:t>דנ"פ</w:t>
      </w:r>
      <w:proofErr w:type="spellEnd"/>
      <w:r w:rsidRPr="00217A86">
        <w:rPr>
          <w:rFonts w:ascii="Segoe UI" w:eastAsia="Times New Roman" w:hAnsi="Segoe UI" w:cs="Segoe UI"/>
          <w:highlight w:val="yellow"/>
          <w:rtl/>
          <w:lang w:val="en-US"/>
        </w:rPr>
        <w:t xml:space="preserve"> 5625/16 </w:t>
      </w:r>
      <w:proofErr w:type="spellStart"/>
      <w:r w:rsidRPr="00217A86">
        <w:rPr>
          <w:rFonts w:ascii="Segoe UI" w:eastAsia="Times New Roman" w:hAnsi="Segoe UI" w:cs="Segoe UI"/>
          <w:b/>
          <w:bCs/>
          <w:highlight w:val="yellow"/>
          <w:rtl/>
          <w:lang w:val="en-US"/>
        </w:rPr>
        <w:t>אסרף</w:t>
      </w:r>
      <w:proofErr w:type="spellEnd"/>
      <w:r w:rsidRPr="00217A86">
        <w:rPr>
          <w:rFonts w:ascii="Segoe UI" w:eastAsia="Times New Roman" w:hAnsi="Segoe UI" w:cs="Segoe UI"/>
          <w:b/>
          <w:bCs/>
          <w:highlight w:val="yellow"/>
          <w:rtl/>
          <w:lang w:val="en-US"/>
        </w:rPr>
        <w:t xml:space="preserve"> נ' </w:t>
      </w:r>
      <w:proofErr w:type="spellStart"/>
      <w:r w:rsidRPr="00217A86">
        <w:rPr>
          <w:rFonts w:ascii="Segoe UI" w:eastAsia="Times New Roman" w:hAnsi="Segoe UI" w:cs="Segoe UI"/>
          <w:b/>
          <w:bCs/>
          <w:highlight w:val="yellow"/>
          <w:rtl/>
          <w:lang w:val="en-US"/>
        </w:rPr>
        <w:t>טווק</w:t>
      </w:r>
      <w:proofErr w:type="spellEnd"/>
      <w:r w:rsidRPr="00217A86">
        <w:rPr>
          <w:rFonts w:ascii="Segoe UI" w:eastAsia="Times New Roman" w:hAnsi="Segoe UI" w:cs="Segoe UI"/>
          <w:b/>
          <w:bCs/>
          <w:highlight w:val="yellow"/>
          <w:rtl/>
          <w:lang w:val="en-US"/>
        </w:rPr>
        <w:t xml:space="preserve"> בוקובזה</w:t>
      </w:r>
    </w:p>
    <w:p w14:paraId="3343738C" w14:textId="56C6004F" w:rsidR="001852DF" w:rsidRPr="002D7DCE" w:rsidRDefault="005324B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eastAsia="Times New Roman" w:hAnsi="Segoe UI" w:cs="Segoe UI"/>
          <w:rtl/>
          <w:lang w:val="en-US"/>
        </w:rPr>
      </w:pPr>
      <w:r>
        <w:rPr>
          <w:rFonts w:ascii="Segoe UI" w:eastAsia="Times New Roman" w:hAnsi="Segoe UI" w:cs="Segoe UI" w:hint="cs"/>
          <w:rtl/>
          <w:lang w:val="en-US"/>
        </w:rPr>
        <w:t>"</w:t>
      </w:r>
      <w:r w:rsidR="002D7DCE" w:rsidRPr="002D7DCE">
        <w:rPr>
          <w:rFonts w:ascii="Segoe UI" w:eastAsia="Times New Roman" w:hAnsi="Segoe UI" w:cs="Segoe UI"/>
          <w:rtl/>
          <w:lang w:val="en-US"/>
        </w:rPr>
        <w:t>במסגרת דיון נוסף נקבע ברוב דעות כי יש להרחיב את מעגל הזכאים לפיצוי בהליך הפלילי מכוח סעיף 77 לחוק העונשין כך שיכלול גם ניזוקים עקיפים שהם בני משפחה מדרגה ראשונה ובכל סוגי העבירות (ולא בעבירת המתה בלבד). סכום הפיצוי שניזוקים אלה זכאים לקבל, כולם יחד, יוגבל לכדי סכום התקרה הסטטוטורית הקבועה בסעיף (258,000 ₪).</w:t>
      </w:r>
      <w:r>
        <w:rPr>
          <w:rFonts w:ascii="Segoe UI" w:eastAsia="Times New Roman" w:hAnsi="Segoe UI" w:cs="Segoe UI" w:hint="cs"/>
          <w:rtl/>
          <w:lang w:val="en-US"/>
        </w:rPr>
        <w:t>"</w:t>
      </w:r>
    </w:p>
    <w:p w14:paraId="38CC9DDA" w14:textId="77777777" w:rsidR="002D7DCE" w:rsidRPr="002D7DCE" w:rsidRDefault="002D7DCE" w:rsidP="008F05D0">
      <w:pPr>
        <w:bidi/>
        <w:spacing w:after="0" w:line="276" w:lineRule="auto"/>
        <w:jc w:val="both"/>
        <w:rPr>
          <w:rFonts w:ascii="Segoe UI" w:eastAsia="Times New Roman" w:hAnsi="Segoe UI" w:cs="Segoe UI"/>
          <w:rtl/>
        </w:rPr>
      </w:pPr>
    </w:p>
    <w:p w14:paraId="02B215DA" w14:textId="77777777" w:rsidR="009E6624" w:rsidRDefault="006431BA" w:rsidP="008F05D0">
      <w:pPr>
        <w:bidi/>
        <w:spacing w:after="0" w:line="276" w:lineRule="auto"/>
        <w:jc w:val="both"/>
        <w:rPr>
          <w:rFonts w:ascii="Segoe UI" w:eastAsia="Times New Roman" w:hAnsi="Segoe UI" w:cs="Segoe UI"/>
          <w:rtl/>
          <w:lang w:val="en-US"/>
        </w:rPr>
      </w:pPr>
      <w:r w:rsidRPr="001852DF">
        <w:rPr>
          <w:rFonts w:ascii="Segoe UI" w:eastAsia="Times New Roman" w:hAnsi="Segoe UI" w:cs="Segoe UI"/>
          <w:rtl/>
          <w:lang w:val="en-US"/>
        </w:rPr>
        <w:t xml:space="preserve">יכולתו הכלכלית של הנאשם אינה נלקחת בחשבון בקביעת גובה הפיצוי </w:t>
      </w:r>
    </w:p>
    <w:p w14:paraId="06B21FE4" w14:textId="4ED6FA60" w:rsidR="00B278D5" w:rsidRPr="00B278D5" w:rsidRDefault="00B278D5" w:rsidP="008F05D0">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eastAsia="Times New Roman" w:hAnsi="Segoe UI" w:cs="Segoe UI"/>
          <w:rtl/>
          <w:lang w:val="en-US"/>
        </w:rPr>
      </w:pPr>
      <w:r w:rsidRPr="00217A86">
        <w:rPr>
          <w:rFonts w:ascii="Segoe UI" w:eastAsia="Times New Roman" w:hAnsi="Segoe UI" w:cs="Segoe UI"/>
          <w:highlight w:val="yellow"/>
          <w:rtl/>
          <w:lang w:val="en-US"/>
        </w:rPr>
        <w:t xml:space="preserve">ע"פ 5761/05 </w:t>
      </w:r>
      <w:proofErr w:type="spellStart"/>
      <w:r w:rsidRPr="00217A86">
        <w:rPr>
          <w:rFonts w:ascii="Segoe UI" w:eastAsia="Times New Roman" w:hAnsi="Segoe UI" w:cs="Segoe UI"/>
          <w:b/>
          <w:bCs/>
          <w:highlight w:val="yellow"/>
          <w:rtl/>
          <w:lang w:val="en-US"/>
        </w:rPr>
        <w:t>מג'דלאוי</w:t>
      </w:r>
      <w:proofErr w:type="spellEnd"/>
      <w:r w:rsidRPr="00217A86">
        <w:rPr>
          <w:rFonts w:ascii="Segoe UI" w:eastAsia="Times New Roman" w:hAnsi="Segoe UI" w:cs="Segoe UI"/>
          <w:b/>
          <w:bCs/>
          <w:highlight w:val="yellow"/>
          <w:rtl/>
          <w:lang w:val="en-US"/>
        </w:rPr>
        <w:t xml:space="preserve"> נ' מדינת ישראל</w:t>
      </w:r>
      <w:r w:rsidRPr="00B278D5">
        <w:rPr>
          <w:rFonts w:ascii="Segoe UI" w:eastAsia="Times New Roman" w:hAnsi="Segoe UI" w:cs="Segoe UI"/>
          <w:rtl/>
          <w:lang w:val="en-US"/>
        </w:rPr>
        <w:t xml:space="preserve"> </w:t>
      </w:r>
    </w:p>
    <w:p w14:paraId="4CE05894" w14:textId="6D16EB26" w:rsidR="009E6624" w:rsidRPr="005324B2" w:rsidRDefault="005324B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eastAsia="Times New Roman" w:hAnsi="Segoe UI" w:cs="Segoe UI"/>
          <w:sz w:val="18"/>
          <w:szCs w:val="18"/>
          <w:rtl/>
        </w:rPr>
      </w:pPr>
      <w:r>
        <w:rPr>
          <w:rFonts w:ascii="Segoe UI" w:hAnsi="Segoe UI" w:cs="Segoe UI" w:hint="cs"/>
          <w:rtl/>
        </w:rPr>
        <w:t>"</w:t>
      </w:r>
      <w:r w:rsidR="009E6624" w:rsidRPr="009E6624">
        <w:rPr>
          <w:rFonts w:ascii="Segoe UI" w:hAnsi="Segoe UI" w:cs="Segoe UI"/>
          <w:rtl/>
        </w:rPr>
        <w:t xml:space="preserve">לגוף הדברים, אין הסכום קשור מטבעו ביכולתו הכלכלית של החייב, כשם שבמשפט אזרחי אין </w:t>
      </w:r>
      <w:proofErr w:type="spellStart"/>
      <w:r w:rsidR="009E6624" w:rsidRPr="009E6624">
        <w:rPr>
          <w:rFonts w:ascii="Segoe UI" w:hAnsi="Segoe UI" w:cs="Segoe UI"/>
          <w:rtl/>
        </w:rPr>
        <w:t>בודקין</w:t>
      </w:r>
      <w:proofErr w:type="spellEnd"/>
      <w:r w:rsidR="009E6624" w:rsidRPr="009E6624">
        <w:rPr>
          <w:rFonts w:ascii="Segoe UI" w:hAnsi="Segoe UI" w:cs="Segoe UI"/>
          <w:rtl/>
        </w:rPr>
        <w:t xml:space="preserve"> בקביעת חיוב את יכולתו של החייב, ובהליך אזרחי דבר אחרון זה הוא עניין להוצאה לפועל לענות בו; ולכן הנושא שהעלה בא כוחו המלומד של המערער כעיקר טיעונו, קרי, אי יכולתו הכלכלית של שולחו, אינו יכול לשמש אמת מידה. לכאורה, ואיני מדבר דווקא במקרה דנא, תיתכן סיטואציה שבה ייפסק סכום שבשעת פסיקתו אין החייב יכול לעמוד בו, ולימים ישתפר מצבו הכלכלי אם מהשתכרות ואם ממקור אחר, ויכולתו תשתנה. צדק בא כוח המשפחה בציינו, כי בהליך אזרחי "רגיל" אילו ננקט (ושערי משפט אינם נעולים, מבלי להידרש לשאלת מעשיותה של תביעה) יכלו להיפסק סכומים גבוהים בהרבה </w:t>
      </w:r>
      <w:proofErr w:type="spellStart"/>
      <w:r w:rsidR="009E6624" w:rsidRPr="009E6624">
        <w:rPr>
          <w:rFonts w:ascii="Segoe UI" w:hAnsi="Segoe UI" w:cs="Segoe UI"/>
          <w:rtl/>
        </w:rPr>
        <w:t>כשבאבדן</w:t>
      </w:r>
      <w:proofErr w:type="spellEnd"/>
      <w:r w:rsidR="009E6624" w:rsidRPr="009E6624">
        <w:rPr>
          <w:rFonts w:ascii="Segoe UI" w:hAnsi="Segoe UI" w:cs="Segoe UI"/>
          <w:rtl/>
        </w:rPr>
        <w:t xml:space="preserve"> חיים צעירים עסקינן; וכמובן איני קובע מסמרות, והדבר מסור למשפחה. במקרה כזה היו חלים דיני ההוצאה לפועל, לרבות באשר ליכולתו של חייב</w:t>
      </w:r>
      <w:r w:rsidR="009E6624" w:rsidRPr="009E6624">
        <w:rPr>
          <w:rFonts w:ascii="Segoe UI" w:hAnsi="Segoe UI" w:cs="Segoe UI"/>
        </w:rPr>
        <w:t>.</w:t>
      </w:r>
      <w:r>
        <w:rPr>
          <w:rFonts w:ascii="Segoe UI" w:eastAsia="Times New Roman" w:hAnsi="Segoe UI" w:cs="Segoe UI" w:hint="cs"/>
          <w:sz w:val="18"/>
          <w:szCs w:val="18"/>
          <w:rtl/>
        </w:rPr>
        <w:t>"</w:t>
      </w:r>
    </w:p>
    <w:p w14:paraId="4AD8F82E" w14:textId="77777777" w:rsidR="009E6624" w:rsidRPr="009E6624" w:rsidRDefault="009E6624" w:rsidP="008F05D0">
      <w:pPr>
        <w:bidi/>
        <w:spacing w:after="0" w:line="276" w:lineRule="auto"/>
        <w:jc w:val="both"/>
        <w:rPr>
          <w:rFonts w:ascii="Segoe UI" w:eastAsia="Times New Roman" w:hAnsi="Segoe UI" w:cs="Segoe UI"/>
          <w:rtl/>
        </w:rPr>
      </w:pPr>
    </w:p>
    <w:p w14:paraId="703F52A7" w14:textId="5463F842" w:rsidR="00B04C06" w:rsidRDefault="006431BA" w:rsidP="008F05D0">
      <w:pPr>
        <w:bidi/>
        <w:spacing w:after="0" w:line="276" w:lineRule="auto"/>
        <w:jc w:val="both"/>
        <w:rPr>
          <w:rFonts w:ascii="Segoe UI" w:eastAsia="Times New Roman" w:hAnsi="Segoe UI" w:cs="Segoe UI"/>
          <w:rtl/>
          <w:lang w:val="en-US"/>
        </w:rPr>
      </w:pPr>
      <w:r w:rsidRPr="001852DF">
        <w:rPr>
          <w:rFonts w:ascii="Segoe UI" w:eastAsia="Times New Roman" w:hAnsi="Segoe UI" w:cs="Segoe UI"/>
          <w:rtl/>
          <w:lang w:val="en-US"/>
        </w:rPr>
        <w:t xml:space="preserve">למרות שהחוק קובע שהפיצוי יינתן "לאדם שניזוק על ידי העבירה" - פיצוי יינתן גם לעיזבון נפגע העבירה  </w:t>
      </w:r>
    </w:p>
    <w:p w14:paraId="1A37F12B" w14:textId="7ADAB50F" w:rsidR="00B04C06" w:rsidRDefault="00B04C06" w:rsidP="008F05D0">
      <w:pPr>
        <w:pBdr>
          <w:top w:val="single" w:sz="4" w:space="1" w:color="auto"/>
          <w:left w:val="single" w:sz="4" w:space="1" w:color="auto"/>
          <w:bottom w:val="single" w:sz="4" w:space="1" w:color="auto"/>
          <w:right w:val="single" w:sz="4" w:space="1" w:color="auto"/>
        </w:pBdr>
        <w:shd w:val="clear" w:color="auto" w:fill="E7E6E6" w:themeFill="background2"/>
        <w:bidi/>
        <w:spacing w:after="0" w:line="276" w:lineRule="auto"/>
        <w:ind w:left="363" w:right="363"/>
        <w:jc w:val="center"/>
        <w:rPr>
          <w:rFonts w:ascii="Segoe UI" w:eastAsia="Times New Roman" w:hAnsi="Segoe UI" w:cs="Segoe UI"/>
          <w:rtl/>
          <w:lang w:val="en-US"/>
        </w:rPr>
      </w:pPr>
      <w:r w:rsidRPr="00217A86">
        <w:rPr>
          <w:rFonts w:ascii="Segoe UI" w:eastAsia="Times New Roman" w:hAnsi="Segoe UI" w:cs="Segoe UI"/>
          <w:highlight w:val="yellow"/>
          <w:rtl/>
          <w:lang w:val="en-US"/>
        </w:rPr>
        <w:t xml:space="preserve">ע"פ 5761/05 </w:t>
      </w:r>
      <w:proofErr w:type="spellStart"/>
      <w:r w:rsidRPr="00217A86">
        <w:rPr>
          <w:rFonts w:ascii="Segoe UI" w:eastAsia="Times New Roman" w:hAnsi="Segoe UI" w:cs="Segoe UI"/>
          <w:b/>
          <w:bCs/>
          <w:highlight w:val="yellow"/>
          <w:rtl/>
          <w:lang w:val="en-US"/>
        </w:rPr>
        <w:t>מג'דלאוי</w:t>
      </w:r>
      <w:proofErr w:type="spellEnd"/>
      <w:r w:rsidRPr="00217A86">
        <w:rPr>
          <w:rFonts w:ascii="Segoe UI" w:eastAsia="Times New Roman" w:hAnsi="Segoe UI" w:cs="Segoe UI"/>
          <w:b/>
          <w:bCs/>
          <w:highlight w:val="yellow"/>
          <w:rtl/>
          <w:lang w:val="en-US"/>
        </w:rPr>
        <w:t xml:space="preserve"> נ' מדינת ישראל</w:t>
      </w:r>
      <w:r w:rsidRPr="00B278D5">
        <w:rPr>
          <w:rFonts w:ascii="Segoe UI" w:eastAsia="Times New Roman" w:hAnsi="Segoe UI" w:cs="Segoe UI"/>
          <w:rtl/>
          <w:lang w:val="en-US"/>
        </w:rPr>
        <w:t xml:space="preserve"> </w:t>
      </w:r>
    </w:p>
    <w:p w14:paraId="487ABC66" w14:textId="20B31E85" w:rsidR="00B04C06" w:rsidRPr="00B04C06" w:rsidRDefault="005324B2" w:rsidP="008F05D0">
      <w:pPr>
        <w:pBdr>
          <w:top w:val="single" w:sz="4" w:space="1" w:color="auto"/>
          <w:left w:val="single" w:sz="4" w:space="1" w:color="auto"/>
          <w:bottom w:val="single" w:sz="4" w:space="1" w:color="auto"/>
          <w:right w:val="single" w:sz="4" w:space="1" w:color="auto"/>
        </w:pBdr>
        <w:bidi/>
        <w:spacing w:after="0" w:line="276" w:lineRule="auto"/>
        <w:ind w:left="363" w:right="363"/>
        <w:jc w:val="both"/>
        <w:rPr>
          <w:rFonts w:ascii="Segoe UI" w:eastAsia="Times New Roman" w:hAnsi="Segoe UI" w:cs="Segoe UI"/>
          <w:lang w:val="en-US"/>
        </w:rPr>
      </w:pPr>
      <w:r>
        <w:rPr>
          <w:rFonts w:ascii="Segoe UI" w:eastAsia="Times New Roman" w:hAnsi="Segoe UI" w:cs="Segoe UI" w:hint="cs"/>
          <w:rtl/>
          <w:lang w:val="en-US"/>
        </w:rPr>
        <w:t>"</w:t>
      </w:r>
      <w:r w:rsidR="00B04C06" w:rsidRPr="00B04C06">
        <w:rPr>
          <w:rFonts w:ascii="Segoe UI" w:eastAsia="Times New Roman" w:hAnsi="Segoe UI" w:cs="Segoe UI"/>
          <w:rtl/>
          <w:lang w:val="en-US"/>
        </w:rPr>
        <w:t xml:space="preserve">אוסיף כי המדובר גם בפיצוי לעיזבון אם נפטר </w:t>
      </w:r>
      <w:proofErr w:type="spellStart"/>
      <w:r w:rsidR="00B04C06" w:rsidRPr="00B04C06">
        <w:rPr>
          <w:rFonts w:ascii="Segoe UI" w:eastAsia="Times New Roman" w:hAnsi="Segoe UI" w:cs="Segoe UI"/>
          <w:rtl/>
          <w:lang w:val="en-US"/>
        </w:rPr>
        <w:t>הקרבן</w:t>
      </w:r>
      <w:proofErr w:type="spellEnd"/>
      <w:r w:rsidR="00B04C06" w:rsidRPr="00B04C06">
        <w:rPr>
          <w:rFonts w:ascii="Segoe UI" w:eastAsia="Times New Roman" w:hAnsi="Segoe UI" w:cs="Segoe UI"/>
          <w:rtl/>
          <w:lang w:val="en-US"/>
        </w:rPr>
        <w:t xml:space="preserve">, הגם שכותרת הסעיף היא "פיצוי למתלונן", שכן על פי לשונו של הסעיף עצמו ("לאדם שניזוק על-ידי העבירה") עזבון </w:t>
      </w:r>
      <w:proofErr w:type="spellStart"/>
      <w:r w:rsidR="00B04C06" w:rsidRPr="00B04C06">
        <w:rPr>
          <w:rFonts w:ascii="Segoe UI" w:eastAsia="Times New Roman" w:hAnsi="Segoe UI" w:cs="Segoe UI"/>
          <w:rtl/>
          <w:lang w:val="en-US"/>
        </w:rPr>
        <w:t>הקרבן</w:t>
      </w:r>
      <w:proofErr w:type="spellEnd"/>
      <w:r w:rsidR="00B04C06" w:rsidRPr="00B04C06">
        <w:rPr>
          <w:rFonts w:ascii="Segoe UI" w:eastAsia="Times New Roman" w:hAnsi="Segoe UI" w:cs="Segoe UI"/>
          <w:rtl/>
          <w:lang w:val="en-US"/>
        </w:rPr>
        <w:t xml:space="preserve"> בא בכלל זה, כמו בענייננו, שהרי ניזוקו ההורים ונגרם להם סבל רב</w:t>
      </w:r>
      <w:r>
        <w:rPr>
          <w:rFonts w:ascii="Segoe UI" w:eastAsia="Times New Roman" w:hAnsi="Segoe UI" w:cs="Segoe UI" w:hint="cs"/>
          <w:rtl/>
          <w:lang w:val="en-US"/>
        </w:rPr>
        <w:t>."</w:t>
      </w:r>
    </w:p>
    <w:p w14:paraId="02B2A3AA" w14:textId="51BE3998" w:rsidR="00C02765" w:rsidRDefault="00C02765" w:rsidP="008F05D0">
      <w:pPr>
        <w:bidi/>
        <w:spacing w:after="0" w:line="276" w:lineRule="auto"/>
        <w:jc w:val="both"/>
        <w:rPr>
          <w:rFonts w:ascii="Segoe UI" w:eastAsia="Times New Roman" w:hAnsi="Segoe UI" w:cs="Segoe UI"/>
          <w:rtl/>
          <w:lang w:val="en-US"/>
        </w:rPr>
      </w:pPr>
    </w:p>
    <w:p w14:paraId="668B1854" w14:textId="1166FD67" w:rsidR="00C02765" w:rsidRPr="00C02765" w:rsidRDefault="00C02765" w:rsidP="008F05D0">
      <w:pPr>
        <w:pStyle w:val="110"/>
        <w:spacing w:line="276" w:lineRule="auto"/>
        <w:rPr>
          <w:rtl/>
        </w:rPr>
      </w:pPr>
      <w:r w:rsidRPr="00C02765">
        <w:rPr>
          <w:rtl/>
        </w:rPr>
        <w:t>גביית הפיצוי על ידי המרכז לגביית קנסות</w:t>
      </w:r>
    </w:p>
    <w:p w14:paraId="01313F70" w14:textId="77777777" w:rsidR="00C02765" w:rsidRPr="00C02765" w:rsidRDefault="00C02765" w:rsidP="008F05D0">
      <w:pPr>
        <w:bidi/>
        <w:spacing w:after="0" w:line="276" w:lineRule="auto"/>
        <w:jc w:val="both"/>
        <w:rPr>
          <w:rFonts w:ascii="Segoe UI" w:eastAsia="Times New Roman" w:hAnsi="Segoe UI" w:cs="Segoe UI"/>
          <w:rtl/>
          <w:lang w:val="en-US"/>
        </w:rPr>
      </w:pPr>
      <w:r w:rsidRPr="00C02765">
        <w:rPr>
          <w:rFonts w:ascii="Segoe UI" w:eastAsia="Times New Roman" w:hAnsi="Segoe UI" w:cs="Segoe UI"/>
          <w:rtl/>
          <w:lang w:val="en-US"/>
        </w:rPr>
        <w:t>הנאשם מפקיד את סכום הפיצוי שנגזר עליו בגזברות בית המשפט והיא זו שמעבירה את הפיצוי לנפגע העבירה</w:t>
      </w:r>
      <w:r w:rsidRPr="00C02765">
        <w:rPr>
          <w:rFonts w:ascii="Segoe UI" w:eastAsia="Times New Roman" w:hAnsi="Segoe UI" w:cs="Segoe UI"/>
          <w:lang w:val="en-US"/>
        </w:rPr>
        <w:t>.</w:t>
      </w:r>
    </w:p>
    <w:p w14:paraId="595B54E6" w14:textId="77777777" w:rsidR="00C02765" w:rsidRPr="00C02765" w:rsidRDefault="00C02765" w:rsidP="008F05D0">
      <w:pPr>
        <w:bidi/>
        <w:spacing w:after="0" w:line="276" w:lineRule="auto"/>
        <w:jc w:val="both"/>
        <w:rPr>
          <w:rFonts w:ascii="Segoe UI" w:eastAsia="Times New Roman" w:hAnsi="Segoe UI" w:cs="Segoe UI"/>
          <w:rtl/>
          <w:lang w:val="en-US"/>
        </w:rPr>
      </w:pPr>
      <w:r w:rsidRPr="00C02765">
        <w:rPr>
          <w:rFonts w:ascii="Segoe UI" w:eastAsia="Times New Roman" w:hAnsi="Segoe UI" w:cs="Segoe UI"/>
          <w:rtl/>
          <w:lang w:val="en-US"/>
        </w:rPr>
        <w:t>במקרה שהנאשם לא משלם את הפיצוי -  הגזברות מעבירה את התיק כחוב למרכז לגביית קנסות ושם מתחיל הליך הגבייה על-ידי המרכז</w:t>
      </w:r>
    </w:p>
    <w:p w14:paraId="1FD4D1A7" w14:textId="77777777" w:rsidR="00C02765" w:rsidRPr="00C02765" w:rsidRDefault="00C02765" w:rsidP="008F05D0">
      <w:pPr>
        <w:bidi/>
        <w:spacing w:after="0" w:line="276" w:lineRule="auto"/>
        <w:jc w:val="both"/>
        <w:rPr>
          <w:rFonts w:ascii="Segoe UI" w:eastAsia="Times New Roman" w:hAnsi="Segoe UI" w:cs="Segoe UI"/>
          <w:rtl/>
          <w:lang w:val="en-US"/>
        </w:rPr>
      </w:pPr>
      <w:r w:rsidRPr="00C02765">
        <w:rPr>
          <w:rFonts w:ascii="Segoe UI" w:eastAsia="Times New Roman" w:hAnsi="Segoe UI" w:cs="Segoe UI"/>
          <w:rtl/>
          <w:lang w:val="en-US"/>
        </w:rPr>
        <w:t>המרכז לגביית קנסות פונה אל הנאשם החייב בדרישה לתשלום החוב ובמידת הצורך מפעיל מחלקת חקירות המופקדת על איתור נכסי החייב ועיקולם</w:t>
      </w:r>
      <w:r w:rsidRPr="00C02765">
        <w:rPr>
          <w:rFonts w:ascii="Segoe UI" w:eastAsia="Times New Roman" w:hAnsi="Segoe UI" w:cs="Segoe UI"/>
          <w:lang w:val="en-US"/>
        </w:rPr>
        <w:t>.</w:t>
      </w:r>
    </w:p>
    <w:p w14:paraId="09B46113" w14:textId="0C48A84A" w:rsidR="00C02765" w:rsidRDefault="00C02765" w:rsidP="008F05D0">
      <w:pPr>
        <w:bidi/>
        <w:spacing w:after="0" w:line="276" w:lineRule="auto"/>
        <w:jc w:val="both"/>
        <w:rPr>
          <w:rFonts w:ascii="Segoe UI" w:eastAsia="Times New Roman" w:hAnsi="Segoe UI" w:cs="Segoe UI"/>
          <w:rtl/>
          <w:lang w:val="en-US"/>
        </w:rPr>
      </w:pPr>
      <w:r w:rsidRPr="00C02765">
        <w:rPr>
          <w:rFonts w:ascii="Segoe UI" w:eastAsia="Times New Roman" w:hAnsi="Segoe UI" w:cs="Segoe UI"/>
          <w:rtl/>
          <w:lang w:val="en-US"/>
        </w:rPr>
        <w:t>לצורך גביית החוב, המרכז יכול לפנות לבית משפט בבקשה למתן צו עיכוב יציאה מהארץ ומינוי כונס נכסים לנאשם החייב.</w:t>
      </w:r>
    </w:p>
    <w:p w14:paraId="5A6CE64A" w14:textId="1ECB82B2" w:rsidR="00C02765" w:rsidRDefault="00C02765" w:rsidP="008F05D0">
      <w:pPr>
        <w:bidi/>
        <w:spacing w:after="0" w:line="276" w:lineRule="auto"/>
        <w:jc w:val="both"/>
        <w:rPr>
          <w:rFonts w:ascii="Segoe UI" w:eastAsia="Times New Roman" w:hAnsi="Segoe UI" w:cs="Segoe UI"/>
          <w:rtl/>
          <w:lang w:val="en-US"/>
        </w:rPr>
      </w:pPr>
    </w:p>
    <w:p w14:paraId="476A2C86" w14:textId="16CE2F3E" w:rsidR="00C02765" w:rsidRPr="00A7296F" w:rsidRDefault="00C02765" w:rsidP="008F05D0">
      <w:pPr>
        <w:pStyle w:val="110"/>
        <w:spacing w:line="276" w:lineRule="auto"/>
        <w:rPr>
          <w:rtl/>
        </w:rPr>
      </w:pPr>
      <w:r w:rsidRPr="00A7296F">
        <w:rPr>
          <w:rFonts w:hint="cs"/>
          <w:rtl/>
        </w:rPr>
        <w:t>תביעה אזרחית במקביל לפיצויים בהליך פלילי</w:t>
      </w:r>
    </w:p>
    <w:p w14:paraId="109422E2" w14:textId="6A8690B4" w:rsidR="00C02765" w:rsidRPr="00C02765" w:rsidRDefault="00C02765" w:rsidP="008F05D0">
      <w:pPr>
        <w:bidi/>
        <w:spacing w:after="0" w:line="276" w:lineRule="auto"/>
        <w:jc w:val="both"/>
        <w:rPr>
          <w:rFonts w:ascii="Segoe UI" w:eastAsia="Times New Roman" w:hAnsi="Segoe UI" w:cs="Segoe UI"/>
          <w:rtl/>
          <w:lang w:val="en-US"/>
        </w:rPr>
      </w:pPr>
      <w:r w:rsidRPr="00C02765">
        <w:rPr>
          <w:rFonts w:ascii="Segoe UI" w:eastAsia="Times New Roman" w:hAnsi="Segoe UI" w:cs="Segoe UI"/>
          <w:rtl/>
          <w:lang w:val="en-US"/>
        </w:rPr>
        <w:lastRenderedPageBreak/>
        <w:t>במקביל לפיצויים העונשים – אפשר להגיש תביעה אזרחית לפיצוי כספי של נפגע עבירה (תביעה נזיקית רגילה)</w:t>
      </w:r>
    </w:p>
    <w:p w14:paraId="1E0AFBC4" w14:textId="77777777" w:rsidR="00C02765" w:rsidRPr="00C02765" w:rsidRDefault="00C02765" w:rsidP="008F05D0">
      <w:pPr>
        <w:bidi/>
        <w:spacing w:after="0" w:line="276" w:lineRule="auto"/>
        <w:jc w:val="both"/>
        <w:rPr>
          <w:rFonts w:ascii="Segoe UI" w:eastAsia="Times New Roman" w:hAnsi="Segoe UI" w:cs="Segoe UI"/>
          <w:rtl/>
          <w:lang w:val="en-US"/>
        </w:rPr>
      </w:pPr>
      <w:r w:rsidRPr="00C02765">
        <w:rPr>
          <w:rFonts w:ascii="Segoe UI" w:eastAsia="Times New Roman" w:hAnsi="Segoe UI" w:cs="Segoe UI"/>
          <w:rtl/>
          <w:lang w:val="en-US"/>
        </w:rPr>
        <w:t>לידע הכללי</w:t>
      </w:r>
      <w:r w:rsidRPr="00C02765">
        <w:rPr>
          <w:rFonts w:ascii="Segoe UI" w:eastAsia="Times New Roman" w:hAnsi="Segoe UI" w:cs="Segoe UI"/>
          <w:lang w:val="en-US"/>
        </w:rPr>
        <w:t xml:space="preserve"> – </w:t>
      </w:r>
    </w:p>
    <w:p w14:paraId="26694281" w14:textId="77777777" w:rsidR="00C02765" w:rsidRPr="00C02765" w:rsidRDefault="00C02765" w:rsidP="008F05D0">
      <w:pPr>
        <w:bidi/>
        <w:spacing w:after="0" w:line="276" w:lineRule="auto"/>
        <w:jc w:val="both"/>
        <w:rPr>
          <w:rFonts w:ascii="Segoe UI" w:eastAsia="Times New Roman" w:hAnsi="Segoe UI" w:cs="Segoe UI"/>
          <w:rtl/>
          <w:lang w:val="en-US"/>
        </w:rPr>
      </w:pPr>
      <w:r w:rsidRPr="00C02765">
        <w:rPr>
          <w:rFonts w:ascii="Segoe UI" w:eastAsia="Times New Roman" w:hAnsi="Segoe UI" w:cs="Segoe UI"/>
          <w:rtl/>
          <w:lang w:val="en-US"/>
        </w:rPr>
        <w:t>התיישנות -  נפגע עבירה יכול לתבוע את הפוגע במהלך שבע השנים שלאחר האירוע</w:t>
      </w:r>
      <w:r w:rsidRPr="00C02765">
        <w:rPr>
          <w:rFonts w:ascii="Segoe UI" w:eastAsia="Times New Roman" w:hAnsi="Segoe UI" w:cs="Segoe UI"/>
          <w:lang w:val="en-US"/>
        </w:rPr>
        <w:t xml:space="preserve">. </w:t>
      </w:r>
    </w:p>
    <w:p w14:paraId="0061AA07" w14:textId="2F15D349" w:rsidR="00C02765" w:rsidRDefault="00C02765" w:rsidP="008F05D0">
      <w:pPr>
        <w:bidi/>
        <w:spacing w:after="0" w:line="276" w:lineRule="auto"/>
        <w:jc w:val="both"/>
        <w:rPr>
          <w:rFonts w:ascii="Segoe UI" w:eastAsia="Times New Roman" w:hAnsi="Segoe UI" w:cs="Segoe UI"/>
          <w:rtl/>
          <w:lang w:val="en-US"/>
        </w:rPr>
      </w:pPr>
      <w:r w:rsidRPr="00C02765">
        <w:rPr>
          <w:rFonts w:ascii="Segoe UI" w:eastAsia="Times New Roman" w:hAnsi="Segoe UI" w:cs="Segoe UI"/>
          <w:rtl/>
          <w:lang w:val="en-US"/>
        </w:rPr>
        <w:t>קטין, הספירה מתחילה מגיל 18, או גיל 28 אם מדובר בפגיעה והתעללות מינית.</w:t>
      </w:r>
    </w:p>
    <w:p w14:paraId="73575213" w14:textId="77F48E16" w:rsidR="00A7296F" w:rsidRDefault="00A7296F" w:rsidP="008F05D0">
      <w:pPr>
        <w:bidi/>
        <w:spacing w:after="0" w:line="276" w:lineRule="auto"/>
        <w:jc w:val="both"/>
        <w:rPr>
          <w:rFonts w:ascii="Segoe UI" w:eastAsia="Times New Roman" w:hAnsi="Segoe UI" w:cs="Segoe UI"/>
          <w:rtl/>
          <w:lang w:val="en-US"/>
        </w:rPr>
      </w:pPr>
    </w:p>
    <w:p w14:paraId="6E31C419" w14:textId="2526A523" w:rsidR="00A7296F" w:rsidRPr="00A7296F" w:rsidRDefault="00A7296F" w:rsidP="008F05D0">
      <w:pPr>
        <w:pStyle w:val="110"/>
        <w:spacing w:line="276" w:lineRule="auto"/>
        <w:rPr>
          <w:rtl/>
        </w:rPr>
      </w:pPr>
      <w:r w:rsidRPr="00A7296F">
        <w:rPr>
          <w:rtl/>
        </w:rPr>
        <w:t>תביעה אזרחית נגררת להרשעה בפלילים</w:t>
      </w:r>
    </w:p>
    <w:p w14:paraId="6BFA8181" w14:textId="3D1128A0" w:rsidR="00A7296F" w:rsidRPr="00A7296F" w:rsidRDefault="00A7296F" w:rsidP="008F05D0">
      <w:pPr>
        <w:bidi/>
        <w:spacing w:after="0" w:line="276" w:lineRule="auto"/>
        <w:jc w:val="both"/>
        <w:rPr>
          <w:rFonts w:ascii="Segoe UI" w:eastAsia="Times New Roman" w:hAnsi="Segoe UI" w:cs="Segoe UI"/>
          <w:rtl/>
          <w:lang w:val="en-US"/>
        </w:rPr>
      </w:pPr>
      <w:r w:rsidRPr="00A7296F">
        <w:rPr>
          <w:rFonts w:ascii="Segoe UI" w:eastAsia="Times New Roman" w:hAnsi="Segoe UI" w:cs="Segoe UI"/>
          <w:rtl/>
          <w:lang w:val="en-US"/>
        </w:rPr>
        <w:t>לפי סעיף 42 לפקודת הראיות, במידה והפוגע נמצא אשם בדין הפלילי, הראיות אשר לפיהן נמצא אשם יוכלו לשמש נפגע עבירה גם בדין האזרחי להוכחת אשמתו של הנאשם (אך לא על מנת לקבוע את גובה הפיצויים או לתבוע נאשמים אחרים שהיה להם צד בגרימת הנזק)</w:t>
      </w:r>
      <w:r w:rsidRPr="00A7296F">
        <w:rPr>
          <w:rFonts w:ascii="Segoe UI" w:eastAsia="Times New Roman" w:hAnsi="Segoe UI" w:cs="Segoe UI"/>
          <w:lang w:val="en-US"/>
        </w:rPr>
        <w:t>.</w:t>
      </w:r>
    </w:p>
    <w:p w14:paraId="4F9FE2F5" w14:textId="6549545D" w:rsidR="00023A10" w:rsidRDefault="00A7296F" w:rsidP="008F05D0">
      <w:pPr>
        <w:bidi/>
        <w:spacing w:after="0" w:line="276" w:lineRule="auto"/>
        <w:jc w:val="both"/>
        <w:rPr>
          <w:rFonts w:ascii="Segoe UI" w:eastAsia="Times New Roman" w:hAnsi="Segoe UI" w:cs="Segoe UI"/>
          <w:rtl/>
          <w:lang w:val="en-US"/>
        </w:rPr>
      </w:pPr>
      <w:r w:rsidRPr="00A7296F">
        <w:rPr>
          <w:rFonts w:ascii="Segoe UI" w:eastAsia="Times New Roman" w:hAnsi="Segoe UI" w:cs="Segoe UI"/>
          <w:rtl/>
          <w:lang w:val="en-US"/>
        </w:rPr>
        <w:t>פסק התביעה חייב להיות מוגש באותו בית המשפט ובפני אותו הרכב שופטים אשר הרשיע את הנאשם.</w:t>
      </w:r>
    </w:p>
    <w:p w14:paraId="49366740" w14:textId="77777777" w:rsidR="003930F7" w:rsidRDefault="003930F7" w:rsidP="008F05D0">
      <w:pPr>
        <w:bidi/>
        <w:spacing w:after="0" w:line="276" w:lineRule="auto"/>
        <w:jc w:val="both"/>
        <w:rPr>
          <w:rFonts w:ascii="Segoe UI" w:eastAsia="Times New Roman" w:hAnsi="Segoe UI" w:cs="Segoe UI"/>
          <w:rtl/>
          <w:lang w:val="en-US"/>
        </w:rPr>
      </w:pPr>
    </w:p>
    <w:p w14:paraId="70F954AF" w14:textId="09425E9F" w:rsidR="00023A10" w:rsidRDefault="00023A10" w:rsidP="008F05D0">
      <w:pPr>
        <w:pStyle w:val="2"/>
        <w:rPr>
          <w:rtl/>
        </w:rPr>
      </w:pPr>
      <w:bookmarkStart w:id="37" w:name="_Toc108218199"/>
      <w:r>
        <w:rPr>
          <w:rFonts w:hint="cs"/>
          <w:rtl/>
        </w:rPr>
        <w:t>טיפול בקהילה</w:t>
      </w:r>
      <w:bookmarkEnd w:id="37"/>
    </w:p>
    <w:p w14:paraId="437085C4" w14:textId="66F79ABC" w:rsidR="008426B0" w:rsidRDefault="008426B0" w:rsidP="008F05D0">
      <w:pPr>
        <w:pStyle w:val="header-2"/>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center"/>
        <w:rPr>
          <w:rtl/>
        </w:rPr>
      </w:pPr>
      <w:r>
        <w:rPr>
          <w:rFonts w:ascii="Miriam" w:hAnsi="Miriam" w:cs="Miriam"/>
          <w:rtl/>
        </w:rPr>
        <w:t>סימן ז': טיפול בקהילה</w:t>
      </w:r>
      <w:bookmarkStart w:id="38" w:name="Rov952"/>
      <w:bookmarkEnd w:id="38"/>
    </w:p>
    <w:p w14:paraId="4EC88266" w14:textId="77777777" w:rsidR="008426B0" w:rsidRDefault="008426B0"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bookmarkStart w:id="39" w:name="Rov953"/>
      <w:bookmarkStart w:id="40" w:name="Seif92"/>
      <w:bookmarkEnd w:id="39"/>
      <w:bookmarkEnd w:id="40"/>
      <w:r>
        <w:rPr>
          <w:rStyle w:val="big-number"/>
          <w:rFonts w:ascii="Time New Roman" w:hAnsi="Time New Roman"/>
          <w:b/>
          <w:bCs/>
          <w:color w:val="008000"/>
          <w:sz w:val="27"/>
          <w:szCs w:val="27"/>
          <w:rtl/>
        </w:rPr>
        <w:t>טיפול במשתמשים בסמים (תיקון מס' 25) תשמ"ט-1989 (תיקון מס' 42) תשנ"ה-1995</w:t>
      </w:r>
    </w:p>
    <w:p w14:paraId="03EB3267" w14:textId="7D88B22D" w:rsidR="00023A10" w:rsidRDefault="008426B0"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Style w:val="default"/>
          <w:rFonts w:ascii="FrankRuehl" w:hAnsi="FrankRuehl" w:cs="FrankRuehl"/>
          <w:sz w:val="26"/>
          <w:szCs w:val="26"/>
          <w:rtl/>
        </w:rPr>
      </w:pPr>
      <w:r>
        <w:rPr>
          <w:rStyle w:val="big-number"/>
          <w:rFonts w:ascii="Miriam" w:hAnsi="Miriam" w:cs="Miriam"/>
          <w:sz w:val="32"/>
          <w:szCs w:val="32"/>
          <w:rtl/>
        </w:rPr>
        <w:t xml:space="preserve">82.  </w:t>
      </w:r>
      <w:r w:rsidRPr="00CF1706">
        <w:rPr>
          <w:rStyle w:val="default"/>
          <w:rFonts w:ascii="FrankRuehl" w:hAnsi="FrankRuehl" w:cs="FrankRuehl"/>
          <w:b/>
          <w:bCs/>
          <w:color w:val="FF0000"/>
          <w:sz w:val="26"/>
          <w:szCs w:val="26"/>
          <w:u w:val="single"/>
          <w:rtl/>
        </w:rPr>
        <w:t>הורשע</w:t>
      </w:r>
      <w:r w:rsidRPr="00CF1706">
        <w:rPr>
          <w:rStyle w:val="default"/>
          <w:rFonts w:ascii="FrankRuehl" w:hAnsi="FrankRuehl" w:cs="FrankRuehl"/>
          <w:color w:val="FF0000"/>
          <w:sz w:val="26"/>
          <w:szCs w:val="26"/>
          <w:rtl/>
        </w:rPr>
        <w:t xml:space="preserve"> </w:t>
      </w:r>
      <w:r>
        <w:rPr>
          <w:rStyle w:val="default"/>
          <w:rFonts w:ascii="FrankRuehl" w:hAnsi="FrankRuehl" w:cs="FrankRuehl"/>
          <w:sz w:val="26"/>
          <w:szCs w:val="26"/>
          <w:rtl/>
        </w:rPr>
        <w:t xml:space="preserve">אדם ונוכח בית המשפט כי הוא </w:t>
      </w:r>
      <w:r w:rsidRPr="00CF1706">
        <w:rPr>
          <w:rStyle w:val="default"/>
          <w:rFonts w:ascii="FrankRuehl" w:hAnsi="FrankRuehl" w:cs="FrankRuehl"/>
          <w:b/>
          <w:bCs/>
          <w:color w:val="FF0000"/>
          <w:sz w:val="26"/>
          <w:szCs w:val="26"/>
          <w:u w:val="single"/>
          <w:rtl/>
        </w:rPr>
        <w:t>משתמש בסמים מסוכנים</w:t>
      </w:r>
      <w:r>
        <w:rPr>
          <w:rStyle w:val="default"/>
          <w:rFonts w:ascii="FrankRuehl" w:hAnsi="FrankRuehl" w:cs="FrankRuehl"/>
          <w:sz w:val="26"/>
          <w:szCs w:val="26"/>
          <w:rtl/>
        </w:rPr>
        <w:t xml:space="preserve">, כמשמעותם בפקודת הסמים המסוכנים [נוסח חדש], תשל"ג-1973, </w:t>
      </w:r>
      <w:r w:rsidRPr="00CF1706">
        <w:rPr>
          <w:rStyle w:val="default"/>
          <w:rFonts w:ascii="FrankRuehl" w:hAnsi="FrankRuehl" w:cs="FrankRuehl"/>
          <w:b/>
          <w:bCs/>
          <w:color w:val="FF0000"/>
          <w:sz w:val="26"/>
          <w:szCs w:val="26"/>
          <w:u w:val="single"/>
          <w:rtl/>
        </w:rPr>
        <w:t>רשאי בית המשפט להטיל עליו בצו - מבחן שבמסגרתו יעבור הנידון טיפול בקהילה,</w:t>
      </w:r>
      <w:r>
        <w:rPr>
          <w:rStyle w:val="default"/>
          <w:rFonts w:ascii="FrankRuehl" w:hAnsi="FrankRuehl" w:cs="FrankRuehl"/>
          <w:sz w:val="26"/>
          <w:szCs w:val="26"/>
          <w:rtl/>
        </w:rPr>
        <w:t xml:space="preserve"> בתקופה ובהתאם </w:t>
      </w:r>
      <w:proofErr w:type="spellStart"/>
      <w:r>
        <w:rPr>
          <w:rStyle w:val="default"/>
          <w:rFonts w:ascii="FrankRuehl" w:hAnsi="FrankRuehl" w:cs="FrankRuehl"/>
          <w:sz w:val="26"/>
          <w:szCs w:val="26"/>
          <w:rtl/>
        </w:rPr>
        <w:t>לתכנית</w:t>
      </w:r>
      <w:proofErr w:type="spellEnd"/>
      <w:r>
        <w:rPr>
          <w:rStyle w:val="default"/>
          <w:rFonts w:ascii="FrankRuehl" w:hAnsi="FrankRuehl" w:cs="FrankRuehl"/>
          <w:sz w:val="26"/>
          <w:szCs w:val="26"/>
          <w:rtl/>
        </w:rPr>
        <w:t xml:space="preserve"> שיורה בית המשפט; </w:t>
      </w:r>
      <w:r w:rsidRPr="00A16516">
        <w:rPr>
          <w:rStyle w:val="default"/>
          <w:rFonts w:ascii="FrankRuehl" w:hAnsi="FrankRuehl" w:cs="FrankRuehl"/>
          <w:b/>
          <w:bCs/>
          <w:color w:val="00B0F0"/>
          <w:sz w:val="26"/>
          <w:szCs w:val="26"/>
          <w:u w:val="single"/>
          <w:rtl/>
        </w:rPr>
        <w:t>ורשאי בית המשפט לתת צו כאמור בלא להרשיע את הנאשם</w:t>
      </w:r>
      <w:r>
        <w:rPr>
          <w:rStyle w:val="default"/>
          <w:rFonts w:ascii="FrankRuehl" w:hAnsi="FrankRuehl" w:cs="FrankRuehl"/>
          <w:sz w:val="26"/>
          <w:szCs w:val="26"/>
          <w:rtl/>
        </w:rPr>
        <w:t>, אף אם תלוי ועומד נגדו מאסר על תנאי שניתן לצוות על הפעלתו.</w:t>
      </w:r>
    </w:p>
    <w:p w14:paraId="00285812" w14:textId="77777777" w:rsidR="00481782" w:rsidRPr="00481782" w:rsidRDefault="0048178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p>
    <w:p w14:paraId="0E39A258"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lang w:val="en-US"/>
        </w:rPr>
      </w:pPr>
      <w:r w:rsidRPr="00481782">
        <w:rPr>
          <w:rFonts w:ascii="Time New Roman" w:eastAsia="Times New Roman" w:hAnsi="Time New Roman" w:cs="Times New Roman"/>
          <w:b/>
          <w:bCs/>
          <w:color w:val="008000"/>
          <w:sz w:val="27"/>
          <w:szCs w:val="27"/>
          <w:rtl/>
          <w:lang w:val="en-US"/>
        </w:rPr>
        <w:t>טיפול באלימות במשפחה (תיקון מס' 49) תשנ"ו-1996</w:t>
      </w:r>
    </w:p>
    <w:p w14:paraId="5415C7DC"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Miriam" w:eastAsia="Times New Roman" w:hAnsi="Miriam" w:cs="Miriam"/>
          <w:sz w:val="32"/>
          <w:szCs w:val="32"/>
          <w:rtl/>
          <w:lang w:val="en-US"/>
        </w:rPr>
        <w:t xml:space="preserve">86.  </w:t>
      </w:r>
      <w:r w:rsidRPr="00481782">
        <w:rPr>
          <w:rFonts w:ascii="FrankRuehl" w:eastAsia="Times New Roman" w:hAnsi="FrankRuehl" w:cs="FrankRuehl"/>
          <w:sz w:val="26"/>
          <w:szCs w:val="26"/>
          <w:rtl/>
          <w:lang w:val="en-US"/>
        </w:rPr>
        <w:t xml:space="preserve">(א)  </w:t>
      </w:r>
      <w:r w:rsidRPr="00CF1706">
        <w:rPr>
          <w:rFonts w:ascii="FrankRuehl" w:eastAsia="Times New Roman" w:hAnsi="FrankRuehl" w:cs="FrankRuehl"/>
          <w:b/>
          <w:bCs/>
          <w:color w:val="FF0000"/>
          <w:sz w:val="26"/>
          <w:szCs w:val="26"/>
          <w:u w:val="single"/>
          <w:rtl/>
          <w:lang w:val="en-US"/>
        </w:rPr>
        <w:t>הורשע</w:t>
      </w:r>
      <w:r w:rsidRPr="00CF1706">
        <w:rPr>
          <w:rFonts w:ascii="FrankRuehl" w:eastAsia="Times New Roman" w:hAnsi="FrankRuehl" w:cs="FrankRuehl"/>
          <w:color w:val="FF0000"/>
          <w:sz w:val="26"/>
          <w:szCs w:val="26"/>
          <w:rtl/>
          <w:lang w:val="en-US"/>
        </w:rPr>
        <w:t xml:space="preserve"> </w:t>
      </w:r>
      <w:r w:rsidRPr="00481782">
        <w:rPr>
          <w:rFonts w:ascii="FrankRuehl" w:eastAsia="Times New Roman" w:hAnsi="FrankRuehl" w:cs="FrankRuehl"/>
          <w:sz w:val="26"/>
          <w:szCs w:val="26"/>
          <w:rtl/>
          <w:lang w:val="en-US"/>
        </w:rPr>
        <w:t xml:space="preserve">נאשם ונוכח בית המשפט כי הוא </w:t>
      </w:r>
      <w:r w:rsidRPr="00CF1706">
        <w:rPr>
          <w:rFonts w:ascii="FrankRuehl" w:eastAsia="Times New Roman" w:hAnsi="FrankRuehl" w:cs="FrankRuehl"/>
          <w:b/>
          <w:bCs/>
          <w:color w:val="FF0000"/>
          <w:sz w:val="26"/>
          <w:szCs w:val="26"/>
          <w:u w:val="single"/>
          <w:rtl/>
          <w:lang w:val="en-US"/>
        </w:rPr>
        <w:t>נוהג באלימות כלפי בן משפחתו</w:t>
      </w:r>
      <w:r w:rsidRPr="00481782">
        <w:rPr>
          <w:rFonts w:ascii="FrankRuehl" w:eastAsia="Times New Roman" w:hAnsi="FrankRuehl" w:cs="FrankRuehl"/>
          <w:sz w:val="26"/>
          <w:szCs w:val="26"/>
          <w:rtl/>
          <w:lang w:val="en-US"/>
        </w:rPr>
        <w:t xml:space="preserve">, </w:t>
      </w:r>
      <w:r w:rsidRPr="00CF1706">
        <w:rPr>
          <w:rFonts w:ascii="FrankRuehl" w:eastAsia="Times New Roman" w:hAnsi="FrankRuehl" w:cs="FrankRuehl"/>
          <w:b/>
          <w:bCs/>
          <w:color w:val="FF0000"/>
          <w:sz w:val="26"/>
          <w:szCs w:val="26"/>
          <w:u w:val="single"/>
          <w:rtl/>
          <w:lang w:val="en-US"/>
        </w:rPr>
        <w:t>רשאי בית המשפט להטיל עליו בצו, מבחן שבמסגרתו יעבור הנידון טיפול בקהילה</w:t>
      </w:r>
      <w:r w:rsidRPr="00481782">
        <w:rPr>
          <w:rFonts w:ascii="FrankRuehl" w:eastAsia="Times New Roman" w:hAnsi="FrankRuehl" w:cs="FrankRuehl"/>
          <w:sz w:val="26"/>
          <w:szCs w:val="26"/>
          <w:rtl/>
          <w:lang w:val="en-US"/>
        </w:rPr>
        <w:t xml:space="preserve">, על פי תכנית שיורה בית המשפט, </w:t>
      </w:r>
      <w:r w:rsidRPr="00A16516">
        <w:rPr>
          <w:rFonts w:ascii="FrankRuehl" w:eastAsia="Times New Roman" w:hAnsi="FrankRuehl" w:cs="FrankRuehl"/>
          <w:b/>
          <w:bCs/>
          <w:color w:val="00B0F0"/>
          <w:sz w:val="26"/>
          <w:szCs w:val="26"/>
          <w:u w:val="single"/>
          <w:rtl/>
          <w:lang w:val="en-US"/>
        </w:rPr>
        <w:t>ורשאי בית המשפט לתת צו כאמור, אם קבע שהנאשם עבר את העבירה אך לא הרשיעו.</w:t>
      </w:r>
    </w:p>
    <w:p w14:paraId="62A11E1C"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FrankRuehl" w:eastAsia="Times New Roman" w:hAnsi="FrankRuehl" w:cs="FrankRuehl"/>
          <w:sz w:val="26"/>
          <w:szCs w:val="26"/>
          <w:rtl/>
          <w:lang w:val="en-US"/>
        </w:rPr>
        <w:t>          (ב)  לענין סעיף זה –</w:t>
      </w:r>
    </w:p>
    <w:p w14:paraId="5A0CF42F"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FrankRuehl" w:eastAsia="Times New Roman" w:hAnsi="FrankRuehl" w:cs="FrankRuehl"/>
          <w:sz w:val="26"/>
          <w:szCs w:val="26"/>
          <w:rtl/>
          <w:lang w:val="en-US"/>
        </w:rPr>
        <w:t>          "בן משפחתו" - לרבות מי שהיה בן משפחתו בעבר, והוא אחד מאלה:</w:t>
      </w:r>
    </w:p>
    <w:p w14:paraId="3E008B03"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FrankRuehl" w:eastAsia="Times New Roman" w:hAnsi="FrankRuehl" w:cs="FrankRuehl"/>
          <w:sz w:val="26"/>
          <w:szCs w:val="26"/>
          <w:rtl/>
          <w:lang w:val="en-US"/>
        </w:rPr>
        <w:t>(1)   בן זוג, הורה או בן זוג של הורה, הורה של בן זוג או בן זוגו של ההורה, סב או סבתא, צאצא או צאצא של בן זוג, אח או אחות, גיס או גיסה, דוד או דודה, אחיין או אחיינית;</w:t>
      </w:r>
    </w:p>
    <w:p w14:paraId="35E1C70F"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FrankRuehl" w:eastAsia="Times New Roman" w:hAnsi="FrankRuehl" w:cs="FrankRuehl"/>
          <w:sz w:val="26"/>
          <w:szCs w:val="26"/>
          <w:rtl/>
          <w:lang w:val="en-US"/>
        </w:rPr>
        <w:t>(2)   קטין או חסר ישע, שעובר העבירה אחראי עליו, כהגדרת "אחראי על קטין או חסר ישע" בסעיף 368א;</w:t>
      </w:r>
    </w:p>
    <w:p w14:paraId="638BB14F" w14:textId="75AD3747" w:rsid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FrankRuehl" w:eastAsia="Times New Roman" w:hAnsi="FrankRuehl" w:cs="FrankRuehl"/>
          <w:sz w:val="26"/>
          <w:szCs w:val="26"/>
          <w:rtl/>
          <w:lang w:val="en-US"/>
        </w:rPr>
        <w:t>          "בן זוג" - לרבות הידוע בציבור כבן זוגו.</w:t>
      </w:r>
    </w:p>
    <w:p w14:paraId="112E9ED9"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p>
    <w:p w14:paraId="08E3B033"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lang w:val="en-US"/>
        </w:rPr>
      </w:pPr>
      <w:r w:rsidRPr="00481782">
        <w:rPr>
          <w:rFonts w:ascii="Time New Roman" w:eastAsia="Times New Roman" w:hAnsi="Time New Roman" w:cs="Times New Roman"/>
          <w:b/>
          <w:bCs/>
          <w:color w:val="008000"/>
          <w:sz w:val="27"/>
          <w:szCs w:val="27"/>
          <w:rtl/>
          <w:lang w:val="en-US"/>
        </w:rPr>
        <w:t>תנאים לצו מבחן עם טיפול (תיקון מס' 25)  תשמ"ט-1989 (תיקון מס' 49)  תשנ"ו-1996</w:t>
      </w:r>
    </w:p>
    <w:p w14:paraId="21EB3E0A"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Miriam" w:eastAsia="Times New Roman" w:hAnsi="Miriam" w:cs="Miriam"/>
          <w:sz w:val="32"/>
          <w:szCs w:val="32"/>
          <w:rtl/>
          <w:lang w:val="en-US"/>
        </w:rPr>
        <w:t xml:space="preserve">83.  </w:t>
      </w:r>
      <w:r w:rsidRPr="00481782">
        <w:rPr>
          <w:rFonts w:ascii="FrankRuehl" w:eastAsia="Times New Roman" w:hAnsi="FrankRuehl" w:cs="FrankRuehl"/>
          <w:sz w:val="26"/>
          <w:szCs w:val="26"/>
          <w:rtl/>
          <w:lang w:val="en-US"/>
        </w:rPr>
        <w:t xml:space="preserve">בית משפט לא </w:t>
      </w:r>
      <w:proofErr w:type="spellStart"/>
      <w:r w:rsidRPr="00481782">
        <w:rPr>
          <w:rFonts w:ascii="FrankRuehl" w:eastAsia="Times New Roman" w:hAnsi="FrankRuehl" w:cs="FrankRuehl"/>
          <w:sz w:val="26"/>
          <w:szCs w:val="26"/>
          <w:rtl/>
          <w:lang w:val="en-US"/>
        </w:rPr>
        <w:t>יתן</w:t>
      </w:r>
      <w:proofErr w:type="spellEnd"/>
      <w:r w:rsidRPr="00481782">
        <w:rPr>
          <w:rFonts w:ascii="FrankRuehl" w:eastAsia="Times New Roman" w:hAnsi="FrankRuehl" w:cs="FrankRuehl"/>
          <w:sz w:val="26"/>
          <w:szCs w:val="26"/>
          <w:rtl/>
          <w:lang w:val="en-US"/>
        </w:rPr>
        <w:t xml:space="preserve"> צו מבחן כאמור בסעיפים 82 או 86 אלא אם כן –</w:t>
      </w:r>
    </w:p>
    <w:p w14:paraId="58B7D13C"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FrankRuehl" w:eastAsia="Times New Roman" w:hAnsi="FrankRuehl" w:cs="FrankRuehl"/>
          <w:sz w:val="26"/>
          <w:szCs w:val="26"/>
          <w:rtl/>
          <w:lang w:val="en-US"/>
        </w:rPr>
        <w:t>(1)  הנידון הסכים לעבור טיפול והבין את תנאי הטיפול ומהותו;</w:t>
      </w:r>
    </w:p>
    <w:p w14:paraId="1EE2CF34"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FrankRuehl" w:eastAsia="Times New Roman" w:hAnsi="FrankRuehl" w:cs="FrankRuehl"/>
          <w:sz w:val="26"/>
          <w:szCs w:val="26"/>
          <w:rtl/>
          <w:lang w:val="en-US"/>
        </w:rPr>
        <w:t>(2)  מצבו של הנידון מצדיק טיפול והנידון מתאים לטיפול;</w:t>
      </w:r>
    </w:p>
    <w:p w14:paraId="7E33C0A6" w14:textId="77777777" w:rsidR="00481782" w:rsidRPr="00481782" w:rsidRDefault="0048178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rPr>
          <w:rFonts w:ascii="Times New Roman" w:eastAsia="Times New Roman" w:hAnsi="Times New Roman" w:cs="Times New Roman"/>
          <w:sz w:val="24"/>
          <w:szCs w:val="24"/>
          <w:rtl/>
          <w:lang w:val="en-US"/>
        </w:rPr>
      </w:pPr>
      <w:r w:rsidRPr="00481782">
        <w:rPr>
          <w:rFonts w:ascii="FrankRuehl" w:eastAsia="Times New Roman" w:hAnsi="FrankRuehl" w:cs="FrankRuehl"/>
          <w:sz w:val="26"/>
          <w:szCs w:val="26"/>
          <w:rtl/>
          <w:lang w:val="en-US"/>
        </w:rPr>
        <w:t>(3)  נעשו סידורים שיאפשרו לנידון לקבל את הטיפול על פי תכנית מפורטת בתסקיר קצין מבחן לענין סוג הטיפול, מהותו ומשכו.</w:t>
      </w:r>
    </w:p>
    <w:p w14:paraId="00346A86" w14:textId="77777777" w:rsidR="00695E7A" w:rsidRDefault="00695E7A" w:rsidP="008F05D0">
      <w:pPr>
        <w:bidi/>
        <w:spacing w:after="0" w:line="276" w:lineRule="auto"/>
        <w:rPr>
          <w:rFonts w:ascii="Segoe UI" w:eastAsia="Times New Roman" w:hAnsi="Segoe UI" w:cs="Segoe UI"/>
          <w:rtl/>
          <w:lang w:val="en-US"/>
        </w:rPr>
      </w:pPr>
    </w:p>
    <w:p w14:paraId="61D88A62" w14:textId="26EE70DA" w:rsidR="00291988" w:rsidRPr="006049DA" w:rsidRDefault="00291988" w:rsidP="008F05D0">
      <w:pPr>
        <w:pStyle w:val="2"/>
        <w:rPr>
          <w:rtl/>
        </w:rPr>
      </w:pPr>
      <w:bookmarkStart w:id="41" w:name="_Toc108218200"/>
      <w:r w:rsidRPr="006049DA">
        <w:rPr>
          <w:rFonts w:hint="cs"/>
          <w:rtl/>
        </w:rPr>
        <w:t>סיכום</w:t>
      </w:r>
      <w:r w:rsidR="006049DA" w:rsidRPr="006049DA">
        <w:rPr>
          <w:rFonts w:hint="cs"/>
          <w:rtl/>
        </w:rPr>
        <w:t xml:space="preserve"> סוגי ענישה לאחר הרשעה</w:t>
      </w:r>
      <w:bookmarkEnd w:id="41"/>
    </w:p>
    <w:p w14:paraId="5D4A2CF6" w14:textId="269D733B" w:rsidR="006049DA" w:rsidRPr="00093ABD" w:rsidRDefault="00291988" w:rsidP="008F05D0">
      <w:pPr>
        <w:bidi/>
        <w:spacing w:before="72" w:after="0" w:line="276" w:lineRule="auto"/>
        <w:ind w:left="363" w:right="363"/>
        <w:jc w:val="center"/>
        <w:rPr>
          <w:rFonts w:ascii="Segoe UI" w:eastAsia="Times New Roman" w:hAnsi="Segoe UI" w:cs="Segoe UI"/>
          <w:rtl/>
          <w:lang w:val="en-US"/>
        </w:rPr>
      </w:pPr>
      <w:r w:rsidRPr="00291988">
        <w:rPr>
          <w:rFonts w:ascii="Segoe UI" w:eastAsia="Times New Roman" w:hAnsi="Segoe UI" w:cs="Segoe UI"/>
          <w:noProof/>
          <w:rtl/>
          <w:lang w:val="en-US"/>
        </w:rPr>
        <w:lastRenderedPageBreak/>
        <w:drawing>
          <wp:inline distT="0" distB="0" distL="0" distR="0" wp14:anchorId="50C1C7B4" wp14:editId="3CADF18F">
            <wp:extent cx="5053172" cy="1283517"/>
            <wp:effectExtent l="19050" t="19050" r="14605" b="1206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10388" cy="1298050"/>
                    </a:xfrm>
                    <a:prstGeom prst="rect">
                      <a:avLst/>
                    </a:prstGeom>
                    <a:ln w="12700">
                      <a:solidFill>
                        <a:schemeClr val="tx1"/>
                      </a:solidFill>
                    </a:ln>
                  </pic:spPr>
                </pic:pic>
              </a:graphicData>
            </a:graphic>
          </wp:inline>
        </w:drawing>
      </w:r>
    </w:p>
    <w:p w14:paraId="50C74422" w14:textId="6ECA2DC1" w:rsidR="005E1E6D" w:rsidRPr="00003AA3" w:rsidRDefault="005E1E6D" w:rsidP="008F05D0">
      <w:pPr>
        <w:pStyle w:val="110"/>
        <w:spacing w:line="276" w:lineRule="auto"/>
        <w:rPr>
          <w:sz w:val="24"/>
          <w:szCs w:val="24"/>
          <w:rtl/>
        </w:rPr>
      </w:pPr>
      <w:r w:rsidRPr="00003AA3">
        <w:rPr>
          <w:rFonts w:hint="cs"/>
          <w:sz w:val="24"/>
          <w:szCs w:val="24"/>
          <w:rtl/>
        </w:rPr>
        <w:t xml:space="preserve">כלים שיפוטיים מנהליים/לא </w:t>
      </w:r>
      <w:proofErr w:type="spellStart"/>
      <w:r w:rsidRPr="00003AA3">
        <w:rPr>
          <w:rFonts w:hint="cs"/>
          <w:sz w:val="24"/>
          <w:szCs w:val="24"/>
          <w:rtl/>
        </w:rPr>
        <w:t>עונשיים</w:t>
      </w:r>
      <w:proofErr w:type="spellEnd"/>
    </w:p>
    <w:p w14:paraId="6BCC9371" w14:textId="13E616F5" w:rsidR="005E1E6D" w:rsidRDefault="005E1E6D" w:rsidP="008F05D0">
      <w:pPr>
        <w:bidi/>
        <w:spacing w:after="0" w:line="276" w:lineRule="auto"/>
        <w:jc w:val="both"/>
        <w:rPr>
          <w:rFonts w:ascii="Segoe UI" w:hAnsi="Segoe UI" w:cs="Segoe UI"/>
          <w:rtl/>
          <w:lang w:val="en-ZW"/>
        </w:rPr>
      </w:pPr>
      <w:r>
        <w:rPr>
          <w:rFonts w:ascii="Segoe UI" w:hAnsi="Segoe UI" w:cs="Segoe UI" w:hint="cs"/>
          <w:rtl/>
          <w:lang w:val="en-ZW"/>
        </w:rPr>
        <w:t xml:space="preserve">בנוסף לצורות הענישה של חוק העונשין יש כלים נוספים ששופטים משתמשים בהם </w:t>
      </w:r>
      <w:r w:rsidRPr="00A16516">
        <w:rPr>
          <w:rFonts w:ascii="Segoe UI" w:hAnsi="Segoe UI" w:cs="Segoe UI" w:hint="cs"/>
          <w:b/>
          <w:bCs/>
          <w:color w:val="FF0000"/>
          <w:rtl/>
          <w:lang w:val="en-ZW"/>
        </w:rPr>
        <w:t>אך הם לא מוגדרים כעונש</w:t>
      </w:r>
      <w:r w:rsidR="00F275FD">
        <w:rPr>
          <w:rFonts w:ascii="Segoe UI" w:hAnsi="Segoe UI" w:cs="Segoe UI" w:hint="cs"/>
          <w:b/>
          <w:bCs/>
          <w:rtl/>
          <w:lang w:val="en-ZW"/>
        </w:rPr>
        <w:t>.</w:t>
      </w:r>
    </w:p>
    <w:p w14:paraId="6BB81B1A" w14:textId="77777777" w:rsidR="00F275FD" w:rsidRDefault="00F275FD" w:rsidP="008F05D0">
      <w:pPr>
        <w:bidi/>
        <w:spacing w:after="0" w:line="276" w:lineRule="auto"/>
        <w:jc w:val="both"/>
        <w:rPr>
          <w:rFonts w:ascii="Segoe UI" w:hAnsi="Segoe UI" w:cs="Segoe UI"/>
          <w:rtl/>
          <w:lang w:val="en-ZW"/>
        </w:rPr>
      </w:pPr>
    </w:p>
    <w:p w14:paraId="6791763F" w14:textId="4F4D797E" w:rsidR="00854EAF" w:rsidRPr="00854EAF" w:rsidRDefault="005E1E6D" w:rsidP="008F05D0">
      <w:pPr>
        <w:pStyle w:val="2"/>
        <w:rPr>
          <w:rtl/>
        </w:rPr>
      </w:pPr>
      <w:bookmarkStart w:id="42" w:name="_Toc108218201"/>
      <w:r w:rsidRPr="00854EAF">
        <w:rPr>
          <w:rFonts w:hint="cs"/>
          <w:rtl/>
        </w:rPr>
        <w:t>אי הרשעה</w:t>
      </w:r>
      <w:bookmarkEnd w:id="42"/>
      <w:r w:rsidRPr="00854EAF">
        <w:rPr>
          <w:rFonts w:hint="cs"/>
          <w:rtl/>
        </w:rPr>
        <w:t xml:space="preserve"> </w:t>
      </w:r>
    </w:p>
    <w:p w14:paraId="0802BF4F" w14:textId="746F2954" w:rsidR="005E1E6D" w:rsidRPr="00854EAF" w:rsidRDefault="005E1E6D" w:rsidP="008F05D0">
      <w:pPr>
        <w:bidi/>
        <w:spacing w:after="0" w:line="276" w:lineRule="auto"/>
        <w:jc w:val="both"/>
        <w:rPr>
          <w:rFonts w:ascii="Segoe UI" w:hAnsi="Segoe UI" w:cs="Segoe UI"/>
          <w:lang w:val="en-ZW"/>
        </w:rPr>
      </w:pPr>
      <w:r w:rsidRPr="00854EAF">
        <w:rPr>
          <w:rFonts w:ascii="Segoe UI" w:hAnsi="Segoe UI" w:cs="Segoe UI" w:hint="cs"/>
          <w:rtl/>
          <w:lang w:val="en-ZW"/>
        </w:rPr>
        <w:t>ס' 192</w:t>
      </w:r>
      <w:r w:rsidR="00786B5C" w:rsidRPr="00854EAF">
        <w:rPr>
          <w:rFonts w:ascii="Segoe UI" w:hAnsi="Segoe UI" w:cs="Segoe UI" w:hint="cs"/>
          <w:rtl/>
          <w:lang w:val="en-ZW"/>
        </w:rPr>
        <w:t>א</w:t>
      </w:r>
      <w:r w:rsidRPr="00854EAF">
        <w:rPr>
          <w:rFonts w:ascii="Segoe UI" w:hAnsi="Segoe UI" w:cs="Segoe UI" w:hint="cs"/>
          <w:rtl/>
          <w:lang w:val="en-ZW"/>
        </w:rPr>
        <w:t xml:space="preserve"> </w:t>
      </w:r>
      <w:proofErr w:type="spellStart"/>
      <w:r w:rsidRPr="00854EAF">
        <w:rPr>
          <w:rFonts w:ascii="Segoe UI" w:hAnsi="Segoe UI" w:cs="Segoe UI" w:hint="cs"/>
          <w:rtl/>
          <w:lang w:val="en-ZW"/>
        </w:rPr>
        <w:t>לחסד"פ</w:t>
      </w:r>
      <w:proofErr w:type="spellEnd"/>
      <w:r w:rsidR="00E461F8" w:rsidRPr="00854EAF">
        <w:rPr>
          <w:rFonts w:ascii="Segoe UI" w:hAnsi="Segoe UI" w:cs="Segoe UI" w:hint="cs"/>
          <w:rtl/>
          <w:lang w:val="en-ZW"/>
        </w:rPr>
        <w:t xml:space="preserve">. השיקול: יחסי בלתי מידתי בין ההרשעה לבין הנזק שייגרם לנאשם. </w:t>
      </w:r>
    </w:p>
    <w:p w14:paraId="2B4A31A0" w14:textId="22361451" w:rsidR="00BE2FFB" w:rsidRPr="00662087" w:rsidRDefault="00E461F8" w:rsidP="008F05D0">
      <w:pPr>
        <w:bidi/>
        <w:spacing w:after="0" w:line="276" w:lineRule="auto"/>
        <w:jc w:val="both"/>
        <w:rPr>
          <w:rFonts w:ascii="Segoe UI" w:hAnsi="Segoe UI" w:cs="Segoe UI"/>
          <w:rtl/>
          <w:lang w:val="en-ZW"/>
        </w:rPr>
      </w:pPr>
      <w:r w:rsidRPr="00662087">
        <w:rPr>
          <w:rFonts w:ascii="Segoe UI" w:hAnsi="Segoe UI" w:cs="Segoe UI" w:hint="cs"/>
          <w:rtl/>
          <w:lang w:val="en-ZW"/>
        </w:rPr>
        <w:t xml:space="preserve">אי הרשעה </w:t>
      </w:r>
      <w:r w:rsidRPr="00662087">
        <w:rPr>
          <w:rFonts w:ascii="Segoe UI" w:hAnsi="Segoe UI" w:cs="Segoe UI"/>
          <w:rtl/>
          <w:lang w:val="en-ZW"/>
        </w:rPr>
        <w:t>–</w:t>
      </w:r>
      <w:r w:rsidRPr="00662087">
        <w:rPr>
          <w:rFonts w:ascii="Segoe UI" w:hAnsi="Segoe UI" w:cs="Segoe UI" w:hint="cs"/>
          <w:rtl/>
          <w:lang w:val="en-ZW"/>
        </w:rPr>
        <w:t xml:space="preserve"> לא ניתן להטיל מאסר (</w:t>
      </w:r>
      <w:r w:rsidRPr="00662087">
        <w:rPr>
          <w:rFonts w:ascii="Segoe UI" w:hAnsi="Segoe UI" w:cs="Segoe UI" w:hint="cs"/>
          <w:color w:val="7030A0"/>
          <w:rtl/>
          <w:lang w:val="en-ZW"/>
        </w:rPr>
        <w:t>לא בפועל ולא על תנאי</w:t>
      </w:r>
      <w:r w:rsidRPr="00662087">
        <w:rPr>
          <w:rFonts w:ascii="Segoe UI" w:hAnsi="Segoe UI" w:cs="Segoe UI" w:hint="cs"/>
          <w:rtl/>
          <w:lang w:val="en-ZW"/>
        </w:rPr>
        <w:t xml:space="preserve">), לא ניתן להטיל קנס אלא רק </w:t>
      </w:r>
      <w:proofErr w:type="spellStart"/>
      <w:r w:rsidRPr="00662087">
        <w:rPr>
          <w:rFonts w:ascii="Segoe UI" w:hAnsi="Segoe UI" w:cs="Segoe UI" w:hint="cs"/>
          <w:rtl/>
          <w:lang w:val="en-ZW"/>
        </w:rPr>
        <w:t>של"צ</w:t>
      </w:r>
      <w:proofErr w:type="spellEnd"/>
      <w:r w:rsidRPr="00662087">
        <w:rPr>
          <w:rFonts w:ascii="Segoe UI" w:hAnsi="Segoe UI" w:cs="Segoe UI" w:hint="cs"/>
          <w:rtl/>
          <w:lang w:val="en-ZW"/>
        </w:rPr>
        <w:t xml:space="preserve">/עונשים קלים </w:t>
      </w:r>
      <w:r w:rsidRPr="00662087">
        <w:rPr>
          <w:rFonts w:ascii="Segoe UI" w:hAnsi="Segoe UI" w:cs="Segoe UI" w:hint="cs"/>
          <w:color w:val="7030A0"/>
          <w:rtl/>
          <w:lang w:val="en-ZW"/>
        </w:rPr>
        <w:t>[התחייבות, צו מבחן וכו'</w:t>
      </w:r>
      <w:r w:rsidRPr="005B7EEC">
        <w:rPr>
          <w:rFonts w:ascii="Segoe UI" w:hAnsi="Segoe UI" w:cs="Segoe UI" w:hint="cs"/>
          <w:color w:val="7030A0"/>
          <w:rtl/>
          <w:lang w:val="en-ZW"/>
        </w:rPr>
        <w:t>]</w:t>
      </w:r>
      <w:r w:rsidR="005B7EEC" w:rsidRPr="005B7EEC">
        <w:rPr>
          <w:rFonts w:ascii="Segoe UI" w:hAnsi="Segoe UI" w:cs="Segoe UI" w:hint="cs"/>
          <w:color w:val="7030A0"/>
          <w:rtl/>
          <w:lang w:val="en-ZW"/>
        </w:rPr>
        <w:t xml:space="preserve">. אי הרשעה זה מאוד שכיח אצל קטינים ואצל אנשים שהרשעה יכולה "לגמור" להם את החיים </w:t>
      </w:r>
      <w:r w:rsidR="005B7EEC" w:rsidRPr="005B7EEC">
        <w:rPr>
          <w:rFonts w:ascii="Segoe UI" w:hAnsi="Segoe UI" w:cs="Segoe UI"/>
          <w:color w:val="7030A0"/>
          <w:rtl/>
          <w:lang w:val="en-ZW"/>
        </w:rPr>
        <w:t>–</w:t>
      </w:r>
      <w:r w:rsidR="005B7EEC" w:rsidRPr="005B7EEC">
        <w:rPr>
          <w:rFonts w:ascii="Segoe UI" w:hAnsi="Segoe UI" w:cs="Segoe UI" w:hint="cs"/>
          <w:color w:val="7030A0"/>
          <w:rtl/>
          <w:lang w:val="en-ZW"/>
        </w:rPr>
        <w:t xml:space="preserve"> נניח עובדי מדינה, עובדים בתפקידים שבודקים שם רישום פלילי וכו'.</w:t>
      </w:r>
    </w:p>
    <w:p w14:paraId="3EA91776" w14:textId="77777777" w:rsidR="00BE2FFB" w:rsidRDefault="00BE2FFB"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pPr>
      <w:r>
        <w:rPr>
          <w:rStyle w:val="big-number"/>
          <w:rFonts w:ascii="Time New Roman" w:hAnsi="Time New Roman"/>
          <w:b/>
          <w:bCs/>
          <w:color w:val="008000"/>
          <w:sz w:val="27"/>
          <w:szCs w:val="27"/>
          <w:rtl/>
        </w:rPr>
        <w:t>ביטול הרשעה (תיקון מס' 19) תשנ"ה-1995 (תיקון מס' 69) תשע"ה-2014</w:t>
      </w:r>
    </w:p>
    <w:p w14:paraId="01CD69ED" w14:textId="66EC9F16" w:rsidR="00BE2FFB" w:rsidRPr="00BE2FFB" w:rsidRDefault="00BE2FFB"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rPr>
          <w:rtl/>
        </w:rPr>
      </w:pPr>
      <w:r>
        <w:rPr>
          <w:rStyle w:val="big-number"/>
          <w:rFonts w:ascii="Miriam" w:hAnsi="Miriam" w:cs="Miriam"/>
          <w:sz w:val="32"/>
          <w:szCs w:val="32"/>
          <w:rtl/>
        </w:rPr>
        <w:t>192</w:t>
      </w:r>
      <w:r>
        <w:rPr>
          <w:rStyle w:val="default"/>
          <w:rFonts w:ascii="FrankRuehl" w:eastAsiaTheme="majorEastAsia" w:hAnsi="FrankRuehl" w:cs="FrankRuehl"/>
          <w:sz w:val="26"/>
          <w:szCs w:val="26"/>
          <w:rtl/>
        </w:rPr>
        <w:t>א. הרשיע בית המשפט את הנאשם, ולפני מתן גזר הדין ראה שיש מקום לתת לגביו צו מבחן או צו שירות לתועלת הציבור, ללא הרשעה, או לצוות כי הנאשם ייתן התחייבות להימנע מעבירה, כאמור בסעיף 72(ב) לחוק העונשין, בלא הרשעה, רשאי הוא לבטל את ההרשעה ולצוות כאמור.</w:t>
      </w:r>
    </w:p>
    <w:p w14:paraId="32EFA723" w14:textId="77777777" w:rsidR="00F275FD" w:rsidRPr="00F275FD" w:rsidRDefault="00F275FD" w:rsidP="008F05D0">
      <w:pPr>
        <w:spacing w:after="0" w:line="276" w:lineRule="auto"/>
        <w:rPr>
          <w:rtl/>
        </w:rPr>
      </w:pPr>
    </w:p>
    <w:p w14:paraId="57425073" w14:textId="3076B5FD" w:rsidR="00854EAF" w:rsidRPr="005E76D5" w:rsidRDefault="00BE2FFB" w:rsidP="008F05D0">
      <w:pPr>
        <w:pStyle w:val="2"/>
        <w:rPr>
          <w:rtl/>
        </w:rPr>
      </w:pPr>
      <w:bookmarkStart w:id="43" w:name="_Toc108218202"/>
      <w:r w:rsidRPr="005E76D5">
        <w:rPr>
          <w:rFonts w:hint="cs"/>
          <w:rtl/>
        </w:rPr>
        <w:t xml:space="preserve">חילוט </w:t>
      </w:r>
      <w:r w:rsidR="00C85D1D">
        <w:rPr>
          <w:rFonts w:hint="cs"/>
          <w:rtl/>
        </w:rPr>
        <w:t>נכסים</w:t>
      </w:r>
      <w:bookmarkEnd w:id="43"/>
      <w:r w:rsidR="00C85D1D">
        <w:rPr>
          <w:rFonts w:hint="cs"/>
          <w:rtl/>
        </w:rPr>
        <w:t xml:space="preserve"> </w:t>
      </w:r>
    </w:p>
    <w:p w14:paraId="042E1E1F" w14:textId="3D44CF05" w:rsidR="00A94595" w:rsidRPr="00D35B30" w:rsidRDefault="00BE2FFB" w:rsidP="008F05D0">
      <w:pPr>
        <w:bidi/>
        <w:spacing w:line="276" w:lineRule="auto"/>
        <w:jc w:val="both"/>
        <w:rPr>
          <w:rFonts w:ascii="Segoe UI" w:hAnsi="Segoe UI" w:cs="Segoe UI"/>
          <w:color w:val="7030A0"/>
          <w:lang w:val="en-ZW"/>
        </w:rPr>
      </w:pPr>
      <w:r w:rsidRPr="00854EAF">
        <w:rPr>
          <w:rFonts w:ascii="Segoe UI" w:hAnsi="Segoe UI" w:cs="Segoe UI" w:hint="cs"/>
          <w:rtl/>
          <w:lang w:val="en-ZW"/>
        </w:rPr>
        <w:t xml:space="preserve">עיקול או החרמה של נכסים בידי המדינה או גוף הפועל מטעמה (במסגרת פשע). </w:t>
      </w:r>
      <w:r w:rsidR="0029401D" w:rsidRPr="00854EAF">
        <w:rPr>
          <w:rFonts w:ascii="Segoe UI" w:hAnsi="Segoe UI" w:cs="Segoe UI" w:hint="cs"/>
          <w:rtl/>
          <w:lang w:val="en-ZW"/>
        </w:rPr>
        <w:t xml:space="preserve">נכס שמקורו בעבירה פלילית (כגון גנבה או הלבנת הון)  או בנכס שסייע לביצוע פשע או פעולות טרור (כגון כלי רכב שהסיע מחבל מתאבד). </w:t>
      </w:r>
    </w:p>
    <w:p w14:paraId="13285863" w14:textId="061C7D99" w:rsidR="00116CBC" w:rsidRDefault="0029401D" w:rsidP="008F05D0">
      <w:pPr>
        <w:bidi/>
        <w:spacing w:after="0" w:line="276" w:lineRule="auto"/>
        <w:jc w:val="both"/>
        <w:rPr>
          <w:rFonts w:ascii="Segoe UI" w:hAnsi="Segoe UI" w:cs="Segoe UI"/>
          <w:rtl/>
          <w:lang w:val="en-ZW"/>
        </w:rPr>
      </w:pPr>
      <w:r>
        <w:rPr>
          <w:rFonts w:ascii="Segoe UI" w:hAnsi="Segoe UI" w:cs="Segoe UI" w:hint="cs"/>
          <w:u w:val="single"/>
          <w:rtl/>
          <w:lang w:val="en-ZW"/>
        </w:rPr>
        <w:t>סמכות להורות על חילוט מכוחם של מספר חוקים</w:t>
      </w:r>
    </w:p>
    <w:p w14:paraId="52153C7E" w14:textId="49478F71" w:rsidR="00116CBC" w:rsidRPr="00E92312" w:rsidRDefault="002940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center"/>
        <w:rPr>
          <w:rFonts w:ascii="Segoe UI" w:hAnsi="Segoe UI" w:cs="Segoe UI"/>
          <w:b/>
          <w:bCs/>
          <w:rtl/>
          <w:lang w:val="en-ZW"/>
        </w:rPr>
      </w:pPr>
      <w:r w:rsidRPr="00E92312">
        <w:rPr>
          <w:rFonts w:ascii="Segoe UI" w:hAnsi="Segoe UI" w:cs="Segoe UI" w:hint="cs"/>
          <w:b/>
          <w:bCs/>
          <w:rtl/>
          <w:lang w:val="en-ZW"/>
        </w:rPr>
        <w:t>פקודת סדר דין פלילי (מעצר וחיפוש) [נוסח חדש]</w:t>
      </w:r>
      <w:r w:rsidR="00556751" w:rsidRPr="00E92312">
        <w:rPr>
          <w:rFonts w:ascii="Segoe UI" w:hAnsi="Segoe UI" w:cs="Segoe UI" w:hint="cs"/>
          <w:b/>
          <w:bCs/>
          <w:rtl/>
          <w:lang w:val="en-ZW"/>
        </w:rPr>
        <w:t xml:space="preserve"> תשכ"ט-1969</w:t>
      </w:r>
    </w:p>
    <w:p w14:paraId="65106F13" w14:textId="77777777" w:rsidR="00116CBC" w:rsidRDefault="00116CBC"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bCs/>
          <w:color w:val="008000"/>
          <w:sz w:val="20"/>
          <w:szCs w:val="27"/>
          <w:rtl/>
        </w:rPr>
        <w:t>צו חילוט (תיקון מס' 1)  תש"ל-1970</w:t>
      </w:r>
    </w:p>
    <w:p w14:paraId="42820F08" w14:textId="77777777" w:rsidR="00116CBC" w:rsidRDefault="00116CBC"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20"/>
          <w:szCs w:val="32"/>
          <w:rtl/>
        </w:rPr>
        <w:t>39.</w:t>
      </w:r>
      <w:r>
        <w:rPr>
          <w:rStyle w:val="big-number"/>
          <w:rFonts w:ascii="Miriam" w:hAnsi="Miriam" w:cs="Miriam"/>
          <w:sz w:val="20"/>
          <w:szCs w:val="32"/>
          <w:rtl/>
        </w:rPr>
        <w:tab/>
      </w:r>
      <w:r>
        <w:rPr>
          <w:rStyle w:val="default"/>
          <w:rFonts w:ascii="FrankRuehl" w:eastAsiaTheme="majorEastAsia" w:hAnsi="FrankRuehl" w:cs="FrankRuehl"/>
          <w:sz w:val="20"/>
          <w:szCs w:val="26"/>
          <w:rtl/>
        </w:rPr>
        <w:t>(א)</w:t>
      </w:r>
      <w:r>
        <w:rPr>
          <w:rStyle w:val="default"/>
          <w:rFonts w:ascii="FrankRuehl" w:eastAsiaTheme="majorEastAsia" w:hAnsi="FrankRuehl" w:cs="FrankRuehl"/>
          <w:sz w:val="20"/>
          <w:szCs w:val="26"/>
          <w:rtl/>
        </w:rPr>
        <w:tab/>
        <w:t>על אף האמור בכל דין, רשאי בית המשפט, בנוסף על כל עונש שיטיל, לצוות על חילוט החפץ שנתפס לפי סעיף 32, או שהגיע לידי המשטרה כאמור בסעיף 33, אם האדם שהורשע במעשה העבירה שנעשה בחפץ או לגביו הוא בעל החפץ; דין צו זה כדין עונש שהוטל על הנאשם.</w:t>
      </w:r>
    </w:p>
    <w:p w14:paraId="12878BA9" w14:textId="77777777" w:rsidR="00116CBC" w:rsidRDefault="00116CBC"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bCs/>
          <w:color w:val="008000"/>
          <w:sz w:val="20"/>
          <w:szCs w:val="27"/>
          <w:rtl/>
        </w:rPr>
        <w:t>(תיקון מס' 1) תש"ל-1970</w:t>
      </w:r>
    </w:p>
    <w:p w14:paraId="75059F7E" w14:textId="77777777" w:rsidR="00116CBC" w:rsidRDefault="00116CBC"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bCs/>
          <w:color w:val="008000"/>
          <w:sz w:val="20"/>
          <w:szCs w:val="27"/>
          <w:rtl/>
        </w:rPr>
        <w:t>(תיקון מס' 1) תש"ל-1970</w:t>
      </w:r>
    </w:p>
    <w:p w14:paraId="73C4A174" w14:textId="77777777" w:rsidR="00116CBC" w:rsidRDefault="00116CBC"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0"/>
          <w:szCs w:val="26"/>
          <w:rtl/>
        </w:rPr>
        <w:tab/>
      </w:r>
      <w:r>
        <w:rPr>
          <w:rStyle w:val="default"/>
          <w:rFonts w:ascii="FrankRuehl" w:eastAsiaTheme="majorEastAsia" w:hAnsi="FrankRuehl" w:cs="FrankRuehl"/>
          <w:sz w:val="20"/>
          <w:szCs w:val="26"/>
          <w:rtl/>
        </w:rPr>
        <w:t>(ב)</w:t>
      </w:r>
      <w:r>
        <w:rPr>
          <w:rStyle w:val="default"/>
          <w:rFonts w:ascii="FrankRuehl" w:eastAsiaTheme="majorEastAsia" w:hAnsi="FrankRuehl" w:cs="FrankRuehl"/>
          <w:sz w:val="20"/>
          <w:szCs w:val="26"/>
          <w:rtl/>
        </w:rPr>
        <w:tab/>
        <w:t xml:space="preserve">ניתן חפץ כשכר בעד ביצוע עבירה או כאמצעי לביצועה ולא חל עליו אחד התנאים האחרים האמורים בסעיף 32, לא יחולט אלא אם החפץ ניתן מאת בעליו, או מאת המחזיק בו כדין, או על דעתו, כשכר בעד ביצוע העבירה שעליה הורשע הנידון, או כאמצעי לביצועה, או בעד ביצוע עבירה אחרת הקשורה בעבירה שבה הורשע הנידון, או כאמצעי לביצוע העבירה האחרת; ואין נפקא מינה אם ביצע הנידון את העבירה האחרת ואם לאו, ואף אם לא נתכוון לבצעה. </w:t>
      </w:r>
    </w:p>
    <w:p w14:paraId="5972C292" w14:textId="77777777" w:rsidR="00116CBC" w:rsidRDefault="00116CBC"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0"/>
          <w:szCs w:val="26"/>
          <w:rtl/>
        </w:rPr>
        <w:tab/>
      </w:r>
      <w:r>
        <w:rPr>
          <w:rStyle w:val="default"/>
          <w:rFonts w:ascii="FrankRuehl" w:eastAsiaTheme="majorEastAsia" w:hAnsi="FrankRuehl" w:cs="FrankRuehl"/>
          <w:sz w:val="20"/>
          <w:szCs w:val="26"/>
          <w:rtl/>
        </w:rPr>
        <w:t>(ג)</w:t>
      </w:r>
      <w:r>
        <w:rPr>
          <w:rStyle w:val="default"/>
          <w:rFonts w:ascii="FrankRuehl" w:eastAsiaTheme="majorEastAsia" w:hAnsi="FrankRuehl" w:cs="FrankRuehl"/>
          <w:sz w:val="20"/>
          <w:szCs w:val="26"/>
          <w:rtl/>
        </w:rPr>
        <w:tab/>
        <w:t xml:space="preserve">צו חילוט לפי סעיף זה יכול שיינתן בין בגזר הדין ובין על פי עתירה מטעם תובע. </w:t>
      </w:r>
    </w:p>
    <w:p w14:paraId="5DCB57BF" w14:textId="77777777" w:rsidR="00116CBC" w:rsidRDefault="00116CBC" w:rsidP="008F05D0">
      <w:pPr>
        <w:bidi/>
        <w:spacing w:after="0" w:line="276" w:lineRule="auto"/>
        <w:ind w:left="363" w:right="363"/>
        <w:jc w:val="both"/>
        <w:rPr>
          <w:rFonts w:ascii="Segoe UI" w:hAnsi="Segoe UI" w:cs="Segoe UI"/>
          <w:rtl/>
          <w:lang w:val="en-ZW"/>
        </w:rPr>
      </w:pPr>
    </w:p>
    <w:p w14:paraId="02A81BC8" w14:textId="700864C6" w:rsidR="00556751" w:rsidRPr="00E92312" w:rsidRDefault="002940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center"/>
        <w:rPr>
          <w:rFonts w:ascii="Segoe UI" w:hAnsi="Segoe UI" w:cs="Segoe UI"/>
          <w:b/>
          <w:bCs/>
          <w:rtl/>
          <w:lang w:val="en-ZW"/>
        </w:rPr>
      </w:pPr>
      <w:r w:rsidRPr="00E92312">
        <w:rPr>
          <w:rFonts w:ascii="Segoe UI" w:hAnsi="Segoe UI" w:cs="Segoe UI" w:hint="cs"/>
          <w:b/>
          <w:bCs/>
          <w:rtl/>
          <w:lang w:val="en-ZW"/>
        </w:rPr>
        <w:t>פקודת הסמים המסוכנים [נוסח חדש]</w:t>
      </w:r>
      <w:r w:rsidR="00556751" w:rsidRPr="00E92312">
        <w:rPr>
          <w:rFonts w:ascii="Segoe UI" w:hAnsi="Segoe UI" w:cs="Segoe UI" w:hint="cs"/>
          <w:b/>
          <w:bCs/>
          <w:rtl/>
          <w:lang w:val="en-ZW"/>
        </w:rPr>
        <w:t xml:space="preserve"> </w:t>
      </w:r>
      <w:r w:rsidRPr="00E92312">
        <w:rPr>
          <w:rFonts w:ascii="Segoe UI" w:hAnsi="Segoe UI" w:cs="Segoe UI" w:hint="cs"/>
          <w:b/>
          <w:bCs/>
          <w:rtl/>
          <w:lang w:val="en-ZW"/>
        </w:rPr>
        <w:t>תשלג-1973</w:t>
      </w:r>
    </w:p>
    <w:p w14:paraId="6A66929E"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Time New Roman" w:hAnsi="Time New Roman"/>
          <w:b/>
          <w:bCs/>
          <w:color w:val="008000"/>
          <w:sz w:val="27"/>
          <w:szCs w:val="27"/>
          <w:rtl/>
        </w:rPr>
        <w:t>חילוט חובה</w:t>
      </w:r>
    </w:p>
    <w:p w14:paraId="7C13A7CA"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lastRenderedPageBreak/>
        <w:t xml:space="preserve">35.  </w:t>
      </w:r>
      <w:r>
        <w:rPr>
          <w:rStyle w:val="default"/>
          <w:rFonts w:ascii="FrankRuehl" w:eastAsiaTheme="majorEastAsia" w:hAnsi="FrankRuehl" w:cs="FrankRuehl"/>
          <w:sz w:val="26"/>
          <w:szCs w:val="26"/>
          <w:rtl/>
        </w:rPr>
        <w:t>הורשע אדם בעבירה לפי פקודה זו או תקנות לפיה, יצווה בית המשפט על חילוטם של הסמים המסוכנים, המקטרות והכלים האחרים שלגביהם נעברה העבירה, והם יושמדו או ייעשה בהם בדרך אחרת, הכל כפי שייראה לבית המשפט.</w:t>
      </w:r>
    </w:p>
    <w:p w14:paraId="1918DBE8"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bookmarkStart w:id="44" w:name="Seif34"/>
      <w:bookmarkEnd w:id="44"/>
      <w:r>
        <w:rPr>
          <w:rStyle w:val="big-number"/>
          <w:rFonts w:ascii="Time New Roman" w:hAnsi="Time New Roman"/>
          <w:b/>
          <w:bCs/>
          <w:color w:val="008000"/>
          <w:sz w:val="27"/>
          <w:szCs w:val="27"/>
          <w:rtl/>
        </w:rPr>
        <w:t>חילוט רשות (תיקון מס' 3) תשמ"ט-1989</w:t>
      </w:r>
    </w:p>
    <w:p w14:paraId="69B91FEE"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t xml:space="preserve">36.  </w:t>
      </w:r>
      <w:r>
        <w:rPr>
          <w:rStyle w:val="default"/>
          <w:rFonts w:ascii="FrankRuehl" w:eastAsiaTheme="majorEastAsia" w:hAnsi="FrankRuehl" w:cs="FrankRuehl"/>
          <w:sz w:val="26"/>
          <w:szCs w:val="26"/>
          <w:rtl/>
        </w:rPr>
        <w:t xml:space="preserve">(א)  הגיעו לידי המשטרה סמים מסוכנים או כלים שנועדו לשימוש בהם, רשאי בית המשפט, לאחר שהוגשה לו תעודה כאמור בסעיף 31(5), לצוות על חילוטם וכן על השמדתם בכל עת גם אם לא הורשע אדם לגביהם, ובלבד שאם הוגש כתב אישום, לא יורה בית המשפט על השמדת הסמים אלא לאחר שהעתק תעודה לפי סעיף 31(5) נמסר לנאשם או </w:t>
      </w:r>
      <w:proofErr w:type="spellStart"/>
      <w:r>
        <w:rPr>
          <w:rStyle w:val="default"/>
          <w:rFonts w:ascii="FrankRuehl" w:eastAsiaTheme="majorEastAsia" w:hAnsi="FrankRuehl" w:cs="FrankRuehl"/>
          <w:sz w:val="26"/>
          <w:szCs w:val="26"/>
          <w:rtl/>
        </w:rPr>
        <w:t>לסניגורו</w:t>
      </w:r>
      <w:proofErr w:type="spellEnd"/>
      <w:r>
        <w:rPr>
          <w:rStyle w:val="default"/>
          <w:rFonts w:ascii="FrankRuehl" w:eastAsiaTheme="majorEastAsia" w:hAnsi="FrankRuehl" w:cs="FrankRuehl"/>
          <w:sz w:val="26"/>
          <w:szCs w:val="26"/>
          <w:rtl/>
        </w:rPr>
        <w:t xml:space="preserve"> וניתנה להם הזדמנות לעשות בהם או לגביהם את הפעולות הנדרשות לפי דעתם כדי לסתור את ראיות התביעה </w:t>
      </w:r>
      <w:proofErr w:type="spellStart"/>
      <w:r>
        <w:rPr>
          <w:rStyle w:val="default"/>
          <w:rFonts w:ascii="FrankRuehl" w:eastAsiaTheme="majorEastAsia" w:hAnsi="FrankRuehl" w:cs="FrankRuehl"/>
          <w:sz w:val="26"/>
          <w:szCs w:val="26"/>
          <w:rtl/>
        </w:rPr>
        <w:t>לענינם</w:t>
      </w:r>
      <w:proofErr w:type="spellEnd"/>
      <w:r>
        <w:rPr>
          <w:rStyle w:val="default"/>
          <w:rFonts w:ascii="FrankRuehl" w:eastAsiaTheme="majorEastAsia" w:hAnsi="FrankRuehl" w:cs="FrankRuehl"/>
          <w:sz w:val="26"/>
          <w:szCs w:val="26"/>
          <w:rtl/>
        </w:rPr>
        <w:t>.</w:t>
      </w:r>
    </w:p>
    <w:p w14:paraId="7E0AE6B1"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(ב)  על אף האמור בסעיף קטן (א), לא יורה בית המשפט על השמדת סמים מסוכנים או כלים שנועדו לשימוש בהם אם מתנהלת חקירה נגד חשוד וטרם הוגש כתב אישום.</w:t>
      </w:r>
    </w:p>
    <w:p w14:paraId="03411076"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bookmarkStart w:id="45" w:name="Rov137"/>
      <w:bookmarkStart w:id="46" w:name="Seif35"/>
      <w:bookmarkEnd w:id="45"/>
      <w:bookmarkEnd w:id="46"/>
      <w:r>
        <w:rPr>
          <w:rStyle w:val="big-number"/>
          <w:rFonts w:ascii="Time New Roman" w:hAnsi="Time New Roman"/>
          <w:b/>
          <w:bCs/>
          <w:color w:val="008000"/>
          <w:sz w:val="27"/>
          <w:szCs w:val="27"/>
          <w:rtl/>
        </w:rPr>
        <w:t>חילוט רכוש בהליך פלילי (תיקון מס' 3) תשמ"ט-1989</w:t>
      </w:r>
    </w:p>
    <w:p w14:paraId="72213197"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t>36</w:t>
      </w:r>
      <w:r>
        <w:rPr>
          <w:rStyle w:val="default"/>
          <w:rFonts w:ascii="FrankRuehl" w:eastAsiaTheme="majorEastAsia" w:hAnsi="FrankRuehl" w:cs="FrankRuehl"/>
          <w:sz w:val="26"/>
          <w:szCs w:val="26"/>
          <w:rtl/>
        </w:rPr>
        <w:t>א.  (א)  הורשע אדם בעבירה של עסקת סמים, יצווה בית המשפט, זולת אם סבר שלא לעשות כן מנימוקים מיוחדים שיפרט, כי בנוסף לכל עונש יחולט לאוצר המדינה כל רכוש שהוא –</w:t>
      </w:r>
    </w:p>
    <w:p w14:paraId="7E786CEF" w14:textId="77777777" w:rsidR="00E92312" w:rsidRDefault="00E92312" w:rsidP="008F05D0">
      <w:pPr>
        <w:pStyle w:val="p11"/>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(1)  רכוש ששימש או נועד לשמש כאמצעי לביצוע העבירה או ששימש או נועד לשמש כדי לאפשר את ביצוע העבירה;</w:t>
      </w:r>
    </w:p>
    <w:p w14:paraId="6CF80023" w14:textId="77777777" w:rsidR="00E92312" w:rsidRDefault="00E92312" w:rsidP="008F05D0">
      <w:pPr>
        <w:pStyle w:val="p11"/>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(2)  רכוש שהושג, במישרין או בעקיפין, כשכר העבירה או כתוצאה מביצוע העבירה, או שיועד לכך.</w:t>
      </w:r>
    </w:p>
    <w:p w14:paraId="012A2D8A"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לענין פסקאות (1) ו-(2) –</w:t>
      </w:r>
    </w:p>
    <w:p w14:paraId="4A21AD1F"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"ביצוע העבירה" – לרבות ביצוע כל עבירה אחרת של עסקת סמים, אף אם לא הורשע בה הנידון, ובלבד שהיא קשורה לעבירה שבה הוא הורשע.</w:t>
      </w:r>
    </w:p>
    <w:p w14:paraId="08FB5BA1"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(ב)  בית המשפט שהרשיע אדם בעבירה של עסקת סמים והוכח לו כי הנידון הפיק רווח מעבירה של עסקת סמים או שהיה אמור להפיק רווח מעבירה כאמור, יקבע בהכרעת הדין, על פי בקשת תובע, שהנידון הוא סוחר סמים ומשעשה כן – יצווה בגזר הדין, כי בנוסף לכל עונש יחולט לאוצר המדינה כל רכוש של הנידון שהושג בעבירה של עסקת סמים, אלא אם כן סבר שלא לעשות כן מנימוקים מיוחדים שיפרט.</w:t>
      </w:r>
    </w:p>
    <w:p w14:paraId="2DF6D481"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(ג)   לא יצווה בית משפט על חילוט כאמור בסעיף זה אלא לאחר שנתן לנידון וכן אם הם ידועים לבעל הרכוש, למי שהרכוש נמצא בחזקתו או בשליטתו ולמי שטוען לזכות ברכוש (להלן – הטוען לזכות ברכוש), הזדמנות להשמיע את טענותיהם.</w:t>
      </w:r>
    </w:p>
    <w:p w14:paraId="7143285C"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(ד)  טען אדם שאינו הנידון לזכות ברכוש כאמור בסעיף קטן (ג), וראה בית המשפט, מטעמים שיירשמו, כי בירור הטענות עלול להקשות על המשך הדיון בהליך הפלילי, רשאי הוא לקבוע שהדיון בחילוט יהיה בהליך אזרחי; קבע בית המשפט כן, יחולו בהליך האזרחי הוראות סעיף 31(6).</w:t>
      </w:r>
    </w:p>
    <w:p w14:paraId="387046E9" w14:textId="77777777" w:rsid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 xml:space="preserve">(ה)  בקשת תובע לחלט רכוש לפי סעיף זה ופירוט הרכוש שאת חילוטו מבקשים, </w:t>
      </w:r>
      <w:proofErr w:type="spellStart"/>
      <w:r>
        <w:rPr>
          <w:rStyle w:val="default"/>
          <w:rFonts w:ascii="FrankRuehl" w:eastAsiaTheme="majorEastAsia" w:hAnsi="FrankRuehl" w:cs="FrankRuehl"/>
          <w:sz w:val="26"/>
          <w:szCs w:val="26"/>
          <w:rtl/>
        </w:rPr>
        <w:t>יצויינו</w:t>
      </w:r>
      <w:proofErr w:type="spellEnd"/>
      <w:r>
        <w:rPr>
          <w:rStyle w:val="default"/>
          <w:rFonts w:ascii="FrankRuehl" w:eastAsiaTheme="majorEastAsia" w:hAnsi="FrankRuehl" w:cs="FrankRuehl"/>
          <w:sz w:val="26"/>
          <w:szCs w:val="26"/>
          <w:rtl/>
        </w:rPr>
        <w:t xml:space="preserve"> בכתב האישום; נתגלה רכוש נוסף שאת חילוטו מבקשים, רשאי תובע לתקן את כתב האישום בכל שלב של ההליכים עד לגזר הדין.</w:t>
      </w:r>
    </w:p>
    <w:p w14:paraId="70F9597C" w14:textId="6FC30C24" w:rsidR="00556751" w:rsidRPr="00E92312" w:rsidRDefault="00E9231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(ו)   הודעה על בקשת תובע לחלט רכוש תימסר לטוען לזכות ברכוש, אם הוא ידוע.</w:t>
      </w:r>
    </w:p>
    <w:p w14:paraId="5D66341D" w14:textId="77777777" w:rsidR="00E92312" w:rsidRDefault="00E92312" w:rsidP="008F05D0">
      <w:pPr>
        <w:bidi/>
        <w:spacing w:after="0" w:line="276" w:lineRule="auto"/>
        <w:ind w:left="363" w:right="363"/>
        <w:jc w:val="both"/>
        <w:rPr>
          <w:rFonts w:ascii="Segoe UI" w:hAnsi="Segoe UI" w:cs="Segoe UI"/>
          <w:rtl/>
          <w:lang w:val="en-ZW"/>
        </w:rPr>
      </w:pPr>
    </w:p>
    <w:p w14:paraId="00EC1958" w14:textId="28B5B179" w:rsidR="00556751" w:rsidRPr="00F60AE6" w:rsidRDefault="002940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center"/>
        <w:rPr>
          <w:rFonts w:ascii="Segoe UI" w:hAnsi="Segoe UI" w:cs="Segoe UI"/>
          <w:b/>
          <w:bCs/>
          <w:rtl/>
          <w:lang w:val="en-ZW"/>
        </w:rPr>
      </w:pPr>
      <w:r w:rsidRPr="00F60AE6">
        <w:rPr>
          <w:rFonts w:ascii="Segoe UI" w:hAnsi="Segoe UI" w:cs="Segoe UI" w:hint="cs"/>
          <w:b/>
          <w:bCs/>
          <w:rtl/>
          <w:lang w:val="en-ZW"/>
        </w:rPr>
        <w:t>חוק איסור הלבנת הון, תש"ס-2000</w:t>
      </w:r>
    </w:p>
    <w:p w14:paraId="4A43981F" w14:textId="77777777" w:rsidR="006B259D" w:rsidRDefault="006B259D"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Time New Roman" w:hAnsi="Time New Roman"/>
          <w:b/>
          <w:bCs/>
          <w:color w:val="008000"/>
          <w:sz w:val="27"/>
          <w:szCs w:val="27"/>
          <w:rtl/>
        </w:rPr>
        <w:t>חילוט רכוש בהליך פלילי</w:t>
      </w:r>
    </w:p>
    <w:p w14:paraId="1E2FCB2F" w14:textId="77777777" w:rsidR="006B259D" w:rsidRDefault="006B259D"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t xml:space="preserve">21.   </w:t>
      </w:r>
      <w:r>
        <w:rPr>
          <w:rStyle w:val="default"/>
          <w:rFonts w:ascii="FrankRuehl" w:eastAsiaTheme="majorEastAsia" w:hAnsi="FrankRuehl" w:cs="FrankRuehl"/>
          <w:sz w:val="26"/>
          <w:szCs w:val="26"/>
          <w:rtl/>
        </w:rPr>
        <w:t>(א)  הורשע אדם בעבירה לפי סעיפים 3 או 4, יצווה בית המשפט, זולת אם סבר שלא לעשות כן מנימוקים מיוחדים שיפרט, כי נוסף על כל עונש יחולט רכוש מתוך רכושו של הנידון בשווי של רכוש שהוא –</w:t>
      </w:r>
    </w:p>
    <w:p w14:paraId="2A928F76" w14:textId="77777777" w:rsidR="006B259D" w:rsidRDefault="006B259D" w:rsidP="008F05D0">
      <w:pPr>
        <w:pStyle w:val="p22"/>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 xml:space="preserve">(1)   רכוש שנעברה בו העבירה, וכן רכוש ששימש לביצוע העבירה, </w:t>
      </w:r>
      <w:proofErr w:type="spellStart"/>
      <w:r>
        <w:rPr>
          <w:rStyle w:val="default"/>
          <w:rFonts w:ascii="FrankRuehl" w:eastAsiaTheme="majorEastAsia" w:hAnsi="FrankRuehl" w:cs="FrankRuehl"/>
          <w:sz w:val="26"/>
          <w:szCs w:val="26"/>
          <w:rtl/>
        </w:rPr>
        <w:t>שאיפשר</w:t>
      </w:r>
      <w:proofErr w:type="spellEnd"/>
      <w:r>
        <w:rPr>
          <w:rStyle w:val="default"/>
          <w:rFonts w:ascii="FrankRuehl" w:eastAsiaTheme="majorEastAsia" w:hAnsi="FrankRuehl" w:cs="FrankRuehl"/>
          <w:sz w:val="26"/>
          <w:szCs w:val="26"/>
          <w:rtl/>
        </w:rPr>
        <w:t xml:space="preserve"> את ביצועה או שיועד לכך;</w:t>
      </w:r>
    </w:p>
    <w:p w14:paraId="53965CFC" w14:textId="77777777" w:rsidR="006B259D" w:rsidRDefault="006B259D" w:rsidP="008F05D0">
      <w:pPr>
        <w:pStyle w:val="p22"/>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(2)   רכוש שהושג, במישרין או בעקיפין, כשכר העבירה או כתוצאה מביצוע העבירה, או שיועד לכך.</w:t>
      </w:r>
    </w:p>
    <w:p w14:paraId="4A7A1573" w14:textId="77777777" w:rsidR="006B259D" w:rsidRDefault="006B259D"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(ב)  לענין סעיף זה, "רכושו של הנידון" – כל רכוש שנמצא בחזקתו, בשליטתו או בחשבונו.</w:t>
      </w:r>
    </w:p>
    <w:p w14:paraId="4895B7D1" w14:textId="77777777" w:rsidR="006B259D" w:rsidRDefault="006B259D"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lastRenderedPageBreak/>
        <w:t xml:space="preserve">           </w:t>
      </w:r>
      <w:r>
        <w:rPr>
          <w:rStyle w:val="default"/>
          <w:rFonts w:ascii="FrankRuehl" w:eastAsiaTheme="majorEastAsia" w:hAnsi="FrankRuehl" w:cs="FrankRuehl"/>
          <w:sz w:val="26"/>
          <w:szCs w:val="26"/>
          <w:rtl/>
        </w:rPr>
        <w:t>(ג)   לא נמצא רכוש של הנידון למימוש צו החילוט במלואו, רשאי בית המשפט לצוות על מימושו של הצו מתוך רכוש של אדם אחר, שהנידון מימן את רכישתו או שהעבירו לאותו אדם בלא תמורה; לא יצווה בית המשפט כאמור לגבי רכוש שמימן או שהעביר הנידון לאותו אדם לפני ביצוע העבירה שבשלה הורשע, ושלגביה ניתן צו החילוט.</w:t>
      </w:r>
    </w:p>
    <w:p w14:paraId="32B99B01" w14:textId="77777777" w:rsidR="006B259D" w:rsidRDefault="006B259D"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(ד)  לא יצווה בית המשפט על חילוט רכוש כאמור בסעיף זה אלא לאחר שנתן לנידון, לבעל הרכוש, למי שהרכוש נמצא בחזקתו או בשליטתו ולמי שטוען לזכות ברכוש, אם הם ידועים, הזדמנות להשמיע את טענותיהם.</w:t>
      </w:r>
    </w:p>
    <w:p w14:paraId="157C332F" w14:textId="77777777" w:rsidR="006B259D" w:rsidRDefault="006B259D"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(ה)  טען אדם שאינו הנידון לזכות ברכוש כאמור בסעיף קטן (ד), וראה בית המשפט, מטעמים שיירשמו, כי בירור הטענות עלול להקשות על המשך הדיון בהליך הפלילי, רשאי הוא לקבוע שהדיון בחילוט יהיה בהליך אזרחי; קבע בית המשפט כאמור, יחולו בהליך האזרחי הוראות סעיף קטן (ג).</w:t>
      </w:r>
    </w:p>
    <w:p w14:paraId="58C43FEE" w14:textId="77777777" w:rsidR="006B259D" w:rsidRDefault="006B259D"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Fonts w:ascii="FrankRuehl" w:hAnsi="FrankRuehl" w:cs="FrankRuehl"/>
          <w:sz w:val="26"/>
          <w:szCs w:val="26"/>
          <w:rtl/>
        </w:rPr>
        <w:t xml:space="preserve">           </w:t>
      </w:r>
      <w:r>
        <w:rPr>
          <w:rStyle w:val="default"/>
          <w:rFonts w:ascii="FrankRuehl" w:eastAsiaTheme="majorEastAsia" w:hAnsi="FrankRuehl" w:cs="FrankRuehl"/>
          <w:sz w:val="26"/>
          <w:szCs w:val="26"/>
          <w:rtl/>
        </w:rPr>
        <w:t>(ו)   בקשת תובע לחלט רכוש לפי סעיף זה, ופירוט הרכוש שאת חילוטו מבקשים, או שווי הרכוש שלגביו מבקשים צו חילוט, יצוינו בכתב האישום; נתגלה רכוש נוסף שאת חילוטו מבקשים, רשאי תובע לתקן את כתב האישום בכל שלב של ההליכים עד למתן גזר הדין.</w:t>
      </w:r>
    </w:p>
    <w:p w14:paraId="775B8E0F" w14:textId="77777777" w:rsidR="00556751" w:rsidRDefault="00556751" w:rsidP="008F05D0">
      <w:pPr>
        <w:bidi/>
        <w:spacing w:after="0" w:line="276" w:lineRule="auto"/>
        <w:ind w:left="363"/>
        <w:jc w:val="both"/>
        <w:rPr>
          <w:rFonts w:ascii="Segoe UI" w:hAnsi="Segoe UI" w:cs="Segoe UI"/>
          <w:rtl/>
          <w:lang w:val="en-ZW"/>
        </w:rPr>
      </w:pPr>
    </w:p>
    <w:p w14:paraId="4C7C8612" w14:textId="7C94E67F" w:rsidR="0029401D" w:rsidRPr="00F60AE6" w:rsidRDefault="0029401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center"/>
        <w:rPr>
          <w:rFonts w:ascii="Segoe UI" w:hAnsi="Segoe UI" w:cs="Segoe UI"/>
          <w:b/>
          <w:bCs/>
          <w:rtl/>
          <w:lang w:val="en-ZW"/>
        </w:rPr>
      </w:pPr>
      <w:r w:rsidRPr="00F60AE6">
        <w:rPr>
          <w:rFonts w:ascii="Segoe UI" w:hAnsi="Segoe UI" w:cs="Segoe UI" w:hint="cs"/>
          <w:b/>
          <w:bCs/>
          <w:rtl/>
          <w:lang w:val="en-ZW"/>
        </w:rPr>
        <w:t>חוק חילוט רווחים מפרסומים שעניינם עבירות, תשסס"ה-2005</w:t>
      </w:r>
    </w:p>
    <w:p w14:paraId="2AF9274A" w14:textId="77777777" w:rsidR="002B4E02" w:rsidRDefault="002B4E0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bCs/>
          <w:color w:val="008000"/>
          <w:sz w:val="32"/>
          <w:szCs w:val="27"/>
          <w:rtl/>
        </w:rPr>
        <w:t>צו בקשר לרווחי העבירה</w:t>
      </w:r>
    </w:p>
    <w:p w14:paraId="3364FBA7" w14:textId="77777777" w:rsidR="002B4E02" w:rsidRDefault="002B4E0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t>2.</w:t>
      </w:r>
      <w:r>
        <w:rPr>
          <w:rStyle w:val="big-number"/>
          <w:rFonts w:ascii="Miriam" w:hAnsi="Miriam" w:cs="Miriam"/>
          <w:sz w:val="32"/>
          <w:szCs w:val="32"/>
          <w:rtl/>
        </w:rPr>
        <w:tab/>
      </w:r>
      <w:r>
        <w:rPr>
          <w:rStyle w:val="default"/>
          <w:rFonts w:ascii="FrankRuehl" w:eastAsiaTheme="majorEastAsia" w:hAnsi="FrankRuehl" w:cs="FrankRuehl"/>
          <w:sz w:val="26"/>
          <w:szCs w:val="26"/>
          <w:rtl/>
        </w:rPr>
        <w:t>(א)</w:t>
      </w:r>
      <w:r>
        <w:rPr>
          <w:rStyle w:val="default"/>
          <w:rFonts w:ascii="FrankRuehl" w:eastAsiaTheme="majorEastAsia" w:hAnsi="FrankRuehl" w:cs="FrankRuehl"/>
          <w:sz w:val="26"/>
          <w:szCs w:val="26"/>
          <w:rtl/>
        </w:rPr>
        <w:tab/>
        <w:t>לפי בקשה של בא כוח היועץ המשפטי לממשלה, יורה בית משפט מחוזי על חילוטם של רווחי העבירה, כולם או חלקם, ואולם רשאי הוא שלא להורות על חילוט כאמור, אם סבר כי קיימות נסיבות המצדיקות זאת; בית המשפט ישקול, בין השאר, את קיומו של ערך חינוכי או שיקומי לפרסום, ואת מידת ההשפעה של הפרסום על נפגע העבירה.</w:t>
      </w:r>
    </w:p>
    <w:p w14:paraId="6C16D10F" w14:textId="581C1A05" w:rsidR="0029401D" w:rsidRPr="00854EAF" w:rsidRDefault="002B4E02"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ab/>
        <w:t>(ב)</w:t>
      </w:r>
      <w:r>
        <w:rPr>
          <w:rStyle w:val="default"/>
          <w:rFonts w:ascii="FrankRuehl" w:eastAsiaTheme="majorEastAsia" w:hAnsi="FrankRuehl" w:cs="FrankRuehl"/>
          <w:sz w:val="26"/>
          <w:szCs w:val="26"/>
          <w:rtl/>
        </w:rPr>
        <w:tab/>
        <w:t>מצא בית המשפט שיש להורות על חילוט כאמור בסעיף קטן (א) והוצג לפניו פסק דין לפיצוי הנפגע שלא מומש, כולו או חלקו, יפחית מן הסכום שיש לחלטו את הסכום שלא מומש כאמור, ויורה להעביר את רווחי העבירה עד לסכום האמור לנפגע העבירה.</w:t>
      </w:r>
    </w:p>
    <w:p w14:paraId="2F801A06" w14:textId="77777777" w:rsidR="002B4E02" w:rsidRDefault="002B4E02" w:rsidP="008F05D0">
      <w:pPr>
        <w:bidi/>
        <w:spacing w:after="0" w:line="276" w:lineRule="auto"/>
        <w:ind w:left="363"/>
        <w:jc w:val="both"/>
        <w:rPr>
          <w:rFonts w:ascii="Segoe UI" w:hAnsi="Segoe UI" w:cs="Segoe UI"/>
          <w:rtl/>
          <w:lang w:val="en-ZW"/>
        </w:rPr>
      </w:pPr>
    </w:p>
    <w:p w14:paraId="778212A7" w14:textId="19B1495D" w:rsidR="0029401D" w:rsidRDefault="0029401D" w:rsidP="008F05D0">
      <w:pPr>
        <w:pStyle w:val="110"/>
        <w:spacing w:line="276" w:lineRule="auto"/>
        <w:rPr>
          <w:rtl/>
        </w:rPr>
      </w:pPr>
      <w:r>
        <w:rPr>
          <w:rFonts w:hint="cs"/>
          <w:rtl/>
        </w:rPr>
        <w:t>מטרת החילוט</w:t>
      </w:r>
    </w:p>
    <w:p w14:paraId="54F97A2D" w14:textId="2A1F99DC" w:rsidR="0029401D" w:rsidRPr="001C0185" w:rsidRDefault="0029401D" w:rsidP="008F05D0">
      <w:pPr>
        <w:pStyle w:val="ab"/>
        <w:numPr>
          <w:ilvl w:val="0"/>
          <w:numId w:val="78"/>
        </w:numPr>
        <w:tabs>
          <w:tab w:val="left" w:pos="1113"/>
        </w:tabs>
        <w:bidi/>
        <w:spacing w:after="0" w:line="276" w:lineRule="auto"/>
        <w:jc w:val="both"/>
        <w:rPr>
          <w:rFonts w:ascii="Segoe UI" w:hAnsi="Segoe UI" w:cs="Segoe UI"/>
          <w:rtl/>
          <w:lang w:val="en-ZW"/>
        </w:rPr>
      </w:pPr>
      <w:r w:rsidRPr="001C0185">
        <w:rPr>
          <w:rFonts w:ascii="Segoe UI" w:hAnsi="Segoe UI" w:cs="Segoe UI" w:hint="cs"/>
          <w:rtl/>
          <w:lang w:val="en-ZW"/>
        </w:rPr>
        <w:t>נועד למנוע מצב בו חוטא יצא נשכר</w:t>
      </w:r>
    </w:p>
    <w:p w14:paraId="195E47D1" w14:textId="256A6192" w:rsidR="0029401D" w:rsidRPr="001C0185" w:rsidRDefault="0029401D" w:rsidP="008F05D0">
      <w:pPr>
        <w:pStyle w:val="ab"/>
        <w:numPr>
          <w:ilvl w:val="0"/>
          <w:numId w:val="78"/>
        </w:numPr>
        <w:tabs>
          <w:tab w:val="left" w:pos="1113"/>
        </w:tabs>
        <w:bidi/>
        <w:spacing w:after="0" w:line="276" w:lineRule="auto"/>
        <w:jc w:val="both"/>
        <w:rPr>
          <w:rFonts w:ascii="Segoe UI" w:hAnsi="Segoe UI" w:cs="Segoe UI"/>
          <w:rtl/>
          <w:lang w:val="en-ZW"/>
        </w:rPr>
      </w:pPr>
      <w:r w:rsidRPr="001C0185">
        <w:rPr>
          <w:rFonts w:ascii="Segoe UI" w:hAnsi="Segoe UI" w:cs="Segoe UI" w:hint="cs"/>
          <w:rtl/>
          <w:lang w:val="en-ZW"/>
        </w:rPr>
        <w:t>להוציא בלעו הבלתי-חוקי של אדם מפיו</w:t>
      </w:r>
    </w:p>
    <w:p w14:paraId="714F30E3" w14:textId="65DAEF83" w:rsidR="0029401D" w:rsidRPr="001C0185" w:rsidRDefault="0029401D" w:rsidP="008F05D0">
      <w:pPr>
        <w:pStyle w:val="ab"/>
        <w:numPr>
          <w:ilvl w:val="0"/>
          <w:numId w:val="78"/>
        </w:numPr>
        <w:tabs>
          <w:tab w:val="left" w:pos="1113"/>
        </w:tabs>
        <w:bidi/>
        <w:spacing w:after="0" w:line="276" w:lineRule="auto"/>
        <w:jc w:val="both"/>
        <w:rPr>
          <w:rFonts w:ascii="Segoe UI" w:hAnsi="Segoe UI" w:cs="Segoe UI"/>
          <w:rtl/>
          <w:lang w:val="en-ZW"/>
        </w:rPr>
      </w:pPr>
      <w:r w:rsidRPr="001C0185">
        <w:rPr>
          <w:rFonts w:ascii="Segoe UI" w:hAnsi="Segoe UI" w:cs="Segoe UI" w:hint="cs"/>
          <w:rtl/>
          <w:lang w:val="en-ZW"/>
        </w:rPr>
        <w:t>לשלול את התמריץ לביצוע עבירות ולהרתיע</w:t>
      </w:r>
    </w:p>
    <w:p w14:paraId="1B235FAA" w14:textId="7C76D4ED" w:rsidR="0029401D" w:rsidRDefault="0029401D" w:rsidP="008F05D0">
      <w:pPr>
        <w:pStyle w:val="ab"/>
        <w:numPr>
          <w:ilvl w:val="0"/>
          <w:numId w:val="78"/>
        </w:numPr>
        <w:tabs>
          <w:tab w:val="left" w:pos="1113"/>
        </w:tabs>
        <w:bidi/>
        <w:spacing w:after="0" w:line="276" w:lineRule="auto"/>
        <w:jc w:val="both"/>
        <w:rPr>
          <w:rFonts w:ascii="Segoe UI" w:hAnsi="Segoe UI" w:cs="Segoe UI"/>
          <w:lang w:val="en-ZW"/>
        </w:rPr>
      </w:pPr>
      <w:r w:rsidRPr="001C0185">
        <w:rPr>
          <w:rFonts w:ascii="Segoe UI" w:hAnsi="Segoe UI" w:cs="Segoe UI" w:hint="cs"/>
          <w:rtl/>
          <w:lang w:val="en-ZW"/>
        </w:rPr>
        <w:t>ל</w:t>
      </w:r>
      <w:r w:rsidR="00B84499">
        <w:rPr>
          <w:rFonts w:ascii="Segoe UI" w:hAnsi="Segoe UI" w:cs="Segoe UI" w:hint="cs"/>
          <w:rtl/>
          <w:lang w:val="en-ZW"/>
        </w:rPr>
        <w:t>ח</w:t>
      </w:r>
      <w:r w:rsidRPr="001C0185">
        <w:rPr>
          <w:rFonts w:ascii="Segoe UI" w:hAnsi="Segoe UI" w:cs="Segoe UI" w:hint="cs"/>
          <w:rtl/>
          <w:lang w:val="en-ZW"/>
        </w:rPr>
        <w:t xml:space="preserve">סום ניסיון של עבריינים 'לערבב' בין התחומים </w:t>
      </w:r>
      <w:r w:rsidRPr="001C0185">
        <w:rPr>
          <w:rFonts w:ascii="Segoe UI" w:hAnsi="Segoe UI" w:cs="Segoe UI"/>
          <w:rtl/>
          <w:lang w:val="en-ZW"/>
        </w:rPr>
        <w:t>–</w:t>
      </w:r>
      <w:r w:rsidRPr="001C0185">
        <w:rPr>
          <w:rFonts w:ascii="Segoe UI" w:hAnsi="Segoe UI" w:cs="Segoe UI" w:hint="cs"/>
          <w:rtl/>
          <w:lang w:val="en-ZW"/>
        </w:rPr>
        <w:t xml:space="preserve"> רכוש 'פלילי' ברכוש 'תמים' ובכך 'להלבין' כספי פשיעה עד שלא ניתן יהיה לדעת כי באו בקרבה של מערכת כספים לגיטימית. </w:t>
      </w:r>
    </w:p>
    <w:p w14:paraId="481D318C" w14:textId="73EB3A13" w:rsidR="00854EAF" w:rsidRDefault="00854EAF" w:rsidP="008F05D0">
      <w:pPr>
        <w:tabs>
          <w:tab w:val="left" w:pos="1113"/>
        </w:tabs>
        <w:bidi/>
        <w:spacing w:after="0" w:line="276" w:lineRule="auto"/>
        <w:rPr>
          <w:rFonts w:ascii="Segoe UI" w:hAnsi="Segoe UI" w:cs="Segoe UI"/>
          <w:rtl/>
          <w:lang w:val="en-ZW"/>
        </w:rPr>
      </w:pPr>
    </w:p>
    <w:p w14:paraId="221FDA66" w14:textId="783C5691" w:rsidR="00854EAF" w:rsidRPr="0060616D" w:rsidRDefault="00854EAF" w:rsidP="008F05D0">
      <w:pPr>
        <w:pStyle w:val="110"/>
        <w:spacing w:line="276" w:lineRule="auto"/>
        <w:rPr>
          <w:rtl/>
        </w:rPr>
      </w:pPr>
      <w:r w:rsidRPr="0060616D">
        <w:rPr>
          <w:rFonts w:hint="cs"/>
          <w:rtl/>
        </w:rPr>
        <w:t>קטגוריות של חילוט</w:t>
      </w:r>
    </w:p>
    <w:p w14:paraId="2E64C696" w14:textId="5F09AF52" w:rsidR="00612EBD" w:rsidRPr="00612EBD" w:rsidRDefault="00612EBD" w:rsidP="008F05D0">
      <w:pPr>
        <w:tabs>
          <w:tab w:val="left" w:pos="1113"/>
        </w:tabs>
        <w:bidi/>
        <w:spacing w:after="0" w:line="276" w:lineRule="auto"/>
        <w:jc w:val="both"/>
        <w:rPr>
          <w:rFonts w:ascii="Segoe UI" w:hAnsi="Segoe UI" w:cs="Segoe UI"/>
          <w:rtl/>
          <w:lang w:val="en-ZW"/>
        </w:rPr>
      </w:pPr>
      <w:r w:rsidRPr="00612EBD">
        <w:rPr>
          <w:rFonts w:ascii="Segoe UI" w:hAnsi="Segoe UI" w:cs="Segoe UI"/>
          <w:b/>
          <w:bCs/>
          <w:rtl/>
          <w:lang w:val="en-ZW"/>
        </w:rPr>
        <w:t>הראשונה</w:t>
      </w:r>
      <w:r w:rsidRPr="00612EBD">
        <w:rPr>
          <w:rFonts w:ascii="Segoe UI" w:hAnsi="Segoe UI" w:cs="Segoe UI"/>
          <w:rtl/>
          <w:lang w:val="en-ZW"/>
        </w:rPr>
        <w:t>, חילוט הרכוש שבו נעברה העבירה או אובייקט העבירה אשר מתייחס לחפצים, אשר ההחזקה בהם כשלעצמה מהווה עבירה (כגון: נשק או סמים)</w:t>
      </w:r>
      <w:r w:rsidR="004C15D9">
        <w:rPr>
          <w:rFonts w:ascii="Segoe UI" w:hAnsi="Segoe UI" w:cs="Segoe UI" w:hint="cs"/>
          <w:rtl/>
          <w:lang w:val="en-ZW"/>
        </w:rPr>
        <w:t xml:space="preserve">. </w:t>
      </w:r>
      <w:r w:rsidR="004C15D9">
        <w:rPr>
          <w:rFonts w:ascii="Segoe UI" w:hAnsi="Segoe UI" w:cs="Segoe UI" w:hint="cs"/>
          <w:color w:val="7030A0"/>
          <w:rtl/>
          <w:lang w:val="en-ZW"/>
        </w:rPr>
        <w:t xml:space="preserve">החילוט הקלאסי זה חילוט של רכוש ששימש לביצוע עבירה </w:t>
      </w:r>
      <w:r w:rsidR="004C15D9">
        <w:rPr>
          <w:rFonts w:ascii="Segoe UI" w:hAnsi="Segoe UI" w:cs="Segoe UI"/>
          <w:color w:val="7030A0"/>
          <w:rtl/>
          <w:lang w:val="en-ZW"/>
        </w:rPr>
        <w:t>–</w:t>
      </w:r>
      <w:r w:rsidR="004C15D9">
        <w:rPr>
          <w:rFonts w:ascii="Segoe UI" w:hAnsi="Segoe UI" w:cs="Segoe UI" w:hint="cs"/>
          <w:color w:val="7030A0"/>
          <w:rtl/>
          <w:lang w:val="en-ZW"/>
        </w:rPr>
        <w:t xml:space="preserve"> לדוג' מישהו דקר מישהו אז מחלטים את הסכין </w:t>
      </w:r>
      <w:r w:rsidR="004C15D9">
        <w:rPr>
          <w:rFonts w:ascii="Segoe UI" w:hAnsi="Segoe UI" w:cs="Segoe UI"/>
          <w:color w:val="7030A0"/>
          <w:rtl/>
          <w:lang w:val="en-ZW"/>
        </w:rPr>
        <w:t>–</w:t>
      </w:r>
      <w:r w:rsidR="004C15D9">
        <w:rPr>
          <w:rFonts w:ascii="Segoe UI" w:hAnsi="Segoe UI" w:cs="Segoe UI" w:hint="cs"/>
          <w:color w:val="7030A0"/>
          <w:rtl/>
          <w:lang w:val="en-ZW"/>
        </w:rPr>
        <w:t xml:space="preserve"> זה נקרא חילוט אמצעי העבירה.</w:t>
      </w:r>
    </w:p>
    <w:p w14:paraId="6B2335E4" w14:textId="77777777" w:rsidR="00612EBD" w:rsidRPr="00612EBD" w:rsidRDefault="00612EBD" w:rsidP="008F05D0">
      <w:pPr>
        <w:tabs>
          <w:tab w:val="left" w:pos="1113"/>
        </w:tabs>
        <w:bidi/>
        <w:spacing w:after="0" w:line="276" w:lineRule="auto"/>
        <w:jc w:val="both"/>
        <w:rPr>
          <w:rFonts w:ascii="Segoe UI" w:hAnsi="Segoe UI" w:cs="Segoe UI"/>
          <w:rtl/>
          <w:lang w:val="en-ZW"/>
        </w:rPr>
      </w:pPr>
      <w:r w:rsidRPr="00612EBD">
        <w:rPr>
          <w:rFonts w:ascii="Segoe UI" w:hAnsi="Segoe UI" w:cs="Segoe UI"/>
          <w:b/>
          <w:bCs/>
          <w:rtl/>
          <w:lang w:val="en-ZW"/>
        </w:rPr>
        <w:t>השנייה</w:t>
      </w:r>
      <w:r w:rsidRPr="00612EBD">
        <w:rPr>
          <w:rFonts w:ascii="Segoe UI" w:hAnsi="Segoe UI" w:cs="Segoe UI"/>
          <w:rtl/>
          <w:lang w:val="en-ZW"/>
        </w:rPr>
        <w:t>, חילוט האמצעים ששימשו לביצוע העבירה או אפשרו את ביצועה (כגון: כלי רכב ששימש לפריצה)</w:t>
      </w:r>
      <w:r w:rsidRPr="00612EBD">
        <w:rPr>
          <w:rFonts w:ascii="Segoe UI" w:hAnsi="Segoe UI" w:cs="Segoe UI"/>
          <w:lang w:val="en-ZW"/>
        </w:rPr>
        <w:t xml:space="preserve"> </w:t>
      </w:r>
    </w:p>
    <w:p w14:paraId="6D587258" w14:textId="34F7217E" w:rsidR="00854EAF" w:rsidRPr="00B22D0F" w:rsidRDefault="00612EBD" w:rsidP="008F05D0">
      <w:pPr>
        <w:tabs>
          <w:tab w:val="left" w:pos="1113"/>
        </w:tabs>
        <w:bidi/>
        <w:spacing w:after="0" w:line="276" w:lineRule="auto"/>
        <w:jc w:val="both"/>
        <w:rPr>
          <w:rFonts w:ascii="Segoe UI" w:hAnsi="Segoe UI" w:cs="Segoe UI"/>
          <w:color w:val="7030A0"/>
          <w:rtl/>
          <w:lang w:val="en-ZW"/>
        </w:rPr>
      </w:pPr>
      <w:r w:rsidRPr="00612EBD">
        <w:rPr>
          <w:rFonts w:ascii="Segoe UI" w:hAnsi="Segoe UI" w:cs="Segoe UI"/>
          <w:b/>
          <w:bCs/>
          <w:rtl/>
          <w:lang w:val="en-ZW"/>
        </w:rPr>
        <w:t>השלישית</w:t>
      </w:r>
      <w:r w:rsidRPr="00612EBD">
        <w:rPr>
          <w:rFonts w:ascii="Segoe UI" w:hAnsi="Segoe UI" w:cs="Segoe UI"/>
          <w:rtl/>
          <w:lang w:val="en-ZW"/>
        </w:rPr>
        <w:t>, חילוט תקבולי העבירה שהתקבלו בעקבות העבירה (כגון: רווחים שהושגו כתוצאה מהעבירה).</w:t>
      </w:r>
      <w:r w:rsidR="00B22D0F">
        <w:rPr>
          <w:rFonts w:ascii="Segoe UI" w:hAnsi="Segoe UI" w:cs="Segoe UI" w:hint="cs"/>
          <w:rtl/>
          <w:lang w:val="en-ZW"/>
        </w:rPr>
        <w:t xml:space="preserve"> </w:t>
      </w:r>
      <w:r w:rsidR="00B22D0F">
        <w:rPr>
          <w:rFonts w:ascii="Segoe UI" w:hAnsi="Segoe UI" w:cs="Segoe UI" w:hint="cs"/>
          <w:color w:val="7030A0"/>
          <w:rtl/>
          <w:lang w:val="en-ZW"/>
        </w:rPr>
        <w:t xml:space="preserve">אלה מצבים של </w:t>
      </w:r>
      <w:r w:rsidR="00214FA4">
        <w:rPr>
          <w:rFonts w:ascii="Segoe UI" w:hAnsi="Segoe UI" w:cs="Segoe UI" w:hint="cs"/>
          <w:color w:val="7030A0"/>
          <w:rtl/>
          <w:lang w:val="en-ZW"/>
        </w:rPr>
        <w:t xml:space="preserve">חילוט כספים שאם לא יחלטו אותם יולבנו במעגל הכספים הלגיטימי. </w:t>
      </w:r>
    </w:p>
    <w:p w14:paraId="1B003A5F" w14:textId="72CC1A43" w:rsidR="000928A6" w:rsidRDefault="000928A6" w:rsidP="008F05D0">
      <w:pPr>
        <w:tabs>
          <w:tab w:val="left" w:pos="1113"/>
        </w:tabs>
        <w:bidi/>
        <w:spacing w:after="0" w:line="276" w:lineRule="auto"/>
        <w:jc w:val="both"/>
        <w:rPr>
          <w:rFonts w:ascii="Segoe UI" w:hAnsi="Segoe UI" w:cs="Segoe UI"/>
          <w:rtl/>
          <w:lang w:val="en-ZW"/>
        </w:rPr>
      </w:pPr>
    </w:p>
    <w:p w14:paraId="61B6D357" w14:textId="131CD56F" w:rsidR="000928A6" w:rsidRPr="000928A6" w:rsidRDefault="000928A6" w:rsidP="008F05D0">
      <w:pPr>
        <w:pStyle w:val="110"/>
        <w:spacing w:line="276" w:lineRule="auto"/>
      </w:pPr>
      <w:r w:rsidRPr="000928A6">
        <w:rPr>
          <w:rtl/>
        </w:rPr>
        <w:t>כללים נוספים</w:t>
      </w:r>
    </w:p>
    <w:p w14:paraId="3DD6A917" w14:textId="77777777" w:rsidR="000928A6" w:rsidRPr="000928A6" w:rsidRDefault="000928A6" w:rsidP="008F05D0">
      <w:pPr>
        <w:tabs>
          <w:tab w:val="left" w:pos="1113"/>
        </w:tabs>
        <w:bidi/>
        <w:spacing w:after="0" w:line="276" w:lineRule="auto"/>
        <w:jc w:val="both"/>
        <w:rPr>
          <w:rFonts w:ascii="Segoe UI" w:hAnsi="Segoe UI" w:cs="Segoe UI"/>
          <w:rtl/>
          <w:lang w:val="en-ZW"/>
        </w:rPr>
      </w:pPr>
      <w:r w:rsidRPr="000928A6">
        <w:rPr>
          <w:rFonts w:ascii="Segoe UI" w:hAnsi="Segoe UI" w:cs="Segoe UI"/>
          <w:rtl/>
          <w:lang w:val="en-ZW"/>
        </w:rPr>
        <w:t>החילוט יכול להיות מבוצע ישירות מהעבריין עצמו או במקרים מסוימים – באמצעות צדדים שלישיים (כגון: בת זוגתו של הנאשם, תאגידים בעלי אישיות משפטית בהם השקיע הנאשם ועוד).</w:t>
      </w:r>
    </w:p>
    <w:p w14:paraId="2448BFDA" w14:textId="07F3A12C" w:rsidR="000928A6" w:rsidRDefault="000928A6" w:rsidP="000928A6">
      <w:pPr>
        <w:tabs>
          <w:tab w:val="left" w:pos="1113"/>
        </w:tabs>
        <w:bidi/>
        <w:spacing w:after="0" w:line="276" w:lineRule="auto"/>
        <w:jc w:val="both"/>
        <w:rPr>
          <w:rFonts w:ascii="Segoe UI" w:hAnsi="Segoe UI" w:cs="Segoe UI"/>
          <w:rtl/>
          <w:lang w:val="en-ZW"/>
        </w:rPr>
      </w:pPr>
    </w:p>
    <w:p w14:paraId="287ACC6F" w14:textId="0A0181B0" w:rsidR="00E6204E" w:rsidRDefault="00E6204E" w:rsidP="00E6204E">
      <w:pPr>
        <w:tabs>
          <w:tab w:val="left" w:pos="1113"/>
        </w:tabs>
        <w:bidi/>
        <w:spacing w:after="0" w:line="276" w:lineRule="auto"/>
        <w:jc w:val="both"/>
        <w:rPr>
          <w:rFonts w:ascii="Segoe UI" w:hAnsi="Segoe UI" w:cs="Segoe UI"/>
          <w:rtl/>
          <w:lang w:val="en-ZW"/>
        </w:rPr>
      </w:pPr>
    </w:p>
    <w:p w14:paraId="76D8FBB9" w14:textId="35A0EC3C" w:rsidR="00E6204E" w:rsidRDefault="00E6204E" w:rsidP="00E6204E">
      <w:pPr>
        <w:tabs>
          <w:tab w:val="left" w:pos="1113"/>
        </w:tabs>
        <w:bidi/>
        <w:spacing w:after="0" w:line="276" w:lineRule="auto"/>
        <w:jc w:val="both"/>
        <w:rPr>
          <w:rFonts w:ascii="Segoe UI" w:hAnsi="Segoe UI" w:cs="Segoe UI"/>
          <w:rtl/>
          <w:lang w:val="en-ZW"/>
        </w:rPr>
      </w:pPr>
    </w:p>
    <w:p w14:paraId="752EF49E" w14:textId="18DD56E1" w:rsidR="000928A6" w:rsidRDefault="000928A6" w:rsidP="000928A6">
      <w:pPr>
        <w:pStyle w:val="1"/>
        <w:rPr>
          <w:rtl/>
        </w:rPr>
      </w:pPr>
      <w:bookmarkStart w:id="47" w:name="_Toc108218203"/>
      <w:r>
        <w:rPr>
          <w:rFonts w:hint="cs"/>
          <w:rtl/>
        </w:rPr>
        <w:lastRenderedPageBreak/>
        <w:t>הבניית שיקול הדעת בענישה</w:t>
      </w:r>
      <w:bookmarkEnd w:id="47"/>
    </w:p>
    <w:p w14:paraId="6D341796" w14:textId="48A51F97" w:rsidR="00216302" w:rsidRPr="00393B8A" w:rsidRDefault="00216302" w:rsidP="00F546FA">
      <w:pPr>
        <w:pBdr>
          <w:top w:val="dashSmallGap" w:sz="18" w:space="1" w:color="auto" w:shadow="1"/>
          <w:left w:val="dashSmallGap" w:sz="18" w:space="4" w:color="auto" w:shadow="1"/>
          <w:bottom w:val="dashSmallGap" w:sz="18" w:space="1" w:color="auto" w:shadow="1"/>
          <w:right w:val="dashSmallGap" w:sz="18" w:space="4" w:color="auto" w:shadow="1"/>
        </w:pBdr>
        <w:bidi/>
        <w:spacing w:after="0" w:line="240" w:lineRule="auto"/>
        <w:ind w:left="363" w:right="363"/>
        <w:jc w:val="both"/>
        <w:rPr>
          <w:rFonts w:ascii="Segoe UI" w:hAnsi="Segoe UI" w:cs="Segoe UI"/>
          <w:b/>
          <w:bCs/>
          <w:color w:val="FF0000"/>
          <w:rtl/>
        </w:rPr>
      </w:pPr>
      <w:r w:rsidRPr="00393B8A">
        <w:rPr>
          <w:rFonts w:ascii="Segoe UI" w:hAnsi="Segoe UI" w:cs="Segoe UI"/>
          <w:b/>
          <w:bCs/>
          <w:color w:val="FF0000"/>
          <w:rtl/>
        </w:rPr>
        <w:t>הבניית שיקול הדעת בענישה – 100% יהיה במבחן</w:t>
      </w:r>
      <w:r w:rsidR="006F74CE">
        <w:rPr>
          <w:rFonts w:ascii="Segoe UI" w:hAnsi="Segoe UI" w:cs="Segoe UI" w:hint="cs"/>
          <w:b/>
          <w:bCs/>
          <w:color w:val="FF0000"/>
          <w:rtl/>
        </w:rPr>
        <w:t>.</w:t>
      </w:r>
    </w:p>
    <w:p w14:paraId="0279B448" w14:textId="3385542B" w:rsidR="00216302" w:rsidRDefault="00216302" w:rsidP="00F546FA">
      <w:pPr>
        <w:pBdr>
          <w:top w:val="dashSmallGap" w:sz="18" w:space="1" w:color="auto" w:shadow="1"/>
          <w:left w:val="dashSmallGap" w:sz="18" w:space="4" w:color="auto" w:shadow="1"/>
          <w:bottom w:val="dashSmallGap" w:sz="18" w:space="1" w:color="auto" w:shadow="1"/>
          <w:right w:val="dashSmallGap" w:sz="18" w:space="4" w:color="auto" w:shadow="1"/>
        </w:pBdr>
        <w:bidi/>
        <w:spacing w:after="0" w:line="240" w:lineRule="auto"/>
        <w:ind w:left="363" w:right="363"/>
        <w:jc w:val="both"/>
        <w:rPr>
          <w:rFonts w:ascii="Segoe UI" w:hAnsi="Segoe UI" w:cs="Segoe UI"/>
          <w:b/>
          <w:bCs/>
          <w:color w:val="FF0000"/>
          <w:rtl/>
        </w:rPr>
      </w:pPr>
      <w:r w:rsidRPr="00393B8A">
        <w:rPr>
          <w:rFonts w:ascii="Segoe UI" w:hAnsi="Segoe UI" w:cs="Segoe UI"/>
          <w:b/>
          <w:bCs/>
          <w:color w:val="FF0000"/>
          <w:rtl/>
        </w:rPr>
        <w:t>חלק ממה ש</w:t>
      </w:r>
      <w:r w:rsidR="001E5C34">
        <w:rPr>
          <w:rFonts w:ascii="Segoe UI" w:hAnsi="Segoe UI" w:cs="Segoe UI" w:hint="cs"/>
          <w:b/>
          <w:bCs/>
          <w:color w:val="FF0000"/>
          <w:rtl/>
        </w:rPr>
        <w:t>י</w:t>
      </w:r>
      <w:r w:rsidRPr="00393B8A">
        <w:rPr>
          <w:rFonts w:ascii="Segoe UI" w:hAnsi="Segoe UI" w:cs="Segoe UI"/>
          <w:b/>
          <w:bCs/>
          <w:color w:val="FF0000"/>
          <w:rtl/>
        </w:rPr>
        <w:t>היה במבחן זה מטלת כתיבה – לכתוב גז"ד – לעבוד נכון ולהבין מה העיקר ומה טפל סוג של להיות שופטים בקייס מסוים</w:t>
      </w:r>
      <w:r w:rsidR="001E5C34">
        <w:rPr>
          <w:rFonts w:ascii="Segoe UI" w:hAnsi="Segoe UI" w:cs="Segoe UI" w:hint="cs"/>
          <w:b/>
          <w:bCs/>
          <w:color w:val="FF0000"/>
          <w:rtl/>
        </w:rPr>
        <w:t>.</w:t>
      </w:r>
    </w:p>
    <w:p w14:paraId="1CFAC413" w14:textId="75E0C791" w:rsidR="00487E5B" w:rsidRPr="00393B8A" w:rsidRDefault="00487E5B" w:rsidP="00F546FA">
      <w:pPr>
        <w:pBdr>
          <w:top w:val="dashSmallGap" w:sz="18" w:space="1" w:color="auto" w:shadow="1"/>
          <w:left w:val="dashSmallGap" w:sz="18" w:space="4" w:color="auto" w:shadow="1"/>
          <w:bottom w:val="dashSmallGap" w:sz="18" w:space="1" w:color="auto" w:shadow="1"/>
          <w:right w:val="dashSmallGap" w:sz="18" w:space="4" w:color="auto" w:shadow="1"/>
        </w:pBdr>
        <w:bidi/>
        <w:spacing w:after="0" w:line="240" w:lineRule="auto"/>
        <w:ind w:left="363" w:right="363"/>
        <w:jc w:val="both"/>
        <w:rPr>
          <w:rFonts w:ascii="Segoe UI" w:hAnsi="Segoe UI" w:cs="Segoe UI"/>
          <w:b/>
          <w:bCs/>
          <w:color w:val="FF0000"/>
          <w:rtl/>
        </w:rPr>
      </w:pPr>
      <w:r>
        <w:rPr>
          <w:rFonts w:ascii="Segoe UI" w:hAnsi="Segoe UI" w:cs="Segoe UI" w:hint="cs"/>
          <w:b/>
          <w:bCs/>
          <w:color w:val="FF0000"/>
          <w:rtl/>
        </w:rPr>
        <w:t>שי מציין כי הוא ממליץ להכין סוג של "גזר דין" עם כל השלבים שבו ניתן להשתמש במבחן ורק להכניס לתוכו את הטיעונים וכו'.</w:t>
      </w:r>
    </w:p>
    <w:p w14:paraId="3B66AE28" w14:textId="77777777" w:rsidR="00216302" w:rsidRPr="00216302" w:rsidRDefault="00216302" w:rsidP="00D577F3">
      <w:pPr>
        <w:bidi/>
        <w:spacing w:after="0" w:line="276" w:lineRule="auto"/>
        <w:jc w:val="both"/>
        <w:rPr>
          <w:rFonts w:ascii="Segoe UI" w:hAnsi="Segoe UI" w:cs="Segoe UI"/>
          <w:rtl/>
        </w:rPr>
      </w:pPr>
    </w:p>
    <w:p w14:paraId="5918206E" w14:textId="05F1BEEF" w:rsidR="00297C9A" w:rsidRDefault="005E177F" w:rsidP="008F05D0">
      <w:pPr>
        <w:pStyle w:val="2"/>
        <w:rPr>
          <w:rtl/>
        </w:rPr>
      </w:pPr>
      <w:bookmarkStart w:id="48" w:name="_Toc108218204"/>
      <w:r>
        <w:rPr>
          <w:rFonts w:hint="cs"/>
          <w:rtl/>
        </w:rPr>
        <w:t xml:space="preserve">מבוא </w:t>
      </w:r>
      <w:r w:rsidR="00297C9A">
        <w:rPr>
          <w:rFonts w:hint="cs"/>
          <w:rtl/>
        </w:rPr>
        <w:t>כללי</w:t>
      </w:r>
      <w:bookmarkEnd w:id="48"/>
    </w:p>
    <w:p w14:paraId="239825A9" w14:textId="659AACD4" w:rsidR="0028572F" w:rsidRPr="0028572F" w:rsidRDefault="0028572F" w:rsidP="008F05D0">
      <w:pPr>
        <w:bidi/>
        <w:spacing w:after="0" w:line="276" w:lineRule="auto"/>
        <w:jc w:val="both"/>
        <w:rPr>
          <w:rFonts w:ascii="Segoe UI" w:hAnsi="Segoe UI" w:cs="Segoe UI"/>
          <w:rtl/>
          <w:lang w:val="en-ZW"/>
        </w:rPr>
      </w:pPr>
      <w:r w:rsidRPr="0028572F">
        <w:rPr>
          <w:rFonts w:ascii="Segoe UI" w:hAnsi="Segoe UI" w:cs="Segoe UI"/>
          <w:rtl/>
          <w:lang w:val="en-ZW"/>
        </w:rPr>
        <w:t>בינואר 2012 נכנס תיקון 113 לתוקפו</w:t>
      </w:r>
      <w:r>
        <w:rPr>
          <w:rFonts w:ascii="Segoe UI" w:hAnsi="Segoe UI" w:cs="Segoe UI" w:hint="cs"/>
          <w:rtl/>
          <w:lang w:val="en-ZW"/>
        </w:rPr>
        <w:t xml:space="preserve"> - </w:t>
      </w:r>
      <w:r w:rsidRPr="0028572F">
        <w:rPr>
          <w:rFonts w:ascii="Segoe UI" w:hAnsi="Segoe UI" w:cs="Segoe UI"/>
          <w:rtl/>
          <w:lang w:val="en-ZW"/>
        </w:rPr>
        <w:t>התיקון החשוב ביותר בדין הפלילי בישראל בעת האחרונה</w:t>
      </w:r>
      <w:r>
        <w:rPr>
          <w:rFonts w:ascii="Segoe UI" w:hAnsi="Segoe UI" w:cs="Segoe UI" w:hint="cs"/>
          <w:rtl/>
          <w:lang w:val="en-ZW"/>
        </w:rPr>
        <w:t xml:space="preserve">. </w:t>
      </w:r>
      <w:r w:rsidRPr="0028572F">
        <w:rPr>
          <w:rFonts w:ascii="Segoe UI" w:hAnsi="Segoe UI" w:cs="Segoe UI"/>
          <w:rtl/>
          <w:lang w:val="en-ZW"/>
        </w:rPr>
        <w:t>מקור התיקון – דו"ח ועדת גולדברג משנת 1997</w:t>
      </w:r>
      <w:r>
        <w:rPr>
          <w:rFonts w:ascii="Segoe UI" w:hAnsi="Segoe UI" w:cs="Segoe UI" w:hint="cs"/>
          <w:rtl/>
          <w:lang w:val="en-ZW"/>
        </w:rPr>
        <w:t>. "</w:t>
      </w:r>
      <w:r w:rsidRPr="0028572F">
        <w:rPr>
          <w:rFonts w:ascii="Segoe UI" w:hAnsi="Segoe UI" w:cs="Segoe UI"/>
          <w:rtl/>
          <w:lang w:val="en-ZW"/>
        </w:rPr>
        <w:t>חוק שיקול הדעת השיפוטי בענישה</w:t>
      </w:r>
      <w:r w:rsidRPr="0028572F">
        <w:rPr>
          <w:rFonts w:ascii="Segoe UI" w:hAnsi="Segoe UI" w:cs="Segoe UI"/>
          <w:lang w:val="en-ZW"/>
        </w:rPr>
        <w:t>"</w:t>
      </w:r>
      <w:r>
        <w:rPr>
          <w:rFonts w:ascii="Segoe UI" w:hAnsi="Segoe UI" w:cs="Segoe UI" w:hint="cs"/>
          <w:rtl/>
          <w:lang w:val="en-ZW"/>
        </w:rPr>
        <w:t xml:space="preserve"> - </w:t>
      </w:r>
      <w:r w:rsidRPr="0028572F">
        <w:rPr>
          <w:rFonts w:ascii="Segoe UI" w:hAnsi="Segoe UI" w:cs="Segoe UI"/>
          <w:rtl/>
          <w:lang w:val="en-ZW"/>
        </w:rPr>
        <w:t>עשרות רבות של דיונים בוועדת חוקה</w:t>
      </w:r>
      <w:r>
        <w:rPr>
          <w:rFonts w:ascii="Segoe UI" w:hAnsi="Segoe UI" w:cs="Segoe UI" w:hint="cs"/>
          <w:rtl/>
          <w:lang w:val="en-ZW"/>
        </w:rPr>
        <w:t>.</w:t>
      </w:r>
    </w:p>
    <w:p w14:paraId="0C621266" w14:textId="357D5A34" w:rsidR="00297C9A" w:rsidRDefault="0028572F" w:rsidP="008F05D0">
      <w:pPr>
        <w:bidi/>
        <w:spacing w:after="0" w:line="276" w:lineRule="auto"/>
        <w:jc w:val="both"/>
        <w:rPr>
          <w:rFonts w:ascii="Segoe UI" w:hAnsi="Segoe UI" w:cs="Segoe UI"/>
          <w:rtl/>
          <w:lang w:val="en-ZW"/>
        </w:rPr>
      </w:pPr>
      <w:r w:rsidRPr="0028572F">
        <w:rPr>
          <w:rFonts w:ascii="Segoe UI" w:hAnsi="Segoe UI" w:cs="Segoe UI"/>
          <w:rtl/>
          <w:lang w:val="en-ZW"/>
        </w:rPr>
        <w:t>מטרת החוק: להבנות ולכוון את שיקול הדעת של בתי המשפט ובכך להגביר את ערך השוויון</w:t>
      </w:r>
      <w:r w:rsidR="00D60FF2">
        <w:rPr>
          <w:rFonts w:ascii="Segoe UI" w:hAnsi="Segoe UI" w:cs="Segoe UI" w:hint="cs"/>
          <w:rtl/>
          <w:lang w:val="en-ZW"/>
        </w:rPr>
        <w:t>.</w:t>
      </w:r>
    </w:p>
    <w:p w14:paraId="73679CC9" w14:textId="610D9E13" w:rsidR="00D60FF2" w:rsidRDefault="00D60FF2" w:rsidP="008F05D0">
      <w:pPr>
        <w:bidi/>
        <w:spacing w:after="0" w:line="276" w:lineRule="auto"/>
        <w:jc w:val="both"/>
        <w:rPr>
          <w:rFonts w:ascii="Segoe UI" w:hAnsi="Segoe UI" w:cs="Segoe UI"/>
          <w:rtl/>
          <w:lang w:val="en-ZW"/>
        </w:rPr>
      </w:pPr>
    </w:p>
    <w:p w14:paraId="62762EEB" w14:textId="2C636EB2" w:rsidR="00633639" w:rsidRDefault="00633639" w:rsidP="008F05D0">
      <w:pPr>
        <w:pStyle w:val="110"/>
        <w:spacing w:line="276" w:lineRule="auto"/>
        <w:rPr>
          <w:rtl/>
        </w:rPr>
      </w:pPr>
      <w:r>
        <w:rPr>
          <w:rFonts w:hint="cs"/>
          <w:rtl/>
        </w:rPr>
        <w:t>הרקע לוועדת גולדברג</w:t>
      </w:r>
    </w:p>
    <w:p w14:paraId="42A2CE99" w14:textId="4DD7E888" w:rsidR="00C92A7B" w:rsidRPr="006C6C7B" w:rsidRDefault="00C92A7B" w:rsidP="008F05D0">
      <w:pPr>
        <w:pStyle w:val="ab"/>
        <w:numPr>
          <w:ilvl w:val="0"/>
          <w:numId w:val="79"/>
        </w:numPr>
        <w:bidi/>
        <w:spacing w:after="0" w:line="276" w:lineRule="auto"/>
        <w:jc w:val="both"/>
        <w:rPr>
          <w:rFonts w:ascii="Segoe UI" w:hAnsi="Segoe UI" w:cs="Segoe UI"/>
          <w:rtl/>
          <w:lang w:val="en-ZW"/>
        </w:rPr>
      </w:pPr>
      <w:r w:rsidRPr="006C6C7B">
        <w:rPr>
          <w:rFonts w:ascii="Segoe UI" w:hAnsi="Segoe UI" w:cs="Segoe UI" w:hint="cs"/>
          <w:rtl/>
          <w:lang w:val="en-ZW"/>
        </w:rPr>
        <w:t xml:space="preserve">עקרון החוקיות </w:t>
      </w:r>
      <w:r w:rsidRPr="006C6C7B">
        <w:rPr>
          <w:rFonts w:ascii="Segoe UI" w:hAnsi="Segoe UI" w:cs="Segoe UI"/>
          <w:rtl/>
          <w:lang w:val="en-ZW"/>
        </w:rPr>
        <w:t>–</w:t>
      </w:r>
      <w:r w:rsidRPr="006C6C7B">
        <w:rPr>
          <w:rFonts w:ascii="Segoe UI" w:hAnsi="Segoe UI" w:cs="Segoe UI" w:hint="cs"/>
          <w:rtl/>
          <w:lang w:val="en-ZW"/>
        </w:rPr>
        <w:t xml:space="preserve"> יותר אחידות ושיטתיות בענישה</w:t>
      </w:r>
    </w:p>
    <w:p w14:paraId="6F007528" w14:textId="0B3B3560" w:rsidR="00C92A7B" w:rsidRPr="006C6C7B" w:rsidRDefault="00C92A7B" w:rsidP="008F05D0">
      <w:pPr>
        <w:pStyle w:val="ab"/>
        <w:numPr>
          <w:ilvl w:val="0"/>
          <w:numId w:val="79"/>
        </w:numPr>
        <w:bidi/>
        <w:spacing w:after="0" w:line="276" w:lineRule="auto"/>
        <w:jc w:val="both"/>
        <w:rPr>
          <w:rFonts w:ascii="Segoe UI" w:hAnsi="Segoe UI" w:cs="Segoe UI"/>
          <w:rtl/>
          <w:lang w:val="en-ZW"/>
        </w:rPr>
      </w:pPr>
      <w:r w:rsidRPr="006C6C7B">
        <w:rPr>
          <w:rFonts w:ascii="Segoe UI" w:hAnsi="Segoe UI" w:cs="Segoe UI" w:hint="cs"/>
          <w:rtl/>
          <w:lang w:val="en-ZW"/>
        </w:rPr>
        <w:t xml:space="preserve">עקרון השוויון </w:t>
      </w:r>
      <w:r w:rsidRPr="006C6C7B">
        <w:rPr>
          <w:rFonts w:ascii="Segoe UI" w:hAnsi="Segoe UI" w:cs="Segoe UI"/>
          <w:rtl/>
          <w:lang w:val="en-ZW"/>
        </w:rPr>
        <w:t>–</w:t>
      </w:r>
      <w:r w:rsidRPr="006C6C7B">
        <w:rPr>
          <w:rFonts w:ascii="Segoe UI" w:hAnsi="Segoe UI" w:cs="Segoe UI" w:hint="cs"/>
          <w:rtl/>
          <w:lang w:val="en-ZW"/>
        </w:rPr>
        <w:t xml:space="preserve"> היה רושם ש"כל שופט עושה מה שבראש שלו"</w:t>
      </w:r>
    </w:p>
    <w:p w14:paraId="2C583E4E" w14:textId="54B92830" w:rsidR="006C6C7B" w:rsidRPr="007D23BF" w:rsidRDefault="00C92A7B" w:rsidP="008F05D0">
      <w:pPr>
        <w:pStyle w:val="ab"/>
        <w:numPr>
          <w:ilvl w:val="0"/>
          <w:numId w:val="79"/>
        </w:numPr>
        <w:bidi/>
        <w:spacing w:after="0" w:line="276" w:lineRule="auto"/>
        <w:jc w:val="both"/>
        <w:rPr>
          <w:rFonts w:ascii="Segoe UI" w:hAnsi="Segoe UI" w:cs="Segoe UI"/>
          <w:rtl/>
          <w:lang w:val="en-ZW"/>
        </w:rPr>
      </w:pPr>
      <w:r w:rsidRPr="007D23BF">
        <w:rPr>
          <w:rFonts w:ascii="Segoe UI" w:hAnsi="Segoe UI" w:cs="Segoe UI"/>
          <w:rtl/>
          <w:lang w:val="en-ZW"/>
        </w:rPr>
        <w:t>משמעות מוסרית – עקרונות הענישה יקבעו על סמך ועדה ציבורית רחבה ולא כל שופט לעצמו</w:t>
      </w:r>
      <w:r w:rsidR="007D23BF" w:rsidRPr="007D23BF">
        <w:rPr>
          <w:rFonts w:ascii="Segoe UI" w:hAnsi="Segoe UI" w:cs="Segoe UI"/>
          <w:rtl/>
          <w:lang w:val="en-ZW"/>
        </w:rPr>
        <w:t xml:space="preserve"> </w:t>
      </w:r>
      <w:r w:rsidR="006C6C7B" w:rsidRPr="007D23BF">
        <w:rPr>
          <w:rFonts w:ascii="Segoe UI" w:hAnsi="Segoe UI" w:cs="Segoe UI"/>
          <w:rtl/>
        </w:rPr>
        <w:t xml:space="preserve">יחד עם זאת, </w:t>
      </w:r>
      <w:r w:rsidR="0082208D">
        <w:rPr>
          <w:rFonts w:ascii="Segoe UI" w:hAnsi="Segoe UI" w:cs="Segoe UI" w:hint="cs"/>
          <w:rtl/>
        </w:rPr>
        <w:t>החוק משאיר</w:t>
      </w:r>
      <w:r w:rsidR="006C6C7B" w:rsidRPr="007D23BF">
        <w:rPr>
          <w:rFonts w:ascii="Segoe UI" w:hAnsi="Segoe UI" w:cs="Segoe UI"/>
          <w:rtl/>
        </w:rPr>
        <w:t xml:space="preserve"> לבתי המשפט עקרון של </w:t>
      </w:r>
      <w:r w:rsidR="006C6C7B" w:rsidRPr="007D23BF">
        <w:rPr>
          <w:rFonts w:ascii="Segoe UI" w:hAnsi="Segoe UI" w:cs="Segoe UI"/>
          <w:u w:val="single"/>
          <w:rtl/>
        </w:rPr>
        <w:t>ענישה אינדיבידואלית</w:t>
      </w:r>
      <w:r w:rsidR="006C6C7B" w:rsidRPr="007D23BF">
        <w:rPr>
          <w:rFonts w:ascii="Segoe UI" w:hAnsi="Segoe UI" w:cs="Segoe UI"/>
          <w:rtl/>
        </w:rPr>
        <w:t>.</w:t>
      </w:r>
    </w:p>
    <w:p w14:paraId="55FC820A" w14:textId="141E3D32" w:rsidR="007D23BF" w:rsidRDefault="007D23BF" w:rsidP="008F05D0">
      <w:pPr>
        <w:pStyle w:val="110"/>
        <w:spacing w:line="276" w:lineRule="auto"/>
        <w:rPr>
          <w:rtl/>
        </w:rPr>
      </w:pPr>
    </w:p>
    <w:p w14:paraId="671E6A4C" w14:textId="15C10B13" w:rsidR="00140E9B" w:rsidRPr="00140E9B" w:rsidRDefault="00140E9B" w:rsidP="008F05D0">
      <w:pPr>
        <w:pStyle w:val="2"/>
        <w:rPr>
          <w:rtl/>
        </w:rPr>
      </w:pPr>
      <w:bookmarkStart w:id="49" w:name="_Toc108218205"/>
      <w:r w:rsidRPr="00140E9B">
        <w:rPr>
          <w:rFonts w:hint="cs"/>
          <w:rtl/>
        </w:rPr>
        <w:t>מה בחוק?</w:t>
      </w:r>
      <w:bookmarkEnd w:id="49"/>
    </w:p>
    <w:p w14:paraId="60A7DFDE" w14:textId="61012FE8" w:rsidR="006C6C7B" w:rsidRPr="001F24F0" w:rsidRDefault="006C6C7B" w:rsidP="008F05D0">
      <w:pPr>
        <w:pStyle w:val="110"/>
        <w:spacing w:line="276" w:lineRule="auto"/>
        <w:rPr>
          <w:b w:val="0"/>
          <w:bCs w:val="0"/>
          <w:u w:val="none"/>
          <w:rtl/>
        </w:rPr>
      </w:pPr>
      <w:r w:rsidRPr="001F24F0">
        <w:rPr>
          <w:b w:val="0"/>
          <w:bCs w:val="0"/>
          <w:u w:val="none"/>
          <w:rtl/>
        </w:rPr>
        <w:t xml:space="preserve">החוק קובע את העיקרון המנחה בענישה ואת השיקולים </w:t>
      </w:r>
      <w:r w:rsidR="007D23BF" w:rsidRPr="001F24F0">
        <w:rPr>
          <w:rFonts w:hint="cs"/>
          <w:b w:val="0"/>
          <w:bCs w:val="0"/>
          <w:u w:val="none"/>
          <w:rtl/>
        </w:rPr>
        <w:t>שביהמ"ש</w:t>
      </w:r>
      <w:r w:rsidRPr="001F24F0">
        <w:rPr>
          <w:b w:val="0"/>
          <w:bCs w:val="0"/>
          <w:u w:val="none"/>
          <w:rtl/>
        </w:rPr>
        <w:t xml:space="preserve"> רשאי להתחשב בהם בגזירת העונש תוך הבניית הליך</w:t>
      </w:r>
      <w:r w:rsidR="007D23BF" w:rsidRPr="001F24F0">
        <w:rPr>
          <w:rFonts w:hint="cs"/>
          <w:b w:val="0"/>
          <w:bCs w:val="0"/>
          <w:u w:val="none"/>
          <w:rtl/>
        </w:rPr>
        <w:t xml:space="preserve"> </w:t>
      </w:r>
      <w:r w:rsidRPr="001F24F0">
        <w:rPr>
          <w:b w:val="0"/>
          <w:bCs w:val="0"/>
          <w:u w:val="none"/>
          <w:rtl/>
        </w:rPr>
        <w:t xml:space="preserve">גזירת הדין בהתאם לעקרונות מנחים. </w:t>
      </w:r>
    </w:p>
    <w:p w14:paraId="23443DAA" w14:textId="77777777" w:rsidR="006C6C7B" w:rsidRPr="001F24F0" w:rsidRDefault="006C6C7B" w:rsidP="008F05D0">
      <w:pPr>
        <w:pStyle w:val="110"/>
        <w:spacing w:line="276" w:lineRule="auto"/>
        <w:rPr>
          <w:b w:val="0"/>
          <w:bCs w:val="0"/>
          <w:u w:val="none"/>
          <w:rtl/>
        </w:rPr>
      </w:pPr>
      <w:r w:rsidRPr="001F24F0">
        <w:rPr>
          <w:b w:val="0"/>
          <w:bCs w:val="0"/>
          <w:u w:val="none"/>
          <w:rtl/>
        </w:rPr>
        <w:t xml:space="preserve">בנוסף קובע החוק חובת </w:t>
      </w:r>
      <w:r w:rsidRPr="002B176B">
        <w:rPr>
          <w:b w:val="0"/>
          <w:bCs w:val="0"/>
          <w:rtl/>
        </w:rPr>
        <w:t>הנמקה מפורטת</w:t>
      </w:r>
      <w:r w:rsidRPr="001F24F0">
        <w:rPr>
          <w:b w:val="0"/>
          <w:bCs w:val="0"/>
          <w:u w:val="none"/>
          <w:rtl/>
        </w:rPr>
        <w:t xml:space="preserve"> של השיקולים העומדים ביסוד גזר הדין.</w:t>
      </w:r>
    </w:p>
    <w:p w14:paraId="7C7AF7C0" w14:textId="0B8DBA6C" w:rsidR="00140E9B" w:rsidRPr="001F24F0" w:rsidRDefault="006C6C7B" w:rsidP="008F05D0">
      <w:pPr>
        <w:pStyle w:val="110"/>
        <w:spacing w:line="276" w:lineRule="auto"/>
        <w:rPr>
          <w:b w:val="0"/>
          <w:bCs w:val="0"/>
          <w:u w:val="none"/>
          <w:rtl/>
        </w:rPr>
      </w:pPr>
      <w:r w:rsidRPr="001F24F0">
        <w:rPr>
          <w:b w:val="0"/>
          <w:bCs w:val="0"/>
          <w:u w:val="none"/>
          <w:rtl/>
        </w:rPr>
        <w:t xml:space="preserve">לחוק </w:t>
      </w:r>
      <w:r w:rsidRPr="002B176B">
        <w:rPr>
          <w:b w:val="0"/>
          <w:bCs w:val="0"/>
          <w:rtl/>
        </w:rPr>
        <w:t>חשיבות דקלרטיבית</w:t>
      </w:r>
      <w:r w:rsidRPr="001F24F0">
        <w:rPr>
          <w:b w:val="0"/>
          <w:bCs w:val="0"/>
          <w:u w:val="none"/>
          <w:rtl/>
        </w:rPr>
        <w:t xml:space="preserve"> כמסדיר לראשונה בחקיקה בישראל את מטרות הענישה ואת שיקולי הענישה - הלימה, שיקום, הגנה על שלום הציבור, הרתעה והן </w:t>
      </w:r>
      <w:r w:rsidRPr="002B176B">
        <w:rPr>
          <w:b w:val="0"/>
          <w:bCs w:val="0"/>
          <w:rtl/>
        </w:rPr>
        <w:t>חשיבות פרקטית</w:t>
      </w:r>
      <w:r w:rsidRPr="001F24F0">
        <w:rPr>
          <w:b w:val="0"/>
          <w:bCs w:val="0"/>
          <w:u w:val="none"/>
          <w:rtl/>
        </w:rPr>
        <w:t xml:space="preserve"> כקובע את ההיררכיה בין שיקולי</w:t>
      </w:r>
      <w:r w:rsidR="00140E9B" w:rsidRPr="001F24F0">
        <w:rPr>
          <w:rFonts w:hint="cs"/>
          <w:b w:val="0"/>
          <w:bCs w:val="0"/>
          <w:u w:val="none"/>
          <w:rtl/>
        </w:rPr>
        <w:t xml:space="preserve"> הענישה.</w:t>
      </w:r>
    </w:p>
    <w:p w14:paraId="57357E86" w14:textId="3A43CAD9" w:rsidR="00140E9B" w:rsidRDefault="00140E9B" w:rsidP="008F05D0">
      <w:pPr>
        <w:pStyle w:val="110"/>
        <w:spacing w:line="276" w:lineRule="auto"/>
        <w:rPr>
          <w:rtl/>
        </w:rPr>
      </w:pPr>
    </w:p>
    <w:p w14:paraId="55C9BD73" w14:textId="769065F2" w:rsidR="00140E9B" w:rsidRPr="005B7CB3" w:rsidRDefault="00140E9B" w:rsidP="008F05D0">
      <w:pPr>
        <w:pStyle w:val="110"/>
        <w:spacing w:line="276" w:lineRule="auto"/>
        <w:rPr>
          <w:color w:val="FF0000"/>
          <w:u w:val="none"/>
          <w:rtl/>
        </w:rPr>
      </w:pPr>
      <w:r w:rsidRPr="005B7CB3">
        <w:rPr>
          <w:rFonts w:hint="cs"/>
          <w:color w:val="FF0000"/>
          <w:u w:val="none"/>
          <w:rtl/>
        </w:rPr>
        <w:t>התיקון הוא מעין מדריך לשופט כיצד לגזור את העונש.</w:t>
      </w:r>
    </w:p>
    <w:p w14:paraId="1CA3D93F" w14:textId="598BD3E3" w:rsidR="00140E9B" w:rsidRPr="004F2EB0" w:rsidRDefault="00140E9B" w:rsidP="008F05D0">
      <w:pPr>
        <w:pStyle w:val="110"/>
        <w:spacing w:line="276" w:lineRule="auto"/>
        <w:rPr>
          <w:b w:val="0"/>
          <w:bCs w:val="0"/>
          <w:u w:val="none"/>
          <w:rtl/>
        </w:rPr>
      </w:pPr>
      <w:r w:rsidRPr="004F2EB0">
        <w:rPr>
          <w:rFonts w:hint="cs"/>
          <w:b w:val="0"/>
          <w:bCs w:val="0"/>
          <w:u w:val="none"/>
          <w:rtl/>
        </w:rPr>
        <w:t xml:space="preserve">לא התקבל בחוק </w:t>
      </w:r>
      <w:r w:rsidRPr="004F2EB0">
        <w:rPr>
          <w:b w:val="0"/>
          <w:bCs w:val="0"/>
          <w:u w:val="none"/>
          <w:rtl/>
        </w:rPr>
        <w:t>–</w:t>
      </w:r>
      <w:r w:rsidRPr="004F2EB0">
        <w:rPr>
          <w:rFonts w:hint="cs"/>
          <w:b w:val="0"/>
          <w:bCs w:val="0"/>
          <w:u w:val="none"/>
          <w:rtl/>
        </w:rPr>
        <w:t xml:space="preserve"> עונשי מוצא (בדומה לנהוג בארה"ב, שם הדבר גרם להחמרת הענישה).</w:t>
      </w:r>
    </w:p>
    <w:p w14:paraId="644C99E8" w14:textId="12942F80" w:rsidR="00140E9B" w:rsidRPr="004F2EB0" w:rsidRDefault="00140E9B" w:rsidP="008F05D0">
      <w:pPr>
        <w:pStyle w:val="110"/>
        <w:spacing w:line="276" w:lineRule="auto"/>
        <w:rPr>
          <w:b w:val="0"/>
          <w:bCs w:val="0"/>
          <w:u w:val="none"/>
          <w:rtl/>
        </w:rPr>
      </w:pPr>
    </w:p>
    <w:p w14:paraId="59EF0EC0" w14:textId="67ED4DA8" w:rsidR="00E96D01" w:rsidRDefault="00E96D01" w:rsidP="008F05D0">
      <w:pPr>
        <w:pStyle w:val="2"/>
        <w:rPr>
          <w:rtl/>
        </w:rPr>
      </w:pPr>
      <w:bookmarkStart w:id="50" w:name="_Toc108218206"/>
      <w:r>
        <w:rPr>
          <w:rFonts w:hint="cs"/>
          <w:rtl/>
        </w:rPr>
        <w:t>מטרת החוק</w:t>
      </w:r>
      <w:bookmarkEnd w:id="50"/>
    </w:p>
    <w:p w14:paraId="59DBB599" w14:textId="77777777" w:rsidR="00E96D01" w:rsidRPr="00E96D01" w:rsidRDefault="00E96D01"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E96D01">
        <w:rPr>
          <w:rFonts w:ascii="Time New Roman" w:eastAsia="Times New Roman" w:hAnsi="Time New Roman" w:cs="Times New Roman"/>
          <w:b/>
          <w:bCs/>
          <w:color w:val="008000"/>
          <w:sz w:val="27"/>
          <w:szCs w:val="27"/>
          <w:rtl/>
          <w:lang w:val="en-US"/>
        </w:rPr>
        <w:t>מטרה – סימן א'1 (תיקון מס' 113) תשע"ב-2012</w:t>
      </w:r>
    </w:p>
    <w:p w14:paraId="5CD28F8A" w14:textId="77777777" w:rsidR="00E96D01" w:rsidRPr="00E96D01" w:rsidRDefault="00E96D01"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96D01">
        <w:rPr>
          <w:rFonts w:ascii="Miriam" w:eastAsia="Times New Roman" w:hAnsi="Miriam" w:cs="Miriam"/>
          <w:sz w:val="32"/>
          <w:szCs w:val="32"/>
          <w:rtl/>
          <w:lang w:val="en-US"/>
        </w:rPr>
        <w:t>40</w:t>
      </w:r>
      <w:r w:rsidRPr="00E96D01">
        <w:rPr>
          <w:rFonts w:ascii="FrankRuehl" w:eastAsia="Times New Roman" w:hAnsi="FrankRuehl" w:cs="FrankRuehl"/>
          <w:sz w:val="26"/>
          <w:szCs w:val="26"/>
          <w:rtl/>
          <w:lang w:val="en-US"/>
        </w:rPr>
        <w:t>א.  מטרתו של סימן זה לקבוע את העקרונות והשיקולים המנחים בענישה, המשקל שיש לתת להם והיחס ביניהם, כדי שבית המשפט יקבע את העונש המתאים לנאשם בנסיבות העבירה.</w:t>
      </w:r>
    </w:p>
    <w:p w14:paraId="15C91933" w14:textId="484108E8" w:rsidR="00E96D01" w:rsidRDefault="00E96D01" w:rsidP="008F05D0">
      <w:pPr>
        <w:pStyle w:val="110"/>
        <w:spacing w:line="276" w:lineRule="auto"/>
        <w:rPr>
          <w:rtl/>
        </w:rPr>
      </w:pPr>
    </w:p>
    <w:p w14:paraId="01FF9496" w14:textId="3333E6A6" w:rsidR="00E96D01" w:rsidRDefault="00E96D01" w:rsidP="008F05D0">
      <w:pPr>
        <w:pStyle w:val="2"/>
        <w:rPr>
          <w:rtl/>
        </w:rPr>
      </w:pPr>
      <w:bookmarkStart w:id="51" w:name="_Toc108218207"/>
      <w:r>
        <w:rPr>
          <w:rFonts w:hint="cs"/>
          <w:rtl/>
        </w:rPr>
        <w:t xml:space="preserve">העקרון המנחה בענישה </w:t>
      </w:r>
      <w:r>
        <w:rPr>
          <w:rtl/>
        </w:rPr>
        <w:t>–</w:t>
      </w:r>
      <w:r>
        <w:rPr>
          <w:rFonts w:hint="cs"/>
          <w:rtl/>
        </w:rPr>
        <w:t xml:space="preserve"> הלימה</w:t>
      </w:r>
      <w:bookmarkEnd w:id="51"/>
    </w:p>
    <w:p w14:paraId="595C439C" w14:textId="77777777" w:rsidR="008603EA" w:rsidRPr="008603EA" w:rsidRDefault="008603EA"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8603EA">
        <w:rPr>
          <w:rFonts w:ascii="Time New Roman" w:eastAsia="Times New Roman" w:hAnsi="Time New Roman" w:cs="Times New Roman"/>
          <w:b/>
          <w:bCs/>
          <w:color w:val="008000"/>
          <w:sz w:val="27"/>
          <w:szCs w:val="27"/>
          <w:rtl/>
          <w:lang w:val="en-US"/>
        </w:rPr>
        <w:t>העיקרון המנחה בענישה - הלימה (תיקון מס' 113) תשע"ב-2012</w:t>
      </w:r>
    </w:p>
    <w:p w14:paraId="439A9329" w14:textId="77777777" w:rsidR="008603EA" w:rsidRPr="008603EA" w:rsidRDefault="008603EA"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8603EA">
        <w:rPr>
          <w:rFonts w:ascii="Miriam" w:eastAsia="Times New Roman" w:hAnsi="Miriam" w:cs="Miriam"/>
          <w:sz w:val="32"/>
          <w:szCs w:val="32"/>
          <w:rtl/>
          <w:lang w:val="en-US"/>
        </w:rPr>
        <w:t>40</w:t>
      </w:r>
      <w:r w:rsidRPr="008603EA">
        <w:rPr>
          <w:rFonts w:ascii="FrankRuehl" w:eastAsia="Times New Roman" w:hAnsi="FrankRuehl" w:cs="FrankRuehl"/>
          <w:sz w:val="26"/>
          <w:szCs w:val="26"/>
          <w:rtl/>
          <w:lang w:val="en-US"/>
        </w:rPr>
        <w:t>ב.  העיקרון המנחה בענישה הוא קיומו של יחס הולם בין חומרת מעשה העבירה בנסיבותיו ומידת אשמו של הנאשם ובין סוג ומידת העונש המוטל עליו (בסימן זה – העיקרון המנחה).</w:t>
      </w:r>
    </w:p>
    <w:p w14:paraId="787E2142" w14:textId="77777777" w:rsidR="008603EA" w:rsidRDefault="008603EA" w:rsidP="008F05D0">
      <w:pPr>
        <w:pStyle w:val="110"/>
        <w:spacing w:line="276" w:lineRule="auto"/>
        <w:rPr>
          <w:rtl/>
        </w:rPr>
      </w:pPr>
    </w:p>
    <w:p w14:paraId="75CE234A" w14:textId="3A08A3BB" w:rsidR="008603EA" w:rsidRPr="00747E0B" w:rsidRDefault="008603EA" w:rsidP="008F05D0">
      <w:pPr>
        <w:pStyle w:val="110"/>
        <w:spacing w:line="276" w:lineRule="auto"/>
        <w:rPr>
          <w:b w:val="0"/>
          <w:bCs w:val="0"/>
          <w:u w:val="none"/>
          <w:rtl/>
        </w:rPr>
      </w:pPr>
      <w:r w:rsidRPr="00747E0B">
        <w:rPr>
          <w:b w:val="0"/>
          <w:bCs w:val="0"/>
          <w:u w:val="none"/>
          <w:rtl/>
        </w:rPr>
        <w:t xml:space="preserve">עקרון העל בענישה הינו עקרון ההלימה (הגמול) </w:t>
      </w:r>
      <w:r w:rsidRPr="00747E0B">
        <w:rPr>
          <w:rFonts w:hint="cs"/>
          <w:b w:val="0"/>
          <w:bCs w:val="0"/>
          <w:u w:val="none"/>
          <w:rtl/>
        </w:rPr>
        <w:t xml:space="preserve">- </w:t>
      </w:r>
      <w:r w:rsidRPr="00747E0B">
        <w:rPr>
          <w:b w:val="0"/>
          <w:bCs w:val="0"/>
          <w:u w:val="none"/>
          <w:rtl/>
        </w:rPr>
        <w:t xml:space="preserve">נדרש יחס הולם בין חומרת המעשה בנסיבותיו ואשמו של הנאשם לבין חומרת העונש. </w:t>
      </w:r>
    </w:p>
    <w:p w14:paraId="31E0852E" w14:textId="55495CD1" w:rsidR="008603EA" w:rsidRDefault="008603EA" w:rsidP="008F05D0">
      <w:pPr>
        <w:pStyle w:val="110"/>
        <w:spacing w:line="276" w:lineRule="auto"/>
        <w:rPr>
          <w:b w:val="0"/>
          <w:bCs w:val="0"/>
          <w:u w:val="none"/>
          <w:rtl/>
        </w:rPr>
      </w:pPr>
      <w:r w:rsidRPr="00747E0B">
        <w:rPr>
          <w:b w:val="0"/>
          <w:bCs w:val="0"/>
          <w:u w:val="none"/>
          <w:rtl/>
        </w:rPr>
        <w:lastRenderedPageBreak/>
        <w:t>בכך זוכה עקרון זה לבכורה על-פני עקרונות ההגנה על שלום הציבור, השיקום וההרתעה, אשר אמנם מקבלים ביטוי בחקיקה, אך בכפיפות לעקרון המנחה.</w:t>
      </w:r>
    </w:p>
    <w:p w14:paraId="7A7AA76C" w14:textId="11591080" w:rsidR="00910B33" w:rsidRDefault="00910B33" w:rsidP="008F05D0">
      <w:pPr>
        <w:pStyle w:val="110"/>
        <w:spacing w:line="276" w:lineRule="auto"/>
        <w:rPr>
          <w:b w:val="0"/>
          <w:bCs w:val="0"/>
          <w:color w:val="7030A0"/>
          <w:u w:val="none"/>
          <w:rtl/>
        </w:rPr>
      </w:pPr>
      <w:r>
        <w:rPr>
          <w:rFonts w:hint="cs"/>
          <w:b w:val="0"/>
          <w:bCs w:val="0"/>
          <w:color w:val="7030A0"/>
          <w:u w:val="none"/>
          <w:rtl/>
        </w:rPr>
        <w:t xml:space="preserve">כמובן לפני תיקון 113 הסנגוריה הציבורית התנגדה לכך שהעקרון המנחה יהיה עקרון ההלימה וטענה שיש </w:t>
      </w:r>
      <w:r w:rsidR="007A540A">
        <w:rPr>
          <w:rFonts w:hint="cs"/>
          <w:b w:val="0"/>
          <w:bCs w:val="0"/>
          <w:color w:val="7030A0"/>
          <w:u w:val="none"/>
          <w:rtl/>
        </w:rPr>
        <w:t>להעדיף</w:t>
      </w:r>
      <w:r>
        <w:rPr>
          <w:rFonts w:hint="cs"/>
          <w:b w:val="0"/>
          <w:bCs w:val="0"/>
          <w:color w:val="7030A0"/>
          <w:u w:val="none"/>
          <w:rtl/>
        </w:rPr>
        <w:t xml:space="preserve"> את עקרון השיקום </w:t>
      </w:r>
      <w:r>
        <w:rPr>
          <w:b w:val="0"/>
          <w:bCs w:val="0"/>
          <w:color w:val="7030A0"/>
          <w:u w:val="none"/>
          <w:rtl/>
        </w:rPr>
        <w:t>–</w:t>
      </w:r>
      <w:r>
        <w:rPr>
          <w:rFonts w:hint="cs"/>
          <w:b w:val="0"/>
          <w:bCs w:val="0"/>
          <w:color w:val="7030A0"/>
          <w:u w:val="none"/>
          <w:rtl/>
        </w:rPr>
        <w:t xml:space="preserve"> לשקם את העבריין </w:t>
      </w:r>
      <w:r w:rsidR="007A540A">
        <w:rPr>
          <w:rFonts w:hint="cs"/>
          <w:b w:val="0"/>
          <w:bCs w:val="0"/>
          <w:color w:val="7030A0"/>
          <w:u w:val="none"/>
          <w:rtl/>
        </w:rPr>
        <w:t xml:space="preserve">[לא אומר שלא יקבל עונש אבל להעדיף את שיקומו], הפרקליטות התנגדה לגישת הסנגוריה וטענה שעקרון ההלימה צריך להיות העקרון המנחה ואין להעדיף את עקרון השיקום. </w:t>
      </w:r>
    </w:p>
    <w:p w14:paraId="20DAAAA3" w14:textId="5E1065E4" w:rsidR="00480694" w:rsidRDefault="00480694" w:rsidP="008F05D0">
      <w:pPr>
        <w:pStyle w:val="110"/>
        <w:spacing w:line="276" w:lineRule="auto"/>
        <w:rPr>
          <w:b w:val="0"/>
          <w:bCs w:val="0"/>
          <w:color w:val="7030A0"/>
          <w:u w:val="none"/>
          <w:rtl/>
        </w:rPr>
      </w:pPr>
      <w:r>
        <w:rPr>
          <w:rFonts w:hint="cs"/>
          <w:b w:val="0"/>
          <w:bCs w:val="0"/>
          <w:color w:val="7030A0"/>
          <w:u w:val="none"/>
          <w:rtl/>
        </w:rPr>
        <w:t xml:space="preserve">בסופו של דבר, לפי החוק, ניתן לראות כי עמדתה של הפרקליטות היא שמנחה היום את בתי המשפט. [הערה שלי: לפני מספר שנים הייתה דעת מיעוט בעליון של הש' וילנר שבה היא ציינה כי </w:t>
      </w:r>
      <w:r w:rsidR="00A62A7A">
        <w:rPr>
          <w:rFonts w:hint="cs"/>
          <w:b w:val="0"/>
          <w:bCs w:val="0"/>
          <w:color w:val="7030A0"/>
          <w:u w:val="none"/>
          <w:rtl/>
        </w:rPr>
        <w:t xml:space="preserve">יש לתת עדיפות לעקרון השיקום. כאמור, היא נותרה דעת מיעוט]. </w:t>
      </w:r>
    </w:p>
    <w:p w14:paraId="564679DD" w14:textId="77777777" w:rsidR="007A540A" w:rsidRPr="00910B33" w:rsidRDefault="007A540A" w:rsidP="008F05D0">
      <w:pPr>
        <w:pStyle w:val="110"/>
        <w:spacing w:line="276" w:lineRule="auto"/>
        <w:rPr>
          <w:b w:val="0"/>
          <w:bCs w:val="0"/>
          <w:color w:val="7030A0"/>
          <w:u w:val="none"/>
          <w:rtl/>
        </w:rPr>
      </w:pPr>
    </w:p>
    <w:p w14:paraId="0C0E492D" w14:textId="52CE741D" w:rsidR="00910B33" w:rsidRDefault="00910B33" w:rsidP="008F05D0">
      <w:pPr>
        <w:pStyle w:val="2"/>
        <w:rPr>
          <w:rtl/>
        </w:rPr>
      </w:pPr>
      <w:bookmarkStart w:id="52" w:name="_Toc108218208"/>
      <w:r>
        <w:rPr>
          <w:rFonts w:hint="cs"/>
          <w:rtl/>
        </w:rPr>
        <w:t>האם גמול והלימה זהים?</w:t>
      </w:r>
      <w:bookmarkEnd w:id="52"/>
    </w:p>
    <w:p w14:paraId="7858D3C1" w14:textId="518590BB" w:rsidR="008603EA" w:rsidRPr="008603EA" w:rsidRDefault="008603EA" w:rsidP="008F05D0">
      <w:pPr>
        <w:bidi/>
        <w:spacing w:after="0" w:line="276" w:lineRule="auto"/>
        <w:jc w:val="both"/>
        <w:rPr>
          <w:rFonts w:ascii="Segoe UI" w:hAnsi="Segoe UI" w:cs="Segoe UI"/>
          <w:rtl/>
        </w:rPr>
      </w:pPr>
      <w:r w:rsidRPr="008603EA">
        <w:rPr>
          <w:rFonts w:ascii="Segoe UI" w:hAnsi="Segoe UI" w:cs="Segoe UI"/>
          <w:rtl/>
        </w:rPr>
        <w:t>עקרון ההלימה קרוב במהותו, אם כי אינו זהה, לעקרון הגמול</w:t>
      </w:r>
      <w:r w:rsidRPr="008603EA">
        <w:rPr>
          <w:rFonts w:ascii="Segoe UI" w:hAnsi="Segoe UI" w:cs="Segoe UI"/>
        </w:rPr>
        <w:t>,</w:t>
      </w:r>
      <w:r>
        <w:rPr>
          <w:rFonts w:ascii="Segoe UI" w:hAnsi="Segoe UI" w:cs="Segoe UI" w:hint="cs"/>
          <w:rtl/>
        </w:rPr>
        <w:t xml:space="preserve"> </w:t>
      </w:r>
      <w:r w:rsidRPr="008603EA">
        <w:rPr>
          <w:rFonts w:ascii="Segoe UI" w:hAnsi="Segoe UI" w:cs="Segoe UI"/>
          <w:rtl/>
        </w:rPr>
        <w:t>ההלימה, בדומה לגמול, דורשת להשיב לנאשם שהורשע, כגמולו, בהתאם לחומרת מעשיו ומידת אשמו, וליצור פרופורציה בין מעשה העבירה לבין העונש</w:t>
      </w:r>
      <w:r w:rsidRPr="008603EA">
        <w:rPr>
          <w:rFonts w:ascii="Segoe UI" w:hAnsi="Segoe UI" w:cs="Segoe UI"/>
        </w:rPr>
        <w:t>.</w:t>
      </w:r>
    </w:p>
    <w:p w14:paraId="5FB9C9BA" w14:textId="1F21EBFF" w:rsidR="008603EA" w:rsidRDefault="008603EA" w:rsidP="008F05D0">
      <w:pPr>
        <w:bidi/>
        <w:spacing w:after="0" w:line="276" w:lineRule="auto"/>
        <w:jc w:val="both"/>
        <w:rPr>
          <w:rFonts w:ascii="Segoe UI" w:hAnsi="Segoe UI" w:cs="Segoe UI"/>
          <w:rtl/>
        </w:rPr>
      </w:pPr>
      <w:r w:rsidRPr="00AC7A58">
        <w:rPr>
          <w:rFonts w:ascii="Segoe UI" w:hAnsi="Segoe UI" w:cs="Segoe UI"/>
          <w:b/>
          <w:bCs/>
          <w:rtl/>
        </w:rPr>
        <w:t>השוני</w:t>
      </w:r>
      <w:r w:rsidRPr="008603EA">
        <w:rPr>
          <w:rFonts w:ascii="Segoe UI" w:hAnsi="Segoe UI" w:cs="Segoe UI"/>
          <w:rtl/>
        </w:rPr>
        <w:t xml:space="preserve"> בין הלימה לגמול עשוי להתעורר למשל בעבירת ניסיון, כאשר קיים קושי להתייחס לגמול כאשר התוצאה לא התרחשה כלל, ואילו ההלימה מאפשרת התייחסות לחומרת המעשה, אף ללא צורך לגמול לנאשם על דבר שלא התממש</w:t>
      </w:r>
      <w:r>
        <w:rPr>
          <w:rFonts w:ascii="Segoe UI" w:hAnsi="Segoe UI" w:cs="Segoe UI" w:hint="cs"/>
          <w:rtl/>
        </w:rPr>
        <w:t xml:space="preserve"> </w:t>
      </w:r>
      <w:r w:rsidRPr="008603EA">
        <w:rPr>
          <w:rFonts w:ascii="Segoe UI" w:hAnsi="Segoe UI" w:cs="Segoe UI"/>
          <w:b/>
          <w:bCs/>
          <w:rtl/>
        </w:rPr>
        <w:t>(הלימה רחב יותר)</w:t>
      </w:r>
      <w:r>
        <w:rPr>
          <w:rFonts w:ascii="Segoe UI" w:hAnsi="Segoe UI" w:cs="Segoe UI" w:hint="cs"/>
          <w:rtl/>
        </w:rPr>
        <w:t>.</w:t>
      </w:r>
    </w:p>
    <w:p w14:paraId="73675998" w14:textId="5EE512C1" w:rsidR="00216302" w:rsidRDefault="00216302" w:rsidP="008F05D0">
      <w:pPr>
        <w:bidi/>
        <w:spacing w:after="0" w:line="276" w:lineRule="auto"/>
        <w:jc w:val="both"/>
        <w:rPr>
          <w:rFonts w:ascii="Segoe UI" w:hAnsi="Segoe UI" w:cs="Segoe UI"/>
          <w:rtl/>
        </w:rPr>
      </w:pPr>
    </w:p>
    <w:p w14:paraId="1256A614" w14:textId="77777777" w:rsidR="00216302" w:rsidRPr="00216302" w:rsidRDefault="00216302" w:rsidP="008F05D0">
      <w:pPr>
        <w:pStyle w:val="2"/>
        <w:rPr>
          <w:rtl/>
        </w:rPr>
      </w:pPr>
      <w:bookmarkStart w:id="53" w:name="_Toc108218209"/>
      <w:r w:rsidRPr="00216302">
        <w:rPr>
          <w:rtl/>
        </w:rPr>
        <w:t>קביעת מתחם העונש ההולם וגזירת עונשו של הנאשם</w:t>
      </w:r>
      <w:bookmarkEnd w:id="53"/>
    </w:p>
    <w:p w14:paraId="212DFCEC" w14:textId="77777777" w:rsidR="00216302" w:rsidRPr="00216302" w:rsidRDefault="00216302" w:rsidP="008F05D0">
      <w:pPr>
        <w:bidi/>
        <w:spacing w:after="0" w:line="276" w:lineRule="auto"/>
        <w:jc w:val="both"/>
        <w:rPr>
          <w:rFonts w:ascii="Segoe UI" w:hAnsi="Segoe UI" w:cs="Segoe UI"/>
          <w:rtl/>
        </w:rPr>
      </w:pPr>
      <w:r w:rsidRPr="00216302">
        <w:rPr>
          <w:rFonts w:ascii="Segoe UI" w:hAnsi="Segoe UI" w:cs="Segoe UI"/>
          <w:rtl/>
        </w:rPr>
        <w:t xml:space="preserve">בית המשפט יקבע מתחם עונש הולם למעשה העבירה שביצע הנאשם בהתאם לעיקרון המנחה, ולשם כך יתחשב בערך החברתי שנפגע מביצוע העבירה, במידת הפגיעה בו, במדיניות הענישה הנהוגה </w:t>
      </w:r>
      <w:r w:rsidRPr="00216302">
        <w:rPr>
          <w:rFonts w:ascii="Segoe UI" w:hAnsi="Segoe UI" w:cs="Segoe UI"/>
          <w:color w:val="FF0000"/>
          <w:rtl/>
        </w:rPr>
        <w:t>ובנסיבות הקשורות בביצוע העבירה</w:t>
      </w:r>
      <w:r w:rsidRPr="00216302">
        <w:rPr>
          <w:rFonts w:ascii="Segoe UI" w:hAnsi="Segoe UI" w:cs="Segoe UI"/>
          <w:rtl/>
        </w:rPr>
        <w:t xml:space="preserve"> כאמור בסעיף 40ט</w:t>
      </w:r>
      <w:r w:rsidRPr="00216302">
        <w:rPr>
          <w:rFonts w:ascii="Segoe UI" w:hAnsi="Segoe UI" w:cs="Segoe UI"/>
        </w:rPr>
        <w:t>.</w:t>
      </w:r>
    </w:p>
    <w:p w14:paraId="150D5DBE" w14:textId="251C504F" w:rsidR="00216302" w:rsidRDefault="00216302" w:rsidP="008F05D0">
      <w:pPr>
        <w:bidi/>
        <w:spacing w:after="0" w:line="276" w:lineRule="auto"/>
        <w:jc w:val="both"/>
        <w:rPr>
          <w:rFonts w:ascii="Segoe UI" w:hAnsi="Segoe UI" w:cs="Segoe UI"/>
          <w:rtl/>
        </w:rPr>
      </w:pPr>
      <w:r w:rsidRPr="00216302">
        <w:rPr>
          <w:rFonts w:ascii="Segoe UI" w:hAnsi="Segoe UI" w:cs="Segoe UI"/>
          <w:b/>
          <w:bCs/>
          <w:u w:val="single"/>
          <w:rtl/>
        </w:rPr>
        <w:t>בתוך</w:t>
      </w:r>
      <w:r w:rsidRPr="00216302">
        <w:rPr>
          <w:rFonts w:ascii="Segoe UI" w:hAnsi="Segoe UI" w:cs="Segoe UI"/>
          <w:rtl/>
        </w:rPr>
        <w:t xml:space="preserve"> מתחם העונש ההולם יגזור בית המשפט את העונש המתאים לנאשם, בהתחשב בנסיבות שאינן קשורות בביצוע העבירה</w:t>
      </w:r>
      <w:r w:rsidR="00ED387B">
        <w:rPr>
          <w:rFonts w:ascii="Segoe UI" w:hAnsi="Segoe UI" w:cs="Segoe UI" w:hint="cs"/>
          <w:rtl/>
        </w:rPr>
        <w:t>.</w:t>
      </w:r>
    </w:p>
    <w:p w14:paraId="4AED9B34" w14:textId="77777777" w:rsidR="00393B8A" w:rsidRDefault="00393B8A" w:rsidP="008F05D0">
      <w:pPr>
        <w:bidi/>
        <w:spacing w:after="0" w:line="276" w:lineRule="auto"/>
        <w:jc w:val="both"/>
        <w:rPr>
          <w:rFonts w:ascii="Segoe UI" w:hAnsi="Segoe UI" w:cs="Segoe UI"/>
          <w:b/>
          <w:bCs/>
          <w:color w:val="FF0000"/>
          <w:rtl/>
        </w:rPr>
      </w:pPr>
    </w:p>
    <w:p w14:paraId="62E66F62" w14:textId="04900413" w:rsidR="008603EA" w:rsidRPr="00B67AE0" w:rsidRDefault="006766E5" w:rsidP="008F05D0">
      <w:pPr>
        <w:pStyle w:val="2"/>
        <w:rPr>
          <w:rtl/>
        </w:rPr>
      </w:pPr>
      <w:bookmarkStart w:id="54" w:name="_Toc108218210"/>
      <w:r w:rsidRPr="00B67AE0">
        <w:rPr>
          <w:rFonts w:hint="cs"/>
          <w:rtl/>
        </w:rPr>
        <w:t xml:space="preserve">שלבי </w:t>
      </w:r>
      <w:r w:rsidR="00B67AE0" w:rsidRPr="00B67AE0">
        <w:rPr>
          <w:rFonts w:hint="cs"/>
          <w:rtl/>
        </w:rPr>
        <w:t>קביעת המתחם</w:t>
      </w:r>
      <w:bookmarkEnd w:id="54"/>
    </w:p>
    <w:p w14:paraId="32A5B40A" w14:textId="50B6F939" w:rsidR="006766E5" w:rsidRDefault="006766E5" w:rsidP="008F05D0">
      <w:pPr>
        <w:bidi/>
        <w:spacing w:after="0" w:line="276" w:lineRule="auto"/>
        <w:jc w:val="both"/>
        <w:rPr>
          <w:rFonts w:ascii="Segoe UI" w:hAnsi="Segoe UI" w:cs="Segoe UI"/>
          <w:rtl/>
        </w:rPr>
      </w:pPr>
      <w:r>
        <w:rPr>
          <w:rFonts w:ascii="Segoe UI" w:hAnsi="Segoe UI" w:cs="Segoe UI" w:hint="cs"/>
          <w:rtl/>
        </w:rPr>
        <w:t>ביהמ"ש יקבע במסגרת גז"ד את מתחם העונש ההולם לעבירה, ורק לאחר מכן יגזור את העונש.</w:t>
      </w:r>
    </w:p>
    <w:p w14:paraId="1683D581" w14:textId="4BE48C97" w:rsidR="006766E5" w:rsidRDefault="006766E5" w:rsidP="008F05D0">
      <w:pPr>
        <w:bidi/>
        <w:spacing w:after="0" w:line="276" w:lineRule="auto"/>
        <w:jc w:val="both"/>
        <w:rPr>
          <w:rFonts w:ascii="Segoe UI" w:hAnsi="Segoe UI" w:cs="Segoe UI"/>
          <w:rtl/>
        </w:rPr>
      </w:pPr>
      <w:r>
        <w:rPr>
          <w:rFonts w:ascii="Segoe UI" w:hAnsi="Segoe UI" w:cs="Segoe UI" w:hint="cs"/>
          <w:rtl/>
        </w:rPr>
        <w:t>השלבים:</w:t>
      </w:r>
    </w:p>
    <w:p w14:paraId="19F263BC" w14:textId="69315031" w:rsidR="006766E5" w:rsidRDefault="006766E5" w:rsidP="008F05D0">
      <w:pPr>
        <w:pStyle w:val="ab"/>
        <w:numPr>
          <w:ilvl w:val="0"/>
          <w:numId w:val="80"/>
        </w:numPr>
        <w:bidi/>
        <w:spacing w:after="0" w:line="276" w:lineRule="auto"/>
        <w:jc w:val="both"/>
        <w:rPr>
          <w:rFonts w:ascii="Segoe UI" w:hAnsi="Segoe UI" w:cs="Segoe UI"/>
        </w:rPr>
      </w:pPr>
      <w:r>
        <w:rPr>
          <w:rFonts w:ascii="Segoe UI" w:hAnsi="Segoe UI" w:cs="Segoe UI" w:hint="cs"/>
          <w:rtl/>
        </w:rPr>
        <w:t>קביעת מתחם העונש ההולם</w:t>
      </w:r>
    </w:p>
    <w:p w14:paraId="23DE5F77" w14:textId="66BE2615" w:rsidR="006766E5" w:rsidRDefault="006766E5" w:rsidP="008F05D0">
      <w:pPr>
        <w:pStyle w:val="ab"/>
        <w:numPr>
          <w:ilvl w:val="0"/>
          <w:numId w:val="80"/>
        </w:numPr>
        <w:bidi/>
        <w:spacing w:after="0" w:line="276" w:lineRule="auto"/>
        <w:jc w:val="both"/>
        <w:rPr>
          <w:rFonts w:ascii="Segoe UI" w:hAnsi="Segoe UI" w:cs="Segoe UI"/>
        </w:rPr>
      </w:pPr>
      <w:r>
        <w:rPr>
          <w:rFonts w:ascii="Segoe UI" w:hAnsi="Segoe UI" w:cs="Segoe UI" w:hint="cs"/>
          <w:rtl/>
        </w:rPr>
        <w:t xml:space="preserve">ביהמ"ש בוחן אם יש מקום לחרוג מן מתחם העונש ההולם, בין אם </w:t>
      </w:r>
      <w:proofErr w:type="spellStart"/>
      <w:r>
        <w:rPr>
          <w:rFonts w:ascii="Segoe UI" w:hAnsi="Segoe UI" w:cs="Segoe UI" w:hint="cs"/>
          <w:rtl/>
        </w:rPr>
        <w:t>לקולא</w:t>
      </w:r>
      <w:proofErr w:type="spellEnd"/>
      <w:r>
        <w:rPr>
          <w:rFonts w:ascii="Segoe UI" w:hAnsi="Segoe UI" w:cs="Segoe UI" w:hint="cs"/>
          <w:rtl/>
        </w:rPr>
        <w:t xml:space="preserve"> בשל שיקול השיקום ובין אם לחומרה משיקול הגנה על שלום הציבור</w:t>
      </w:r>
    </w:p>
    <w:p w14:paraId="27C7E645" w14:textId="7A5DB62E" w:rsidR="006766E5" w:rsidRDefault="006766E5" w:rsidP="008F05D0">
      <w:pPr>
        <w:pStyle w:val="ab"/>
        <w:numPr>
          <w:ilvl w:val="0"/>
          <w:numId w:val="80"/>
        </w:numPr>
        <w:bidi/>
        <w:spacing w:after="0" w:line="276" w:lineRule="auto"/>
        <w:jc w:val="both"/>
        <w:rPr>
          <w:rFonts w:ascii="Segoe UI" w:hAnsi="Segoe UI" w:cs="Segoe UI"/>
        </w:rPr>
      </w:pPr>
      <w:r>
        <w:rPr>
          <w:rFonts w:ascii="Segoe UI" w:hAnsi="Segoe UI" w:cs="Segoe UI" w:hint="cs"/>
          <w:rtl/>
        </w:rPr>
        <w:t>ככל שיש לחרוג מן המתחם, על ביהמ"ש לקבוע את העונש המתאים לפי מידת החריגה הראויה</w:t>
      </w:r>
    </w:p>
    <w:p w14:paraId="02D4A37B" w14:textId="54649443" w:rsidR="006766E5" w:rsidRDefault="006766E5" w:rsidP="008F05D0">
      <w:pPr>
        <w:pStyle w:val="ab"/>
        <w:numPr>
          <w:ilvl w:val="0"/>
          <w:numId w:val="80"/>
        </w:numPr>
        <w:bidi/>
        <w:spacing w:after="0" w:line="276" w:lineRule="auto"/>
        <w:jc w:val="both"/>
        <w:rPr>
          <w:rFonts w:ascii="Segoe UI" w:hAnsi="Segoe UI" w:cs="Segoe UI"/>
        </w:rPr>
      </w:pPr>
      <w:r>
        <w:rPr>
          <w:rFonts w:ascii="Segoe UI" w:hAnsi="Segoe UI" w:cs="Segoe UI" w:hint="cs"/>
          <w:rtl/>
        </w:rPr>
        <w:t>ככל שאין מקום לחרוג מן המתחם, הרי שביהמ"ש יקבע את העונש המתאים בתוך המתחם</w:t>
      </w:r>
    </w:p>
    <w:p w14:paraId="31989EE4" w14:textId="2256E8E9" w:rsidR="006766E5" w:rsidRDefault="006766E5" w:rsidP="008F05D0">
      <w:pPr>
        <w:bidi/>
        <w:spacing w:after="0" w:line="276" w:lineRule="auto"/>
        <w:jc w:val="both"/>
        <w:rPr>
          <w:rFonts w:ascii="Segoe UI" w:hAnsi="Segoe UI" w:cs="Segoe UI"/>
          <w:rtl/>
        </w:rPr>
      </w:pPr>
    </w:p>
    <w:p w14:paraId="4AF63094" w14:textId="3F5E51EE" w:rsidR="00F14149" w:rsidRPr="004E2236" w:rsidRDefault="00F14149" w:rsidP="008F05D0">
      <w:pPr>
        <w:pStyle w:val="2"/>
        <w:rPr>
          <w:rtl/>
        </w:rPr>
      </w:pPr>
      <w:bookmarkStart w:id="55" w:name="_Toc108218211"/>
      <w:r w:rsidRPr="004E2236">
        <w:rPr>
          <w:rFonts w:hint="cs"/>
          <w:rtl/>
        </w:rPr>
        <w:t>ההבדל בין נסיבות הקשורות בביצוע העבירה לנסיבות אישיות</w:t>
      </w:r>
      <w:bookmarkEnd w:id="55"/>
    </w:p>
    <w:p w14:paraId="4F86E189" w14:textId="325D93A7" w:rsidR="00F14149" w:rsidRPr="00F14149" w:rsidRDefault="00F14149" w:rsidP="008F05D0">
      <w:pPr>
        <w:bidi/>
        <w:spacing w:after="0" w:line="276" w:lineRule="auto"/>
        <w:jc w:val="both"/>
        <w:rPr>
          <w:rFonts w:ascii="Segoe UI" w:hAnsi="Segoe UI" w:cs="Segoe UI"/>
          <w:rtl/>
        </w:rPr>
      </w:pPr>
      <w:r w:rsidRPr="00F14149">
        <w:rPr>
          <w:rFonts w:ascii="Segoe UI" w:hAnsi="Segoe UI" w:cs="Segoe UI" w:hint="cs"/>
          <w:rtl/>
        </w:rPr>
        <w:t xml:space="preserve">בקביעת מתחם  העונש ההולם, שוקל ביהמ"ש את </w:t>
      </w:r>
      <w:r w:rsidRPr="00F14149">
        <w:rPr>
          <w:rFonts w:ascii="Segoe UI" w:hAnsi="Segoe UI" w:cs="Segoe UI" w:hint="cs"/>
          <w:b/>
          <w:bCs/>
          <w:rtl/>
        </w:rPr>
        <w:t>הנסיבות הקשורות בביצוע העבירה</w:t>
      </w:r>
      <w:r w:rsidRPr="00F14149">
        <w:rPr>
          <w:rFonts w:ascii="Segoe UI" w:hAnsi="Segoe UI" w:cs="Segoe UI" w:hint="cs"/>
          <w:rtl/>
        </w:rPr>
        <w:t xml:space="preserve">, אשר מצביעות על חומרת המעשה ומידת אשמו של הנאשם וכן שוקל את הפגיעה בערך החברתי שנפגע. </w:t>
      </w:r>
    </w:p>
    <w:p w14:paraId="048723DC" w14:textId="77777777" w:rsidR="00F14149" w:rsidRPr="00F14149" w:rsidRDefault="00F14149" w:rsidP="008F05D0">
      <w:pPr>
        <w:bidi/>
        <w:spacing w:after="0" w:line="276" w:lineRule="auto"/>
        <w:jc w:val="both"/>
        <w:rPr>
          <w:rFonts w:ascii="Segoe UI" w:hAnsi="Segoe UI" w:cs="Segoe UI"/>
          <w:rtl/>
        </w:rPr>
      </w:pPr>
    </w:p>
    <w:p w14:paraId="7B31EB96" w14:textId="43A72D46" w:rsidR="00ED387B" w:rsidRDefault="00F14149" w:rsidP="008F05D0">
      <w:pPr>
        <w:numPr>
          <w:ilvl w:val="0"/>
          <w:numId w:val="81"/>
        </w:numPr>
        <w:bidi/>
        <w:spacing w:after="0" w:line="276" w:lineRule="auto"/>
        <w:contextualSpacing/>
        <w:jc w:val="both"/>
        <w:rPr>
          <w:rFonts w:ascii="Segoe UI" w:hAnsi="Segoe UI" w:cs="Segoe UI"/>
        </w:rPr>
      </w:pPr>
      <w:r w:rsidRPr="00F14149">
        <w:rPr>
          <w:rFonts w:ascii="Segoe UI" w:hAnsi="Segoe UI" w:cs="Segoe UI" w:hint="cs"/>
          <w:b/>
          <w:bCs/>
          <w:rtl/>
        </w:rPr>
        <w:t>חשוב:</w:t>
      </w:r>
      <w:r w:rsidRPr="00F14149">
        <w:rPr>
          <w:rFonts w:ascii="Segoe UI" w:hAnsi="Segoe UI" w:cs="Segoe UI" w:hint="cs"/>
          <w:rtl/>
        </w:rPr>
        <w:t xml:space="preserve"> בקביעת מתחם העונש ההולם ביהמ"ש </w:t>
      </w:r>
      <w:r w:rsidRPr="00F14149">
        <w:rPr>
          <w:rFonts w:ascii="Segoe UI" w:hAnsi="Segoe UI" w:cs="Segoe UI" w:hint="cs"/>
          <w:b/>
          <w:bCs/>
          <w:rtl/>
        </w:rPr>
        <w:t xml:space="preserve">עדיין לא מביא בחשבון את נסיבותיו האישיות של הנאשם, </w:t>
      </w:r>
      <w:r w:rsidRPr="00F14149">
        <w:rPr>
          <w:rFonts w:ascii="Segoe UI" w:hAnsi="Segoe UI" w:cs="Segoe UI" w:hint="cs"/>
          <w:rtl/>
        </w:rPr>
        <w:t xml:space="preserve">לרבות את עברו הפלילי, אשר יקבלו ביטוי בשלב הבא הנוגע לקביעת העונש המתאים לנאשם. </w:t>
      </w:r>
    </w:p>
    <w:p w14:paraId="7F80B91B" w14:textId="77777777" w:rsidR="00F261FD" w:rsidRPr="00F261FD" w:rsidRDefault="00F261FD" w:rsidP="008F05D0">
      <w:pPr>
        <w:bidi/>
        <w:spacing w:after="0" w:line="276" w:lineRule="auto"/>
        <w:ind w:left="360"/>
        <w:contextualSpacing/>
        <w:jc w:val="both"/>
        <w:rPr>
          <w:rFonts w:ascii="Segoe UI" w:hAnsi="Segoe UI" w:cs="Segoe UI"/>
          <w:rtl/>
        </w:rPr>
      </w:pPr>
    </w:p>
    <w:p w14:paraId="1438A5FA" w14:textId="6F7D28F0" w:rsidR="008603EA" w:rsidRPr="00C656B4" w:rsidRDefault="002141F9" w:rsidP="008F05D0">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rPr>
      </w:pPr>
      <w:r w:rsidRPr="00217A86">
        <w:rPr>
          <w:rFonts w:ascii="Segoe UI" w:hAnsi="Segoe UI" w:cs="Segoe UI"/>
          <w:highlight w:val="yellow"/>
          <w:rtl/>
        </w:rPr>
        <w:t xml:space="preserve">ע"פ 2918/13 </w:t>
      </w:r>
      <w:proofErr w:type="spellStart"/>
      <w:r w:rsidRPr="00217A86">
        <w:rPr>
          <w:rFonts w:ascii="Segoe UI" w:hAnsi="Segoe UI" w:cs="Segoe UI"/>
          <w:b/>
          <w:bCs/>
          <w:highlight w:val="yellow"/>
          <w:rtl/>
        </w:rPr>
        <w:t>דבס</w:t>
      </w:r>
      <w:proofErr w:type="spellEnd"/>
      <w:r w:rsidRPr="00217A86">
        <w:rPr>
          <w:rFonts w:ascii="Segoe UI" w:hAnsi="Segoe UI" w:cs="Segoe UI"/>
          <w:b/>
          <w:bCs/>
          <w:highlight w:val="yellow"/>
          <w:rtl/>
        </w:rPr>
        <w:t xml:space="preserve"> נ' מדינת ישראל</w:t>
      </w:r>
      <w:r w:rsidRPr="00217A86">
        <w:rPr>
          <w:rFonts w:ascii="Segoe UI" w:hAnsi="Segoe UI" w:cs="Segoe UI"/>
          <w:highlight w:val="yellow"/>
          <w:rtl/>
        </w:rPr>
        <w:t xml:space="preserve"> (נבו 18.07.2013)</w:t>
      </w:r>
      <w:r w:rsidRPr="00217A86">
        <w:rPr>
          <w:rFonts w:ascii="Segoe UI" w:hAnsi="Segoe UI" w:cs="Segoe UI" w:hint="cs"/>
          <w:highlight w:val="yellow"/>
          <w:rtl/>
        </w:rPr>
        <w:t xml:space="preserve"> </w:t>
      </w:r>
      <w:r w:rsidR="00B67AE0" w:rsidRPr="00217A86">
        <w:rPr>
          <w:rFonts w:ascii="Segoe UI" w:hAnsi="Segoe UI" w:cs="Segoe UI"/>
          <w:highlight w:val="yellow"/>
          <w:rtl/>
        </w:rPr>
        <w:t>–</w:t>
      </w:r>
      <w:r w:rsidR="00B67AE0" w:rsidRPr="00217A86">
        <w:rPr>
          <w:rFonts w:ascii="Segoe UI" w:hAnsi="Segoe UI" w:cs="Segoe UI" w:hint="cs"/>
          <w:highlight w:val="yellow"/>
          <w:rtl/>
        </w:rPr>
        <w:t xml:space="preserve"> חשיבות ההקפדה על ההליך ההדרגתי</w:t>
      </w:r>
    </w:p>
    <w:p w14:paraId="205CCCED" w14:textId="42AF4DCA" w:rsidR="002141F9" w:rsidRDefault="002141F9"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2141F9">
        <w:rPr>
          <w:rFonts w:ascii="Segoe UI" w:hAnsi="Segoe UI" w:cs="Segoe UI"/>
          <w:rtl/>
        </w:rPr>
        <w:t xml:space="preserve">עסקינן בגזר דין שניתן לאחר כניסתו של </w:t>
      </w:r>
      <w:hyperlink r:id="rId35" w:tgtFrame="blank" w:history="1">
        <w:r w:rsidRPr="002141F9">
          <w:rPr>
            <w:rFonts w:ascii="Segoe UI" w:hAnsi="Segoe UI" w:cs="Segoe UI"/>
            <w:color w:val="0000FF"/>
            <w:u w:val="single"/>
            <w:rtl/>
          </w:rPr>
          <w:t>חוק העונשין</w:t>
        </w:r>
      </w:hyperlink>
      <w:r w:rsidRPr="002141F9">
        <w:rPr>
          <w:rFonts w:ascii="Segoe UI" w:hAnsi="Segoe UI" w:cs="Segoe UI"/>
        </w:rPr>
        <w:t xml:space="preserve"> </w:t>
      </w:r>
      <w:r w:rsidRPr="002141F9">
        <w:rPr>
          <w:rFonts w:ascii="Segoe UI" w:hAnsi="Segoe UI" w:cs="Segoe UI"/>
          <w:rtl/>
        </w:rPr>
        <w:t xml:space="preserve">(תיקון מס' 113), התשע"ב-2012, (להלן: תיקון מס' 113) לתוקף. תיקון זה נועד להבנות את שיקול הדעת של בימ"ש במלאכת קביעת העונש. התיקון קובע כי </w:t>
      </w:r>
      <w:r w:rsidRPr="002141F9">
        <w:rPr>
          <w:rFonts w:ascii="Segoe UI" w:hAnsi="Segoe UI" w:cs="Segoe UI"/>
          <w:rtl/>
        </w:rPr>
        <w:lastRenderedPageBreak/>
        <w:t>בימ"ש נדרש לקיים בחינה תלת-שלבית לצורך גזירת העונש: בשלב הראשון עליו לקבוע את מתחם העונש ההולם את נסיבות ביצוע העבירה ואותן בלבד. זהו מתחם נורמטיבי-אובייקטיבי. לשם כך עליו להתחשב בשיקולים אלה: הערך החברתי שנפגע מביצוע העבירה; מידת הפגיעה בערך זה; מדיניות הענישה הנהוגה; הנסיבות הקשורות בביצוע העבירה המפורטות בסעיף 40ט לחוק. בשלב השני נדרש בימ"ש לבחון אם מתקיימים שיקולים חריגים הנוגעים לנאשם ומצדיקים לסטות מהמתחם שנקבע בשלב הראשון – פוטנציאל שיקום מיוחד או הגנה על הציבור. ככל שלא מצא בימ"ש להעדיף שיקולי שיקום או הגנה על הציבור, יעבור בימ"ש לשלב השלישי</w:t>
      </w:r>
      <w:r w:rsidRPr="002141F9">
        <w:rPr>
          <w:rFonts w:ascii="Segoe UI" w:hAnsi="Segoe UI" w:cs="Segoe UI"/>
        </w:rPr>
        <w:t xml:space="preserve">, </w:t>
      </w:r>
      <w:r w:rsidRPr="002141F9">
        <w:rPr>
          <w:rFonts w:ascii="Segoe UI" w:hAnsi="Segoe UI" w:cs="Segoe UI"/>
          <w:rtl/>
        </w:rPr>
        <w:t>שבו עליו לקבוע את העונש שיושת על הנאשם בתוך המתחם שקבע. בשלב זה נדרש בימ"ש לשקול את נסיבותיו האישיות של הנאשם לקולה ולחומרה, אלו המפורטות בסעיף 40יא לחוק, כמו גם נסיבות אחרות ככל שמצא שהן רלוונטיות</w:t>
      </w:r>
      <w:r w:rsidRPr="002141F9">
        <w:rPr>
          <w:rFonts w:ascii="Segoe UI" w:hAnsi="Segoe UI" w:cs="Segoe UI"/>
        </w:rPr>
        <w:t>.</w:t>
      </w:r>
    </w:p>
    <w:p w14:paraId="5A480AF5" w14:textId="47B9C8D3" w:rsidR="00260700" w:rsidRDefault="00260700"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Pr>
          <w:rFonts w:ascii="Segoe UI" w:hAnsi="Segoe UI" w:cs="Segoe UI" w:hint="cs"/>
          <w:rtl/>
        </w:rPr>
        <w:t>--</w:t>
      </w:r>
    </w:p>
    <w:p w14:paraId="3D5A1BEC" w14:textId="0203F10C" w:rsidR="00260700" w:rsidRPr="00C656B4" w:rsidRDefault="00260700"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b/>
          <w:bCs/>
          <w:u w:val="single"/>
          <w:rtl/>
        </w:rPr>
      </w:pPr>
      <w:r w:rsidRPr="00260700">
        <w:rPr>
          <w:rFonts w:ascii="Segoe UI" w:hAnsi="Segoe UI" w:cs="Segoe UI"/>
          <w:rtl/>
        </w:rPr>
        <w:t xml:space="preserve">לאחר ששמענו את טיעוני הצדדים, באנו למסקנה שדין הערעור להידחות. </w:t>
      </w:r>
      <w:r w:rsidRPr="00C656B4">
        <w:rPr>
          <w:rFonts w:ascii="Segoe UI" w:hAnsi="Segoe UI" w:cs="Segoe UI"/>
          <w:b/>
          <w:bCs/>
          <w:rtl/>
        </w:rPr>
        <w:t>אכן, בית המשפט המחוזי לא הקפיד על הפרדה מוחלטת בין שלבי קביעת העונש. כך, במסגרת השיקולים לקולה ולחומרה מנה בית המשפט הן את נסיבות ביצוע העבירה (שמקומן בשלב הראשון) הן את נסיבותיהם הפרטניות של הנאשמים בהתאם לתסקירי שירות המבחן (שמקומן בשלבים השני והשלישי. כמו כן, קביעת מתחם העונש ההולם הייתה צריכה להיעשות לגבי העבירות השונות בנפרד</w:t>
      </w:r>
      <w:r w:rsidR="003F78BB" w:rsidRPr="00C656B4">
        <w:rPr>
          <w:rFonts w:ascii="Segoe UI" w:hAnsi="Segoe UI" w:cs="Segoe UI" w:hint="cs"/>
          <w:b/>
          <w:bCs/>
          <w:rtl/>
        </w:rPr>
        <w:t xml:space="preserve">. </w:t>
      </w:r>
      <w:r w:rsidRPr="00C656B4">
        <w:rPr>
          <w:rFonts w:ascii="Segoe UI" w:hAnsi="Segoe UI" w:cs="Segoe UI"/>
          <w:b/>
          <w:bCs/>
          <w:rtl/>
        </w:rPr>
        <w:t xml:space="preserve">הטעם לדבר, שמתחם העונש ההולם צריך להיקבע בהתאם לשיקולים המנויים </w:t>
      </w:r>
      <w:hyperlink r:id="rId36" w:tgtFrame="blank" w:history="1">
        <w:r w:rsidRPr="00C656B4">
          <w:rPr>
            <w:rStyle w:val="Hyperlink"/>
            <w:rFonts w:ascii="Segoe UI" w:hAnsi="Segoe UI" w:cs="Segoe UI"/>
            <w:b/>
            <w:bCs/>
            <w:u w:val="none"/>
            <w:rtl/>
          </w:rPr>
          <w:t>בסעיף 40ג(א)</w:t>
        </w:r>
      </w:hyperlink>
      <w:r w:rsidRPr="00C656B4">
        <w:rPr>
          <w:rFonts w:ascii="Segoe UI" w:hAnsi="Segoe UI" w:cs="Segoe UI"/>
          <w:b/>
          <w:bCs/>
        </w:rPr>
        <w:t xml:space="preserve"> </w:t>
      </w:r>
      <w:r w:rsidRPr="00C656B4">
        <w:rPr>
          <w:rFonts w:ascii="Segoe UI" w:hAnsi="Segoe UI" w:cs="Segoe UI"/>
          <w:b/>
          <w:bCs/>
          <w:rtl/>
        </w:rPr>
        <w:t>ו</w:t>
      </w:r>
      <w:r w:rsidRPr="00C656B4">
        <w:rPr>
          <w:rFonts w:ascii="Segoe UI" w:hAnsi="Segoe UI" w:cs="Segoe UI"/>
          <w:b/>
          <w:bCs/>
        </w:rPr>
        <w:t>-</w:t>
      </w:r>
      <w:hyperlink r:id="rId37" w:tgtFrame="blank" w:history="1">
        <w:r w:rsidRPr="00C656B4">
          <w:rPr>
            <w:rStyle w:val="Hyperlink"/>
            <w:rFonts w:ascii="Segoe UI" w:hAnsi="Segoe UI" w:cs="Segoe UI"/>
            <w:b/>
            <w:bCs/>
            <w:u w:val="none"/>
          </w:rPr>
          <w:t>40</w:t>
        </w:r>
        <w:r w:rsidRPr="00C656B4">
          <w:rPr>
            <w:rStyle w:val="Hyperlink"/>
            <w:rFonts w:ascii="Segoe UI" w:hAnsi="Segoe UI" w:cs="Segoe UI"/>
            <w:b/>
            <w:bCs/>
            <w:u w:val="none"/>
            <w:rtl/>
          </w:rPr>
          <w:t>ט</w:t>
        </w:r>
      </w:hyperlink>
      <w:r w:rsidRPr="00C656B4">
        <w:rPr>
          <w:rFonts w:ascii="Segoe UI" w:hAnsi="Segoe UI" w:cs="Segoe UI"/>
          <w:b/>
          <w:bCs/>
        </w:rPr>
        <w:t xml:space="preserve"> </w:t>
      </w:r>
      <w:r w:rsidRPr="00C656B4">
        <w:rPr>
          <w:rFonts w:ascii="Segoe UI" w:hAnsi="Segoe UI" w:cs="Segoe UI"/>
          <w:b/>
          <w:bCs/>
          <w:rtl/>
        </w:rPr>
        <w:t>לחוק.</w:t>
      </w:r>
      <w:r w:rsidRPr="00C656B4">
        <w:rPr>
          <w:rFonts w:ascii="Segoe UI" w:hAnsi="Segoe UI" w:cs="Segoe UI"/>
          <w:rtl/>
        </w:rPr>
        <w:t xml:space="preserve"> </w:t>
      </w:r>
      <w:r w:rsidRPr="00C656B4">
        <w:rPr>
          <w:rFonts w:ascii="Segoe UI" w:hAnsi="Segoe UI" w:cs="Segoe UI"/>
          <w:b/>
          <w:bCs/>
          <w:rtl/>
        </w:rPr>
        <w:t>שיקולים אלה מביאים בחשבון את נסיבותיה הקונקרטיות של כל עבירה</w:t>
      </w:r>
      <w:r w:rsidRPr="00C656B4">
        <w:rPr>
          <w:rFonts w:ascii="Segoe UI" w:hAnsi="Segoe UI" w:cs="Segoe UI"/>
          <w:b/>
          <w:bCs/>
        </w:rPr>
        <w:t>.</w:t>
      </w:r>
      <w:r w:rsidR="003F78BB" w:rsidRPr="00C656B4">
        <w:rPr>
          <w:rFonts w:ascii="Segoe UI" w:hAnsi="Segoe UI" w:cs="Segoe UI" w:hint="cs"/>
          <w:b/>
          <w:bCs/>
          <w:rtl/>
        </w:rPr>
        <w:t xml:space="preserve"> </w:t>
      </w:r>
      <w:r w:rsidRPr="00C656B4">
        <w:rPr>
          <w:rFonts w:ascii="Segoe UI" w:hAnsi="Segoe UI" w:cs="Segoe UI"/>
          <w:b/>
          <w:bCs/>
          <w:rtl/>
        </w:rPr>
        <w:t>בדרך זו יתעצב עם הזמן גוף של פסיקה שיפרט מתחם ענישה אובייקטיבי וקונקרטי לנסיבותיה של כל עבירה, להבדיל ממתחם ענישה רחב שיחול על סוגים שונים של עבירות</w:t>
      </w:r>
      <w:r w:rsidRPr="00C656B4">
        <w:rPr>
          <w:rFonts w:ascii="Segoe UI" w:hAnsi="Segoe UI" w:cs="Segoe UI"/>
          <w:b/>
          <w:bCs/>
        </w:rPr>
        <w:t>.</w:t>
      </w:r>
    </w:p>
    <w:p w14:paraId="16155968" w14:textId="77777777" w:rsidR="00F261FD" w:rsidRDefault="00F261FD" w:rsidP="008F05D0">
      <w:pPr>
        <w:pStyle w:val="110"/>
        <w:spacing w:line="276" w:lineRule="auto"/>
        <w:rPr>
          <w:rtl/>
        </w:rPr>
      </w:pPr>
    </w:p>
    <w:p w14:paraId="0B72083E" w14:textId="6C370706" w:rsidR="00B67AE0" w:rsidRPr="00B67AE0" w:rsidRDefault="00B67AE0" w:rsidP="008F05D0">
      <w:pPr>
        <w:pStyle w:val="110"/>
        <w:spacing w:line="276" w:lineRule="auto"/>
        <w:rPr>
          <w:rFonts w:eastAsia="Times New Roman"/>
        </w:rPr>
      </w:pPr>
      <w:r w:rsidRPr="00B67AE0">
        <w:rPr>
          <w:rtl/>
        </w:rPr>
        <w:t>דוגמאות</w:t>
      </w:r>
    </w:p>
    <w:p w14:paraId="30B2EDA5" w14:textId="67AEF938" w:rsidR="00B67AE0" w:rsidRPr="00C656B4" w:rsidRDefault="006A6B82" w:rsidP="008F05D0">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eastAsia="Times New Roman" w:hAnsi="Segoe UI" w:cs="Segoe UI"/>
          <w:rtl/>
          <w:lang w:val="en-US"/>
        </w:rPr>
      </w:pPr>
      <w:r w:rsidRPr="00217A86">
        <w:rPr>
          <w:rFonts w:ascii="Segoe UI" w:eastAsia="+mn-ea" w:hAnsi="Segoe UI" w:cs="Segoe UI"/>
          <w:kern w:val="24"/>
          <w:highlight w:val="yellow"/>
          <w:rtl/>
          <w:lang w:val="en-US"/>
        </w:rPr>
        <w:t xml:space="preserve">ת"פ (שלום כ"ס) 34044-07-10 </w:t>
      </w:r>
      <w:r w:rsidRPr="00217A86">
        <w:rPr>
          <w:rFonts w:ascii="Segoe UI" w:eastAsia="+mn-ea" w:hAnsi="Segoe UI" w:cs="Segoe UI"/>
          <w:b/>
          <w:bCs/>
          <w:kern w:val="24"/>
          <w:highlight w:val="yellow"/>
          <w:rtl/>
          <w:lang w:val="en-US"/>
        </w:rPr>
        <w:t>מדינת ישראל נ' שבי</w:t>
      </w:r>
      <w:r w:rsidRPr="00217A86">
        <w:rPr>
          <w:rFonts w:ascii="Segoe UI" w:eastAsia="+mn-ea" w:hAnsi="Segoe UI" w:cs="Segoe UI"/>
          <w:kern w:val="24"/>
          <w:highlight w:val="yellow"/>
          <w:rtl/>
          <w:lang w:val="en-US"/>
        </w:rPr>
        <w:t xml:space="preserve"> </w:t>
      </w:r>
      <w:r w:rsidRPr="00217A86">
        <w:rPr>
          <w:rFonts w:ascii="Segoe UI" w:eastAsia="+mn-ea" w:hAnsi="Segoe UI" w:cs="Segoe UI" w:hint="cs"/>
          <w:kern w:val="24"/>
          <w:highlight w:val="yellow"/>
          <w:rtl/>
        </w:rPr>
        <w:t xml:space="preserve">- </w:t>
      </w:r>
      <w:r w:rsidR="00B67AE0" w:rsidRPr="00217A86">
        <w:rPr>
          <w:rFonts w:ascii="Segoe UI" w:eastAsia="+mn-ea" w:hAnsi="Segoe UI" w:cs="Segoe UI"/>
          <w:kern w:val="24"/>
          <w:highlight w:val="yellow"/>
          <w:rtl/>
          <w:lang w:val="en-US"/>
        </w:rPr>
        <w:t>2 עבירות של איומים על עובד ציבור</w:t>
      </w:r>
    </w:p>
    <w:p w14:paraId="5B53927B" w14:textId="01AD383A" w:rsidR="00B67AE0" w:rsidRPr="003B2DDA" w:rsidRDefault="00B67AE0"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eastAsia="Times New Roman" w:hAnsi="Segoe UI" w:cs="Segoe UI"/>
          <w:b/>
          <w:bCs/>
          <w:rtl/>
          <w:lang w:val="en-US"/>
        </w:rPr>
      </w:pPr>
      <w:r w:rsidRPr="003B2DDA">
        <w:rPr>
          <w:rFonts w:ascii="Segoe UI" w:eastAsia="+mn-ea" w:hAnsi="Segoe UI" w:cs="Segoe UI"/>
          <w:b/>
          <w:bCs/>
          <w:kern w:val="24"/>
          <w:rtl/>
          <w:lang w:val="en-US"/>
        </w:rPr>
        <w:t xml:space="preserve">מתחם הענישה: בין 6 חודשי </w:t>
      </w:r>
      <w:r w:rsidR="00ED0FE7" w:rsidRPr="003B2DDA">
        <w:rPr>
          <w:rFonts w:ascii="Segoe UI" w:eastAsia="+mn-ea" w:hAnsi="Segoe UI" w:cs="Segoe UI" w:hint="cs"/>
          <w:b/>
          <w:bCs/>
          <w:kern w:val="24"/>
          <w:rtl/>
          <w:lang w:val="en-US"/>
        </w:rPr>
        <w:t>מ</w:t>
      </w:r>
      <w:r w:rsidRPr="003B2DDA">
        <w:rPr>
          <w:rFonts w:ascii="Segoe UI" w:eastAsia="+mn-ea" w:hAnsi="Segoe UI" w:cs="Segoe UI"/>
          <w:b/>
          <w:bCs/>
          <w:kern w:val="24"/>
          <w:rtl/>
          <w:lang w:val="en-US"/>
        </w:rPr>
        <w:t xml:space="preserve">ע"ת לבין 6 חודשי </w:t>
      </w:r>
      <w:proofErr w:type="spellStart"/>
      <w:r w:rsidR="00F41E0D" w:rsidRPr="003B2DDA">
        <w:rPr>
          <w:rFonts w:ascii="Segoe UI" w:eastAsia="+mn-ea" w:hAnsi="Segoe UI" w:cs="Segoe UI" w:hint="cs"/>
          <w:b/>
          <w:bCs/>
          <w:kern w:val="24"/>
          <w:rtl/>
          <w:lang w:val="en-US"/>
        </w:rPr>
        <w:t>עב"ש</w:t>
      </w:r>
      <w:proofErr w:type="spellEnd"/>
    </w:p>
    <w:p w14:paraId="5CF7AA39" w14:textId="735972E7" w:rsidR="008B554E" w:rsidRPr="004D7E77" w:rsidRDefault="008B554E"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eastAsia="Times New Roman" w:hAnsi="Segoe UI" w:cs="Segoe UI"/>
          <w:lang w:val="en-ZW"/>
        </w:rPr>
      </w:pPr>
      <w:r w:rsidRPr="008B554E">
        <w:rPr>
          <w:rFonts w:ascii="Segoe UI" w:eastAsia="Times New Roman" w:hAnsi="Segoe UI" w:cs="Segoe UI"/>
          <w:rtl/>
          <w:lang w:val="en-US"/>
        </w:rPr>
        <w:t>11. דברי האיום שהשמיע הנאשם באוזני סגן ראש עיריית הוד השרון, וכן בהודעת קול שנועדה לאוזניו, חמורים למדי, אם כי יש בהם מידה של כלליות, שלרוב אינה מאפיינת רצינות. סגן ראש העיר העיד לפניי כי לא התרשם מאיומי הנאשם, והסיבה המכרעת שהביאו את הנאשם להשמעת דברי האיום היא מצוקתו רבת השנים.</w:t>
      </w:r>
    </w:p>
    <w:p w14:paraId="244A34A2" w14:textId="3377E9B6" w:rsidR="008B554E" w:rsidRPr="008B554E" w:rsidRDefault="008B554E"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eastAsia="Times New Roman" w:hAnsi="Segoe UI" w:cs="Segoe UI"/>
          <w:rtl/>
          <w:lang w:val="en-US"/>
        </w:rPr>
      </w:pPr>
      <w:r w:rsidRPr="008B554E">
        <w:rPr>
          <w:rFonts w:ascii="Segoe UI" w:eastAsia="Times New Roman" w:hAnsi="Segoe UI" w:cs="Segoe UI"/>
          <w:rtl/>
          <w:lang w:val="en-US"/>
        </w:rPr>
        <w:t>12. </w:t>
      </w:r>
      <w:r w:rsidRPr="008B554E">
        <w:rPr>
          <w:rFonts w:ascii="Segoe UI" w:eastAsia="Times New Roman" w:hAnsi="Segoe UI" w:cs="Segoe UI"/>
          <w:b/>
          <w:bCs/>
          <w:rtl/>
          <w:lang w:val="en-US"/>
        </w:rPr>
        <w:t>הגעתי לכלל מסקנה כי מתחם העונש ההולם למעשי העבירה שביצע הנאשם</w:t>
      </w:r>
      <w:r w:rsidRPr="008B554E">
        <w:rPr>
          <w:rFonts w:ascii="Segoe UI" w:eastAsia="Times New Roman" w:hAnsi="Segoe UI" w:cs="Segoe UI"/>
          <w:rtl/>
          <w:lang w:val="en-US"/>
        </w:rPr>
        <w:t xml:space="preserve">, בהתחשב בערך החברתי שנפגע מביצוע עבירותיו, וכן במדיניות הענישה הנוהגת, ובנסיבות ביצוע העבירה שפורטו לעיל, </w:t>
      </w:r>
      <w:r w:rsidRPr="008B554E">
        <w:rPr>
          <w:rFonts w:ascii="Segoe UI" w:eastAsia="Times New Roman" w:hAnsi="Segoe UI" w:cs="Segoe UI"/>
          <w:b/>
          <w:bCs/>
          <w:rtl/>
          <w:lang w:val="en-US"/>
        </w:rPr>
        <w:t>נע בין עונש הצופה פני העתיד בלבד עד ששה חודשי מאסר בפועל, שירוצו בעבודות שירות.</w:t>
      </w:r>
    </w:p>
    <w:p w14:paraId="72A0B017" w14:textId="62BAC9EB" w:rsidR="008B554E" w:rsidRDefault="008B554E"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eastAsia="Times New Roman" w:hAnsi="Segoe UI" w:cs="Segoe UI"/>
          <w:rtl/>
          <w:lang w:val="en-US"/>
        </w:rPr>
      </w:pPr>
      <w:r w:rsidRPr="008B554E">
        <w:rPr>
          <w:rFonts w:ascii="Segoe UI" w:eastAsia="Times New Roman" w:hAnsi="Segoe UI" w:cs="Segoe UI"/>
          <w:rtl/>
          <w:lang w:val="en-US"/>
        </w:rPr>
        <w:t>13.</w:t>
      </w:r>
      <w:r>
        <w:rPr>
          <w:rFonts w:ascii="Segoe UI" w:eastAsia="Times New Roman" w:hAnsi="Segoe UI" w:cs="Segoe UI" w:hint="cs"/>
          <w:rtl/>
          <w:lang w:val="en-US"/>
        </w:rPr>
        <w:t xml:space="preserve"> </w:t>
      </w:r>
      <w:r w:rsidRPr="008B554E">
        <w:rPr>
          <w:rFonts w:ascii="Segoe UI" w:eastAsia="Times New Roman" w:hAnsi="Segoe UI" w:cs="Segoe UI"/>
          <w:b/>
          <w:bCs/>
          <w:rtl/>
          <w:lang w:val="en-US"/>
        </w:rPr>
        <w:t>בעניינו של הנאשם אין הצדקה לחרוג</w:t>
      </w:r>
      <w:r w:rsidRPr="008B554E">
        <w:rPr>
          <w:rFonts w:ascii="Segoe UI" w:eastAsia="Times New Roman" w:hAnsi="Segoe UI" w:cs="Segoe UI"/>
          <w:rtl/>
          <w:lang w:val="en-US"/>
        </w:rPr>
        <w:t xml:space="preserve"> לחומרה ממדרג העונש ההולם בשל עברו הפלילי ונוכח העובדה שעונשי מאסר שרוצו בעבודות שירות לא הביאוהו לשנות מדרכיו. זאת משום שהשתכנעתי כי נוכח הטיפול הפסיכולוגי שעבר הנאשם, וכל עוד הוא מטופל, קטן החשש שיחזור ויבצע עבירות מן הסוג בו הורשע.</w:t>
      </w:r>
    </w:p>
    <w:p w14:paraId="4FE8DEBD" w14:textId="77777777" w:rsidR="008B554E" w:rsidRPr="00B67AE0" w:rsidRDefault="008B554E" w:rsidP="008F05D0">
      <w:pPr>
        <w:bidi/>
        <w:spacing w:after="0" w:line="276" w:lineRule="auto"/>
        <w:jc w:val="both"/>
        <w:rPr>
          <w:rFonts w:ascii="Segoe UI" w:eastAsia="Times New Roman" w:hAnsi="Segoe UI" w:cs="Segoe UI"/>
          <w:rtl/>
          <w:lang w:val="en-US"/>
        </w:rPr>
      </w:pPr>
    </w:p>
    <w:p w14:paraId="302753B9" w14:textId="12FD56BB" w:rsidR="00B67AE0" w:rsidRPr="00C656B4" w:rsidRDefault="00B67AE0" w:rsidP="008F05D0">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eastAsia="Times New Roman" w:hAnsi="Segoe UI" w:cs="Segoe UI"/>
          <w:rtl/>
          <w:lang w:val="en-US"/>
        </w:rPr>
      </w:pPr>
      <w:r w:rsidRPr="00217A86">
        <w:rPr>
          <w:rFonts w:ascii="Segoe UI" w:eastAsia="+mn-ea" w:hAnsi="Segoe UI" w:cs="Segoe UI"/>
          <w:kern w:val="24"/>
          <w:highlight w:val="yellow"/>
          <w:rtl/>
          <w:lang w:val="en-US"/>
        </w:rPr>
        <w:t xml:space="preserve">ת"פ רמלה 50491-02-11 </w:t>
      </w:r>
      <w:r w:rsidRPr="00217A86">
        <w:rPr>
          <w:rFonts w:ascii="Segoe UI" w:eastAsia="+mn-ea" w:hAnsi="Segoe UI" w:cs="Segoe UI"/>
          <w:b/>
          <w:bCs/>
          <w:kern w:val="24"/>
          <w:highlight w:val="yellow"/>
          <w:rtl/>
          <w:lang w:val="en-US"/>
        </w:rPr>
        <w:t>מע</w:t>
      </w:r>
      <w:r w:rsidR="005437EC" w:rsidRPr="00217A86">
        <w:rPr>
          <w:rFonts w:ascii="Segoe UI" w:eastAsia="+mn-ea" w:hAnsi="Segoe UI" w:cs="Segoe UI" w:hint="cs"/>
          <w:b/>
          <w:bCs/>
          <w:kern w:val="24"/>
          <w:highlight w:val="yellow"/>
          <w:rtl/>
          <w:lang w:val="en-US"/>
        </w:rPr>
        <w:t>"</w:t>
      </w:r>
      <w:r w:rsidRPr="00217A86">
        <w:rPr>
          <w:rFonts w:ascii="Segoe UI" w:eastAsia="+mn-ea" w:hAnsi="Segoe UI" w:cs="Segoe UI"/>
          <w:b/>
          <w:bCs/>
          <w:kern w:val="24"/>
          <w:highlight w:val="yellow"/>
          <w:rtl/>
          <w:lang w:val="en-US"/>
        </w:rPr>
        <w:t>מ רמלה נ' ביטון</w:t>
      </w:r>
      <w:r w:rsidR="005437EC" w:rsidRPr="00217A86">
        <w:rPr>
          <w:rFonts w:ascii="Segoe UI" w:eastAsia="+mn-ea" w:hAnsi="Segoe UI" w:cs="Segoe UI" w:hint="cs"/>
          <w:b/>
          <w:bCs/>
          <w:kern w:val="24"/>
          <w:highlight w:val="yellow"/>
          <w:rtl/>
          <w:lang w:val="en-US"/>
        </w:rPr>
        <w:t xml:space="preserve"> </w:t>
      </w:r>
      <w:r w:rsidR="005437EC" w:rsidRPr="00217A86">
        <w:rPr>
          <w:rFonts w:ascii="Segoe UI" w:eastAsia="+mn-ea" w:hAnsi="Segoe UI" w:cs="Segoe UI" w:hint="cs"/>
          <w:kern w:val="24"/>
          <w:highlight w:val="yellow"/>
          <w:rtl/>
          <w:lang w:val="en-US"/>
        </w:rPr>
        <w:t xml:space="preserve">- </w:t>
      </w:r>
      <w:r w:rsidRPr="00217A86">
        <w:rPr>
          <w:rFonts w:ascii="Segoe UI" w:eastAsia="+mn-ea" w:hAnsi="Segoe UI" w:cs="Segoe UI"/>
          <w:kern w:val="24"/>
          <w:highlight w:val="yellow"/>
          <w:rtl/>
          <w:lang w:val="en-US"/>
        </w:rPr>
        <w:t>21 עבירות של אי הגשת דוחות מע</w:t>
      </w:r>
      <w:r w:rsidR="005437EC" w:rsidRPr="00217A86">
        <w:rPr>
          <w:rFonts w:ascii="Segoe UI" w:eastAsia="+mn-ea" w:hAnsi="Segoe UI" w:cs="Segoe UI" w:hint="cs"/>
          <w:kern w:val="24"/>
          <w:highlight w:val="yellow"/>
          <w:rtl/>
          <w:lang w:val="en-US"/>
        </w:rPr>
        <w:t>"</w:t>
      </w:r>
      <w:r w:rsidRPr="00217A86">
        <w:rPr>
          <w:rFonts w:ascii="Segoe UI" w:eastAsia="+mn-ea" w:hAnsi="Segoe UI" w:cs="Segoe UI"/>
          <w:kern w:val="24"/>
          <w:highlight w:val="yellow"/>
          <w:rtl/>
          <w:lang w:val="en-US"/>
        </w:rPr>
        <w:t>מ</w:t>
      </w:r>
    </w:p>
    <w:p w14:paraId="026D1E6A" w14:textId="2F347C96" w:rsidR="00D82E7B" w:rsidRPr="00D82E7B" w:rsidRDefault="005437EC"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Pr>
          <w:rFonts w:ascii="Segoe UI" w:hAnsi="Segoe UI" w:cs="Segoe UI" w:hint="cs"/>
          <w:rtl/>
        </w:rPr>
        <w:t xml:space="preserve">10. לאור נסיבות אלה, ובשים לב לפסיקה במקרים דומים, סברוני כי </w:t>
      </w:r>
      <w:r>
        <w:rPr>
          <w:rFonts w:ascii="Segoe UI" w:hAnsi="Segoe UI" w:cs="Segoe UI" w:hint="cs"/>
          <w:b/>
          <w:bCs/>
          <w:rtl/>
        </w:rPr>
        <w:t>מתחם העונש ההולם במקרה דנן נע בין מאסר על תנאי לבין עונש מאסר בפועל של 12 חודשים</w:t>
      </w:r>
      <w:r>
        <w:rPr>
          <w:rFonts w:ascii="Segoe UI" w:hAnsi="Segoe UI" w:cs="Segoe UI" w:hint="cs"/>
          <w:rtl/>
        </w:rPr>
        <w:t>, לצד קנס כספי (סעיף 40 ג' לחוק העונשין, תיקון 113).</w:t>
      </w:r>
    </w:p>
    <w:p w14:paraId="04CA57DE" w14:textId="77777777" w:rsidR="00D82E7B" w:rsidRPr="00D82E7B" w:rsidRDefault="00D82E7B" w:rsidP="008F05D0">
      <w:pPr>
        <w:bidi/>
        <w:spacing w:after="0" w:line="276" w:lineRule="auto"/>
        <w:jc w:val="both"/>
        <w:rPr>
          <w:rtl/>
        </w:rPr>
      </w:pPr>
    </w:p>
    <w:p w14:paraId="614F3A0E" w14:textId="0B9C4331" w:rsidR="00D82E7B" w:rsidRPr="00D82E7B" w:rsidRDefault="00D82E7B" w:rsidP="008F05D0">
      <w:pPr>
        <w:pStyle w:val="2"/>
        <w:rPr>
          <w:lang w:val="en-US"/>
        </w:rPr>
      </w:pPr>
      <w:bookmarkStart w:id="56" w:name="_Toc108218212"/>
      <w:r w:rsidRPr="00D82E7B">
        <w:rPr>
          <w:rtl/>
        </w:rPr>
        <w:t>שלבי גזר הדין</w:t>
      </w:r>
      <w:bookmarkEnd w:id="56"/>
    </w:p>
    <w:p w14:paraId="377312B6" w14:textId="77777777" w:rsidR="00D82E7B" w:rsidRPr="00D82E7B" w:rsidRDefault="00D82E7B" w:rsidP="008F05D0">
      <w:pPr>
        <w:bidi/>
        <w:spacing w:after="0" w:line="276" w:lineRule="auto"/>
        <w:jc w:val="both"/>
        <w:rPr>
          <w:rFonts w:ascii="Segoe UI" w:hAnsi="Segoe UI" w:cs="Segoe UI"/>
          <w:rtl/>
        </w:rPr>
      </w:pPr>
      <w:r w:rsidRPr="00D82E7B">
        <w:rPr>
          <w:rFonts w:ascii="Segoe UI" w:hAnsi="Segoe UI" w:cs="Segoe UI"/>
          <w:rtl/>
        </w:rPr>
        <w:t>1 . קביעת מתחם העונש ההולם.</w:t>
      </w:r>
    </w:p>
    <w:p w14:paraId="54A1B1F9" w14:textId="77777777" w:rsidR="00D82E7B" w:rsidRPr="00D82E7B" w:rsidRDefault="00D82E7B" w:rsidP="008F05D0">
      <w:pPr>
        <w:bidi/>
        <w:spacing w:after="0" w:line="276" w:lineRule="auto"/>
        <w:jc w:val="both"/>
        <w:rPr>
          <w:rFonts w:ascii="Segoe UI" w:hAnsi="Segoe UI" w:cs="Segoe UI"/>
          <w:rtl/>
        </w:rPr>
      </w:pPr>
      <w:r w:rsidRPr="00D82E7B">
        <w:rPr>
          <w:rFonts w:ascii="Segoe UI" w:hAnsi="Segoe UI" w:cs="Segoe UI"/>
          <w:rtl/>
        </w:rPr>
        <w:lastRenderedPageBreak/>
        <w:t>2 . האם ראוי לחרוג מן המתחם, ואם כן, מהו העונש המתאים</w:t>
      </w:r>
    </w:p>
    <w:p w14:paraId="5A357FD6" w14:textId="77777777" w:rsidR="00D82E7B" w:rsidRPr="00D82E7B" w:rsidRDefault="00D82E7B" w:rsidP="008F05D0">
      <w:pPr>
        <w:bidi/>
        <w:spacing w:after="0" w:line="276" w:lineRule="auto"/>
        <w:jc w:val="both"/>
        <w:rPr>
          <w:rFonts w:ascii="Segoe UI" w:hAnsi="Segoe UI" w:cs="Segoe UI"/>
          <w:rtl/>
        </w:rPr>
      </w:pPr>
      <w:r w:rsidRPr="00D82E7B">
        <w:rPr>
          <w:rFonts w:ascii="Segoe UI" w:hAnsi="Segoe UI" w:cs="Segoe UI"/>
          <w:rtl/>
        </w:rPr>
        <w:t>תוך חריגה מהמתחם?</w:t>
      </w:r>
    </w:p>
    <w:p w14:paraId="5176218A" w14:textId="77777777" w:rsidR="00D82E7B" w:rsidRPr="00D82E7B" w:rsidRDefault="00D82E7B" w:rsidP="008F05D0">
      <w:pPr>
        <w:bidi/>
        <w:spacing w:after="0" w:line="276" w:lineRule="auto"/>
        <w:jc w:val="both"/>
        <w:rPr>
          <w:rFonts w:ascii="Segoe UI" w:hAnsi="Segoe UI" w:cs="Segoe UI"/>
          <w:rtl/>
        </w:rPr>
      </w:pPr>
      <w:r w:rsidRPr="00D82E7B">
        <w:rPr>
          <w:rFonts w:ascii="Segoe UI" w:hAnsi="Segoe UI" w:cs="Segoe UI"/>
          <w:rtl/>
        </w:rPr>
        <w:t>3 . ככל שלא ראוי לחרוג מן המתחם, מהו העונש המתאים בתוך המתחם?</w:t>
      </w:r>
    </w:p>
    <w:p w14:paraId="3BF17B15" w14:textId="77777777" w:rsidR="00D82E7B" w:rsidRPr="00D82E7B" w:rsidRDefault="00D82E7B" w:rsidP="008F05D0">
      <w:pPr>
        <w:bidi/>
        <w:spacing w:after="0" w:line="276" w:lineRule="auto"/>
        <w:jc w:val="both"/>
        <w:rPr>
          <w:rFonts w:ascii="Segoe UI" w:hAnsi="Segoe UI" w:cs="Segoe UI"/>
          <w:rtl/>
        </w:rPr>
      </w:pPr>
      <w:r w:rsidRPr="00D82E7B">
        <w:rPr>
          <w:rFonts w:ascii="Segoe UI" w:hAnsi="Segoe UI" w:cs="Segoe UI"/>
          <w:rtl/>
        </w:rPr>
        <w:t xml:space="preserve">4 . התייחסות למצב של ריבוי עבירות וריבוי אירועים. </w:t>
      </w:r>
    </w:p>
    <w:p w14:paraId="0969D4D1" w14:textId="1B2190D9" w:rsidR="00D82E7B" w:rsidRDefault="00D82E7B" w:rsidP="008F05D0">
      <w:pPr>
        <w:spacing w:after="0" w:line="276" w:lineRule="auto"/>
        <w:jc w:val="right"/>
        <w:rPr>
          <w:rFonts w:ascii="Segoe UI" w:hAnsi="Segoe UI" w:cs="Segoe UI"/>
          <w:lang w:val="en-US"/>
        </w:rPr>
      </w:pPr>
    </w:p>
    <w:p w14:paraId="71BE89CE" w14:textId="7B2AE74E" w:rsidR="00E61AE7" w:rsidRDefault="00E61AE7" w:rsidP="008F05D0">
      <w:pPr>
        <w:pStyle w:val="2"/>
        <w:rPr>
          <w:rtl/>
        </w:rPr>
      </w:pPr>
      <w:bookmarkStart w:id="57" w:name="_Toc108218213"/>
      <w:r>
        <w:rPr>
          <w:rFonts w:hint="cs"/>
          <w:rtl/>
        </w:rPr>
        <w:t>שיקולי ענישה</w:t>
      </w:r>
      <w:bookmarkEnd w:id="57"/>
    </w:p>
    <w:p w14:paraId="01D1DCAC" w14:textId="58BCAD4D" w:rsidR="00A757C8" w:rsidRPr="008800FA" w:rsidRDefault="00A757C8" w:rsidP="008F05D0">
      <w:pPr>
        <w:pStyle w:val="110"/>
        <w:spacing w:line="276" w:lineRule="auto"/>
        <w:rPr>
          <w:rtl/>
        </w:rPr>
      </w:pPr>
      <w:r>
        <w:rPr>
          <w:rFonts w:hint="cs"/>
          <w:rtl/>
        </w:rPr>
        <w:t xml:space="preserve">שיקום </w:t>
      </w:r>
      <w:r>
        <w:rPr>
          <w:rtl/>
        </w:rPr>
        <w:t>–</w:t>
      </w:r>
      <w:r>
        <w:rPr>
          <w:rFonts w:hint="cs"/>
          <w:rtl/>
        </w:rPr>
        <w:t xml:space="preserve"> שיקול </w:t>
      </w:r>
      <w:proofErr w:type="spellStart"/>
      <w:r>
        <w:rPr>
          <w:rFonts w:hint="cs"/>
          <w:rtl/>
        </w:rPr>
        <w:t>לקולא</w:t>
      </w:r>
      <w:proofErr w:type="spellEnd"/>
      <w:r w:rsidR="00E10A16">
        <w:rPr>
          <w:rFonts w:hint="cs"/>
          <w:rtl/>
        </w:rPr>
        <w:t xml:space="preserve"> </w:t>
      </w:r>
      <w:r w:rsidR="00E10A16" w:rsidRPr="00E10A16">
        <w:rPr>
          <w:rFonts w:hint="cs"/>
          <w:color w:val="FF0000"/>
          <w:highlight w:val="yellow"/>
          <w:rtl/>
        </w:rPr>
        <w:t>מעבר למתחם</w:t>
      </w:r>
    </w:p>
    <w:p w14:paraId="77888782" w14:textId="77777777" w:rsidR="008800FA" w:rsidRPr="008800FA" w:rsidRDefault="008800FA"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8800FA">
        <w:rPr>
          <w:rFonts w:ascii="Time New Roman" w:eastAsia="Times New Roman" w:hAnsi="Time New Roman" w:cs="Times New Roman"/>
          <w:b/>
          <w:bCs/>
          <w:color w:val="008000"/>
          <w:sz w:val="27"/>
          <w:szCs w:val="27"/>
          <w:rtl/>
          <w:lang w:val="en-US"/>
        </w:rPr>
        <w:t>שיקום (תיקון מס' 113) תשע"ב-2012</w:t>
      </w:r>
    </w:p>
    <w:p w14:paraId="4BC36DDA" w14:textId="000C2D95" w:rsidR="008800FA" w:rsidRDefault="008800FA"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8800FA">
        <w:rPr>
          <w:rFonts w:ascii="Miriam" w:eastAsia="Times New Roman" w:hAnsi="Miriam" w:cs="Miriam"/>
          <w:sz w:val="32"/>
          <w:szCs w:val="32"/>
          <w:rtl/>
          <w:lang w:val="en-US"/>
        </w:rPr>
        <w:t>40</w:t>
      </w:r>
      <w:r w:rsidRPr="008800FA">
        <w:rPr>
          <w:rFonts w:ascii="FrankRuehl" w:eastAsia="Times New Roman" w:hAnsi="FrankRuehl" w:cs="FrankRuehl"/>
          <w:sz w:val="26"/>
          <w:szCs w:val="26"/>
          <w:rtl/>
          <w:lang w:val="en-US"/>
        </w:rPr>
        <w:t xml:space="preserve">ד.  (א)  קבע בית המשפט את מתחם העונש ההולם בהתאם לעיקרון המנחה </w:t>
      </w:r>
      <w:r w:rsidRPr="008800FA">
        <w:rPr>
          <w:rFonts w:ascii="FrankRuehl" w:eastAsia="Times New Roman" w:hAnsi="FrankRuehl" w:cs="FrankRuehl"/>
          <w:b/>
          <w:bCs/>
          <w:color w:val="FF0000"/>
          <w:sz w:val="26"/>
          <w:szCs w:val="26"/>
          <w:rtl/>
          <w:lang w:val="en-US"/>
        </w:rPr>
        <w:t>ומצא כי הנאשם השתקם או כי יש סיכוי של ממש שישתקם</w:t>
      </w:r>
      <w:r w:rsidRPr="008800FA">
        <w:rPr>
          <w:rFonts w:ascii="FrankRuehl" w:eastAsia="Times New Roman" w:hAnsi="FrankRuehl" w:cs="FrankRuehl"/>
          <w:sz w:val="26"/>
          <w:szCs w:val="26"/>
          <w:rtl/>
          <w:lang w:val="en-US"/>
        </w:rPr>
        <w:t xml:space="preserve">, </w:t>
      </w:r>
      <w:r w:rsidRPr="00E10A16">
        <w:rPr>
          <w:rFonts w:ascii="FrankRuehl" w:eastAsia="Times New Roman" w:hAnsi="FrankRuehl" w:cs="FrankRuehl"/>
          <w:color w:val="FF0000"/>
          <w:sz w:val="28"/>
          <w:szCs w:val="28"/>
          <w:highlight w:val="cyan"/>
          <w:rtl/>
          <w:lang w:val="en-US"/>
        </w:rPr>
        <w:t>רשאי הוא לחרוג ממתחם העונש ההולם</w:t>
      </w:r>
      <w:r w:rsidRPr="00E10A16">
        <w:rPr>
          <w:rFonts w:ascii="FrankRuehl" w:eastAsia="Times New Roman" w:hAnsi="FrankRuehl" w:cs="FrankRuehl"/>
          <w:color w:val="FF0000"/>
          <w:sz w:val="28"/>
          <w:szCs w:val="28"/>
          <w:rtl/>
          <w:lang w:val="en-US"/>
        </w:rPr>
        <w:t xml:space="preserve"> </w:t>
      </w:r>
      <w:r w:rsidRPr="008800FA">
        <w:rPr>
          <w:rFonts w:ascii="FrankRuehl" w:eastAsia="Times New Roman" w:hAnsi="FrankRuehl" w:cs="FrankRuehl"/>
          <w:sz w:val="26"/>
          <w:szCs w:val="26"/>
          <w:rtl/>
          <w:lang w:val="en-US"/>
        </w:rPr>
        <w:t>ולקבוע את עונשו של הנאשם לפי שיקולי שיקומו, וכן להורות על נקיטת אמצעי שיקומי כלפי הנאשם, לרבות העמדתו במבחן לפי סעיפים 82 או 86 או לפי פקודת המבחן [נוסח חדש], התשכ"ט-1969.</w:t>
      </w:r>
    </w:p>
    <w:p w14:paraId="783B525C" w14:textId="4F01CBDB" w:rsidR="001B3E55" w:rsidRPr="00E70C2F" w:rsidRDefault="001B3E55" w:rsidP="008F05D0">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Times New Roman" w:eastAsia="Times New Roman" w:hAnsi="Times New Roman" w:cs="Times New Roman"/>
          <w:sz w:val="24"/>
          <w:szCs w:val="24"/>
          <w:rtl/>
        </w:rPr>
      </w:pPr>
      <w:r>
        <w:rPr>
          <w:rStyle w:val="default"/>
          <w:rFonts w:ascii="FrankRuehl" w:hAnsi="FrankRuehl" w:cs="FrankRuehl"/>
          <w:sz w:val="26"/>
          <w:szCs w:val="26"/>
          <w:rtl/>
        </w:rPr>
        <w:t>(ב)  היו מעשה העבירה ומידת אשמו של הנאשם בעלי חומרה יתרה, לא יחרוג בית המשפט ממתחם העונש ההולם, כאמור בסעיף קטן (א), אף אם הנאשם השתקם או אם יש סיכוי של ממש שישתקם, אלא בנסיבות מיוחדות ויוצאות דופן, לאחר שבית המשפט שוכנע שהן גוברות על הצורך לקבוע את העונש במתחם העונש ההולם בהתאם לעיקרון המנחה, ופירט זאת בגזר הדין</w:t>
      </w:r>
      <w:r>
        <w:rPr>
          <w:rStyle w:val="default"/>
          <w:rFonts w:ascii="FrankRuehl" w:hAnsi="FrankRuehl" w:cs="FrankRuehl"/>
          <w:sz w:val="26"/>
          <w:szCs w:val="26"/>
        </w:rPr>
        <w:t>.</w:t>
      </w:r>
    </w:p>
    <w:p w14:paraId="5B06CBB1" w14:textId="613E459E" w:rsidR="008800FA" w:rsidRPr="00D22062" w:rsidRDefault="008800FA" w:rsidP="008F05D0">
      <w:pPr>
        <w:pStyle w:val="110"/>
        <w:spacing w:line="276" w:lineRule="auto"/>
        <w:rPr>
          <w:b w:val="0"/>
          <w:bCs w:val="0"/>
          <w:u w:val="none"/>
          <w:rtl/>
        </w:rPr>
      </w:pPr>
      <w:r w:rsidRPr="00D22062">
        <w:rPr>
          <w:b w:val="0"/>
          <w:bCs w:val="0"/>
          <w:u w:val="none"/>
          <w:rtl/>
        </w:rPr>
        <w:t xml:space="preserve">סעיף זה מגדיר את השיקולים שיש בהם כדי להוביל </w:t>
      </w:r>
      <w:r w:rsidR="001B3E55" w:rsidRPr="00D22062">
        <w:rPr>
          <w:rFonts w:hint="cs"/>
          <w:b w:val="0"/>
          <w:bCs w:val="0"/>
          <w:u w:val="none"/>
          <w:rtl/>
        </w:rPr>
        <w:t>לחריגה</w:t>
      </w:r>
      <w:r w:rsidRPr="00D22062">
        <w:rPr>
          <w:b w:val="0"/>
          <w:bCs w:val="0"/>
          <w:u w:val="none"/>
          <w:rtl/>
        </w:rPr>
        <w:t xml:space="preserve"> </w:t>
      </w:r>
      <w:proofErr w:type="spellStart"/>
      <w:r w:rsidR="001B3E55" w:rsidRPr="00D22062">
        <w:rPr>
          <w:rFonts w:hint="cs"/>
          <w:b w:val="0"/>
          <w:bCs w:val="0"/>
          <w:u w:val="none"/>
          <w:rtl/>
        </w:rPr>
        <w:t>לקולא</w:t>
      </w:r>
      <w:proofErr w:type="spellEnd"/>
      <w:r w:rsidR="001B3E55" w:rsidRPr="00D22062">
        <w:rPr>
          <w:rFonts w:hint="cs"/>
          <w:b w:val="0"/>
          <w:bCs w:val="0"/>
          <w:u w:val="none"/>
          <w:rtl/>
        </w:rPr>
        <w:t xml:space="preserve"> </w:t>
      </w:r>
      <w:r w:rsidRPr="00D22062">
        <w:rPr>
          <w:b w:val="0"/>
          <w:bCs w:val="0"/>
          <w:u w:val="none"/>
          <w:rtl/>
        </w:rPr>
        <w:t xml:space="preserve">ממתחם העונש ההולם. </w:t>
      </w:r>
    </w:p>
    <w:p w14:paraId="2EC12C41" w14:textId="77777777" w:rsidR="008800FA" w:rsidRPr="00D22062" w:rsidRDefault="008800FA" w:rsidP="008F05D0">
      <w:pPr>
        <w:pStyle w:val="110"/>
        <w:spacing w:line="276" w:lineRule="auto"/>
        <w:rPr>
          <w:b w:val="0"/>
          <w:bCs w:val="0"/>
          <w:u w:val="none"/>
          <w:rtl/>
        </w:rPr>
      </w:pPr>
      <w:r w:rsidRPr="00480BFD">
        <w:rPr>
          <w:u w:val="none"/>
          <w:rtl/>
        </w:rPr>
        <w:t xml:space="preserve">חריגה </w:t>
      </w:r>
      <w:proofErr w:type="spellStart"/>
      <w:r w:rsidRPr="00480BFD">
        <w:rPr>
          <w:u w:val="none"/>
          <w:rtl/>
        </w:rPr>
        <w:t>לקולא</w:t>
      </w:r>
      <w:proofErr w:type="spellEnd"/>
      <w:r w:rsidRPr="00D22062">
        <w:rPr>
          <w:b w:val="0"/>
          <w:bCs w:val="0"/>
          <w:u w:val="none"/>
          <w:rtl/>
        </w:rPr>
        <w:t xml:space="preserve"> הינה משיקולי שיקום הנאשם, הן כאשר הנאשם כבר השתקם והן כאשר קיים סיכוי של ממש שישתקם. </w:t>
      </w:r>
    </w:p>
    <w:p w14:paraId="4D2AB455" w14:textId="12F662FC" w:rsidR="008800FA" w:rsidRPr="00D22062" w:rsidRDefault="008800FA" w:rsidP="008F05D0">
      <w:pPr>
        <w:pStyle w:val="110"/>
        <w:spacing w:line="276" w:lineRule="auto"/>
        <w:rPr>
          <w:b w:val="0"/>
          <w:bCs w:val="0"/>
          <w:u w:val="none"/>
          <w:rtl/>
        </w:rPr>
      </w:pPr>
      <w:r w:rsidRPr="00480BFD">
        <w:rPr>
          <w:u w:val="none"/>
          <w:rtl/>
        </w:rPr>
        <w:t xml:space="preserve">במקרים בעלי חומרה יתרה </w:t>
      </w:r>
      <w:r w:rsidRPr="00D22062">
        <w:rPr>
          <w:b w:val="0"/>
          <w:bCs w:val="0"/>
          <w:u w:val="none"/>
          <w:rtl/>
        </w:rPr>
        <w:t>- לא ניתן לחרוג ממתחם העונש ההולם אף משיקולי שיקום, אלא בנסיבות מיוחדות ויוצאות דופן ותוך חובת הנמקה.</w:t>
      </w:r>
      <w:r w:rsidR="00E70C2F" w:rsidRPr="00D22062">
        <w:rPr>
          <w:rFonts w:hint="cs"/>
          <w:b w:val="0"/>
          <w:bCs w:val="0"/>
          <w:u w:val="none"/>
          <w:rtl/>
        </w:rPr>
        <w:t xml:space="preserve"> </w:t>
      </w:r>
      <w:r w:rsidRPr="00480BFD">
        <w:rPr>
          <w:rtl/>
        </w:rPr>
        <w:t>במקרים בעלי חומרה יתרה, ככלל, נסוג השיקול השיקומי מפני אינטרס ההלימה</w:t>
      </w:r>
      <w:r w:rsidRPr="00D22062">
        <w:rPr>
          <w:b w:val="0"/>
          <w:bCs w:val="0"/>
          <w:u w:val="none"/>
          <w:rtl/>
        </w:rPr>
        <w:t>.</w:t>
      </w:r>
    </w:p>
    <w:p w14:paraId="11400988" w14:textId="324DFCEB" w:rsidR="00E70C2F" w:rsidRDefault="00E70C2F" w:rsidP="008F05D0">
      <w:pPr>
        <w:spacing w:after="0" w:line="276" w:lineRule="auto"/>
        <w:jc w:val="right"/>
        <w:rPr>
          <w:lang w:val="en-US"/>
        </w:rPr>
      </w:pPr>
    </w:p>
    <w:p w14:paraId="3052E097" w14:textId="01819D07" w:rsidR="00E70C2F" w:rsidRPr="008800FA" w:rsidRDefault="00E70C2F" w:rsidP="008F05D0">
      <w:pPr>
        <w:pStyle w:val="110"/>
        <w:spacing w:line="276" w:lineRule="auto"/>
        <w:rPr>
          <w:rtl/>
        </w:rPr>
      </w:pPr>
      <w:r>
        <w:rPr>
          <w:rFonts w:hint="cs"/>
          <w:rtl/>
        </w:rPr>
        <w:t>הגנה על שלום הציבור</w:t>
      </w:r>
      <w:r w:rsidR="00530CA0">
        <w:rPr>
          <w:rFonts w:hint="cs"/>
          <w:rtl/>
        </w:rPr>
        <w:t xml:space="preserve"> </w:t>
      </w:r>
      <w:r w:rsidR="00530CA0">
        <w:rPr>
          <w:rtl/>
        </w:rPr>
        <w:t>–</w:t>
      </w:r>
      <w:r w:rsidR="00530CA0">
        <w:rPr>
          <w:rFonts w:hint="cs"/>
          <w:rtl/>
        </w:rPr>
        <w:t xml:space="preserve"> </w:t>
      </w:r>
      <w:r w:rsidR="00530CA0" w:rsidRPr="00530CA0">
        <w:rPr>
          <w:rFonts w:hint="cs"/>
          <w:color w:val="7030A0"/>
          <w:rtl/>
        </w:rPr>
        <w:t>שיקול לחומר</w:t>
      </w:r>
      <w:r w:rsidR="00530CA0">
        <w:rPr>
          <w:rFonts w:hint="cs"/>
          <w:color w:val="7030A0"/>
          <w:rtl/>
        </w:rPr>
        <w:t>ה</w:t>
      </w:r>
      <w:r w:rsidR="006544D1">
        <w:rPr>
          <w:rFonts w:hint="cs"/>
          <w:rtl/>
        </w:rPr>
        <w:t xml:space="preserve"> </w:t>
      </w:r>
      <w:r w:rsidR="006544D1" w:rsidRPr="006544D1">
        <w:rPr>
          <w:rFonts w:hint="cs"/>
          <w:color w:val="FF0000"/>
          <w:highlight w:val="yellow"/>
          <w:rtl/>
        </w:rPr>
        <w:t>מעבר למתחם</w:t>
      </w:r>
    </w:p>
    <w:p w14:paraId="5A6BB846" w14:textId="77777777" w:rsidR="00E70C2F" w:rsidRDefault="00E70C2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Time New Roman" w:hAnsi="Time New Roman"/>
          <w:b/>
          <w:bCs/>
          <w:color w:val="008000"/>
          <w:sz w:val="27"/>
          <w:szCs w:val="27"/>
          <w:rtl/>
        </w:rPr>
        <w:t>הגנה על שלום הציבור (תיקון מס' 113) תשע"ב-2012</w:t>
      </w:r>
    </w:p>
    <w:p w14:paraId="546E5632" w14:textId="7151EDC5" w:rsidR="00530CA0" w:rsidRDefault="00E70C2F" w:rsidP="008F05D0">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Miriam" w:hAnsi="Miriam" w:cs="Miriam"/>
          <w:sz w:val="32"/>
          <w:szCs w:val="32"/>
          <w:rtl/>
        </w:rPr>
        <w:t>40</w:t>
      </w:r>
      <w:r>
        <w:rPr>
          <w:rStyle w:val="default"/>
          <w:rFonts w:ascii="FrankRuehl" w:eastAsiaTheme="majorEastAsia" w:hAnsi="FrankRuehl" w:cs="FrankRuehl"/>
          <w:sz w:val="26"/>
          <w:szCs w:val="26"/>
          <w:rtl/>
        </w:rPr>
        <w:t xml:space="preserve">ה.  קבע בית המשפט את מתחם העונש ההולם בהתאם לעיקרון המנחה </w:t>
      </w:r>
      <w:r w:rsidRPr="00530CA0">
        <w:rPr>
          <w:rStyle w:val="default"/>
          <w:rFonts w:ascii="FrankRuehl" w:eastAsiaTheme="majorEastAsia" w:hAnsi="FrankRuehl" w:cs="FrankRuehl"/>
          <w:b/>
          <w:bCs/>
          <w:color w:val="FF0000"/>
          <w:sz w:val="26"/>
          <w:szCs w:val="26"/>
          <w:rtl/>
        </w:rPr>
        <w:t xml:space="preserve">ומצא כי יש חשש ממשי שהנאשם יחזור ויבצע עבירות, וכי החמרה בעונשו והרחקתו מהציבור נדרשות כדי להגן על שלום הציבור, </w:t>
      </w:r>
      <w:r w:rsidRPr="006544D1">
        <w:rPr>
          <w:rStyle w:val="default"/>
          <w:rFonts w:ascii="FrankRuehl" w:eastAsiaTheme="majorEastAsia" w:hAnsi="FrankRuehl" w:cs="FrankRuehl"/>
          <w:b/>
          <w:bCs/>
          <w:color w:val="FF0000"/>
          <w:sz w:val="28"/>
          <w:szCs w:val="28"/>
          <w:highlight w:val="cyan"/>
          <w:rtl/>
        </w:rPr>
        <w:t>רשאי הוא לחרוג ממתחם העונש ההולם</w:t>
      </w:r>
      <w:r w:rsidRPr="00530CA0">
        <w:rPr>
          <w:rStyle w:val="default"/>
          <w:rFonts w:ascii="FrankRuehl" w:eastAsiaTheme="majorEastAsia" w:hAnsi="FrankRuehl" w:cs="FrankRuehl"/>
          <w:b/>
          <w:bCs/>
          <w:color w:val="FF0000"/>
          <w:sz w:val="26"/>
          <w:szCs w:val="26"/>
          <w:rtl/>
        </w:rPr>
        <w:t>,</w:t>
      </w:r>
      <w:r>
        <w:rPr>
          <w:rStyle w:val="default"/>
          <w:rFonts w:ascii="FrankRuehl" w:eastAsiaTheme="majorEastAsia" w:hAnsi="FrankRuehl" w:cs="FrankRuehl"/>
          <w:sz w:val="26"/>
          <w:szCs w:val="26"/>
          <w:rtl/>
        </w:rPr>
        <w:t xml:space="preserve"> ובלבד שלא יהיה בעונש שיקבע משום החמרה ניכרת מעבר למתחם העונש ההולם; בית המשפט לא יקבע כאמור אלא אם כן מצא שלנאשם עבר פלילי משמעותי או אם הוצגה לו חוות דעת מקצועית.</w:t>
      </w:r>
    </w:p>
    <w:p w14:paraId="6BABFB84" w14:textId="6F1B88AA" w:rsidR="00E70C2F" w:rsidRDefault="00E70C2F" w:rsidP="008F05D0">
      <w:pPr>
        <w:spacing w:after="0" w:line="276" w:lineRule="auto"/>
        <w:jc w:val="right"/>
        <w:rPr>
          <w:lang w:val="en-US"/>
        </w:rPr>
      </w:pPr>
    </w:p>
    <w:p w14:paraId="0E56C365" w14:textId="2BCA9C1F" w:rsidR="00530CA0" w:rsidRDefault="00530CA0" w:rsidP="008F05D0">
      <w:pPr>
        <w:pStyle w:val="110"/>
        <w:spacing w:line="276" w:lineRule="auto"/>
        <w:rPr>
          <w:rtl/>
        </w:rPr>
      </w:pPr>
      <w:r>
        <w:rPr>
          <w:rFonts w:hint="cs"/>
          <w:rtl/>
        </w:rPr>
        <w:t xml:space="preserve">הרתעה אישית </w:t>
      </w:r>
      <w:r>
        <w:rPr>
          <w:rtl/>
        </w:rPr>
        <w:t>–</w:t>
      </w:r>
      <w:r>
        <w:rPr>
          <w:rFonts w:hint="cs"/>
          <w:rtl/>
        </w:rPr>
        <w:t xml:space="preserve"> </w:t>
      </w:r>
      <w:r w:rsidRPr="00530CA0">
        <w:rPr>
          <w:rFonts w:hint="cs"/>
          <w:color w:val="7030A0"/>
          <w:rtl/>
        </w:rPr>
        <w:t xml:space="preserve">שיקול לחומרה </w:t>
      </w:r>
      <w:r w:rsidR="00274977" w:rsidRPr="00274977">
        <w:rPr>
          <w:rFonts w:hint="cs"/>
          <w:color w:val="FF0000"/>
          <w:highlight w:val="yellow"/>
          <w:rtl/>
        </w:rPr>
        <w:t>בתוך המתחם עצמו</w:t>
      </w:r>
    </w:p>
    <w:p w14:paraId="0EA7DF43" w14:textId="77777777" w:rsidR="00F17602" w:rsidRPr="00811709" w:rsidRDefault="00F176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color w:val="008000"/>
          <w:sz w:val="24"/>
          <w:szCs w:val="24"/>
          <w:lang w:val="en-US"/>
        </w:rPr>
      </w:pPr>
      <w:r w:rsidRPr="00811709">
        <w:rPr>
          <w:rFonts w:ascii="Time New Roman" w:eastAsia="Times New Roman" w:hAnsi="Time New Roman" w:cs="Times New Roman"/>
          <w:b/>
          <w:bCs/>
          <w:color w:val="008000"/>
          <w:sz w:val="27"/>
          <w:szCs w:val="27"/>
          <w:rtl/>
          <w:lang w:val="en-US"/>
        </w:rPr>
        <w:t>הרתעה אישית (תיקון מס' 113) תשע"ב-2012</w:t>
      </w:r>
    </w:p>
    <w:p w14:paraId="592CD066" w14:textId="77777777" w:rsidR="00F17602" w:rsidRPr="00F17602" w:rsidRDefault="00F17602"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F17602">
        <w:rPr>
          <w:rFonts w:ascii="Miriam" w:eastAsia="Times New Roman" w:hAnsi="Miriam" w:cs="Miriam"/>
          <w:sz w:val="32"/>
          <w:szCs w:val="32"/>
          <w:rtl/>
          <w:lang w:val="en-US"/>
        </w:rPr>
        <w:t>40</w:t>
      </w:r>
      <w:r w:rsidRPr="00F17602">
        <w:rPr>
          <w:rFonts w:ascii="FrankRuehl" w:eastAsia="Times New Roman" w:hAnsi="FrankRuehl" w:cs="FrankRuehl"/>
          <w:sz w:val="26"/>
          <w:szCs w:val="26"/>
          <w:rtl/>
          <w:lang w:val="en-US"/>
        </w:rPr>
        <w:t xml:space="preserve">ו.   מצא בית המשפט כי </w:t>
      </w:r>
      <w:r w:rsidRPr="00F17602">
        <w:rPr>
          <w:rFonts w:ascii="FrankRuehl" w:eastAsia="Times New Roman" w:hAnsi="FrankRuehl" w:cs="FrankRuehl"/>
          <w:b/>
          <w:bCs/>
          <w:color w:val="FF0000"/>
          <w:sz w:val="26"/>
          <w:szCs w:val="26"/>
          <w:rtl/>
          <w:lang w:val="en-US"/>
        </w:rPr>
        <w:t>יש צורך בהרתעת הנאשם מפני ביצוע עבירה נוספת, וכי יש סיכוי של ממש שהטלת עונש מסוים תביא להרתעתו,</w:t>
      </w:r>
      <w:r w:rsidRPr="00F17602">
        <w:rPr>
          <w:rFonts w:ascii="FrankRuehl" w:eastAsia="Times New Roman" w:hAnsi="FrankRuehl" w:cs="FrankRuehl"/>
          <w:color w:val="FF0000"/>
          <w:sz w:val="26"/>
          <w:szCs w:val="26"/>
          <w:rtl/>
          <w:lang w:val="en-US"/>
        </w:rPr>
        <w:t xml:space="preserve"> </w:t>
      </w:r>
      <w:r w:rsidRPr="00F17602">
        <w:rPr>
          <w:rFonts w:ascii="FrankRuehl" w:eastAsia="Times New Roman" w:hAnsi="FrankRuehl" w:cs="FrankRuehl"/>
          <w:sz w:val="26"/>
          <w:szCs w:val="26"/>
          <w:rtl/>
          <w:lang w:val="en-US"/>
        </w:rPr>
        <w:t xml:space="preserve">רשאי הוא להתחשב בשיקול זה בבואו לקבוע את עונשו של הנאשם, </w:t>
      </w:r>
      <w:r w:rsidRPr="006544D1">
        <w:rPr>
          <w:rFonts w:ascii="FrankRuehl" w:eastAsia="Times New Roman" w:hAnsi="FrankRuehl" w:cs="FrankRuehl"/>
          <w:b/>
          <w:bCs/>
          <w:sz w:val="28"/>
          <w:szCs w:val="28"/>
          <w:highlight w:val="cyan"/>
          <w:rtl/>
          <w:lang w:val="en-US"/>
        </w:rPr>
        <w:t>ובלבד שהעונש לא יחרוג ממתחם העונש ההולם.</w:t>
      </w:r>
    </w:p>
    <w:p w14:paraId="6F7224D7" w14:textId="5DECD335" w:rsidR="00530CA0" w:rsidRDefault="00530CA0" w:rsidP="008F05D0">
      <w:pPr>
        <w:spacing w:after="0" w:line="276" w:lineRule="auto"/>
        <w:jc w:val="right"/>
        <w:rPr>
          <w:lang w:val="en-US"/>
        </w:rPr>
      </w:pPr>
    </w:p>
    <w:p w14:paraId="616F71CB" w14:textId="4ECF9D63" w:rsidR="00A96C70" w:rsidRDefault="00A96C70" w:rsidP="008F05D0">
      <w:pPr>
        <w:pStyle w:val="110"/>
        <w:spacing w:line="276" w:lineRule="auto"/>
        <w:rPr>
          <w:rtl/>
        </w:rPr>
      </w:pPr>
      <w:r>
        <w:rPr>
          <w:rFonts w:hint="cs"/>
          <w:rtl/>
        </w:rPr>
        <w:t xml:space="preserve">הרתעת הרבים </w:t>
      </w:r>
      <w:r>
        <w:rPr>
          <w:rtl/>
        </w:rPr>
        <w:t>–</w:t>
      </w:r>
      <w:r>
        <w:rPr>
          <w:rFonts w:hint="cs"/>
          <w:rtl/>
        </w:rPr>
        <w:t xml:space="preserve"> </w:t>
      </w:r>
      <w:r w:rsidRPr="00A96C70">
        <w:rPr>
          <w:rFonts w:hint="cs"/>
          <w:color w:val="7030A0"/>
          <w:rtl/>
        </w:rPr>
        <w:t>שיקול לחומרה</w:t>
      </w:r>
      <w:r w:rsidR="00274977">
        <w:rPr>
          <w:rFonts w:hint="cs"/>
          <w:color w:val="7030A0"/>
          <w:rtl/>
        </w:rPr>
        <w:t xml:space="preserve"> </w:t>
      </w:r>
      <w:r w:rsidR="00274977" w:rsidRPr="00274977">
        <w:rPr>
          <w:rFonts w:hint="cs"/>
          <w:color w:val="FF0000"/>
          <w:highlight w:val="yellow"/>
          <w:rtl/>
        </w:rPr>
        <w:t>בתוך המתחם עצמו</w:t>
      </w:r>
      <w:r w:rsidRPr="00274977">
        <w:rPr>
          <w:rFonts w:hint="cs"/>
          <w:color w:val="FF0000"/>
          <w:rtl/>
        </w:rPr>
        <w:t xml:space="preserve"> </w:t>
      </w:r>
    </w:p>
    <w:p w14:paraId="3A079B4B" w14:textId="77777777" w:rsidR="00D752BF" w:rsidRPr="00D752BF" w:rsidRDefault="00D752B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D752BF">
        <w:rPr>
          <w:rFonts w:ascii="Time New Roman" w:eastAsia="Times New Roman" w:hAnsi="Time New Roman" w:cs="Times New Roman"/>
          <w:b/>
          <w:bCs/>
          <w:color w:val="008000"/>
          <w:sz w:val="27"/>
          <w:szCs w:val="27"/>
          <w:rtl/>
          <w:lang w:val="en-US"/>
        </w:rPr>
        <w:t>הרתעת הרבים (תיקון מס' 113) תשע"ב-2012</w:t>
      </w:r>
    </w:p>
    <w:p w14:paraId="50DD62DD" w14:textId="77777777" w:rsidR="00D752BF" w:rsidRPr="00D752BF" w:rsidRDefault="00D752B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752BF">
        <w:rPr>
          <w:rFonts w:ascii="Miriam" w:eastAsia="Times New Roman" w:hAnsi="Miriam" w:cs="Miriam"/>
          <w:sz w:val="32"/>
          <w:szCs w:val="32"/>
          <w:rtl/>
          <w:lang w:val="en-US"/>
        </w:rPr>
        <w:lastRenderedPageBreak/>
        <w:t>40</w:t>
      </w:r>
      <w:r w:rsidRPr="00D752BF">
        <w:rPr>
          <w:rFonts w:ascii="FrankRuehl" w:eastAsia="Times New Roman" w:hAnsi="FrankRuehl" w:cs="FrankRuehl"/>
          <w:sz w:val="26"/>
          <w:szCs w:val="26"/>
          <w:rtl/>
          <w:lang w:val="en-US"/>
        </w:rPr>
        <w:t xml:space="preserve">ז.   מצא בית המשפט כי </w:t>
      </w:r>
      <w:r w:rsidRPr="00D752BF">
        <w:rPr>
          <w:rFonts w:ascii="FrankRuehl" w:eastAsia="Times New Roman" w:hAnsi="FrankRuehl" w:cs="FrankRuehl"/>
          <w:b/>
          <w:bCs/>
          <w:color w:val="FF0000"/>
          <w:sz w:val="26"/>
          <w:szCs w:val="26"/>
          <w:rtl/>
          <w:lang w:val="en-US"/>
        </w:rPr>
        <w:t>יש צורך בהרתעת הרבים מפני ביצוע עבירה מסוג העבירה שביצע הנאשם, וכי יש סיכוי של ממש שהחמרה בעונשו של הנאשם תביא להרתעת הרבים,</w:t>
      </w:r>
      <w:r w:rsidRPr="00D752BF">
        <w:rPr>
          <w:rFonts w:ascii="FrankRuehl" w:eastAsia="Times New Roman" w:hAnsi="FrankRuehl" w:cs="FrankRuehl"/>
          <w:color w:val="FF0000"/>
          <w:sz w:val="26"/>
          <w:szCs w:val="26"/>
          <w:rtl/>
          <w:lang w:val="en-US"/>
        </w:rPr>
        <w:t xml:space="preserve"> </w:t>
      </w:r>
      <w:r w:rsidRPr="00D752BF">
        <w:rPr>
          <w:rFonts w:ascii="FrankRuehl" w:eastAsia="Times New Roman" w:hAnsi="FrankRuehl" w:cs="FrankRuehl"/>
          <w:sz w:val="26"/>
          <w:szCs w:val="26"/>
          <w:rtl/>
          <w:lang w:val="en-US"/>
        </w:rPr>
        <w:t xml:space="preserve">רשאי הוא להתחשב בשיקול זה בבואו לקבוע את עונשו של הנאשם, </w:t>
      </w:r>
      <w:r w:rsidRPr="006544D1">
        <w:rPr>
          <w:rFonts w:ascii="FrankRuehl" w:eastAsia="Times New Roman" w:hAnsi="FrankRuehl" w:cs="FrankRuehl"/>
          <w:b/>
          <w:bCs/>
          <w:sz w:val="28"/>
          <w:szCs w:val="28"/>
          <w:highlight w:val="cyan"/>
          <w:rtl/>
          <w:lang w:val="en-US"/>
        </w:rPr>
        <w:t>ובלבד שהעונש לא יחרוג ממתחם העונש ההולם.</w:t>
      </w:r>
    </w:p>
    <w:p w14:paraId="1F3454CE" w14:textId="6B556A66" w:rsidR="00A96C70" w:rsidRDefault="00A96C70" w:rsidP="008F05D0">
      <w:pPr>
        <w:spacing w:line="276" w:lineRule="auto"/>
        <w:jc w:val="right"/>
        <w:rPr>
          <w:lang w:val="en-US"/>
        </w:rPr>
      </w:pPr>
    </w:p>
    <w:p w14:paraId="46DFC377" w14:textId="72A5C4E2" w:rsidR="00D752BF" w:rsidRDefault="00D752BF" w:rsidP="008F05D0">
      <w:pPr>
        <w:bidi/>
        <w:spacing w:after="0" w:line="276" w:lineRule="auto"/>
        <w:jc w:val="both"/>
        <w:rPr>
          <w:rFonts w:ascii="Segoe UI" w:hAnsi="Segoe UI" w:cs="Segoe UI"/>
          <w:rtl/>
          <w:lang w:val="en-US"/>
        </w:rPr>
      </w:pPr>
      <w:r w:rsidRPr="00D752BF">
        <w:rPr>
          <w:rFonts w:ascii="Segoe UI" w:hAnsi="Segoe UI" w:cs="Segoe UI"/>
          <w:rtl/>
          <w:lang w:val="en-US"/>
        </w:rPr>
        <w:t xml:space="preserve">סעיפים אלה מגדירים את שיקולי הענישה שיש בהם, על פי רוב כדי להוביל </w:t>
      </w:r>
      <w:r w:rsidRPr="00D752BF">
        <w:rPr>
          <w:rFonts w:ascii="Segoe UI" w:hAnsi="Segoe UI" w:cs="Segoe UI"/>
          <w:b/>
          <w:bCs/>
          <w:rtl/>
          <w:lang w:val="en-US"/>
        </w:rPr>
        <w:t>להחמרה בענישה</w:t>
      </w:r>
      <w:r w:rsidRPr="00D752BF">
        <w:rPr>
          <w:rFonts w:ascii="Segoe UI" w:hAnsi="Segoe UI" w:cs="Segoe UI"/>
          <w:rtl/>
          <w:lang w:val="en-US"/>
        </w:rPr>
        <w:t xml:space="preserve">, לעיתים תוך סטייה ממתחם העונש ההולם לחומרה. </w:t>
      </w:r>
    </w:p>
    <w:p w14:paraId="5C7EFD79" w14:textId="55690AF1" w:rsidR="00D752BF" w:rsidRDefault="00D752BF" w:rsidP="008F05D0">
      <w:pPr>
        <w:bidi/>
        <w:spacing w:after="0" w:line="276" w:lineRule="auto"/>
        <w:jc w:val="both"/>
        <w:rPr>
          <w:rFonts w:ascii="Segoe UI" w:hAnsi="Segoe UI" w:cs="Segoe UI"/>
          <w:b/>
          <w:bCs/>
          <w:u w:val="single"/>
          <w:rtl/>
          <w:lang w:val="en-US"/>
        </w:rPr>
      </w:pPr>
      <w:r>
        <w:rPr>
          <w:rFonts w:ascii="Segoe UI" w:hAnsi="Segoe UI" w:cs="Segoe UI" w:hint="cs"/>
          <w:b/>
          <w:bCs/>
          <w:u w:val="single"/>
          <w:rtl/>
          <w:lang w:val="en-US"/>
        </w:rPr>
        <w:t>ההחמרה אפשרית משיקולים של</w:t>
      </w:r>
      <w:r w:rsidR="001A0698">
        <w:rPr>
          <w:rFonts w:ascii="Segoe UI" w:hAnsi="Segoe UI" w:cs="Segoe UI" w:hint="cs"/>
          <w:b/>
          <w:bCs/>
          <w:u w:val="single"/>
          <w:rtl/>
          <w:lang w:val="en-US"/>
        </w:rPr>
        <w:t xml:space="preserve"> הגנה על שלום הציבור, הרתעה אישית והרתעת הרבים. </w:t>
      </w:r>
    </w:p>
    <w:p w14:paraId="39D5B471" w14:textId="0422A5E9" w:rsidR="00914031" w:rsidRDefault="00914031" w:rsidP="008F05D0">
      <w:pPr>
        <w:bidi/>
        <w:spacing w:after="0" w:line="276" w:lineRule="auto"/>
        <w:jc w:val="both"/>
        <w:rPr>
          <w:rFonts w:ascii="Segoe UI" w:hAnsi="Segoe UI" w:cs="Segoe UI"/>
          <w:b/>
          <w:bCs/>
          <w:u w:val="single"/>
          <w:rtl/>
          <w:lang w:val="en-US"/>
        </w:rPr>
      </w:pPr>
    </w:p>
    <w:p w14:paraId="40439783" w14:textId="77777777" w:rsidR="003D7902" w:rsidRDefault="003D7902" w:rsidP="008F05D0">
      <w:pPr>
        <w:bidi/>
        <w:spacing w:after="0" w:line="276" w:lineRule="auto"/>
        <w:jc w:val="both"/>
        <w:rPr>
          <w:rFonts w:ascii="Segoe UI" w:hAnsi="Segoe UI" w:cs="Segoe UI"/>
          <w:b/>
          <w:bCs/>
          <w:u w:val="single"/>
          <w:rtl/>
          <w:lang w:val="en-US"/>
        </w:rPr>
      </w:pPr>
    </w:p>
    <w:p w14:paraId="0FF62171" w14:textId="1578C6A3" w:rsidR="001A0698" w:rsidRPr="00EF2ED3" w:rsidRDefault="00914031" w:rsidP="008F05D0">
      <w:pPr>
        <w:pStyle w:val="2"/>
        <w:rPr>
          <w:rtl/>
        </w:rPr>
      </w:pPr>
      <w:bookmarkStart w:id="58" w:name="_Toc108218214"/>
      <w:r>
        <w:rPr>
          <w:rFonts w:hint="cs"/>
          <w:rtl/>
        </w:rPr>
        <w:t>היררכיה בשיקולי ענישה</w:t>
      </w:r>
      <w:bookmarkEnd w:id="58"/>
    </w:p>
    <w:p w14:paraId="7666AC5D" w14:textId="65441043" w:rsidR="00D752BF" w:rsidRPr="00D752BF" w:rsidRDefault="00E34D8A" w:rsidP="008F05D0">
      <w:pPr>
        <w:bidi/>
        <w:spacing w:after="0" w:line="276" w:lineRule="auto"/>
        <w:jc w:val="both"/>
        <w:rPr>
          <w:rFonts w:ascii="Segoe UI" w:hAnsi="Segoe UI" w:cs="Segoe UI"/>
          <w:rtl/>
          <w:lang w:val="en-US"/>
        </w:rPr>
      </w:pPr>
      <w:r>
        <w:rPr>
          <w:rFonts w:ascii="Segoe UI" w:hAnsi="Segoe UI" w:cs="Segoe UI"/>
          <w:noProof/>
          <w:rtl/>
          <w:lang w:val="he-IL"/>
        </w:rPr>
        <w:drawing>
          <wp:inline distT="0" distB="0" distL="0" distR="0" wp14:anchorId="7F30BA8B" wp14:editId="636442C8">
            <wp:extent cx="5523865" cy="1772530"/>
            <wp:effectExtent l="38100" t="0" r="57785" b="37465"/>
            <wp:docPr id="6" name="דיאגרמה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FD8AC63" w14:textId="77777777" w:rsidR="00023569" w:rsidRDefault="00023569" w:rsidP="008F05D0">
      <w:pPr>
        <w:bidi/>
        <w:spacing w:after="0" w:line="276" w:lineRule="auto"/>
        <w:jc w:val="both"/>
        <w:rPr>
          <w:rFonts w:ascii="Segoe UI" w:hAnsi="Segoe UI" w:cs="Segoe UI"/>
          <w:rtl/>
          <w:lang w:val="en-US"/>
        </w:rPr>
      </w:pPr>
    </w:p>
    <w:p w14:paraId="06C9C7DA" w14:textId="334A2E22" w:rsidR="00EE33AD" w:rsidRDefault="00A14736" w:rsidP="008F05D0">
      <w:pPr>
        <w:bidi/>
        <w:spacing w:after="0" w:line="276" w:lineRule="auto"/>
        <w:jc w:val="both"/>
        <w:rPr>
          <w:rFonts w:ascii="Segoe UI" w:hAnsi="Segoe UI" w:cs="Segoe UI"/>
          <w:rtl/>
          <w:lang w:val="en-US"/>
        </w:rPr>
      </w:pPr>
      <w:r>
        <w:rPr>
          <w:rFonts w:ascii="Segoe UI" w:hAnsi="Segoe UI" w:cs="Segoe UI" w:hint="cs"/>
          <w:rtl/>
          <w:lang w:val="en-US"/>
        </w:rPr>
        <w:t>המשמעות:</w:t>
      </w:r>
    </w:p>
    <w:p w14:paraId="5888EC0B" w14:textId="6A3AEB31" w:rsidR="00A14736" w:rsidRDefault="00A14736" w:rsidP="008F05D0">
      <w:pPr>
        <w:pStyle w:val="ab"/>
        <w:numPr>
          <w:ilvl w:val="0"/>
          <w:numId w:val="82"/>
        </w:numPr>
        <w:bidi/>
        <w:spacing w:after="0" w:line="276" w:lineRule="auto"/>
        <w:jc w:val="both"/>
        <w:rPr>
          <w:rFonts w:ascii="Segoe UI" w:hAnsi="Segoe UI" w:cs="Segoe UI"/>
          <w:lang w:val="en-US"/>
        </w:rPr>
      </w:pPr>
      <w:r>
        <w:rPr>
          <w:rFonts w:ascii="Segoe UI" w:hAnsi="Segoe UI" w:cs="Segoe UI" w:hint="cs"/>
          <w:rtl/>
          <w:lang w:val="en-US"/>
        </w:rPr>
        <w:t>שיקולי הלימה</w:t>
      </w:r>
    </w:p>
    <w:p w14:paraId="715D992E" w14:textId="6EF20205" w:rsidR="00A14736" w:rsidRDefault="00A14736" w:rsidP="008F05D0">
      <w:pPr>
        <w:pStyle w:val="ab"/>
        <w:numPr>
          <w:ilvl w:val="0"/>
          <w:numId w:val="82"/>
        </w:numPr>
        <w:bidi/>
        <w:spacing w:after="0" w:line="276" w:lineRule="auto"/>
        <w:jc w:val="both"/>
        <w:rPr>
          <w:rFonts w:ascii="Segoe UI" w:hAnsi="Segoe UI" w:cs="Segoe UI"/>
          <w:lang w:val="en-US"/>
        </w:rPr>
      </w:pPr>
      <w:r>
        <w:rPr>
          <w:rFonts w:ascii="Segoe UI" w:hAnsi="Segoe UI" w:cs="Segoe UI" w:hint="cs"/>
          <w:rtl/>
          <w:lang w:val="en-US"/>
        </w:rPr>
        <w:t>לאחר מכן מופיעים שיקולי השיקום וההגנה על שלום הציבור אשר יש בהם כדי להוביל לחריגה ממתחם הענישה.</w:t>
      </w:r>
    </w:p>
    <w:p w14:paraId="554476B9" w14:textId="39E3D745" w:rsidR="00A14736" w:rsidRDefault="00A14736" w:rsidP="008F05D0">
      <w:pPr>
        <w:pStyle w:val="ab"/>
        <w:numPr>
          <w:ilvl w:val="0"/>
          <w:numId w:val="82"/>
        </w:numPr>
        <w:bidi/>
        <w:spacing w:after="0" w:line="276" w:lineRule="auto"/>
        <w:jc w:val="both"/>
        <w:rPr>
          <w:rFonts w:ascii="Segoe UI" w:hAnsi="Segoe UI" w:cs="Segoe UI"/>
          <w:lang w:val="en-US"/>
        </w:rPr>
      </w:pPr>
      <w:r>
        <w:rPr>
          <w:rFonts w:ascii="Segoe UI" w:hAnsi="Segoe UI" w:cs="Segoe UI" w:hint="cs"/>
          <w:rtl/>
          <w:lang w:val="en-US"/>
        </w:rPr>
        <w:t xml:space="preserve">השיקום </w:t>
      </w:r>
      <w:r>
        <w:rPr>
          <w:rFonts w:ascii="Segoe UI" w:hAnsi="Segoe UI" w:cs="Segoe UI"/>
          <w:rtl/>
          <w:lang w:val="en-US"/>
        </w:rPr>
        <w:t>–</w:t>
      </w:r>
      <w:r>
        <w:rPr>
          <w:rFonts w:ascii="Segoe UI" w:hAnsi="Segoe UI" w:cs="Segoe UI" w:hint="cs"/>
          <w:rtl/>
          <w:lang w:val="en-US"/>
        </w:rPr>
        <w:t xml:space="preserve"> מאפשר </w:t>
      </w:r>
      <w:r w:rsidRPr="0067740A">
        <w:rPr>
          <w:rFonts w:ascii="Segoe UI" w:hAnsi="Segoe UI" w:cs="Segoe UI" w:hint="cs"/>
          <w:b/>
          <w:bCs/>
          <w:u w:val="single"/>
          <w:rtl/>
          <w:lang w:val="en-US"/>
        </w:rPr>
        <w:t>חריגה ניכרת</w:t>
      </w:r>
      <w:r>
        <w:rPr>
          <w:rFonts w:ascii="Segoe UI" w:hAnsi="Segoe UI" w:cs="Segoe UI" w:hint="cs"/>
          <w:rtl/>
          <w:lang w:val="en-US"/>
        </w:rPr>
        <w:t xml:space="preserve"> ממתחם הענישה.</w:t>
      </w:r>
    </w:p>
    <w:p w14:paraId="74C6435C" w14:textId="4D2473E9" w:rsidR="00A14736" w:rsidRDefault="00A14736" w:rsidP="008F05D0">
      <w:pPr>
        <w:pStyle w:val="ab"/>
        <w:numPr>
          <w:ilvl w:val="0"/>
          <w:numId w:val="82"/>
        </w:numPr>
        <w:bidi/>
        <w:spacing w:after="0" w:line="276" w:lineRule="auto"/>
        <w:jc w:val="both"/>
        <w:rPr>
          <w:rFonts w:ascii="Segoe UI" w:hAnsi="Segoe UI" w:cs="Segoe UI"/>
          <w:lang w:val="en-US"/>
        </w:rPr>
      </w:pPr>
      <w:r>
        <w:rPr>
          <w:rFonts w:ascii="Segoe UI" w:hAnsi="Segoe UI" w:cs="Segoe UI" w:hint="cs"/>
          <w:rtl/>
          <w:lang w:val="en-US"/>
        </w:rPr>
        <w:t xml:space="preserve">ההגנה על שלום הציבור </w:t>
      </w:r>
      <w:r>
        <w:rPr>
          <w:rFonts w:ascii="Segoe UI" w:hAnsi="Segoe UI" w:cs="Segoe UI"/>
          <w:rtl/>
          <w:lang w:val="en-US"/>
        </w:rPr>
        <w:t>–</w:t>
      </w:r>
      <w:r>
        <w:rPr>
          <w:rFonts w:ascii="Segoe UI" w:hAnsi="Segoe UI" w:cs="Segoe UI" w:hint="cs"/>
          <w:rtl/>
          <w:lang w:val="en-US"/>
        </w:rPr>
        <w:t xml:space="preserve"> מאפשרת </w:t>
      </w:r>
      <w:r w:rsidRPr="0067740A">
        <w:rPr>
          <w:rFonts w:ascii="Segoe UI" w:hAnsi="Segoe UI" w:cs="Segoe UI" w:hint="cs"/>
          <w:b/>
          <w:bCs/>
          <w:u w:val="single"/>
          <w:rtl/>
          <w:lang w:val="en-US"/>
        </w:rPr>
        <w:t>חריגה קלה</w:t>
      </w:r>
      <w:r>
        <w:rPr>
          <w:rFonts w:ascii="Segoe UI" w:hAnsi="Segoe UI" w:cs="Segoe UI" w:hint="cs"/>
          <w:rtl/>
          <w:lang w:val="en-US"/>
        </w:rPr>
        <w:t xml:space="preserve"> ממתחם הענישה.</w:t>
      </w:r>
    </w:p>
    <w:p w14:paraId="0A7F886A" w14:textId="2499A972" w:rsidR="00A14736" w:rsidRPr="00274977" w:rsidRDefault="00B31D75" w:rsidP="008F05D0">
      <w:pPr>
        <w:pStyle w:val="ab"/>
        <w:numPr>
          <w:ilvl w:val="0"/>
          <w:numId w:val="82"/>
        </w:numPr>
        <w:bidi/>
        <w:spacing w:after="0" w:line="276" w:lineRule="auto"/>
        <w:jc w:val="both"/>
        <w:rPr>
          <w:rFonts w:ascii="Segoe UI" w:hAnsi="Segoe UI" w:cs="Segoe UI"/>
          <w:b/>
          <w:bCs/>
          <w:rtl/>
          <w:lang w:val="en-US"/>
        </w:rPr>
      </w:pPr>
      <w:r>
        <w:rPr>
          <w:rFonts w:ascii="Segoe UI" w:hAnsi="Segoe UI" w:cs="Segoe UI" w:hint="cs"/>
          <w:rtl/>
          <w:lang w:val="en-US"/>
        </w:rPr>
        <w:t xml:space="preserve">שיקולי ההרתעה </w:t>
      </w:r>
      <w:r>
        <w:rPr>
          <w:rFonts w:ascii="Segoe UI" w:hAnsi="Segoe UI" w:cs="Segoe UI"/>
          <w:rtl/>
          <w:lang w:val="en-US"/>
        </w:rPr>
        <w:t>–</w:t>
      </w:r>
      <w:r>
        <w:rPr>
          <w:rFonts w:ascii="Segoe UI" w:hAnsi="Segoe UI" w:cs="Segoe UI" w:hint="cs"/>
          <w:rtl/>
          <w:lang w:val="en-US"/>
        </w:rPr>
        <w:t xml:space="preserve"> </w:t>
      </w:r>
      <w:r w:rsidRPr="00B31D75">
        <w:rPr>
          <w:rFonts w:ascii="Segoe UI" w:hAnsi="Segoe UI" w:cs="Segoe UI" w:hint="cs"/>
          <w:b/>
          <w:bCs/>
          <w:color w:val="7030A0"/>
          <w:rtl/>
          <w:lang w:val="en-US"/>
        </w:rPr>
        <w:t>הן הרתעה אישית והן הרתעת הרבים</w:t>
      </w:r>
      <w:r w:rsidRPr="00B31D75">
        <w:rPr>
          <w:rFonts w:ascii="Segoe UI" w:hAnsi="Segoe UI" w:cs="Segoe UI" w:hint="cs"/>
          <w:color w:val="7030A0"/>
          <w:rtl/>
          <w:lang w:val="en-US"/>
        </w:rPr>
        <w:t xml:space="preserve"> </w:t>
      </w:r>
      <w:r>
        <w:rPr>
          <w:rFonts w:ascii="Segoe UI" w:hAnsi="Segoe UI" w:cs="Segoe UI"/>
          <w:rtl/>
          <w:lang w:val="en-US"/>
        </w:rPr>
        <w:t>–</w:t>
      </w:r>
      <w:r>
        <w:rPr>
          <w:rFonts w:ascii="Segoe UI" w:hAnsi="Segoe UI" w:cs="Segoe UI" w:hint="cs"/>
          <w:rtl/>
          <w:lang w:val="en-US"/>
        </w:rPr>
        <w:t xml:space="preserve"> </w:t>
      </w:r>
      <w:r w:rsidRPr="00274977">
        <w:rPr>
          <w:rFonts w:ascii="Segoe UI" w:hAnsi="Segoe UI" w:cs="Segoe UI" w:hint="cs"/>
          <w:b/>
          <w:bCs/>
          <w:color w:val="FF0000"/>
          <w:rtl/>
          <w:lang w:val="en-US"/>
        </w:rPr>
        <w:t xml:space="preserve">אינם מאפשרים חריגה מהמתחם אלא רק משפיעים על העונש בתוך המתחם. </w:t>
      </w:r>
    </w:p>
    <w:p w14:paraId="7B6CA2F9" w14:textId="18AA1CF7" w:rsidR="00EE33AD" w:rsidRDefault="00EE33AD" w:rsidP="008F05D0">
      <w:pPr>
        <w:spacing w:after="0" w:line="276" w:lineRule="auto"/>
        <w:jc w:val="right"/>
        <w:rPr>
          <w:lang w:val="en-US"/>
        </w:rPr>
      </w:pPr>
    </w:p>
    <w:p w14:paraId="5125F590" w14:textId="1EC8DFC4" w:rsidR="008D25B0" w:rsidRDefault="008D25B0" w:rsidP="008F05D0">
      <w:pPr>
        <w:pStyle w:val="110"/>
        <w:spacing w:line="276" w:lineRule="auto"/>
        <w:rPr>
          <w:rtl/>
        </w:rPr>
      </w:pPr>
      <w:r w:rsidRPr="008D25B0">
        <w:rPr>
          <w:rFonts w:hint="cs"/>
          <w:rtl/>
        </w:rPr>
        <w:t>קנס</w:t>
      </w:r>
    </w:p>
    <w:p w14:paraId="4FB0524C" w14:textId="77777777" w:rsidR="0017625D" w:rsidRPr="0017625D" w:rsidRDefault="0017625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17625D">
        <w:rPr>
          <w:rFonts w:ascii="Time New Roman" w:eastAsia="Times New Roman" w:hAnsi="Time New Roman" w:cs="Times New Roman"/>
          <w:b/>
          <w:bCs/>
          <w:color w:val="008000"/>
          <w:sz w:val="27"/>
          <w:szCs w:val="27"/>
          <w:rtl/>
          <w:lang w:val="en-US"/>
        </w:rPr>
        <w:t>קנס (תיקון מס' 113) תשע"ב-2012</w:t>
      </w:r>
    </w:p>
    <w:p w14:paraId="3A5205A7" w14:textId="77777777" w:rsidR="0017625D" w:rsidRPr="0017625D" w:rsidRDefault="0017625D"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17625D">
        <w:rPr>
          <w:rFonts w:ascii="Miriam" w:eastAsia="Times New Roman" w:hAnsi="Miriam" w:cs="Miriam"/>
          <w:sz w:val="32"/>
          <w:szCs w:val="32"/>
          <w:rtl/>
          <w:lang w:val="en-US"/>
        </w:rPr>
        <w:t>40</w:t>
      </w:r>
      <w:r w:rsidRPr="0017625D">
        <w:rPr>
          <w:rFonts w:ascii="FrankRuehl" w:eastAsia="Times New Roman" w:hAnsi="FrankRuehl" w:cs="FrankRuehl"/>
          <w:sz w:val="26"/>
          <w:szCs w:val="26"/>
          <w:rtl/>
          <w:lang w:val="en-US"/>
        </w:rPr>
        <w:t xml:space="preserve">ח.  קבע בית המשפט כי מתחם העונש ההולם כולל עונש קנס, </w:t>
      </w:r>
      <w:r w:rsidRPr="00034269">
        <w:rPr>
          <w:rFonts w:ascii="FrankRuehl" w:eastAsia="Times New Roman" w:hAnsi="FrankRuehl" w:cs="FrankRuehl"/>
          <w:b/>
          <w:bCs/>
          <w:color w:val="FF0000"/>
          <w:sz w:val="26"/>
          <w:szCs w:val="26"/>
          <w:rtl/>
          <w:lang w:val="en-US"/>
        </w:rPr>
        <w:t>יתחשב</w:t>
      </w:r>
      <w:r w:rsidRPr="0017625D">
        <w:rPr>
          <w:rFonts w:ascii="FrankRuehl" w:eastAsia="Times New Roman" w:hAnsi="FrankRuehl" w:cs="FrankRuehl"/>
          <w:sz w:val="26"/>
          <w:szCs w:val="26"/>
          <w:rtl/>
          <w:lang w:val="en-US"/>
        </w:rPr>
        <w:t>, נוסף על האמור בסעיף 40ג(א), במצבו הכלכלי של הנאשם, לצורך קביעת מתחם עונש הקנס ההולם.</w:t>
      </w:r>
    </w:p>
    <w:p w14:paraId="3D14D648" w14:textId="77777777" w:rsidR="00AB5201" w:rsidRDefault="00AB5201" w:rsidP="008F05D0">
      <w:pPr>
        <w:bidi/>
        <w:spacing w:after="0" w:line="276" w:lineRule="auto"/>
        <w:jc w:val="both"/>
        <w:rPr>
          <w:rFonts w:ascii="Segoe UI" w:hAnsi="Segoe UI" w:cs="Segoe UI"/>
          <w:rtl/>
          <w:lang w:val="en-US"/>
        </w:rPr>
      </w:pPr>
    </w:p>
    <w:p w14:paraId="4EB952EF" w14:textId="52E885D3" w:rsidR="008D25B0" w:rsidRPr="00AB5201" w:rsidRDefault="0017625D" w:rsidP="008F05D0">
      <w:pPr>
        <w:bidi/>
        <w:spacing w:after="0" w:line="276" w:lineRule="auto"/>
        <w:jc w:val="both"/>
        <w:rPr>
          <w:rFonts w:ascii="Segoe UI" w:hAnsi="Segoe UI" w:cs="Segoe UI"/>
          <w:rtl/>
          <w:lang w:val="en-US"/>
        </w:rPr>
      </w:pPr>
      <w:r w:rsidRPr="00AB5201">
        <w:rPr>
          <w:rFonts w:ascii="Segoe UI" w:hAnsi="Segoe UI" w:cs="Segoe UI"/>
          <w:rtl/>
          <w:lang w:val="en-US"/>
        </w:rPr>
        <w:t xml:space="preserve">בחינה </w:t>
      </w:r>
      <w:r w:rsidR="004B157E" w:rsidRPr="00AB5201">
        <w:rPr>
          <w:rFonts w:ascii="Segoe UI" w:hAnsi="Segoe UI" w:cs="Segoe UI" w:hint="cs"/>
          <w:rtl/>
          <w:lang w:val="en-US"/>
        </w:rPr>
        <w:t>גמולני</w:t>
      </w:r>
      <w:r w:rsidR="004B157E" w:rsidRPr="00AB5201">
        <w:rPr>
          <w:rFonts w:ascii="Segoe UI" w:hAnsi="Segoe UI" w:cs="Segoe UI" w:hint="eastAsia"/>
          <w:rtl/>
          <w:lang w:val="en-US"/>
        </w:rPr>
        <w:t>ת</w:t>
      </w:r>
      <w:r w:rsidRPr="00AB5201">
        <w:rPr>
          <w:rFonts w:ascii="Segoe UI" w:hAnsi="Segoe UI" w:cs="Segoe UI"/>
          <w:rtl/>
          <w:lang w:val="en-US"/>
        </w:rPr>
        <w:t xml:space="preserve"> של הקנס מחייבת התייחסות למצבו הכלכלי של הנאשם משום שסכום קנס </w:t>
      </w:r>
      <w:proofErr w:type="spellStart"/>
      <w:r w:rsidRPr="00AB5201">
        <w:rPr>
          <w:rFonts w:ascii="Segoe UI" w:hAnsi="Segoe UI" w:cs="Segoe UI"/>
          <w:rtl/>
          <w:lang w:val="en-US"/>
        </w:rPr>
        <w:t>מסויים</w:t>
      </w:r>
      <w:proofErr w:type="spellEnd"/>
      <w:r w:rsidRPr="00AB5201">
        <w:rPr>
          <w:rFonts w:ascii="Segoe UI" w:hAnsi="Segoe UI" w:cs="Segoe UI"/>
          <w:rtl/>
          <w:lang w:val="en-US"/>
        </w:rPr>
        <w:t xml:space="preserve"> הינו בעל השפעה שונה מבחינת העונש לאנשים שמצבם הכלכלי שונה.</w:t>
      </w:r>
    </w:p>
    <w:p w14:paraId="26305D30" w14:textId="4BDD65D7" w:rsidR="00520E35" w:rsidRDefault="00AB5201" w:rsidP="008F05D0">
      <w:pPr>
        <w:pStyle w:val="110"/>
        <w:spacing w:line="276" w:lineRule="auto"/>
        <w:rPr>
          <w:b w:val="0"/>
          <w:bCs w:val="0"/>
          <w:u w:val="none"/>
          <w:rtl/>
        </w:rPr>
      </w:pPr>
      <w:r w:rsidRPr="00AB5201">
        <w:rPr>
          <w:b w:val="0"/>
          <w:bCs w:val="0"/>
          <w:u w:val="none"/>
          <w:rtl/>
        </w:rPr>
        <w:t>כלומר - יש לקבוע את מתחם עונש הקנס ההולם, ורק בהמשך לכך את הקנס המתאים שייגזר על הנאשם.</w:t>
      </w:r>
    </w:p>
    <w:p w14:paraId="1857C6EB" w14:textId="75EAF48A" w:rsidR="00F56687" w:rsidRPr="00AF78A4" w:rsidRDefault="001C0B72" w:rsidP="008F05D0">
      <w:pPr>
        <w:pStyle w:val="110"/>
        <w:spacing w:line="276" w:lineRule="auto"/>
        <w:rPr>
          <w:color w:val="7030A0"/>
          <w:u w:val="none"/>
          <w:rtl/>
        </w:rPr>
      </w:pPr>
      <w:r w:rsidRPr="00B778A9">
        <w:rPr>
          <w:rFonts w:hint="cs"/>
          <w:color w:val="FF0000"/>
          <w:u w:val="none"/>
          <w:rtl/>
        </w:rPr>
        <w:t xml:space="preserve">ההבדל בין קנס לפיצוי </w:t>
      </w:r>
      <w:r w:rsidRPr="00B778A9">
        <w:rPr>
          <w:color w:val="FF0000"/>
          <w:u w:val="none"/>
          <w:rtl/>
        </w:rPr>
        <w:t>–</w:t>
      </w:r>
      <w:r w:rsidRPr="00B778A9">
        <w:rPr>
          <w:rFonts w:hint="cs"/>
          <w:color w:val="FF0000"/>
          <w:u w:val="none"/>
          <w:rtl/>
        </w:rPr>
        <w:t xml:space="preserve"> בפיצוי לא מתחשבים כלל במצבו הכלכלי של הנאשם. אבל, בקנס משום שמדובר בכסף שמגיע למדינה, כן מתחשבים במצבו הכלכלי של הנאשם!</w:t>
      </w:r>
      <w:r w:rsidR="00AF78A4">
        <w:rPr>
          <w:rFonts w:hint="cs"/>
          <w:color w:val="FF0000"/>
          <w:u w:val="none"/>
          <w:rtl/>
        </w:rPr>
        <w:t xml:space="preserve"> </w:t>
      </w:r>
      <w:r w:rsidR="00AF78A4">
        <w:rPr>
          <w:rFonts w:hint="cs"/>
          <w:color w:val="7030A0"/>
          <w:u w:val="none"/>
          <w:rtl/>
        </w:rPr>
        <w:t xml:space="preserve">עוד הבדל </w:t>
      </w:r>
      <w:r w:rsidR="00AF78A4">
        <w:rPr>
          <w:color w:val="7030A0"/>
          <w:u w:val="none"/>
          <w:rtl/>
        </w:rPr>
        <w:t>–</w:t>
      </w:r>
      <w:r w:rsidR="00AF78A4">
        <w:rPr>
          <w:rFonts w:hint="cs"/>
          <w:color w:val="7030A0"/>
          <w:u w:val="none"/>
          <w:rtl/>
        </w:rPr>
        <w:t xml:space="preserve"> לקנס יש מאס</w:t>
      </w:r>
      <w:r w:rsidR="0035412F">
        <w:rPr>
          <w:rFonts w:hint="cs"/>
          <w:color w:val="7030A0"/>
          <w:u w:val="none"/>
          <w:rtl/>
        </w:rPr>
        <w:t>ר</w:t>
      </w:r>
      <w:r w:rsidR="00AF78A4">
        <w:rPr>
          <w:rFonts w:hint="cs"/>
          <w:color w:val="7030A0"/>
          <w:u w:val="none"/>
          <w:rtl/>
        </w:rPr>
        <w:t xml:space="preserve"> חלף ולפיצוי לא. לפני כשנה ניתן פסק דין </w:t>
      </w:r>
      <w:r w:rsidR="00A45B68">
        <w:rPr>
          <w:rFonts w:hint="cs"/>
          <w:color w:val="7030A0"/>
          <w:u w:val="none"/>
          <w:rtl/>
        </w:rPr>
        <w:t xml:space="preserve">בעליון </w:t>
      </w:r>
      <w:r w:rsidR="00AF78A4">
        <w:rPr>
          <w:rFonts w:hint="cs"/>
          <w:color w:val="7030A0"/>
          <w:u w:val="none"/>
          <w:rtl/>
        </w:rPr>
        <w:t>בנוגע לערעור שנגע למשולש הענישה הזה</w:t>
      </w:r>
      <w:r w:rsidR="00A45B68">
        <w:rPr>
          <w:rFonts w:hint="cs"/>
          <w:color w:val="7030A0"/>
          <w:u w:val="none"/>
          <w:rtl/>
        </w:rPr>
        <w:t xml:space="preserve"> </w:t>
      </w:r>
      <w:r w:rsidR="00AF78A4">
        <w:rPr>
          <w:rFonts w:hint="cs"/>
          <w:color w:val="7030A0"/>
          <w:u w:val="none"/>
          <w:rtl/>
        </w:rPr>
        <w:t xml:space="preserve"> </w:t>
      </w:r>
      <w:r w:rsidR="00AF78A4">
        <w:rPr>
          <w:color w:val="7030A0"/>
          <w:u w:val="none"/>
          <w:rtl/>
        </w:rPr>
        <w:t>–</w:t>
      </w:r>
      <w:r w:rsidR="00AF78A4">
        <w:rPr>
          <w:rFonts w:hint="cs"/>
          <w:color w:val="7030A0"/>
          <w:u w:val="none"/>
          <w:rtl/>
        </w:rPr>
        <w:t xml:space="preserve"> קנס, מאסר חלף ופיצוי. </w:t>
      </w:r>
      <w:r w:rsidR="00A45B68">
        <w:rPr>
          <w:rFonts w:hint="cs"/>
          <w:color w:val="7030A0"/>
          <w:u w:val="none"/>
          <w:rtl/>
        </w:rPr>
        <w:t xml:space="preserve">פסק הדין שינה את הפרשנות שנהגה עד אז בנוגע למשולש הענישה. </w:t>
      </w:r>
    </w:p>
    <w:p w14:paraId="7029C5A4" w14:textId="77777777" w:rsidR="007A12AE" w:rsidRDefault="007A12AE" w:rsidP="008F05D0">
      <w:pPr>
        <w:pStyle w:val="110"/>
        <w:spacing w:line="276" w:lineRule="auto"/>
        <w:ind w:left="2835" w:right="2835"/>
        <w:rPr>
          <w:color w:val="FF0000"/>
          <w:u w:val="none"/>
          <w:rtl/>
        </w:rPr>
      </w:pPr>
    </w:p>
    <w:p w14:paraId="1F28BD73" w14:textId="0CDCC575" w:rsidR="00520E35" w:rsidRPr="002D0F6E" w:rsidRDefault="005B7401" w:rsidP="008F05D0">
      <w:pPr>
        <w:pStyle w:val="110"/>
        <w:spacing w:line="276" w:lineRule="auto"/>
        <w:jc w:val="center"/>
        <w:rPr>
          <w:color w:val="FF0000"/>
          <w:u w:val="none"/>
          <w:rtl/>
        </w:rPr>
      </w:pPr>
      <w:r w:rsidRPr="005B7401">
        <w:rPr>
          <w:noProof/>
          <w:color w:val="FF0000"/>
          <w:u w:val="none"/>
          <w:rtl/>
        </w:rPr>
        <w:lastRenderedPageBreak/>
        <w:drawing>
          <wp:inline distT="0" distB="0" distL="0" distR="0" wp14:anchorId="62A21E99" wp14:editId="503CE6BB">
            <wp:extent cx="2171700" cy="2434012"/>
            <wp:effectExtent l="19050" t="19050" r="19050" b="2349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444" r="7014"/>
                    <a:stretch/>
                  </pic:blipFill>
                  <pic:spPr bwMode="auto">
                    <a:xfrm>
                      <a:off x="0" y="0"/>
                      <a:ext cx="2172967" cy="243543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933221" w14:textId="1AF01B64" w:rsidR="00520E35" w:rsidRPr="00AB5201" w:rsidRDefault="00D80EFC" w:rsidP="008F05D0">
      <w:pPr>
        <w:pStyle w:val="2"/>
        <w:rPr>
          <w:rtl/>
        </w:rPr>
      </w:pPr>
      <w:bookmarkStart w:id="59" w:name="_Toc108218215"/>
      <w:r>
        <w:rPr>
          <w:rFonts w:hint="cs"/>
          <w:rtl/>
        </w:rPr>
        <w:t xml:space="preserve">נסיבות הקשורות </w:t>
      </w:r>
      <w:r w:rsidRPr="00D80EFC">
        <w:rPr>
          <w:rFonts w:hint="cs"/>
          <w:color w:val="FF0000"/>
          <w:rtl/>
        </w:rPr>
        <w:t>בביצוע העבירה</w:t>
      </w:r>
      <w:bookmarkEnd w:id="59"/>
    </w:p>
    <w:p w14:paraId="3DA0B623"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D80EFC">
        <w:rPr>
          <w:rFonts w:ascii="Time New Roman" w:eastAsia="Times New Roman" w:hAnsi="Time New Roman" w:cs="Times New Roman"/>
          <w:b/>
          <w:bCs/>
          <w:color w:val="008000"/>
          <w:sz w:val="27"/>
          <w:szCs w:val="27"/>
          <w:rtl/>
          <w:lang w:val="en-US"/>
        </w:rPr>
        <w:t>נסיבות הקשורות בביצוע העבירה (תיקון מס' 113) תשע"ב-2012</w:t>
      </w:r>
    </w:p>
    <w:p w14:paraId="5978429E"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Miriam" w:eastAsia="Times New Roman" w:hAnsi="Miriam" w:cs="Miriam"/>
          <w:sz w:val="32"/>
          <w:szCs w:val="32"/>
          <w:rtl/>
          <w:lang w:val="en-US"/>
        </w:rPr>
        <w:t>40</w:t>
      </w:r>
      <w:r w:rsidRPr="00D80EFC">
        <w:rPr>
          <w:rFonts w:ascii="FrankRuehl" w:eastAsia="Times New Roman" w:hAnsi="FrankRuehl" w:cs="FrankRuehl"/>
          <w:sz w:val="26"/>
          <w:szCs w:val="26"/>
          <w:rtl/>
          <w:lang w:val="en-US"/>
        </w:rPr>
        <w:t>ט.  (א)  בקביעת מתחם העונש ההולם למעשה העבירה שביצע הנאשם כאמור בסעיף 40ג(א), יתחשב בית המשפט בהתקיימותן של נסיבות הקשורות בביצוע העבירה, המפורטות להלן, ובמידה שבה התקיימו, ככל שסבר שהן משפיעות על חומרת מעשה העבירה ועל אשמו של הנאשם:</w:t>
      </w:r>
    </w:p>
    <w:p w14:paraId="75A0826F"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(1)   התכנון שקדם לביצוע העבירה;</w:t>
      </w:r>
    </w:p>
    <w:p w14:paraId="29B8D0C4" w14:textId="2AC1A818"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color w:val="7030A0"/>
          <w:sz w:val="24"/>
          <w:szCs w:val="24"/>
          <w:rtl/>
          <w:lang w:val="en-US"/>
        </w:rPr>
      </w:pPr>
      <w:r w:rsidRPr="00D80EFC">
        <w:rPr>
          <w:rFonts w:ascii="FrankRuehl" w:eastAsia="Times New Roman" w:hAnsi="FrankRuehl" w:cs="FrankRuehl"/>
          <w:sz w:val="26"/>
          <w:szCs w:val="26"/>
          <w:rtl/>
          <w:lang w:val="en-US"/>
        </w:rPr>
        <w:t>(2)   חלקו היחסי של הנאשם בביצוע העבירה ומידת ההשפעה של אחר על הנאשם בביצוע העבירה;</w:t>
      </w:r>
      <w:r w:rsidR="009C5234">
        <w:rPr>
          <w:rFonts w:ascii="Times New Roman" w:eastAsia="Times New Roman" w:hAnsi="Times New Roman" w:cs="Times New Roman" w:hint="cs"/>
          <w:sz w:val="24"/>
          <w:szCs w:val="24"/>
          <w:rtl/>
          <w:lang w:val="en-US"/>
        </w:rPr>
        <w:t xml:space="preserve"> </w:t>
      </w:r>
      <w:r w:rsidR="009C5234" w:rsidRPr="009C5234">
        <w:rPr>
          <w:rFonts w:ascii="Times New Roman" w:eastAsia="Times New Roman" w:hAnsi="Times New Roman" w:cs="Times New Roman" w:hint="cs"/>
          <w:color w:val="7030A0"/>
          <w:sz w:val="24"/>
          <w:szCs w:val="24"/>
          <w:rtl/>
          <w:lang w:val="en-US"/>
        </w:rPr>
        <w:t xml:space="preserve">ההבדל בין מבצע בצוותא, למסייע וכו' </w:t>
      </w:r>
    </w:p>
    <w:p w14:paraId="322DAD2C"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(3)   הנזק שהיה צפוי להיגרם מביצוע העבירה;</w:t>
      </w:r>
    </w:p>
    <w:p w14:paraId="1D592CC8" w14:textId="2039C823"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color w:val="7030A0"/>
          <w:sz w:val="24"/>
          <w:szCs w:val="24"/>
          <w:rtl/>
          <w:lang w:val="en-US"/>
        </w:rPr>
      </w:pPr>
      <w:r w:rsidRPr="00D80EFC">
        <w:rPr>
          <w:rFonts w:ascii="FrankRuehl" w:eastAsia="Times New Roman" w:hAnsi="FrankRuehl" w:cs="FrankRuehl"/>
          <w:sz w:val="26"/>
          <w:szCs w:val="26"/>
          <w:rtl/>
          <w:lang w:val="en-US"/>
        </w:rPr>
        <w:t>(4)   הנזק שנגרם מביצוע העבירה;</w:t>
      </w:r>
      <w:r w:rsidR="002B0428">
        <w:rPr>
          <w:rFonts w:ascii="Times New Roman" w:eastAsia="Times New Roman" w:hAnsi="Times New Roman" w:cs="Times New Roman" w:hint="cs"/>
          <w:sz w:val="24"/>
          <w:szCs w:val="24"/>
          <w:rtl/>
          <w:lang w:val="en-US"/>
        </w:rPr>
        <w:t xml:space="preserve"> </w:t>
      </w:r>
      <w:r w:rsidR="002B0428">
        <w:rPr>
          <w:rFonts w:ascii="Times New Roman" w:eastAsia="Times New Roman" w:hAnsi="Times New Roman" w:cs="Times New Roman" w:hint="cs"/>
          <w:color w:val="7030A0"/>
          <w:sz w:val="24"/>
          <w:szCs w:val="24"/>
          <w:rtl/>
          <w:lang w:val="en-US"/>
        </w:rPr>
        <w:t>נניח יש הבדל בין תיק ניסיון רצח שבו הקורבן רק נחתך ונתפר לבין קורבן שהפך להיות צמח או נכה בכיסא גלגלים</w:t>
      </w:r>
    </w:p>
    <w:p w14:paraId="0117A630" w14:textId="61958A1B"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(5)   הסיבות שהביאו את הנאשם לבצע את העבירה;</w:t>
      </w:r>
      <w:r w:rsidR="0005238C">
        <w:rPr>
          <w:rFonts w:ascii="Times New Roman" w:eastAsia="Times New Roman" w:hAnsi="Times New Roman" w:cs="Times New Roman" w:hint="cs"/>
          <w:sz w:val="24"/>
          <w:szCs w:val="24"/>
          <w:rtl/>
          <w:lang w:val="en-US"/>
        </w:rPr>
        <w:t xml:space="preserve"> </w:t>
      </w:r>
      <w:r w:rsidR="0005238C" w:rsidRPr="0005238C">
        <w:rPr>
          <w:rFonts w:ascii="Times New Roman" w:eastAsia="Times New Roman" w:hAnsi="Times New Roman" w:cs="Times New Roman" w:hint="cs"/>
          <w:color w:val="7030A0"/>
          <w:sz w:val="24"/>
          <w:szCs w:val="24"/>
          <w:rtl/>
          <w:lang w:val="en-US"/>
        </w:rPr>
        <w:t xml:space="preserve">עבירה על רקע נקמה, עבירה על רקע אידיאולוגי וכו' </w:t>
      </w:r>
    </w:p>
    <w:p w14:paraId="034F3564"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(6)   יכולתו של הנאשם להבין את אשר הוא עושה, את הפסול שבמעשהו או את משמעות מעשהו, לרבות בשל גילו;</w:t>
      </w:r>
    </w:p>
    <w:p w14:paraId="10BFE86B"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(7)   יכולתו של הנאשם להימנע מהמעשה ומידת השליטה שלו על מעשהו, לרבות עקב התגרות של נפגע העבירה;</w:t>
      </w:r>
    </w:p>
    <w:p w14:paraId="2D43FA7E"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(8)   מצוקתו הנפשית של הנאשם עקב התעללות בו על ידי נפגע העבירה;</w:t>
      </w:r>
    </w:p>
    <w:p w14:paraId="23ED8602"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(9)   הקרבה לסייג לאחריות פלילית כאמור בסימן ב' לפרק ה'1;</w:t>
      </w:r>
    </w:p>
    <w:p w14:paraId="6A3ACED5"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(10)  האכזריות, האלימות וההתעללות של הנאשם בנפגע העבירה או ניצולו;</w:t>
      </w:r>
    </w:p>
    <w:p w14:paraId="6D1DAA3D"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(11)  הניצול לרעה של כוחו או מעמדו של הנאשם או של יחסיו עם נפגע העבירה.</w:t>
      </w:r>
    </w:p>
    <w:p w14:paraId="2618DB0D" w14:textId="77777777" w:rsidR="00D80EFC" w:rsidRPr="00D80EFC" w:rsidRDefault="00D80EF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D80EFC">
        <w:rPr>
          <w:rFonts w:ascii="FrankRuehl" w:eastAsia="Times New Roman" w:hAnsi="FrankRuehl" w:cs="FrankRuehl"/>
          <w:sz w:val="26"/>
          <w:szCs w:val="26"/>
          <w:rtl/>
          <w:lang w:val="en-US"/>
        </w:rPr>
        <w:t>          (ב)  לעניין נסיבות כאמור בסעיף קטן (א)(6) עד (9), בית המשפט יתחשב בהן ככל שסבר שהן מפחיתות את חומרת מעשה העבירה ואת אשמו של הנאשם, ולעניין נסיבות כאמור בסעיף קטן (א)(10) ו-(11) – ככל שסבר שהן מגבירות את חומרת מעשה העבירה ואת אשמו של הנאשם.</w:t>
      </w:r>
    </w:p>
    <w:p w14:paraId="163EC9D3" w14:textId="3BAD3DBB" w:rsidR="00520E35" w:rsidRDefault="00520E35" w:rsidP="008F05D0">
      <w:pPr>
        <w:pStyle w:val="110"/>
        <w:spacing w:line="276" w:lineRule="auto"/>
        <w:rPr>
          <w:b w:val="0"/>
          <w:bCs w:val="0"/>
          <w:u w:val="none"/>
          <w:rtl/>
        </w:rPr>
      </w:pPr>
    </w:p>
    <w:p w14:paraId="6C9E519F" w14:textId="77777777" w:rsidR="00EB24F3" w:rsidRPr="00EB24F3" w:rsidRDefault="00EB24F3"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EB24F3">
        <w:rPr>
          <w:rFonts w:ascii="Time New Roman" w:eastAsia="Times New Roman" w:hAnsi="Time New Roman" w:cs="Times New Roman"/>
          <w:b/>
          <w:bCs/>
          <w:color w:val="008000"/>
          <w:sz w:val="27"/>
          <w:szCs w:val="27"/>
          <w:rtl/>
          <w:lang w:val="en-US"/>
        </w:rPr>
        <w:t>הוכחת נסיבות הקשורות בביצוע העבירה (תיקון מס' 113) תשע"ב-2012</w:t>
      </w:r>
    </w:p>
    <w:p w14:paraId="10AE4011" w14:textId="77777777" w:rsidR="00EB24F3" w:rsidRPr="00EB24F3" w:rsidRDefault="00EB24F3"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B24F3">
        <w:rPr>
          <w:rFonts w:ascii="Miriam" w:eastAsia="Times New Roman" w:hAnsi="Miriam" w:cs="Miriam"/>
          <w:sz w:val="32"/>
          <w:szCs w:val="32"/>
          <w:rtl/>
          <w:lang w:val="en-US"/>
        </w:rPr>
        <w:t>40</w:t>
      </w:r>
      <w:r w:rsidRPr="00EB24F3">
        <w:rPr>
          <w:rFonts w:ascii="FrankRuehl" w:eastAsia="Times New Roman" w:hAnsi="FrankRuehl" w:cs="FrankRuehl"/>
          <w:sz w:val="26"/>
          <w:szCs w:val="26"/>
          <w:rtl/>
          <w:lang w:val="en-US"/>
        </w:rPr>
        <w:t>י.   (א)  בית המשפט יקבע כי התקיימו נסיבות הקשורות בביצוע העבירה, על בסיס ראיות שהובאו בשלב בירור האשמה.</w:t>
      </w:r>
    </w:p>
    <w:p w14:paraId="07DC9708" w14:textId="77777777" w:rsidR="00EB24F3" w:rsidRPr="00EB24F3" w:rsidRDefault="00EB24F3"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B24F3">
        <w:rPr>
          <w:rFonts w:ascii="FrankRuehl" w:eastAsia="Times New Roman" w:hAnsi="FrankRuehl" w:cs="FrankRuehl"/>
          <w:sz w:val="26"/>
          <w:szCs w:val="26"/>
          <w:rtl/>
          <w:lang w:val="en-US"/>
        </w:rPr>
        <w:t>          (ב)  על אף האמור בסעיף קטן (א) –</w:t>
      </w:r>
    </w:p>
    <w:p w14:paraId="349AD2FE" w14:textId="77777777" w:rsidR="00EB24F3" w:rsidRPr="00EB24F3" w:rsidRDefault="00EB24F3"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B24F3">
        <w:rPr>
          <w:rFonts w:ascii="FrankRuehl" w:eastAsia="Times New Roman" w:hAnsi="FrankRuehl" w:cs="FrankRuehl"/>
          <w:sz w:val="26"/>
          <w:szCs w:val="26"/>
          <w:rtl/>
          <w:lang w:val="en-US"/>
        </w:rPr>
        <w:t>(1)   בשלב הטיעונים לעונש, הנאשם רשאי להביא ראיות מטעמו, ובלבד שאינן סותרות את הנטען על ידו בשלב בירור האשמה, והצדדים רשאים להביא ראיות שנקבע בחיקוק כי יובאו בשלב זה;</w:t>
      </w:r>
    </w:p>
    <w:p w14:paraId="329D1FE2" w14:textId="77777777" w:rsidR="00EB24F3" w:rsidRPr="00EB24F3" w:rsidRDefault="00EB24F3"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B24F3">
        <w:rPr>
          <w:rFonts w:ascii="FrankRuehl" w:eastAsia="Times New Roman" w:hAnsi="FrankRuehl" w:cs="FrankRuehl"/>
          <w:sz w:val="26"/>
          <w:szCs w:val="26"/>
          <w:rtl/>
          <w:lang w:val="en-US"/>
        </w:rPr>
        <w:lastRenderedPageBreak/>
        <w:t>(2)   בית המשפט רשאי, לבקשת אחד מהצדדים, להתיר להביא ראיות בעניין נסיבות הקשורות בביצוע העבירה בשלב הטיעונים לעונש, אם שוכנע כי לא היתה אפשרות לטעון לגביהן בשלב בירור האשמה או אם הדבר דרוש כדי למנוע עיוות דין.</w:t>
      </w:r>
    </w:p>
    <w:p w14:paraId="50DCF120" w14:textId="77777777" w:rsidR="00EB24F3" w:rsidRPr="00EB24F3" w:rsidRDefault="00EB24F3"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B24F3">
        <w:rPr>
          <w:rFonts w:ascii="FrankRuehl" w:eastAsia="Times New Roman" w:hAnsi="FrankRuehl" w:cs="FrankRuehl"/>
          <w:sz w:val="26"/>
          <w:szCs w:val="26"/>
          <w:rtl/>
          <w:lang w:val="en-US"/>
        </w:rPr>
        <w:t>          (ג)   בית המשפט יקבע כי התקיימה נסיבה מחמירה הקשורה בביצוע העבירה אם היא הוכחה מעבר לספק סביר; בית המשפט יקבע כי התקיימה נסיבה מקילה הקשורה בביצוע העבירה אם היא הוכחה ברמת ההוכחה הנדרשת במשפט אזרחי.</w:t>
      </w:r>
    </w:p>
    <w:p w14:paraId="471B322A" w14:textId="77777777" w:rsidR="00EB24F3" w:rsidRPr="00EB24F3" w:rsidRDefault="00EB24F3"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B24F3">
        <w:rPr>
          <w:rFonts w:ascii="FrankRuehl" w:eastAsia="Times New Roman" w:hAnsi="FrankRuehl" w:cs="FrankRuehl"/>
          <w:sz w:val="26"/>
          <w:szCs w:val="26"/>
          <w:rtl/>
          <w:lang w:val="en-US"/>
        </w:rPr>
        <w:t xml:space="preserve">          (ד)  בלי לגרוע </w:t>
      </w:r>
      <w:proofErr w:type="spellStart"/>
      <w:r w:rsidRPr="00EB24F3">
        <w:rPr>
          <w:rFonts w:ascii="FrankRuehl" w:eastAsia="Times New Roman" w:hAnsi="FrankRuehl" w:cs="FrankRuehl"/>
          <w:sz w:val="26"/>
          <w:szCs w:val="26"/>
          <w:rtl/>
          <w:lang w:val="en-US"/>
        </w:rPr>
        <w:t>מהורואת</w:t>
      </w:r>
      <w:proofErr w:type="spellEnd"/>
      <w:r w:rsidRPr="00EB24F3">
        <w:rPr>
          <w:rFonts w:ascii="FrankRuehl" w:eastAsia="Times New Roman" w:hAnsi="FrankRuehl" w:cs="FrankRuehl"/>
          <w:sz w:val="26"/>
          <w:szCs w:val="26"/>
          <w:rtl/>
          <w:lang w:val="en-US"/>
        </w:rPr>
        <w:t xml:space="preserve"> סעיף קטן (ב)(2), הודה הנאשם בעובדות כתב האישום, בין לאחר שמיעת הראיות ובין לפני כן, יכלול כתב האישום שבו הודה את כל העובדות והנסיבות הקשורות בביצוע העבירה.</w:t>
      </w:r>
    </w:p>
    <w:p w14:paraId="0026051B" w14:textId="77777777" w:rsidR="00EB24F3" w:rsidRPr="00AB5201" w:rsidRDefault="00EB24F3" w:rsidP="008F05D0">
      <w:pPr>
        <w:pStyle w:val="110"/>
        <w:spacing w:line="276" w:lineRule="auto"/>
        <w:rPr>
          <w:b w:val="0"/>
          <w:bCs w:val="0"/>
          <w:u w:val="none"/>
          <w:rtl/>
        </w:rPr>
      </w:pPr>
    </w:p>
    <w:p w14:paraId="58027368" w14:textId="30122BB7" w:rsidR="00520E35" w:rsidRDefault="00814D2B" w:rsidP="008F05D0">
      <w:pPr>
        <w:pStyle w:val="110"/>
        <w:spacing w:line="276" w:lineRule="auto"/>
        <w:rPr>
          <w:b w:val="0"/>
          <w:bCs w:val="0"/>
          <w:u w:val="none"/>
          <w:rtl/>
        </w:rPr>
      </w:pPr>
      <w:r>
        <w:rPr>
          <w:rFonts w:hint="cs"/>
          <w:b w:val="0"/>
          <w:bCs w:val="0"/>
          <w:u w:val="none"/>
          <w:rtl/>
        </w:rPr>
        <w:t xml:space="preserve">אחרי שקובעים את המתחם לפי הפסיקות השונות ולפי הנסיבות וכו', ניתן לקבוע האם אנחנו מקלים או מחמירים במתחם. </w:t>
      </w:r>
    </w:p>
    <w:p w14:paraId="4423E59F" w14:textId="302CCBF2" w:rsidR="00301A1F" w:rsidRDefault="00301A1F" w:rsidP="008F05D0">
      <w:pPr>
        <w:pStyle w:val="110"/>
        <w:spacing w:line="276" w:lineRule="auto"/>
        <w:rPr>
          <w:b w:val="0"/>
          <w:bCs w:val="0"/>
          <w:u w:val="none"/>
          <w:rtl/>
        </w:rPr>
      </w:pPr>
    </w:p>
    <w:p w14:paraId="4198CBD2" w14:textId="308394EC" w:rsidR="00301A1F" w:rsidRPr="00301A1F" w:rsidRDefault="00301A1F" w:rsidP="008F05D0">
      <w:pPr>
        <w:pStyle w:val="2"/>
        <w:rPr>
          <w:rtl/>
        </w:rPr>
      </w:pPr>
      <w:bookmarkStart w:id="60" w:name="_Toc108218216"/>
      <w:r>
        <w:rPr>
          <w:rFonts w:hint="cs"/>
          <w:rtl/>
        </w:rPr>
        <w:t xml:space="preserve">נסיבות </w:t>
      </w:r>
      <w:r w:rsidRPr="00301A1F">
        <w:rPr>
          <w:rFonts w:hint="cs"/>
          <w:rtl/>
        </w:rPr>
        <w:t>שאינן קשורות בביצוע העבירה</w:t>
      </w:r>
      <w:bookmarkEnd w:id="60"/>
      <w:r w:rsidRPr="00301A1F">
        <w:rPr>
          <w:rFonts w:hint="cs"/>
          <w:rtl/>
        </w:rPr>
        <w:t xml:space="preserve"> </w:t>
      </w:r>
    </w:p>
    <w:p w14:paraId="35B19B28"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301A1F">
        <w:rPr>
          <w:rFonts w:ascii="Time New Roman" w:eastAsia="Times New Roman" w:hAnsi="Time New Roman" w:cs="Times New Roman"/>
          <w:b/>
          <w:bCs/>
          <w:color w:val="008000"/>
          <w:sz w:val="27"/>
          <w:szCs w:val="27"/>
          <w:rtl/>
          <w:lang w:val="en-US"/>
        </w:rPr>
        <w:t>נסיבות שאינן קשורות בביצוע העבירה (תיקון מס' 113) תשע"ב-2012</w:t>
      </w:r>
    </w:p>
    <w:p w14:paraId="799A18C2"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Miriam" w:eastAsia="Times New Roman" w:hAnsi="Miriam" w:cs="Miriam"/>
          <w:sz w:val="32"/>
          <w:szCs w:val="32"/>
          <w:rtl/>
          <w:lang w:val="en-US"/>
        </w:rPr>
        <w:t>40</w:t>
      </w:r>
      <w:r w:rsidRPr="00301A1F">
        <w:rPr>
          <w:rFonts w:ascii="FrankRuehl" w:eastAsia="Times New Roman" w:hAnsi="FrankRuehl" w:cs="FrankRuehl"/>
          <w:sz w:val="26"/>
          <w:szCs w:val="26"/>
          <w:rtl/>
          <w:lang w:val="en-US"/>
        </w:rPr>
        <w:t>יא. בגזירת העונש המתאים לנאשם כאמור בסעיף 40ג(ב), רשאי בית המשפט להתחשב בהתקיימות נסיבות שאינן קשורות בביצוע העבירה, המפורטות להלן, ובמידה שבה התקיימו, ככל שסבר כי ראוי לתת להן משקל בנסיבות המקרה, ובלבד שהעונש לא יחרוג ממתחם העונש ההולם:</w:t>
      </w:r>
    </w:p>
    <w:p w14:paraId="27B4B267"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(1)  הפגיעה של העונש בנאשם, לרבות בשל גילו;</w:t>
      </w:r>
    </w:p>
    <w:p w14:paraId="5A2CF0DC"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(2)  הפגיעה של העונש במשפחתו של הנאשם;</w:t>
      </w:r>
    </w:p>
    <w:p w14:paraId="092100CA"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(3)  הנזקים שנגרמו לנאשם מביצוע העבירה ומהרשעתו;</w:t>
      </w:r>
    </w:p>
    <w:p w14:paraId="52280931"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(4)  נטילת האחריות של הנאשם על מעשיו, וחזרתו למוטב או מאמציו לחזור למוטב;</w:t>
      </w:r>
    </w:p>
    <w:p w14:paraId="64F58566"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(5)  מאמצי הנאשם לתיקון תוצאות העבירה ולפיצוי על הנזק שנגרם בשלה;</w:t>
      </w:r>
    </w:p>
    <w:p w14:paraId="3A0B89C6"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(6)  שיתוף הפעולה של הנאשם עם רשויות אכיפת החוק; ואולם כפירה באשמה וניהול משפט על ידי הנאשם לא ייזקפו לחובתו;</w:t>
      </w:r>
    </w:p>
    <w:p w14:paraId="67B14419"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(7)  התנהגותו החיובית של הנאשם ותרומתו לחברה;</w:t>
      </w:r>
    </w:p>
    <w:p w14:paraId="168E64C0"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 xml:space="preserve">(8)  נסיבות חיים קשות של הנאשם </w:t>
      </w:r>
      <w:proofErr w:type="spellStart"/>
      <w:r w:rsidRPr="00301A1F">
        <w:rPr>
          <w:rFonts w:ascii="FrankRuehl" w:eastAsia="Times New Roman" w:hAnsi="FrankRuehl" w:cs="FrankRuehl"/>
          <w:sz w:val="26"/>
          <w:szCs w:val="26"/>
          <w:rtl/>
          <w:lang w:val="en-US"/>
        </w:rPr>
        <w:t>שהיתה</w:t>
      </w:r>
      <w:proofErr w:type="spellEnd"/>
      <w:r w:rsidRPr="00301A1F">
        <w:rPr>
          <w:rFonts w:ascii="FrankRuehl" w:eastAsia="Times New Roman" w:hAnsi="FrankRuehl" w:cs="FrankRuehl"/>
          <w:sz w:val="26"/>
          <w:szCs w:val="26"/>
          <w:rtl/>
          <w:lang w:val="en-US"/>
        </w:rPr>
        <w:t xml:space="preserve"> להן השפעה על ביצוע מעשה העבירה;</w:t>
      </w:r>
    </w:p>
    <w:p w14:paraId="6FBBE247"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(9)  התנהגות רשויות אכיפת החוק;</w:t>
      </w:r>
    </w:p>
    <w:p w14:paraId="15E4B768"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(10) חלוף הזמן מעת ביצוע העבירה;</w:t>
      </w:r>
    </w:p>
    <w:p w14:paraId="025CBCC5" w14:textId="77777777" w:rsidR="00301A1F" w:rsidRPr="00301A1F" w:rsidRDefault="00301A1F"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301A1F">
        <w:rPr>
          <w:rFonts w:ascii="FrankRuehl" w:eastAsia="Times New Roman" w:hAnsi="FrankRuehl" w:cs="FrankRuehl"/>
          <w:sz w:val="26"/>
          <w:szCs w:val="26"/>
          <w:rtl/>
          <w:lang w:val="en-US"/>
        </w:rPr>
        <w:t>(11) עברו הפלילי של הנאשם או העדרו.</w:t>
      </w:r>
    </w:p>
    <w:p w14:paraId="33F4D3A9" w14:textId="5287ADE8" w:rsidR="00814D2B" w:rsidRDefault="00814D2B" w:rsidP="008F05D0">
      <w:pPr>
        <w:bidi/>
        <w:spacing w:after="0" w:line="276" w:lineRule="auto"/>
        <w:jc w:val="both"/>
        <w:rPr>
          <w:rtl/>
        </w:rPr>
      </w:pPr>
    </w:p>
    <w:p w14:paraId="48DDC1F2" w14:textId="77777777" w:rsidR="00A5578F" w:rsidRPr="00A5578F" w:rsidRDefault="00A5578F" w:rsidP="008F05D0">
      <w:pPr>
        <w:bidi/>
        <w:spacing w:after="0" w:line="276" w:lineRule="auto"/>
        <w:jc w:val="both"/>
        <w:rPr>
          <w:rFonts w:ascii="Segoe UI" w:hAnsi="Segoe UI" w:cs="Segoe UI"/>
          <w:rtl/>
        </w:rPr>
      </w:pPr>
      <w:r w:rsidRPr="00A5578F">
        <w:rPr>
          <w:rFonts w:ascii="Segoe UI" w:hAnsi="Segoe UI" w:cs="Segoe UI"/>
          <w:rtl/>
        </w:rPr>
        <w:t>לאחר שבית-המשפט קבע את מתחם העונש ההולם</w:t>
      </w:r>
      <w:r w:rsidRPr="00A5578F">
        <w:rPr>
          <w:rFonts w:ascii="Segoe UI" w:hAnsi="Segoe UI" w:cs="Segoe UI"/>
        </w:rPr>
        <w:t xml:space="preserve"> – </w:t>
      </w:r>
    </w:p>
    <w:p w14:paraId="7E66325C" w14:textId="3DDE5D49" w:rsidR="00A5578F" w:rsidRPr="00A5578F" w:rsidRDefault="00A5578F" w:rsidP="008F05D0">
      <w:pPr>
        <w:bidi/>
        <w:spacing w:after="0" w:line="276" w:lineRule="auto"/>
        <w:jc w:val="both"/>
        <w:rPr>
          <w:rFonts w:ascii="Segoe UI" w:hAnsi="Segoe UI" w:cs="Segoe UI"/>
          <w:rtl/>
          <w:lang w:val="en-US"/>
        </w:rPr>
      </w:pPr>
      <w:r w:rsidRPr="00A5578F">
        <w:rPr>
          <w:rFonts w:ascii="Segoe UI" w:hAnsi="Segoe UI" w:cs="Segoe UI"/>
          <w:rtl/>
        </w:rPr>
        <w:t>עליו לעבור ולקבוע את העונש המתאים לנאשם במסגרת מתחם העונש ההולם</w:t>
      </w:r>
      <w:r w:rsidRPr="00A5578F">
        <w:rPr>
          <w:rFonts w:ascii="Segoe UI" w:hAnsi="Segoe UI" w:cs="Segoe UI"/>
        </w:rPr>
        <w:t>.</w:t>
      </w:r>
    </w:p>
    <w:p w14:paraId="2FC8ADD2" w14:textId="4D7922F8" w:rsidR="00EF6E6D" w:rsidRPr="003D7902" w:rsidRDefault="00A5578F" w:rsidP="008F05D0">
      <w:pPr>
        <w:bidi/>
        <w:spacing w:after="0" w:line="276" w:lineRule="auto"/>
        <w:jc w:val="both"/>
        <w:rPr>
          <w:rFonts w:ascii="Segoe UI" w:hAnsi="Segoe UI" w:cs="Segoe UI"/>
          <w:rtl/>
          <w:lang w:val="en-US"/>
        </w:rPr>
      </w:pPr>
      <w:r w:rsidRPr="00A5578F">
        <w:rPr>
          <w:rFonts w:ascii="Segoe UI" w:hAnsi="Segoe UI" w:cs="Segoe UI"/>
          <w:rtl/>
        </w:rPr>
        <w:t>בשלב זה בית-המשפט רשאי להתחשב  בנסיבות שאינן קשורות בביצוע העבירה, שיש בהן כדי להשפיע על גזירת הדין</w:t>
      </w:r>
      <w:r w:rsidRPr="00A5578F">
        <w:rPr>
          <w:rFonts w:ascii="Segoe UI" w:hAnsi="Segoe UI" w:cs="Segoe UI"/>
        </w:rPr>
        <w:t>.</w:t>
      </w:r>
      <w:r w:rsidR="003D7902">
        <w:rPr>
          <w:rFonts w:ascii="Segoe UI" w:hAnsi="Segoe UI" w:cs="Segoe UI" w:hint="cs"/>
          <w:rtl/>
          <w:lang w:val="en-US"/>
        </w:rPr>
        <w:t xml:space="preserve"> </w:t>
      </w:r>
      <w:r w:rsidRPr="00A5578F">
        <w:rPr>
          <w:rFonts w:ascii="Segoe UI" w:hAnsi="Segoe UI" w:cs="Segoe UI"/>
          <w:rtl/>
        </w:rPr>
        <w:t>כלומר, הנסיבות הקשורות בביצוע העבירה נלקחות בחשבון בקביעת מתחם העונש ההולם, ואילו הנסיבות שאינן קשורות בביצוע העבירה (נטילת אחריות, חיים אישיים) – בשלב גז"ד</w:t>
      </w:r>
      <w:r>
        <w:rPr>
          <w:rFonts w:ascii="Segoe UI" w:hAnsi="Segoe UI" w:cs="Segoe UI" w:hint="cs"/>
          <w:rtl/>
        </w:rPr>
        <w:t>.</w:t>
      </w:r>
    </w:p>
    <w:p w14:paraId="641A596F" w14:textId="61E5E012" w:rsidR="00EF6E6D" w:rsidRDefault="00EF6E6D" w:rsidP="008F05D0">
      <w:pPr>
        <w:bidi/>
        <w:spacing w:after="0" w:line="276" w:lineRule="auto"/>
        <w:jc w:val="both"/>
        <w:rPr>
          <w:rFonts w:ascii="Segoe UI" w:hAnsi="Segoe UI" w:cs="Segoe UI"/>
          <w:rtl/>
        </w:rPr>
      </w:pPr>
    </w:p>
    <w:p w14:paraId="4AD21032" w14:textId="6847C6F8" w:rsidR="00EF6E6D" w:rsidRDefault="00C16E41" w:rsidP="008F05D0">
      <w:pPr>
        <w:pStyle w:val="2"/>
        <w:rPr>
          <w:rtl/>
        </w:rPr>
      </w:pPr>
      <w:bookmarkStart w:id="61" w:name="_Toc108218217"/>
      <w:r>
        <w:rPr>
          <w:rFonts w:hint="cs"/>
          <w:rtl/>
        </w:rPr>
        <w:t>נסיבות נוספות</w:t>
      </w:r>
      <w:bookmarkEnd w:id="61"/>
    </w:p>
    <w:p w14:paraId="5C3B85A6" w14:textId="77777777" w:rsidR="00C16E41" w:rsidRPr="00C16E41" w:rsidRDefault="00C16E41"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C16E41">
        <w:rPr>
          <w:rFonts w:ascii="Time New Roman" w:eastAsia="Times New Roman" w:hAnsi="Time New Roman" w:cs="Times New Roman"/>
          <w:b/>
          <w:bCs/>
          <w:color w:val="008000"/>
          <w:sz w:val="27"/>
          <w:szCs w:val="27"/>
          <w:rtl/>
          <w:lang w:val="en-US"/>
        </w:rPr>
        <w:t>נסיבות נוספות (תיקון מס' 113) תשע"ב-2012</w:t>
      </w:r>
    </w:p>
    <w:p w14:paraId="72830C91" w14:textId="77777777" w:rsidR="00C16E41" w:rsidRPr="00C16E41" w:rsidRDefault="00C16E41"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C16E41">
        <w:rPr>
          <w:rFonts w:ascii="Miriam" w:eastAsia="Times New Roman" w:hAnsi="Miriam" w:cs="Miriam"/>
          <w:sz w:val="32"/>
          <w:szCs w:val="32"/>
          <w:rtl/>
          <w:lang w:val="en-US"/>
        </w:rPr>
        <w:t>40</w:t>
      </w:r>
      <w:r w:rsidRPr="00C16E41">
        <w:rPr>
          <w:rFonts w:ascii="FrankRuehl" w:eastAsia="Times New Roman" w:hAnsi="FrankRuehl" w:cs="FrankRuehl"/>
          <w:sz w:val="26"/>
          <w:szCs w:val="26"/>
          <w:rtl/>
          <w:lang w:val="en-US"/>
        </w:rPr>
        <w:t>יב. אין בהוראות סעיפים 40ט ו-40יא כדי לגרוע מסמכות בית המשפט לשקול נסיבות נוספות הקשורות בביצוע העבירה לשם קביעת מתחם העונש ההולם, וכן נסיבות נוספות שאינן קשורות בביצוע העבירה לשם גזירת העונש המתאים לנאשם.</w:t>
      </w:r>
    </w:p>
    <w:p w14:paraId="755E1354" w14:textId="35186D16" w:rsidR="00C16E41" w:rsidRDefault="00C16E41" w:rsidP="008F05D0">
      <w:pPr>
        <w:bidi/>
        <w:spacing w:after="0" w:line="276" w:lineRule="auto"/>
        <w:jc w:val="both"/>
        <w:rPr>
          <w:rFonts w:ascii="Segoe UI" w:hAnsi="Segoe UI" w:cs="Segoe UI"/>
          <w:rtl/>
          <w:lang w:val="en-ZW"/>
        </w:rPr>
      </w:pPr>
    </w:p>
    <w:p w14:paraId="051DAA4E" w14:textId="4739A6B6" w:rsidR="00C16E41" w:rsidRDefault="00C16E41" w:rsidP="008F05D0">
      <w:pPr>
        <w:pStyle w:val="2"/>
        <w:rPr>
          <w:rtl/>
        </w:rPr>
      </w:pPr>
      <w:bookmarkStart w:id="62" w:name="_Toc108218218"/>
      <w:r>
        <w:rPr>
          <w:rFonts w:hint="cs"/>
          <w:rtl/>
        </w:rPr>
        <w:t>הודאת הנאשם וחסכון בזמן שיפוטי</w:t>
      </w:r>
      <w:bookmarkEnd w:id="62"/>
    </w:p>
    <w:p w14:paraId="09BD6B1D" w14:textId="132F2F00" w:rsidR="00C16E41" w:rsidRDefault="009A70B5" w:rsidP="008F05D0">
      <w:pPr>
        <w:bidi/>
        <w:spacing w:after="0" w:line="276" w:lineRule="auto"/>
        <w:jc w:val="both"/>
        <w:rPr>
          <w:rFonts w:ascii="Segoe UI" w:hAnsi="Segoe UI" w:cs="Segoe UI"/>
          <w:rtl/>
          <w:lang w:val="en-US"/>
        </w:rPr>
      </w:pPr>
      <w:r w:rsidRPr="009A70B5">
        <w:rPr>
          <w:rFonts w:ascii="Segoe UI" w:hAnsi="Segoe UI" w:cs="Segoe UI"/>
          <w:rtl/>
          <w:lang w:val="en-ZW"/>
        </w:rPr>
        <w:t>לא מופיעה נסיבה הנוגעת ל"חסכון בזמנו היקר של בית-המשפט"</w:t>
      </w:r>
      <w:r>
        <w:rPr>
          <w:rFonts w:ascii="Segoe UI" w:hAnsi="Segoe UI" w:cs="Segoe UI" w:hint="cs"/>
          <w:rtl/>
          <w:lang w:val="en-ZW"/>
        </w:rPr>
        <w:t>;</w:t>
      </w:r>
      <w:r>
        <w:rPr>
          <w:rFonts w:ascii="Segoe UI" w:hAnsi="Segoe UI" w:cs="Segoe UI" w:hint="cs"/>
          <w:rtl/>
          <w:lang w:val="en-US"/>
        </w:rPr>
        <w:t xml:space="preserve"> </w:t>
      </w:r>
      <w:r w:rsidRPr="009A70B5">
        <w:rPr>
          <w:rFonts w:ascii="Segoe UI" w:hAnsi="Segoe UI" w:cs="Segoe UI"/>
          <w:rtl/>
          <w:lang w:val="en-ZW"/>
        </w:rPr>
        <w:t>מופיעות אמנם נסיבות הנוגעות ל"נטילת האחריות של הנאשם על מעשיו" וכן "שיתוף הפעולה של הנאשם עם רשויות אכיפת החוק"</w:t>
      </w:r>
      <w:r>
        <w:rPr>
          <w:rFonts w:ascii="Segoe UI" w:hAnsi="Segoe UI" w:cs="Segoe UI" w:hint="cs"/>
          <w:rtl/>
          <w:lang w:val="en-ZW"/>
        </w:rPr>
        <w:t>;</w:t>
      </w:r>
      <w:r>
        <w:rPr>
          <w:rFonts w:ascii="Segoe UI" w:hAnsi="Segoe UI" w:cs="Segoe UI" w:hint="cs"/>
          <w:rtl/>
          <w:lang w:val="en-US"/>
        </w:rPr>
        <w:t xml:space="preserve"> </w:t>
      </w:r>
      <w:r w:rsidRPr="009A70B5">
        <w:rPr>
          <w:rFonts w:ascii="Segoe UI" w:hAnsi="Segoe UI" w:cs="Segoe UI"/>
          <w:rtl/>
          <w:lang w:val="en-ZW"/>
        </w:rPr>
        <w:t>חיסכון בזמן שיפוטי – אינו שיקול</w:t>
      </w:r>
      <w:r>
        <w:rPr>
          <w:rFonts w:ascii="Segoe UI" w:hAnsi="Segoe UI" w:cs="Segoe UI" w:hint="cs"/>
          <w:rtl/>
          <w:lang w:val="en-ZW"/>
        </w:rPr>
        <w:t>;</w:t>
      </w:r>
      <w:r>
        <w:rPr>
          <w:rFonts w:ascii="Segoe UI" w:hAnsi="Segoe UI" w:cs="Segoe UI" w:hint="cs"/>
          <w:rtl/>
          <w:lang w:val="en-US"/>
        </w:rPr>
        <w:t xml:space="preserve"> </w:t>
      </w:r>
      <w:r w:rsidRPr="009A70B5">
        <w:rPr>
          <w:rFonts w:ascii="Segoe UI" w:hAnsi="Segoe UI" w:cs="Segoe UI"/>
          <w:rtl/>
          <w:lang w:val="en-ZW"/>
        </w:rPr>
        <w:t>עם זאת, מדובר ברשימה "פתוחה".</w:t>
      </w:r>
    </w:p>
    <w:p w14:paraId="142AC774" w14:textId="77777777" w:rsidR="008D4A50" w:rsidRPr="008D4A50" w:rsidRDefault="008D4A50" w:rsidP="008F05D0">
      <w:pPr>
        <w:bidi/>
        <w:spacing w:after="0" w:line="276" w:lineRule="auto"/>
        <w:jc w:val="both"/>
        <w:rPr>
          <w:rFonts w:ascii="Segoe UI" w:hAnsi="Segoe UI" w:cs="Segoe UI"/>
          <w:rtl/>
          <w:lang w:val="en-US"/>
        </w:rPr>
      </w:pPr>
    </w:p>
    <w:p w14:paraId="1051E724" w14:textId="42C4C6BF" w:rsidR="00E04D08" w:rsidRPr="009A70B5" w:rsidRDefault="00E04D08" w:rsidP="008F05D0">
      <w:pPr>
        <w:pStyle w:val="2"/>
        <w:rPr>
          <w:rtl/>
        </w:rPr>
      </w:pPr>
      <w:bookmarkStart w:id="63" w:name="_Toc108218219"/>
      <w:r>
        <w:rPr>
          <w:rFonts w:hint="cs"/>
          <w:rtl/>
        </w:rPr>
        <w:t>ריבוי עבירות</w:t>
      </w:r>
      <w:bookmarkEnd w:id="63"/>
    </w:p>
    <w:p w14:paraId="64FA1E9D" w14:textId="77777777" w:rsidR="00E04D08" w:rsidRPr="00E04D08" w:rsidRDefault="00E04D08"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E04D08">
        <w:rPr>
          <w:rFonts w:ascii="Time New Roman" w:eastAsia="Times New Roman" w:hAnsi="Time New Roman" w:cs="Times New Roman"/>
          <w:b/>
          <w:bCs/>
          <w:color w:val="008000"/>
          <w:sz w:val="27"/>
          <w:szCs w:val="27"/>
          <w:rtl/>
          <w:lang w:val="en-US"/>
        </w:rPr>
        <w:t>ריבוי עבירות (תיקון מס' 113) תשע"ב-2012</w:t>
      </w:r>
    </w:p>
    <w:p w14:paraId="6A754872" w14:textId="77777777" w:rsidR="00E04D08" w:rsidRPr="00E04D08" w:rsidRDefault="00E04D08"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04D08">
        <w:rPr>
          <w:rFonts w:ascii="Miriam" w:eastAsia="Times New Roman" w:hAnsi="Miriam" w:cs="Miriam"/>
          <w:sz w:val="32"/>
          <w:szCs w:val="32"/>
          <w:rtl/>
          <w:lang w:val="en-US"/>
        </w:rPr>
        <w:t>40</w:t>
      </w:r>
      <w:r w:rsidRPr="00E04D08">
        <w:rPr>
          <w:rFonts w:ascii="FrankRuehl" w:eastAsia="Times New Roman" w:hAnsi="FrankRuehl" w:cs="FrankRuehl"/>
          <w:sz w:val="26"/>
          <w:szCs w:val="26"/>
          <w:rtl/>
          <w:lang w:val="en-US"/>
        </w:rPr>
        <w:t xml:space="preserve">יג.  (א)  הרשיע בית המשפט נאשם </w:t>
      </w:r>
      <w:r w:rsidRPr="00E04D08">
        <w:rPr>
          <w:rFonts w:ascii="FrankRuehl" w:eastAsia="Times New Roman" w:hAnsi="FrankRuehl" w:cs="FrankRuehl"/>
          <w:b/>
          <w:bCs/>
          <w:sz w:val="26"/>
          <w:szCs w:val="26"/>
          <w:u w:val="single"/>
          <w:rtl/>
          <w:lang w:val="en-US"/>
        </w:rPr>
        <w:t>בכמה עבירות המהוות אירוע אחד</w:t>
      </w:r>
      <w:r w:rsidRPr="00E04D08">
        <w:rPr>
          <w:rFonts w:ascii="FrankRuehl" w:eastAsia="Times New Roman" w:hAnsi="FrankRuehl" w:cs="FrankRuehl"/>
          <w:sz w:val="26"/>
          <w:szCs w:val="26"/>
          <w:rtl/>
          <w:lang w:val="en-US"/>
        </w:rPr>
        <w:t xml:space="preserve">, יקבע מתחם עונש הולם כאמור בסעיף 40ג(א) לאירוע כולו, </w:t>
      </w:r>
      <w:r w:rsidRPr="00E04D08">
        <w:rPr>
          <w:rFonts w:ascii="FrankRuehl" w:eastAsia="Times New Roman" w:hAnsi="FrankRuehl" w:cs="FrankRuehl"/>
          <w:b/>
          <w:bCs/>
          <w:sz w:val="26"/>
          <w:szCs w:val="26"/>
          <w:u w:val="single"/>
          <w:rtl/>
          <w:lang w:val="en-US"/>
        </w:rPr>
        <w:t>ויגזור עונש כולל לכל העבירות בשל אותו אירוע.</w:t>
      </w:r>
    </w:p>
    <w:p w14:paraId="30692E55" w14:textId="77777777" w:rsidR="00E04D08" w:rsidRPr="00E04D08" w:rsidRDefault="00E04D08"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04D08">
        <w:rPr>
          <w:rFonts w:ascii="FrankRuehl" w:eastAsia="Times New Roman" w:hAnsi="FrankRuehl" w:cs="FrankRuehl"/>
          <w:sz w:val="26"/>
          <w:szCs w:val="26"/>
          <w:rtl/>
          <w:lang w:val="en-US"/>
        </w:rPr>
        <w:t>          (ב)  הרשיע בית המשפט נאשם בכמה עבירות המהוות כמה אירועים, יקבע מתחם עונש הולם כאמור בסעיף 40ג(א) לכל אירוע בנפרד, ולאחר מכן רשאי הוא לגזור עונש נפרד לכל אירוע או עונש כולל לכל האירועים; גזר בית המשפט עונש נפרד לכל אירוע, יקבע את מידת החפיפה בין העונשים או הצטברותם.</w:t>
      </w:r>
    </w:p>
    <w:p w14:paraId="4E234274" w14:textId="77777777" w:rsidR="00E04D08" w:rsidRPr="00E04D08" w:rsidRDefault="00E04D08"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E04D08">
        <w:rPr>
          <w:rFonts w:ascii="FrankRuehl" w:eastAsia="Times New Roman" w:hAnsi="FrankRuehl" w:cs="FrankRuehl"/>
          <w:sz w:val="26"/>
          <w:szCs w:val="26"/>
          <w:rtl/>
          <w:lang w:val="en-US"/>
        </w:rPr>
        <w:t>          (ג)   בגזירת העונש לפי סעיף זה, יתחשב בית המשפט, בין השאר, במספר העבירות, בתדירותן ובזיקה ביניהן, וישמור על יחס הולם בין חומרת מכלול המעשים ומידת אשמו של הנאשם לבין סוג העונש, ואם גזר עונש מאסר – לבין תקופת המאסר שעל הנאשם לשאת.</w:t>
      </w:r>
    </w:p>
    <w:p w14:paraId="66780FE3" w14:textId="4992F50E" w:rsidR="00520E35" w:rsidRPr="00BE54DF" w:rsidRDefault="00520E35" w:rsidP="008F05D0">
      <w:pPr>
        <w:bidi/>
        <w:spacing w:after="0" w:line="276" w:lineRule="auto"/>
        <w:jc w:val="both"/>
        <w:rPr>
          <w:rFonts w:ascii="Segoe UI" w:hAnsi="Segoe UI" w:cs="Segoe UI"/>
          <w:rtl/>
        </w:rPr>
      </w:pPr>
    </w:p>
    <w:p w14:paraId="25CFE803" w14:textId="62A78DA9" w:rsidR="00BE54DF" w:rsidRDefault="00086D6D" w:rsidP="008F05D0">
      <w:pPr>
        <w:bidi/>
        <w:spacing w:after="0" w:line="276" w:lineRule="auto"/>
        <w:jc w:val="both"/>
        <w:rPr>
          <w:rFonts w:ascii="Segoe UI" w:hAnsi="Segoe UI" w:cs="Segoe UI"/>
          <w:color w:val="7030A0"/>
          <w:rtl/>
        </w:rPr>
      </w:pPr>
      <w:r>
        <w:rPr>
          <w:rFonts w:ascii="Segoe UI" w:hAnsi="Segoe UI" w:cs="Segoe UI" w:hint="cs"/>
          <w:color w:val="7030A0"/>
          <w:rtl/>
        </w:rPr>
        <w:t>דוג' לריבוי עבירות:</w:t>
      </w:r>
    </w:p>
    <w:p w14:paraId="50F27ECF" w14:textId="4132710E" w:rsidR="00086D6D" w:rsidRPr="00086D6D" w:rsidRDefault="00086D6D" w:rsidP="008F05D0">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rPr>
      </w:pPr>
      <w:r w:rsidRPr="00E1736B">
        <w:rPr>
          <w:rFonts w:ascii="Segoe UI" w:hAnsi="Segoe UI" w:cs="Segoe UI" w:hint="cs"/>
          <w:highlight w:val="yellow"/>
          <w:rtl/>
        </w:rPr>
        <w:t xml:space="preserve">ע"פ 8641/12 </w:t>
      </w:r>
      <w:r w:rsidRPr="00E1736B">
        <w:rPr>
          <w:rFonts w:ascii="Segoe UI" w:hAnsi="Segoe UI" w:cs="Segoe UI" w:hint="cs"/>
          <w:b/>
          <w:bCs/>
          <w:highlight w:val="yellow"/>
          <w:rtl/>
        </w:rPr>
        <w:t>סעד נ' מדינת ישראל</w:t>
      </w:r>
    </w:p>
    <w:p w14:paraId="2DFC77F6" w14:textId="4A598238" w:rsidR="00BE54DF" w:rsidRPr="00345CAE" w:rsidRDefault="00345CAE"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345CAE">
        <w:rPr>
          <w:rFonts w:ascii="Segoe UI" w:hAnsi="Segoe UI" w:cs="Segoe UI"/>
          <w:rtl/>
        </w:rPr>
        <w:t xml:space="preserve">ערעורים מזה ומזה על פסק הדין של ביהמ"ש המחוזי בחיפה, בגדרו הורשע המערער בחבלה בכוונה מחמירה, בהחזקת נשק שלא כדין, ובנשיאה והובלת נשק; הושת עליו עונש של 42 חודשי מאסר ו-18 חודשי מאסר על-תנאי; והוא חויב בתשלום פיצויים למתלונן בסך של 15,000 ₪. המערער מערער על הרשעתו בדין ועל חומרת העונש (ע"פ 8641/12), ואילו המדינה מערערת על </w:t>
      </w:r>
      <w:proofErr w:type="spellStart"/>
      <w:r w:rsidRPr="00345CAE">
        <w:rPr>
          <w:rFonts w:ascii="Segoe UI" w:hAnsi="Segoe UI" w:cs="Segoe UI"/>
          <w:rtl/>
        </w:rPr>
        <w:t>קוּלתו</w:t>
      </w:r>
      <w:proofErr w:type="spellEnd"/>
      <w:r w:rsidRPr="00345CAE">
        <w:rPr>
          <w:rFonts w:ascii="Segoe UI" w:hAnsi="Segoe UI" w:cs="Segoe UI"/>
          <w:rtl/>
        </w:rPr>
        <w:t xml:space="preserve"> (ע"פ 8678/12). שני הצדדים סבורים כי ביהמ"ש המחוזי שגה ביישום הוראות תיקון 113 לחוק העונשין.</w:t>
      </w:r>
    </w:p>
    <w:p w14:paraId="396331EA" w14:textId="2FE693BE" w:rsidR="00086D6D" w:rsidRDefault="00345CAE"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345CAE">
        <w:rPr>
          <w:rFonts w:ascii="Segoe UI" w:hAnsi="Segoe UI" w:cs="Segoe UI"/>
          <w:rtl/>
        </w:rPr>
        <w:t xml:space="preserve">על-פי כתב האישום סבר המערער כי </w:t>
      </w:r>
      <w:proofErr w:type="spellStart"/>
      <w:r w:rsidRPr="00345CAE">
        <w:rPr>
          <w:rFonts w:ascii="Segoe UI" w:hAnsi="Segoe UI" w:cs="Segoe UI"/>
          <w:rtl/>
        </w:rPr>
        <w:t>מוסעב</w:t>
      </w:r>
      <w:proofErr w:type="spellEnd"/>
      <w:r w:rsidRPr="00345CAE">
        <w:rPr>
          <w:rFonts w:ascii="Segoe UI" w:hAnsi="Segoe UI" w:cs="Segoe UI"/>
          <w:rtl/>
        </w:rPr>
        <w:t xml:space="preserve"> </w:t>
      </w:r>
      <w:proofErr w:type="spellStart"/>
      <w:r w:rsidRPr="00345CAE">
        <w:rPr>
          <w:rFonts w:ascii="Segoe UI" w:hAnsi="Segoe UI" w:cs="Segoe UI"/>
          <w:rtl/>
        </w:rPr>
        <w:t>מחאמיד</w:t>
      </w:r>
      <w:proofErr w:type="spellEnd"/>
      <w:r w:rsidRPr="00345CAE">
        <w:rPr>
          <w:rFonts w:ascii="Segoe UI" w:hAnsi="Segoe UI" w:cs="Segoe UI"/>
          <w:rtl/>
        </w:rPr>
        <w:t xml:space="preserve"> (להלן: המתלונן) קשור לאירוע משנת 2009 אשר במהלכו נורה דוֹדוֹ ונפצע, או שהמתלונן הפיץ שמועות בנוגע לכך. על הרקע הזה, אחרי </w:t>
      </w:r>
      <w:proofErr w:type="spellStart"/>
      <w:r w:rsidRPr="00345CAE">
        <w:rPr>
          <w:rFonts w:ascii="Segoe UI" w:hAnsi="Segoe UI" w:cs="Segoe UI"/>
          <w:rtl/>
        </w:rPr>
        <w:t>צהרי</w:t>
      </w:r>
      <w:proofErr w:type="spellEnd"/>
      <w:r w:rsidRPr="00345CAE">
        <w:rPr>
          <w:rFonts w:ascii="Segoe UI" w:hAnsi="Segoe UI" w:cs="Segoe UI"/>
          <w:rtl/>
        </w:rPr>
        <w:t xml:space="preserve"> יום 15.4.2011 הגיע המערער לבית קפה באום אל פחם במכונית מאזדה 3 כּסוּפה, וקרא למתלונן שישב שם באותה שעה, לעלות למכוניתו ולנסוע עמו. במהלך הנסיעה אמר המערער למתלונן שהוא "לא בסדר" בכך שהוא מפיץ בעיר שמועות על משפחתו. בשלב מסוים עצר המערער את המכונית ליד ביתו, הביא מן הבית אקדח שחור ובו כדורים בקוטר 9 מ"מ, והמשיך בנסיעה עם המתלונן עד אשר הגיעו למגרש חניה ליד השוק. המערער אמר שם למתלונן לרדת מהמכונית מאחר והוא רוצה לשוחח עמו. השניים יצאו מן המכונית והחלו ללכת בחניה ולשוחח. במהלך השיחה שאל המערער את המתלונן בכעס מדוע הוא מפיץ שמועות בעיר על כך שירה על משפחת המערער ועל בֵּיתו. בהמשך, שלף המערער את אקדחו וירה שלוש או ארבע יריות לכיוון רגליו של המתלונן. שלוש מתוכן פגעו במתלונן. קליע אחד פגע בירך שמאל וגרם לאיסכמיה ולפגיעה בעורק </w:t>
      </w:r>
      <w:proofErr w:type="spellStart"/>
      <w:r w:rsidRPr="00345CAE">
        <w:rPr>
          <w:rFonts w:ascii="Segoe UI" w:hAnsi="Segoe UI" w:cs="Segoe UI"/>
          <w:rtl/>
        </w:rPr>
        <w:t>ובוריד</w:t>
      </w:r>
      <w:proofErr w:type="spellEnd"/>
      <w:r w:rsidRPr="00345CAE">
        <w:rPr>
          <w:rFonts w:ascii="Segoe UI" w:hAnsi="Segoe UI" w:cs="Segoe UI"/>
          <w:rtl/>
        </w:rPr>
        <w:t>. שני קליעים פגעו ברגל ימין, בירך ובשוק, וגרמו לשבר בעצם ולקריעה של הוריד. המתלונן נאלץ לעבור ניתוחים לתיקון הנזקים בשתי רגליו.</w:t>
      </w:r>
    </w:p>
    <w:p w14:paraId="3BBEAFE6" w14:textId="589CD9F3" w:rsidR="00F366F2"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Pr>
          <w:rFonts w:ascii="Segoe UI" w:hAnsi="Segoe UI" w:cs="Segoe UI" w:hint="cs"/>
          <w:rtl/>
        </w:rPr>
        <w:t>--</w:t>
      </w:r>
    </w:p>
    <w:p w14:paraId="266A27BB" w14:textId="708FF38C" w:rsidR="00F366F2" w:rsidRPr="00A14056"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b/>
          <w:bCs/>
          <w:rtl/>
        </w:rPr>
      </w:pPr>
      <w:r w:rsidRPr="00A14056">
        <w:rPr>
          <w:rFonts w:ascii="Segoe UI" w:hAnsi="Segoe UI" w:cs="Segoe UI"/>
          <w:b/>
          <w:bCs/>
          <w:rtl/>
        </w:rPr>
        <w:t>מן הכלל אל הפרט</w:t>
      </w:r>
    </w:p>
    <w:p w14:paraId="5182FC89" w14:textId="7F93DA54" w:rsidR="00F366F2" w:rsidRPr="00F366F2"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F366F2">
        <w:rPr>
          <w:rFonts w:ascii="Segoe UI" w:hAnsi="Segoe UI" w:cs="Segoe UI"/>
          <w:rtl/>
        </w:rPr>
        <w:t>30</w:t>
      </w:r>
      <w:r w:rsidRPr="00F366F2">
        <w:rPr>
          <w:rFonts w:ascii="Segoe UI" w:hAnsi="Segoe UI" w:cs="Segoe UI"/>
        </w:rPr>
        <w:t>.</w:t>
      </w:r>
      <w:r w:rsidR="00A14056">
        <w:rPr>
          <w:rFonts w:ascii="Segoe UI" w:hAnsi="Segoe UI" w:cs="Segoe UI" w:hint="cs"/>
          <w:rtl/>
        </w:rPr>
        <w:t xml:space="preserve"> </w:t>
      </w:r>
      <w:r w:rsidRPr="00F366F2">
        <w:rPr>
          <w:rFonts w:ascii="Segoe UI" w:hAnsi="Segoe UI" w:cs="Segoe UI"/>
          <w:rtl/>
        </w:rPr>
        <w:t xml:space="preserve">כאמור, בית המשפט גזר על המערער 42 חודשי מאסר לריצוי בפועל ו-18 חודשי מאסר על-תנאי, וחייבוֹ בתשלום פיצוי למתלונן בסך של 15,000 ₪. בעיקרו של דבר, דומני, ההלכה הנוהגת באשר להתערבות ערכאת הערעור בעונשו של נאשם תיוותר על כנה גם לאחר חקיקתו של תיקון 113. קרי, גם בעידן שבא לפתחנו תוסיף דרך הכלל להיות שערכאת הערעור לא תתערב בעונש שהושת על-ידי הערכאה הדיונית, </w:t>
      </w:r>
      <w:r w:rsidRPr="00F366F2">
        <w:rPr>
          <w:rFonts w:ascii="Segoe UI" w:hAnsi="Segoe UI" w:cs="Segoe UI"/>
          <w:rtl/>
        </w:rPr>
        <w:lastRenderedPageBreak/>
        <w:t xml:space="preserve">אלא אם העונש סוטה במידה קיצונית מרמת הענישה הראויה, או כאשר נפלה טעות מהותית בגזר הדין, או בנסיבות מיוחדות אחרות אשר יצדיקו חריגה מהכלל. אין בעצם התיקון שנעשה כדי לשנות מטעמֵי הגישה הנוהגת, המפקידה את עיקר שיקול הדעת בענישה אצל הערכאה הדיונית לעשות </w:t>
      </w:r>
      <w:proofErr w:type="spellStart"/>
      <w:r w:rsidRPr="00F366F2">
        <w:rPr>
          <w:rFonts w:ascii="Segoe UI" w:hAnsi="Segoe UI" w:cs="Segoe UI"/>
          <w:rtl/>
        </w:rPr>
        <w:t>כחכמתה</w:t>
      </w:r>
      <w:proofErr w:type="spellEnd"/>
      <w:r w:rsidRPr="00F366F2">
        <w:rPr>
          <w:rFonts w:ascii="Segoe UI" w:hAnsi="Segoe UI" w:cs="Segoe UI"/>
          <w:rtl/>
        </w:rPr>
        <w:t xml:space="preserve"> על-פי המכלול שלפניה</w:t>
      </w:r>
      <w:r w:rsidRPr="00F366F2">
        <w:rPr>
          <w:rFonts w:ascii="Segoe UI" w:hAnsi="Segoe UI" w:cs="Segoe UI"/>
        </w:rPr>
        <w:t>.</w:t>
      </w:r>
    </w:p>
    <w:p w14:paraId="4605EC3D" w14:textId="5150A1C8" w:rsidR="00F366F2" w:rsidRPr="00F366F2"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F366F2">
        <w:rPr>
          <w:rFonts w:ascii="Segoe UI" w:hAnsi="Segoe UI" w:cs="Segoe UI"/>
          <w:rtl/>
        </w:rPr>
        <w:t>31</w:t>
      </w:r>
      <w:r w:rsidR="00A14056">
        <w:rPr>
          <w:rFonts w:ascii="Segoe UI" w:hAnsi="Segoe UI" w:cs="Segoe UI" w:hint="cs"/>
          <w:rtl/>
          <w:lang w:val="en-US"/>
        </w:rPr>
        <w:t xml:space="preserve">. </w:t>
      </w:r>
      <w:r w:rsidRPr="00F366F2">
        <w:rPr>
          <w:rFonts w:ascii="Segoe UI" w:hAnsi="Segoe UI" w:cs="Segoe UI"/>
          <w:rtl/>
        </w:rPr>
        <w:t xml:space="preserve">לאחר בחינת נסיבות עניינו של המערער במשקפי תיקון 113, דומני כי דינו של הערעור שהגישה המדינה להתקבל. בית המשפט הקל בעונשו של המערער יתר על המידה, עד כדי שהעונש סוטה במידה קיצונית מן הענישה הראויה. לבד מכך, כפי שנטען בשני הערעורים נגד גזר הדין, אף אני סבור כי נפלה טעות בדרך הילוכו של בית המשפט המחוזי, בהעדר הנמקה כנדרש לגבי חלק מן השלבים, ובהימנעות מקביעת מתחם ענישה. כפועל יוצא מכך, לא הבהיר בית המשפט המחוזי האם העונש שגזר על המערער מצוי בתוך מתחם הענישה או חורג ממנו </w:t>
      </w:r>
      <w:proofErr w:type="spellStart"/>
      <w:r w:rsidRPr="00F366F2">
        <w:rPr>
          <w:rFonts w:ascii="Segoe UI" w:hAnsi="Segoe UI" w:cs="Segoe UI"/>
          <w:rtl/>
        </w:rPr>
        <w:t>לקולא</w:t>
      </w:r>
      <w:proofErr w:type="spellEnd"/>
      <w:r w:rsidRPr="00F366F2">
        <w:rPr>
          <w:rFonts w:ascii="Segoe UI" w:hAnsi="Segoe UI" w:cs="Segoe UI"/>
          <w:rtl/>
        </w:rPr>
        <w:t>. בכך לא קוימה כוונת המחוקק בתיקון 113 להבניית שיקול הדעת השיפוטי, ואין ניתן לבחון אם נשקלו כל השיקולים הצריכים לעניין, על-פי משקלם ובאיזון הולם</w:t>
      </w:r>
      <w:r w:rsidRPr="00F366F2">
        <w:rPr>
          <w:rFonts w:ascii="Segoe UI" w:hAnsi="Segoe UI" w:cs="Segoe UI"/>
        </w:rPr>
        <w:t>.</w:t>
      </w:r>
    </w:p>
    <w:p w14:paraId="5D60D255" w14:textId="55B76DC5" w:rsidR="00F366F2" w:rsidRPr="00F366F2"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p>
    <w:p w14:paraId="4C66B10E" w14:textId="4AC95AC6" w:rsidR="00F366F2" w:rsidRPr="00545A16"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b/>
          <w:bCs/>
          <w:color w:val="FF0000"/>
          <w:u w:val="single"/>
          <w:rtl/>
        </w:rPr>
      </w:pPr>
      <w:r w:rsidRPr="00F366F2">
        <w:rPr>
          <w:rFonts w:ascii="Segoe UI" w:hAnsi="Segoe UI" w:cs="Segoe UI"/>
          <w:rtl/>
        </w:rPr>
        <w:t>3</w:t>
      </w:r>
      <w:r w:rsidR="00A14056">
        <w:rPr>
          <w:rFonts w:ascii="Segoe UI" w:hAnsi="Segoe UI" w:cs="Segoe UI" w:hint="cs"/>
          <w:rtl/>
        </w:rPr>
        <w:t>2.</w:t>
      </w:r>
      <w:r w:rsidRPr="00F366F2">
        <w:rPr>
          <w:rFonts w:ascii="Segoe UI" w:hAnsi="Segoe UI" w:cs="Segoe UI"/>
        </w:rPr>
        <w:t xml:space="preserve"> </w:t>
      </w:r>
      <w:r w:rsidRPr="00575067">
        <w:rPr>
          <w:rFonts w:ascii="Segoe UI" w:hAnsi="Segoe UI" w:cs="Segoe UI"/>
          <w:b/>
          <w:bCs/>
          <w:u w:val="single"/>
          <w:rtl/>
        </w:rPr>
        <w:t>השלב הראשון-המקדמי</w:t>
      </w:r>
      <w:r w:rsidRPr="00F366F2">
        <w:rPr>
          <w:rFonts w:ascii="Segoe UI" w:hAnsi="Segoe UI" w:cs="Segoe UI"/>
          <w:rtl/>
        </w:rPr>
        <w:t xml:space="preserve">  – </w:t>
      </w:r>
      <w:r w:rsidRPr="00575067">
        <w:rPr>
          <w:rFonts w:ascii="Segoe UI" w:hAnsi="Segoe UI" w:cs="Segoe UI"/>
          <w:b/>
          <w:bCs/>
          <w:color w:val="FF0000"/>
          <w:rtl/>
        </w:rPr>
        <w:t>ריבוי עבירות</w:t>
      </w:r>
      <w:r w:rsidRPr="00F366F2">
        <w:rPr>
          <w:rFonts w:ascii="Segoe UI" w:hAnsi="Segoe UI" w:cs="Segoe UI"/>
          <w:rtl/>
        </w:rPr>
        <w:t xml:space="preserve">: המערער אכן הורשע בכמה עבירות – חבלה בכוונה מחמירה, החזקת נשק שלא כדין, ונשיאה והובלת נשק. לטעמי, לפי המתואר בכתב האישום (פסקה 2 לעיל), </w:t>
      </w:r>
      <w:r w:rsidRPr="00545A16">
        <w:rPr>
          <w:rFonts w:ascii="Segoe UI" w:hAnsi="Segoe UI" w:cs="Segoe UI"/>
          <w:b/>
          <w:bCs/>
          <w:color w:val="FF0000"/>
          <w:u w:val="single"/>
          <w:rtl/>
        </w:rPr>
        <w:t>מדובר בעבירות המהוות אירוע אחד – אירוע הירי על המתלונן, שם נשא המערער את הנשק שהוחזק אצלו שלא כדין, השתמש בו נגד המתלונן וגרם לו לחבלה בכוונה מחמירה. מכיוון שמדובר באירוע אחד, נתקדם לשני השלבים הבאים</w:t>
      </w:r>
      <w:r w:rsidRPr="00545A16">
        <w:rPr>
          <w:rFonts w:ascii="Segoe UI" w:hAnsi="Segoe UI" w:cs="Segoe UI"/>
          <w:b/>
          <w:bCs/>
          <w:color w:val="FF0000"/>
          <w:u w:val="single"/>
        </w:rPr>
        <w:t>.</w:t>
      </w:r>
    </w:p>
    <w:p w14:paraId="471641DD" w14:textId="77777777" w:rsidR="00575067"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F366F2">
        <w:rPr>
          <w:rFonts w:ascii="Segoe UI" w:hAnsi="Segoe UI" w:cs="Segoe UI"/>
          <w:rtl/>
        </w:rPr>
        <w:t>3</w:t>
      </w:r>
      <w:r w:rsidR="00A14056">
        <w:rPr>
          <w:rFonts w:ascii="Segoe UI" w:hAnsi="Segoe UI" w:cs="Segoe UI" w:hint="cs"/>
          <w:rtl/>
        </w:rPr>
        <w:t>3.</w:t>
      </w:r>
      <w:r w:rsidRPr="00F366F2">
        <w:rPr>
          <w:rFonts w:ascii="Segoe UI" w:hAnsi="Segoe UI" w:cs="Segoe UI"/>
        </w:rPr>
        <w:t xml:space="preserve"> </w:t>
      </w:r>
      <w:r w:rsidRPr="00575067">
        <w:rPr>
          <w:rFonts w:ascii="Segoe UI" w:hAnsi="Segoe UI" w:cs="Segoe UI"/>
          <w:b/>
          <w:bCs/>
          <w:u w:val="single"/>
          <w:rtl/>
        </w:rPr>
        <w:t>השלב השני</w:t>
      </w:r>
      <w:r w:rsidRPr="00F366F2">
        <w:rPr>
          <w:rFonts w:ascii="Segoe UI" w:hAnsi="Segoe UI" w:cs="Segoe UI"/>
          <w:rtl/>
        </w:rPr>
        <w:t xml:space="preserve"> - </w:t>
      </w:r>
      <w:r w:rsidRPr="00575067">
        <w:rPr>
          <w:rFonts w:ascii="Segoe UI" w:hAnsi="Segoe UI" w:cs="Segoe UI"/>
          <w:b/>
          <w:bCs/>
          <w:color w:val="FF0000"/>
          <w:rtl/>
        </w:rPr>
        <w:t>מתחם הענישה</w:t>
      </w:r>
      <w:r w:rsidRPr="00F366F2">
        <w:rPr>
          <w:rFonts w:ascii="Segoe UI" w:hAnsi="Segoe UI" w:cs="Segoe UI"/>
          <w:rtl/>
        </w:rPr>
        <w:t>. כפי שפורט לעיל, בקביעת המתחם יש לבחון שלוש אמות מידה</w:t>
      </w:r>
      <w:r w:rsidRPr="00F366F2">
        <w:rPr>
          <w:rFonts w:ascii="Segoe UI" w:hAnsi="Segoe UI" w:cs="Segoe UI"/>
        </w:rPr>
        <w:t>.</w:t>
      </w:r>
    </w:p>
    <w:p w14:paraId="10E83C1C" w14:textId="77777777" w:rsidR="00575067"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F366F2">
        <w:rPr>
          <w:rFonts w:ascii="Segoe UI" w:hAnsi="Segoe UI" w:cs="Segoe UI"/>
          <w:rtl/>
        </w:rPr>
        <w:t xml:space="preserve">(א) </w:t>
      </w:r>
      <w:r w:rsidRPr="00201728">
        <w:rPr>
          <w:rFonts w:ascii="Segoe UI" w:hAnsi="Segoe UI" w:cs="Segoe UI"/>
          <w:b/>
          <w:bCs/>
          <w:rtl/>
        </w:rPr>
        <w:t>הערך החברתי שנפגע מביצוע העבירה</w:t>
      </w:r>
      <w:r w:rsidRPr="00F366F2">
        <w:rPr>
          <w:rFonts w:ascii="Segoe UI" w:hAnsi="Segoe UI" w:cs="Segoe UI"/>
          <w:rtl/>
        </w:rPr>
        <w:t xml:space="preserve"> מצוי ברף העליון של הערכים המוגנים, וברף העליון של עבירות האלימות – פגיעה קשה בגופו של אדם באמצעות נשק חם. ירי בפרהסיה, אחר </w:t>
      </w:r>
      <w:proofErr w:type="spellStart"/>
      <w:r w:rsidRPr="00F366F2">
        <w:rPr>
          <w:rFonts w:ascii="Segoe UI" w:hAnsi="Segoe UI" w:cs="Segoe UI"/>
          <w:rtl/>
        </w:rPr>
        <w:t>צהרי</w:t>
      </w:r>
      <w:proofErr w:type="spellEnd"/>
      <w:r w:rsidRPr="00F366F2">
        <w:rPr>
          <w:rFonts w:ascii="Segoe UI" w:hAnsi="Segoe UI" w:cs="Segoe UI"/>
          <w:rtl/>
        </w:rPr>
        <w:t xml:space="preserve"> היום, צופן בחובו פגיעה רבה וקשה: פגיעה במתלונן, שקרוב היה לקפח את חייו, ופגיעה בציבור וביחידיו, בתחושת הבטחון, ובכלל. עוד לא מיגרנו את תת-תרבות הסכין, את הנשק הקר שמטיל חיתתו, וניחתה עלינו סכנה של ירי מנשק חם ברחובה של עיר; סכנת נפשות, פשוטו כמשמעו</w:t>
      </w:r>
      <w:r w:rsidRPr="00F366F2">
        <w:rPr>
          <w:rFonts w:ascii="Segoe UI" w:hAnsi="Segoe UI" w:cs="Segoe UI"/>
        </w:rPr>
        <w:t>.</w:t>
      </w:r>
    </w:p>
    <w:p w14:paraId="2AC6D63A" w14:textId="77777777" w:rsidR="00575067"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F366F2">
        <w:rPr>
          <w:rFonts w:ascii="Segoe UI" w:hAnsi="Segoe UI" w:cs="Segoe UI"/>
          <w:rtl/>
        </w:rPr>
        <w:t xml:space="preserve">(ב) </w:t>
      </w:r>
      <w:r w:rsidRPr="00201728">
        <w:rPr>
          <w:rFonts w:ascii="Segoe UI" w:hAnsi="Segoe UI" w:cs="Segoe UI"/>
          <w:b/>
          <w:bCs/>
          <w:rtl/>
        </w:rPr>
        <w:t>מדיניות הענישה הנוהגת</w:t>
      </w:r>
      <w:r w:rsidRPr="00F366F2">
        <w:rPr>
          <w:rFonts w:ascii="Segoe UI" w:hAnsi="Segoe UI" w:cs="Segoe UI"/>
          <w:rtl/>
        </w:rPr>
        <w:t xml:space="preserve"> – עיון בפסיקת בתי המשפט, מעלה כי מדיניות הענישה הנוהגת בקשר עם עבירות מעין אלה שעבר המערער עומדת על מנעד שבין 36 חודשי מאסר בפועל לבין 80 חודשים</w:t>
      </w:r>
      <w:r w:rsidRPr="00F366F2">
        <w:rPr>
          <w:rFonts w:ascii="Segoe UI" w:hAnsi="Segoe UI" w:cs="Segoe UI"/>
        </w:rPr>
        <w:t>.</w:t>
      </w:r>
    </w:p>
    <w:p w14:paraId="1CB1575C" w14:textId="704BE616" w:rsidR="00F366F2" w:rsidRPr="00F366F2"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F366F2">
        <w:rPr>
          <w:rFonts w:ascii="Segoe UI" w:hAnsi="Segoe UI" w:cs="Segoe UI"/>
        </w:rPr>
        <w:t xml:space="preserve"> </w:t>
      </w:r>
      <w:r w:rsidRPr="00F366F2">
        <w:rPr>
          <w:rFonts w:ascii="Segoe UI" w:hAnsi="Segoe UI" w:cs="Segoe UI"/>
          <w:rtl/>
        </w:rPr>
        <w:t xml:space="preserve">(ג) </w:t>
      </w:r>
      <w:r w:rsidRPr="00201728">
        <w:rPr>
          <w:rFonts w:ascii="Segoe UI" w:hAnsi="Segoe UI" w:cs="Segoe UI"/>
          <w:b/>
          <w:bCs/>
          <w:rtl/>
        </w:rPr>
        <w:t xml:space="preserve">נסיבות הקשורות </w:t>
      </w:r>
      <w:r w:rsidRPr="00201728">
        <w:rPr>
          <w:rFonts w:ascii="Segoe UI" w:hAnsi="Segoe UI" w:cs="Segoe UI"/>
          <w:b/>
          <w:bCs/>
          <w:color w:val="FF0000"/>
          <w:rtl/>
        </w:rPr>
        <w:t>בביצוע העבירה</w:t>
      </w:r>
      <w:r w:rsidRPr="00201728">
        <w:rPr>
          <w:rFonts w:ascii="Segoe UI" w:hAnsi="Segoe UI" w:cs="Segoe UI"/>
          <w:color w:val="FF0000"/>
          <w:rtl/>
        </w:rPr>
        <w:t xml:space="preserve"> </w:t>
      </w:r>
      <w:r w:rsidRPr="00F366F2">
        <w:rPr>
          <w:rFonts w:ascii="Segoe UI" w:hAnsi="Segoe UI" w:cs="Segoe UI"/>
          <w:rtl/>
        </w:rPr>
        <w:t xml:space="preserve">– לירי שביצע המערער קדם תכנון. המערער אסף את המתלונן במכוניתו מבית הקפה, נסע לביתו-שלו על מנת לקחת משם את אקדחו, המשיך בנסיעה יחד עם המתלונן, ובהגיע הזמן והמקום שהתאימו </w:t>
      </w:r>
      <w:proofErr w:type="spellStart"/>
      <w:r w:rsidRPr="00F366F2">
        <w:rPr>
          <w:rFonts w:ascii="Segoe UI" w:hAnsi="Segoe UI" w:cs="Segoe UI"/>
          <w:rtl/>
        </w:rPr>
        <w:t>לתכניתו</w:t>
      </w:r>
      <w:proofErr w:type="spellEnd"/>
      <w:r w:rsidRPr="00F366F2">
        <w:rPr>
          <w:rFonts w:ascii="Segoe UI" w:hAnsi="Segoe UI" w:cs="Segoe UI"/>
          <w:rtl/>
        </w:rPr>
        <w:t xml:space="preserve">, שלף את האקדח וירה במתלונן. המערער לא עשה כן בחמת זעם רגעית, אלא על-פי תכנון ומחשבה. המערער אמנם לא ירה אל פלג גופו העליון של המתלונן, אך הנזק שהיה צפוי להיגרם מן הירי שביצע המערער הוא כבד. לפי דברי אנשי מד"א שהגיעו למקום, אילו היו מתעכבים כמה דקות בהגעתם לזירה, יתכן והמתלונן היה מקפח את חייו (פסקה כ' להכרעת הדין). הנזק שנגרם מן הירי הוא רב. המערער ירה במתלונן מספר יריות, שלוש מהן פגעו ברגליו, הוא אושפז בבית החולים למשך 25 ימים, ונזקק לכמה ניתוחים על מנת </w:t>
      </w:r>
      <w:proofErr w:type="spellStart"/>
      <w:r w:rsidRPr="00F366F2">
        <w:rPr>
          <w:rFonts w:ascii="Segoe UI" w:hAnsi="Segoe UI" w:cs="Segoe UI"/>
          <w:rtl/>
        </w:rPr>
        <w:t>להרפא</w:t>
      </w:r>
      <w:proofErr w:type="spellEnd"/>
      <w:r w:rsidRPr="00F366F2">
        <w:rPr>
          <w:rFonts w:ascii="Segoe UI" w:hAnsi="Segoe UI" w:cs="Segoe UI"/>
          <w:rtl/>
        </w:rPr>
        <w:t xml:space="preserve"> ולחזור לתלם. נותרו צלקות בגופו והוא עודנו צולע על ירכו. הסיבות שהביאו את המערער לבצע את העבירה גם הן אינן מיטיבות עימו. המערער החליט "לקחת את החוק לידיים", להפסיק את השמועות שלטענתו הפיץ המתלונן על אודותיו, לעשות מעשה-נקם על הירי בדודו שהתרחש כשנתיים קודם לכן. מעשיו של המערער מלווים גם באכזריות ובאלימות. המערער לא הסתפק בירייה בודדת על המתלונן על מנת "ללמד אותו לקח", אלא ירה כאמור כמה יריות, שלוש מהן פגעו במתלונן בשתי רגליו</w:t>
      </w:r>
      <w:r w:rsidRPr="00F366F2">
        <w:rPr>
          <w:rFonts w:ascii="Segoe UI" w:hAnsi="Segoe UI" w:cs="Segoe UI"/>
        </w:rPr>
        <w:t>.</w:t>
      </w:r>
    </w:p>
    <w:p w14:paraId="0A4759B7" w14:textId="171C8524" w:rsidR="00F366F2" w:rsidRPr="00F366F2"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F366F2">
        <w:rPr>
          <w:rFonts w:ascii="Segoe UI" w:hAnsi="Segoe UI" w:cs="Segoe UI"/>
          <w:rtl/>
        </w:rPr>
        <w:t>34</w:t>
      </w:r>
      <w:r w:rsidRPr="00F366F2">
        <w:rPr>
          <w:rFonts w:ascii="Segoe UI" w:hAnsi="Segoe UI" w:cs="Segoe UI"/>
        </w:rPr>
        <w:t>.</w:t>
      </w:r>
      <w:r w:rsidR="00A14056">
        <w:rPr>
          <w:rFonts w:ascii="Segoe UI" w:hAnsi="Segoe UI" w:cs="Segoe UI" w:hint="cs"/>
          <w:rtl/>
        </w:rPr>
        <w:t xml:space="preserve"> </w:t>
      </w:r>
      <w:r w:rsidRPr="00F366F2">
        <w:rPr>
          <w:rFonts w:ascii="Segoe UI" w:hAnsi="Segoe UI" w:cs="Segoe UI"/>
          <w:rtl/>
        </w:rPr>
        <w:t>לאחר שקלול אמות המידה כמפורט לעיל, דומני כי מתחם הענישה ההולם את מעשי העבירות שביצע המערער, חבלה קשה ומתוכננת מראש שנגרמה</w:t>
      </w:r>
      <w:r w:rsidR="00575067">
        <w:rPr>
          <w:rFonts w:ascii="Segoe UI" w:hAnsi="Segoe UI" w:cs="Segoe UI" w:hint="cs"/>
          <w:rtl/>
        </w:rPr>
        <w:t xml:space="preserve"> </w:t>
      </w:r>
      <w:r w:rsidRPr="00F366F2">
        <w:rPr>
          <w:rFonts w:ascii="Segoe UI" w:hAnsi="Segoe UI" w:cs="Segoe UI"/>
          <w:rtl/>
        </w:rPr>
        <w:t>באמצעות נשק חם שהוחזק אצלו שלא כדין, נע בין 3 וחצי שנים ברף התחתון, לבין 8 שנים ברף העליון</w:t>
      </w:r>
      <w:r w:rsidRPr="00F366F2">
        <w:rPr>
          <w:rFonts w:ascii="Segoe UI" w:hAnsi="Segoe UI" w:cs="Segoe UI"/>
        </w:rPr>
        <w:t>.</w:t>
      </w:r>
    </w:p>
    <w:p w14:paraId="1462130D" w14:textId="12EAD87B" w:rsidR="00F366F2" w:rsidRPr="00345CAE" w:rsidRDefault="00F366F2" w:rsidP="008F05D0">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F366F2">
        <w:rPr>
          <w:rFonts w:ascii="Segoe UI" w:hAnsi="Segoe UI" w:cs="Segoe UI"/>
          <w:rtl/>
        </w:rPr>
        <w:lastRenderedPageBreak/>
        <w:t>35.</w:t>
      </w:r>
      <w:r w:rsidR="00A14056">
        <w:rPr>
          <w:rFonts w:ascii="Segoe UI" w:hAnsi="Segoe UI" w:cs="Segoe UI" w:hint="cs"/>
          <w:rtl/>
        </w:rPr>
        <w:t xml:space="preserve"> </w:t>
      </w:r>
      <w:r w:rsidRPr="00A14056">
        <w:rPr>
          <w:rFonts w:ascii="Segoe UI" w:hAnsi="Segoe UI" w:cs="Segoe UI"/>
          <w:b/>
          <w:bCs/>
          <w:u w:val="single"/>
          <w:rtl/>
        </w:rPr>
        <w:t>השלב השלישי</w:t>
      </w:r>
      <w:r w:rsidRPr="00F366F2">
        <w:rPr>
          <w:rFonts w:ascii="Segoe UI" w:hAnsi="Segoe UI" w:cs="Segoe UI"/>
          <w:rtl/>
        </w:rPr>
        <w:t xml:space="preserve"> – גזירת העונש. </w:t>
      </w:r>
      <w:r w:rsidRPr="00984174">
        <w:rPr>
          <w:rFonts w:ascii="Segoe UI" w:hAnsi="Segoe UI" w:cs="Segoe UI"/>
          <w:b/>
          <w:bCs/>
          <w:color w:val="FF0000"/>
          <w:rtl/>
        </w:rPr>
        <w:t>כאן המקום להתחשב בנסיבות שאינן קשורות לביצוע העבירה</w:t>
      </w:r>
      <w:r w:rsidRPr="00984174">
        <w:rPr>
          <w:rFonts w:ascii="Segoe UI" w:hAnsi="Segoe UI" w:cs="Segoe UI"/>
          <w:color w:val="FF0000"/>
          <w:rtl/>
        </w:rPr>
        <w:t>.</w:t>
      </w:r>
      <w:r w:rsidRPr="00F366F2">
        <w:rPr>
          <w:rFonts w:ascii="Segoe UI" w:hAnsi="Segoe UI" w:cs="Segoe UI"/>
          <w:rtl/>
        </w:rPr>
        <w:t xml:space="preserve"> עומדות לו, למערער, כמה נסיבות </w:t>
      </w:r>
      <w:proofErr w:type="spellStart"/>
      <w:r w:rsidRPr="00F366F2">
        <w:rPr>
          <w:rFonts w:ascii="Segoe UI" w:hAnsi="Segoe UI" w:cs="Segoe UI"/>
          <w:rtl/>
        </w:rPr>
        <w:t>לקולא</w:t>
      </w:r>
      <w:proofErr w:type="spellEnd"/>
      <w:r w:rsidRPr="00F366F2">
        <w:rPr>
          <w:rFonts w:ascii="Segoe UI" w:hAnsi="Segoe UI" w:cs="Segoe UI"/>
          <w:rtl/>
        </w:rPr>
        <w:t xml:space="preserve">. הפגיעה של העונש במערער איננה מועטה. זאת בייחוד לאור גילו הצעיר, המערער היה בן 20 בעת ביצוע העבירות, כאשר על-פי </w:t>
      </w:r>
      <w:proofErr w:type="spellStart"/>
      <w:r w:rsidRPr="00F366F2">
        <w:rPr>
          <w:rFonts w:ascii="Segoe UI" w:hAnsi="Segoe UI" w:cs="Segoe UI"/>
          <w:rtl/>
        </w:rPr>
        <w:t>תכניתו</w:t>
      </w:r>
      <w:proofErr w:type="spellEnd"/>
      <w:r w:rsidRPr="00F366F2">
        <w:rPr>
          <w:rFonts w:ascii="Segoe UI" w:hAnsi="Segoe UI" w:cs="Segoe UI"/>
          <w:rtl/>
        </w:rPr>
        <w:t>, שנקטעה, היה אמור להשלים את מבחני הבגרות ולהמשיך את לימודיו. לטענתו, גם משפחתו נפגעת מן העונש, מכיוון שתמיכתו בה הופסקה ומצבה הכלכלי הלך והחריף. מתסקיר שירות המבחן עולה כי המערער מודה במעשיו, מביע חרטה ומבקש שלא לחסום בפניו את דרכי השיקום. משפחתו של המערער נורמטיבית, ואין הוא נושא באמתחתו עבר פלילי.</w:t>
      </w:r>
    </w:p>
    <w:p w14:paraId="1EEF2C7F" w14:textId="7B9E15FD" w:rsidR="00345CAE" w:rsidRDefault="00345CAE" w:rsidP="008F05D0">
      <w:pPr>
        <w:bidi/>
        <w:spacing w:after="0" w:line="276" w:lineRule="auto"/>
        <w:jc w:val="both"/>
        <w:rPr>
          <w:rtl/>
        </w:rPr>
      </w:pPr>
    </w:p>
    <w:p w14:paraId="7ABE87D0" w14:textId="5BA87434" w:rsidR="00D4200D" w:rsidRDefault="00D4200D" w:rsidP="008F05D0">
      <w:pPr>
        <w:bidi/>
        <w:spacing w:after="0" w:line="276" w:lineRule="auto"/>
        <w:jc w:val="both"/>
        <w:rPr>
          <w:rFonts w:ascii="Segoe UI" w:hAnsi="Segoe UI" w:cs="Segoe UI"/>
          <w:rtl/>
        </w:rPr>
      </w:pPr>
      <w:r w:rsidRPr="00D4200D">
        <w:rPr>
          <w:rFonts w:ascii="Segoe UI" w:hAnsi="Segoe UI" w:cs="Segoe UI"/>
          <w:rtl/>
        </w:rPr>
        <w:t xml:space="preserve">הכלל </w:t>
      </w:r>
      <w:r>
        <w:rPr>
          <w:rFonts w:ascii="Segoe UI" w:hAnsi="Segoe UI" w:cs="Segoe UI"/>
          <w:rtl/>
        </w:rPr>
        <w:t>–</w:t>
      </w:r>
      <w:r w:rsidRPr="00D4200D">
        <w:rPr>
          <w:rFonts w:ascii="Segoe UI" w:hAnsi="Segoe UI" w:cs="Segoe UI"/>
          <w:rtl/>
        </w:rPr>
        <w:t xml:space="preserve"> </w:t>
      </w:r>
      <w:r>
        <w:rPr>
          <w:rFonts w:ascii="Segoe UI" w:hAnsi="Segoe UI" w:cs="Segoe UI" w:hint="cs"/>
          <w:rtl/>
        </w:rPr>
        <w:t>עבירות שיש ביניהן קשר ענייני הדוק ואשר ניתן להשקיף עליהן כמסכת עבריינית אחת, יחשבו לאירוע אחד.</w:t>
      </w:r>
    </w:p>
    <w:p w14:paraId="687EE101" w14:textId="6714C959" w:rsidR="00D4200D" w:rsidRPr="00D4200D" w:rsidRDefault="00D4200D" w:rsidP="008F05D0">
      <w:pPr>
        <w:bidi/>
        <w:spacing w:after="0" w:line="276" w:lineRule="auto"/>
        <w:jc w:val="both"/>
        <w:rPr>
          <w:rFonts w:ascii="Segoe UI" w:hAnsi="Segoe UI" w:cs="Segoe UI"/>
          <w:rtl/>
        </w:rPr>
      </w:pPr>
      <w:r>
        <w:rPr>
          <w:rFonts w:ascii="Segoe UI" w:hAnsi="Segoe UI" w:cs="Segoe UI" w:hint="cs"/>
          <w:rtl/>
        </w:rPr>
        <w:t xml:space="preserve">כיצד? האם העבירות התרחשו בסמיכות של זמן או מקום; האם ביצועה של עבירה אחת נועד לאפשר את ביצועה של העבירה האחרת או את ההימלטות לאחר ביצועה? </w:t>
      </w:r>
    </w:p>
    <w:p w14:paraId="76858722" w14:textId="77777777" w:rsidR="00D4200D" w:rsidRDefault="00D4200D" w:rsidP="008F05D0">
      <w:pPr>
        <w:bidi/>
        <w:spacing w:after="0" w:line="276" w:lineRule="auto"/>
        <w:jc w:val="both"/>
        <w:rPr>
          <w:rtl/>
        </w:rPr>
      </w:pPr>
    </w:p>
    <w:p w14:paraId="788CE61D" w14:textId="09CBBE48" w:rsidR="00E04D08" w:rsidRDefault="00E04D08" w:rsidP="008F05D0">
      <w:pPr>
        <w:pStyle w:val="2"/>
        <w:rPr>
          <w:rtl/>
        </w:rPr>
      </w:pPr>
      <w:bookmarkStart w:id="64" w:name="_Toc108218220"/>
      <w:r>
        <w:rPr>
          <w:rFonts w:hint="cs"/>
          <w:rtl/>
        </w:rPr>
        <w:t>חובת הנמקה</w:t>
      </w:r>
      <w:bookmarkEnd w:id="64"/>
    </w:p>
    <w:p w14:paraId="05E2AB17" w14:textId="77777777" w:rsidR="000F76EC" w:rsidRPr="000F76EC" w:rsidRDefault="000F76E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0F76EC">
        <w:rPr>
          <w:rFonts w:ascii="Time New Roman" w:eastAsia="Times New Roman" w:hAnsi="Time New Roman" w:cs="Times New Roman"/>
          <w:b/>
          <w:bCs/>
          <w:color w:val="008000"/>
          <w:sz w:val="27"/>
          <w:szCs w:val="27"/>
          <w:rtl/>
          <w:lang w:val="en-US"/>
        </w:rPr>
        <w:t>חובת הנמקה (תיקון מס' 113) תשע"ב-2012</w:t>
      </w:r>
    </w:p>
    <w:p w14:paraId="63CA426F" w14:textId="77777777" w:rsidR="000F76EC" w:rsidRPr="000F76EC" w:rsidRDefault="000F76E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0F76EC">
        <w:rPr>
          <w:rFonts w:ascii="Miriam" w:eastAsia="Times New Roman" w:hAnsi="Miriam" w:cs="Miriam"/>
          <w:sz w:val="32"/>
          <w:szCs w:val="32"/>
          <w:rtl/>
          <w:lang w:val="en-US"/>
        </w:rPr>
        <w:t>40</w:t>
      </w:r>
      <w:r w:rsidRPr="000F76EC">
        <w:rPr>
          <w:rFonts w:ascii="FrankRuehl" w:eastAsia="Times New Roman" w:hAnsi="FrankRuehl" w:cs="FrankRuehl"/>
          <w:sz w:val="26"/>
          <w:szCs w:val="26"/>
          <w:rtl/>
          <w:lang w:val="en-US"/>
        </w:rPr>
        <w:t>יד. בית המשפט יפרט וינמק בגזר הדין, בין השאר, את אלה:</w:t>
      </w:r>
    </w:p>
    <w:p w14:paraId="61637530" w14:textId="77777777" w:rsidR="000F76EC" w:rsidRPr="000F76EC" w:rsidRDefault="000F76E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0F76EC">
        <w:rPr>
          <w:rFonts w:ascii="FrankRuehl" w:eastAsia="Times New Roman" w:hAnsi="FrankRuehl" w:cs="FrankRuehl"/>
          <w:sz w:val="26"/>
          <w:szCs w:val="26"/>
          <w:rtl/>
          <w:lang w:val="en-US"/>
        </w:rPr>
        <w:t>(1)  קביעת מתחם העונש ההולם בהתאם לעיקרון המנחה והנסיבות הקשורות בביצוע העבירה שבהן התחשב לצורך קביעת מתחם העונש ההולם;</w:t>
      </w:r>
    </w:p>
    <w:p w14:paraId="3F939C9C" w14:textId="77777777" w:rsidR="000F76EC" w:rsidRPr="000F76EC" w:rsidRDefault="000F76E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0F76EC">
        <w:rPr>
          <w:rFonts w:ascii="FrankRuehl" w:eastAsia="Times New Roman" w:hAnsi="FrankRuehl" w:cs="FrankRuehl"/>
          <w:sz w:val="26"/>
          <w:szCs w:val="26"/>
          <w:rtl/>
          <w:lang w:val="en-US"/>
        </w:rPr>
        <w:t>(2)  גזירת העונש המתאים לנאשם והנסיבות שאינן קשורות בביצוע העבירה שבהן התחשב לצורך גזירת העונש;</w:t>
      </w:r>
    </w:p>
    <w:p w14:paraId="1CEBF546" w14:textId="77777777" w:rsidR="000F76EC" w:rsidRPr="000F76EC" w:rsidRDefault="000F76E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0F76EC">
        <w:rPr>
          <w:rFonts w:ascii="FrankRuehl" w:eastAsia="Times New Roman" w:hAnsi="FrankRuehl" w:cs="FrankRuehl"/>
          <w:sz w:val="26"/>
          <w:szCs w:val="26"/>
          <w:rtl/>
          <w:lang w:val="en-US"/>
        </w:rPr>
        <w:t xml:space="preserve">(3)  חריגה ממתחם העונש ההולם לשם שיקומו של הנאשם או לשם הגנה על שלום הציבור, ככל </w:t>
      </w:r>
      <w:proofErr w:type="spellStart"/>
      <w:r w:rsidRPr="000F76EC">
        <w:rPr>
          <w:rFonts w:ascii="FrankRuehl" w:eastAsia="Times New Roman" w:hAnsi="FrankRuehl" w:cs="FrankRuehl"/>
          <w:sz w:val="26"/>
          <w:szCs w:val="26"/>
          <w:rtl/>
          <w:lang w:val="en-US"/>
        </w:rPr>
        <w:t>שהיתה</w:t>
      </w:r>
      <w:proofErr w:type="spellEnd"/>
      <w:r w:rsidRPr="000F76EC">
        <w:rPr>
          <w:rFonts w:ascii="FrankRuehl" w:eastAsia="Times New Roman" w:hAnsi="FrankRuehl" w:cs="FrankRuehl"/>
          <w:sz w:val="26"/>
          <w:szCs w:val="26"/>
          <w:rtl/>
          <w:lang w:val="en-US"/>
        </w:rPr>
        <w:t>, והטעמים לחריגה;</w:t>
      </w:r>
    </w:p>
    <w:p w14:paraId="232D47C9" w14:textId="77777777" w:rsidR="000F76EC" w:rsidRPr="000F76EC" w:rsidRDefault="000F76E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0F76EC">
        <w:rPr>
          <w:rFonts w:ascii="FrankRuehl" w:eastAsia="Times New Roman" w:hAnsi="FrankRuehl" w:cs="FrankRuehl"/>
          <w:sz w:val="26"/>
          <w:szCs w:val="26"/>
          <w:rtl/>
          <w:lang w:val="en-US"/>
        </w:rPr>
        <w:t>(4)  הדרך שבה גזר את דינו של הנאשם לאחר הרשעה בכמה עבירות המהוות כמה אירועים.</w:t>
      </w:r>
    </w:p>
    <w:p w14:paraId="684F8C52" w14:textId="25520140" w:rsidR="00E04D08" w:rsidRDefault="00E04D08" w:rsidP="008F05D0">
      <w:pPr>
        <w:bidi/>
        <w:spacing w:after="0" w:line="276" w:lineRule="auto"/>
        <w:jc w:val="both"/>
        <w:rPr>
          <w:rtl/>
          <w:lang w:val="en-ZW"/>
        </w:rPr>
      </w:pPr>
    </w:p>
    <w:p w14:paraId="5606B48A" w14:textId="5FBFC9E1" w:rsidR="000F76EC" w:rsidRDefault="000F76EC" w:rsidP="008F05D0">
      <w:pPr>
        <w:pStyle w:val="2"/>
        <w:rPr>
          <w:rtl/>
        </w:rPr>
      </w:pPr>
      <w:bookmarkStart w:id="65" w:name="_Toc108218221"/>
      <w:r>
        <w:rPr>
          <w:rFonts w:hint="cs"/>
          <w:rtl/>
        </w:rPr>
        <w:t>ענישת קטין</w:t>
      </w:r>
      <w:bookmarkEnd w:id="65"/>
    </w:p>
    <w:p w14:paraId="51193B15" w14:textId="77777777" w:rsidR="00486BEC" w:rsidRPr="00486BEC" w:rsidRDefault="00486BE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lang w:val="en-US"/>
        </w:rPr>
      </w:pPr>
      <w:r w:rsidRPr="00486BEC">
        <w:rPr>
          <w:rFonts w:ascii="Time New Roman" w:eastAsia="Times New Roman" w:hAnsi="Time New Roman" w:cs="Times New Roman"/>
          <w:b/>
          <w:bCs/>
          <w:color w:val="008000"/>
          <w:sz w:val="27"/>
          <w:szCs w:val="27"/>
          <w:rtl/>
          <w:lang w:val="en-US"/>
        </w:rPr>
        <w:t>ענישת קטין (תיקון מס' 113) תשע"ב-2012</w:t>
      </w:r>
    </w:p>
    <w:p w14:paraId="4FFC6D45" w14:textId="77777777" w:rsidR="00486BEC" w:rsidRPr="00486BEC" w:rsidRDefault="00486BE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486BEC">
        <w:rPr>
          <w:rFonts w:ascii="Miriam" w:eastAsia="Times New Roman" w:hAnsi="Miriam" w:cs="Miriam"/>
          <w:sz w:val="32"/>
          <w:szCs w:val="32"/>
          <w:rtl/>
          <w:lang w:val="en-US"/>
        </w:rPr>
        <w:t>40</w:t>
      </w:r>
      <w:r w:rsidRPr="00486BEC">
        <w:rPr>
          <w:rFonts w:ascii="FrankRuehl" w:eastAsia="Times New Roman" w:hAnsi="FrankRuehl" w:cs="FrankRuehl"/>
          <w:sz w:val="26"/>
          <w:szCs w:val="26"/>
          <w:rtl/>
          <w:lang w:val="en-US"/>
        </w:rPr>
        <w:t>טו. (א)  על ענישת קטין יחולו הוראות חוק הנוער (שפיטה, ענישה ודרכי טיפול), התשל"א-1971.</w:t>
      </w:r>
    </w:p>
    <w:p w14:paraId="21F8C556" w14:textId="77777777" w:rsidR="00486BEC" w:rsidRPr="00486BEC" w:rsidRDefault="00486BEC" w:rsidP="008F05D0">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imes New Roman" w:eastAsia="Times New Roman" w:hAnsi="Times New Roman" w:cs="Times New Roman"/>
          <w:sz w:val="24"/>
          <w:szCs w:val="24"/>
          <w:rtl/>
          <w:lang w:val="en-US"/>
        </w:rPr>
      </w:pPr>
      <w:r w:rsidRPr="00486BEC">
        <w:rPr>
          <w:rFonts w:ascii="FrankRuehl" w:eastAsia="Times New Roman" w:hAnsi="FrankRuehl" w:cs="FrankRuehl"/>
          <w:sz w:val="26"/>
          <w:szCs w:val="26"/>
          <w:rtl/>
          <w:lang w:val="en-US"/>
        </w:rPr>
        <w:t>          (ב)  בלי לגרוע מהאמור בסעיף קטן (א), בית המשפט רשאי להתחשב בעקרונות ובשיקולים המנחים בענישה המנויים בסימן זה, תוך התאמתם לענישת הקטין, ככל שסבר שראוי לתת להם משקל בנסיבות המקרה.</w:t>
      </w:r>
    </w:p>
    <w:p w14:paraId="7C83C3D0" w14:textId="77777777" w:rsidR="008D4A50" w:rsidRDefault="008D4A50" w:rsidP="008F05D0">
      <w:pPr>
        <w:bidi/>
        <w:spacing w:after="0" w:line="276" w:lineRule="auto"/>
        <w:jc w:val="both"/>
        <w:rPr>
          <w:rFonts w:ascii="Segoe UI" w:hAnsi="Segoe UI" w:cs="Segoe UI"/>
          <w:color w:val="7030A0"/>
          <w:rtl/>
          <w:lang w:val="en-ZW"/>
        </w:rPr>
      </w:pPr>
    </w:p>
    <w:p w14:paraId="5BB0B72B" w14:textId="76E6246C" w:rsidR="000F76EC" w:rsidRDefault="008D4A50" w:rsidP="008F05D0">
      <w:pPr>
        <w:bidi/>
        <w:spacing w:after="0" w:line="276" w:lineRule="auto"/>
        <w:jc w:val="both"/>
        <w:rPr>
          <w:rFonts w:ascii="Segoe UI" w:hAnsi="Segoe UI" w:cs="Segoe UI"/>
          <w:color w:val="7030A0"/>
          <w:rtl/>
          <w:lang w:val="en-ZW"/>
        </w:rPr>
      </w:pPr>
      <w:r w:rsidRPr="008D4A50">
        <w:rPr>
          <w:rFonts w:ascii="Segoe UI" w:hAnsi="Segoe UI" w:cs="Segoe UI"/>
          <w:color w:val="7030A0"/>
          <w:rtl/>
          <w:lang w:val="en-ZW"/>
        </w:rPr>
        <w:t xml:space="preserve">לגבי קטינים – עקרון השיקום גובר על עקרון ההלימה; אצל קטינים מנסים לעצור את ההתדרדרות לפשיעה באמצעות השיקום; לרוב התיקים של קטינים מסתיימים בלי הרשעה [לא בכל העבירות, אי אפשר לא להרשיע בתיק רצח לדוג']. </w:t>
      </w:r>
    </w:p>
    <w:p w14:paraId="76103546" w14:textId="1BB68A1F" w:rsidR="008F05D0" w:rsidRDefault="008F05D0" w:rsidP="008F05D0">
      <w:pPr>
        <w:bidi/>
        <w:spacing w:after="0" w:line="276" w:lineRule="auto"/>
        <w:jc w:val="both"/>
        <w:rPr>
          <w:rFonts w:ascii="Segoe UI" w:hAnsi="Segoe UI" w:cs="Segoe UI"/>
          <w:color w:val="7030A0"/>
          <w:rtl/>
          <w:lang w:val="en-ZW"/>
        </w:rPr>
      </w:pPr>
    </w:p>
    <w:p w14:paraId="44DD76B1" w14:textId="0A125E6C" w:rsidR="008F05D0" w:rsidRDefault="008F05D0" w:rsidP="008F05D0">
      <w:pPr>
        <w:bidi/>
        <w:spacing w:after="0" w:line="276" w:lineRule="auto"/>
        <w:jc w:val="both"/>
        <w:rPr>
          <w:rFonts w:ascii="Segoe UI" w:hAnsi="Segoe UI" w:cs="Segoe UI"/>
          <w:color w:val="7030A0"/>
          <w:rtl/>
          <w:lang w:val="en-ZW"/>
        </w:rPr>
      </w:pPr>
    </w:p>
    <w:p w14:paraId="7DBD0004" w14:textId="311FFF60" w:rsidR="008F05D0" w:rsidRDefault="008F05D0" w:rsidP="008F05D0">
      <w:pPr>
        <w:bidi/>
        <w:spacing w:after="0" w:line="276" w:lineRule="auto"/>
        <w:jc w:val="both"/>
        <w:rPr>
          <w:rFonts w:ascii="Segoe UI" w:hAnsi="Segoe UI" w:cs="Segoe UI"/>
          <w:color w:val="7030A0"/>
          <w:rtl/>
          <w:lang w:val="en-ZW"/>
        </w:rPr>
      </w:pPr>
    </w:p>
    <w:p w14:paraId="3394E243" w14:textId="0ED43926" w:rsidR="008F05D0" w:rsidRDefault="008F05D0" w:rsidP="008F05D0">
      <w:pPr>
        <w:bidi/>
        <w:spacing w:after="0" w:line="276" w:lineRule="auto"/>
        <w:jc w:val="both"/>
        <w:rPr>
          <w:rFonts w:ascii="Segoe UI" w:hAnsi="Segoe UI" w:cs="Segoe UI"/>
          <w:color w:val="7030A0"/>
          <w:rtl/>
          <w:lang w:val="en-ZW"/>
        </w:rPr>
      </w:pPr>
    </w:p>
    <w:p w14:paraId="7EA10E83" w14:textId="2F68AF0B" w:rsidR="008F05D0" w:rsidRDefault="008F05D0" w:rsidP="008F05D0">
      <w:pPr>
        <w:bidi/>
        <w:spacing w:after="0" w:line="276" w:lineRule="auto"/>
        <w:jc w:val="both"/>
        <w:rPr>
          <w:rFonts w:ascii="Segoe UI" w:hAnsi="Segoe UI" w:cs="Segoe UI"/>
          <w:color w:val="7030A0"/>
          <w:rtl/>
          <w:lang w:val="en-ZW"/>
        </w:rPr>
      </w:pPr>
    </w:p>
    <w:p w14:paraId="5E101070" w14:textId="600CC34A" w:rsidR="008F05D0" w:rsidRDefault="008F05D0" w:rsidP="008F05D0">
      <w:pPr>
        <w:bidi/>
        <w:spacing w:after="0" w:line="276" w:lineRule="auto"/>
        <w:jc w:val="both"/>
        <w:rPr>
          <w:rFonts w:ascii="Segoe UI" w:hAnsi="Segoe UI" w:cs="Segoe UI"/>
          <w:color w:val="7030A0"/>
          <w:rtl/>
          <w:lang w:val="en-ZW"/>
        </w:rPr>
      </w:pPr>
    </w:p>
    <w:p w14:paraId="64ACDD9A" w14:textId="3E316EB1" w:rsidR="008F05D0" w:rsidRDefault="008F05D0" w:rsidP="008F05D0">
      <w:pPr>
        <w:bidi/>
        <w:spacing w:after="0" w:line="276" w:lineRule="auto"/>
        <w:jc w:val="both"/>
        <w:rPr>
          <w:rFonts w:ascii="Segoe UI" w:hAnsi="Segoe UI" w:cs="Segoe UI"/>
          <w:color w:val="7030A0"/>
          <w:rtl/>
          <w:lang w:val="en-ZW"/>
        </w:rPr>
      </w:pPr>
    </w:p>
    <w:p w14:paraId="09706282" w14:textId="1886BBC3" w:rsidR="008F05D0" w:rsidRDefault="008F05D0" w:rsidP="008F05D0">
      <w:pPr>
        <w:bidi/>
        <w:spacing w:after="0" w:line="276" w:lineRule="auto"/>
        <w:jc w:val="both"/>
        <w:rPr>
          <w:rFonts w:ascii="Segoe UI" w:hAnsi="Segoe UI" w:cs="Segoe UI"/>
          <w:color w:val="7030A0"/>
          <w:rtl/>
          <w:lang w:val="en-ZW"/>
        </w:rPr>
      </w:pPr>
    </w:p>
    <w:p w14:paraId="1D601046" w14:textId="77777777" w:rsidR="008F05D0" w:rsidRPr="008D4A50" w:rsidRDefault="008F05D0" w:rsidP="008F05D0">
      <w:pPr>
        <w:bidi/>
        <w:spacing w:after="0" w:line="276" w:lineRule="auto"/>
        <w:jc w:val="both"/>
        <w:rPr>
          <w:rFonts w:ascii="Segoe UI" w:hAnsi="Segoe UI" w:cs="Segoe UI"/>
          <w:color w:val="7030A0"/>
          <w:rtl/>
          <w:lang w:val="en-ZW"/>
        </w:rPr>
      </w:pPr>
    </w:p>
    <w:p w14:paraId="419B5221" w14:textId="04CED04B" w:rsidR="00591A64" w:rsidRPr="00E1736B" w:rsidRDefault="003B2706" w:rsidP="008F05D0">
      <w:pPr>
        <w:pStyle w:val="2"/>
        <w:rPr>
          <w:color w:val="7030A0"/>
          <w:rtl/>
        </w:rPr>
      </w:pPr>
      <w:bookmarkStart w:id="66" w:name="_Toc108218222"/>
      <w:r w:rsidRPr="00E1736B">
        <w:rPr>
          <w:rFonts w:hint="cs"/>
          <w:color w:val="7030A0"/>
          <w:rtl/>
        </w:rPr>
        <w:lastRenderedPageBreak/>
        <w:t>תרשים לגזר דין</w:t>
      </w:r>
      <w:bookmarkEnd w:id="66"/>
    </w:p>
    <w:p w14:paraId="0D1983A6" w14:textId="4E27F7DD" w:rsidR="00A460B3" w:rsidRPr="00E1736B" w:rsidRDefault="00A460B3" w:rsidP="008F05D0">
      <w:pPr>
        <w:bidi/>
        <w:spacing w:after="0" w:line="276" w:lineRule="auto"/>
        <w:jc w:val="both"/>
        <w:rPr>
          <w:rFonts w:ascii="Segoe UI" w:hAnsi="Segoe UI" w:cs="Segoe UI"/>
          <w:b/>
          <w:bCs/>
          <w:color w:val="7030A0"/>
          <w:rtl/>
          <w:lang w:val="en-ZW"/>
        </w:rPr>
      </w:pPr>
      <w:r w:rsidRPr="00E1736B">
        <w:rPr>
          <w:rFonts w:ascii="Segoe UI" w:hAnsi="Segoe UI" w:cs="Segoe UI"/>
          <w:b/>
          <w:bCs/>
          <w:color w:val="7030A0"/>
          <w:rtl/>
          <w:lang w:val="en-ZW"/>
        </w:rPr>
        <w:t>תרשים של כב' השופט סולברג:</w:t>
      </w:r>
    </w:p>
    <w:p w14:paraId="2AEA36AA" w14:textId="591F9C5C" w:rsidR="0082445A" w:rsidRDefault="0082445A" w:rsidP="00F63B1E">
      <w:pPr>
        <w:bidi/>
        <w:spacing w:after="0"/>
        <w:jc w:val="center"/>
        <w:rPr>
          <w:rFonts w:ascii="Segoe UI" w:hAnsi="Segoe UI" w:cs="Segoe UI"/>
          <w:rtl/>
        </w:rPr>
      </w:pPr>
      <w:r>
        <w:rPr>
          <w:noProof/>
        </w:rPr>
        <w:drawing>
          <wp:inline distT="0" distB="0" distL="0" distR="0" wp14:anchorId="324ED509" wp14:editId="36952FF6">
            <wp:extent cx="6070600" cy="5727700"/>
            <wp:effectExtent l="19050" t="19050" r="25400" b="2540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0600" cy="5727700"/>
                    </a:xfrm>
                    <a:prstGeom prst="rect">
                      <a:avLst/>
                    </a:prstGeom>
                    <a:noFill/>
                    <a:ln w="12700">
                      <a:solidFill>
                        <a:schemeClr val="tx1"/>
                      </a:solidFill>
                    </a:ln>
                  </pic:spPr>
                </pic:pic>
              </a:graphicData>
            </a:graphic>
          </wp:inline>
        </w:drawing>
      </w:r>
    </w:p>
    <w:p w14:paraId="2CBE5183" w14:textId="1C49CB22" w:rsidR="0082445A" w:rsidRDefault="0082445A" w:rsidP="0082445A">
      <w:pPr>
        <w:bidi/>
        <w:spacing w:after="0"/>
        <w:rPr>
          <w:rFonts w:ascii="Segoe UI" w:hAnsi="Segoe UI" w:cs="Segoe UI"/>
          <w:rtl/>
        </w:rPr>
      </w:pPr>
    </w:p>
    <w:p w14:paraId="5602A833" w14:textId="6A466139" w:rsidR="0082445A" w:rsidRDefault="0082445A" w:rsidP="0082445A">
      <w:pPr>
        <w:bidi/>
        <w:spacing w:after="0"/>
        <w:rPr>
          <w:rFonts w:ascii="Segoe UI" w:hAnsi="Segoe UI" w:cs="Segoe UI"/>
          <w:rtl/>
        </w:rPr>
      </w:pPr>
    </w:p>
    <w:p w14:paraId="290CBA6D" w14:textId="7EFDC6A6" w:rsidR="0082445A" w:rsidRDefault="0082445A" w:rsidP="0082445A">
      <w:pPr>
        <w:bidi/>
        <w:spacing w:after="0"/>
        <w:rPr>
          <w:rFonts w:ascii="Segoe UI" w:hAnsi="Segoe UI" w:cs="Segoe UI"/>
          <w:rtl/>
        </w:rPr>
      </w:pPr>
    </w:p>
    <w:p w14:paraId="68BAD480" w14:textId="166E4E41" w:rsidR="0082445A" w:rsidRDefault="0082445A" w:rsidP="0082445A">
      <w:pPr>
        <w:bidi/>
        <w:spacing w:after="0"/>
        <w:rPr>
          <w:rFonts w:ascii="Segoe UI" w:hAnsi="Segoe UI" w:cs="Segoe UI"/>
          <w:rtl/>
        </w:rPr>
      </w:pPr>
    </w:p>
    <w:p w14:paraId="20BCD28E" w14:textId="19F80613" w:rsidR="0082445A" w:rsidRDefault="0082445A" w:rsidP="0082445A">
      <w:pPr>
        <w:bidi/>
        <w:spacing w:after="0"/>
        <w:rPr>
          <w:rFonts w:ascii="Segoe UI" w:hAnsi="Segoe UI" w:cs="Segoe UI"/>
          <w:rtl/>
        </w:rPr>
      </w:pPr>
    </w:p>
    <w:p w14:paraId="5B0DD0EE" w14:textId="1AC7982D" w:rsidR="0082445A" w:rsidRDefault="0082445A" w:rsidP="0082445A">
      <w:pPr>
        <w:bidi/>
        <w:spacing w:after="0"/>
        <w:rPr>
          <w:rFonts w:ascii="Segoe UI" w:hAnsi="Segoe UI" w:cs="Segoe UI"/>
          <w:rtl/>
        </w:rPr>
      </w:pPr>
    </w:p>
    <w:p w14:paraId="7625AA0C" w14:textId="78673532" w:rsidR="00722E15" w:rsidRDefault="00722E15" w:rsidP="00722E15">
      <w:pPr>
        <w:bidi/>
        <w:spacing w:after="0"/>
        <w:rPr>
          <w:rFonts w:ascii="Segoe UI" w:hAnsi="Segoe UI" w:cs="Segoe UI"/>
          <w:rtl/>
        </w:rPr>
      </w:pPr>
    </w:p>
    <w:p w14:paraId="2A70C8F5" w14:textId="76CAEC47" w:rsidR="00722E15" w:rsidRDefault="00722E15" w:rsidP="00722E15">
      <w:pPr>
        <w:bidi/>
        <w:spacing w:after="0"/>
        <w:rPr>
          <w:rFonts w:ascii="Segoe UI" w:hAnsi="Segoe UI" w:cs="Segoe UI"/>
          <w:rtl/>
        </w:rPr>
      </w:pPr>
    </w:p>
    <w:p w14:paraId="61D75BDF" w14:textId="6029186D" w:rsidR="00722E15" w:rsidRDefault="00722E15" w:rsidP="00722E15">
      <w:pPr>
        <w:bidi/>
        <w:spacing w:after="0"/>
        <w:rPr>
          <w:rFonts w:ascii="Segoe UI" w:hAnsi="Segoe UI" w:cs="Segoe UI"/>
          <w:rtl/>
        </w:rPr>
      </w:pPr>
    </w:p>
    <w:p w14:paraId="239B0197" w14:textId="0D5C978E" w:rsidR="00722E15" w:rsidRDefault="00722E15" w:rsidP="00722E15">
      <w:pPr>
        <w:bidi/>
        <w:spacing w:after="0"/>
        <w:rPr>
          <w:rFonts w:ascii="Segoe UI" w:hAnsi="Segoe UI" w:cs="Segoe UI"/>
          <w:rtl/>
        </w:rPr>
      </w:pPr>
    </w:p>
    <w:p w14:paraId="342EECEA" w14:textId="0F6F77C2" w:rsidR="00722E15" w:rsidRDefault="00722E15" w:rsidP="00722E15">
      <w:pPr>
        <w:bidi/>
        <w:spacing w:after="0"/>
        <w:rPr>
          <w:rFonts w:ascii="Segoe UI" w:hAnsi="Segoe UI" w:cs="Segoe UI"/>
          <w:rtl/>
        </w:rPr>
      </w:pPr>
    </w:p>
    <w:p w14:paraId="4252194E" w14:textId="1B83B244" w:rsidR="00722E15" w:rsidRDefault="00722E15" w:rsidP="00722E15">
      <w:pPr>
        <w:bidi/>
        <w:spacing w:after="0"/>
        <w:rPr>
          <w:rFonts w:ascii="Segoe UI" w:hAnsi="Segoe UI" w:cs="Segoe UI"/>
          <w:rtl/>
        </w:rPr>
      </w:pPr>
    </w:p>
    <w:p w14:paraId="265AACE7" w14:textId="752865B4" w:rsidR="00722E15" w:rsidRDefault="00722E15" w:rsidP="00722E15">
      <w:pPr>
        <w:bidi/>
        <w:spacing w:after="0"/>
        <w:rPr>
          <w:rFonts w:ascii="Segoe UI" w:hAnsi="Segoe UI" w:cs="Segoe UI"/>
          <w:rtl/>
        </w:rPr>
      </w:pPr>
    </w:p>
    <w:p w14:paraId="39F8DC15" w14:textId="77777777" w:rsidR="008F05D0" w:rsidRDefault="008F05D0" w:rsidP="008F05D0">
      <w:pPr>
        <w:bidi/>
        <w:spacing w:after="0"/>
        <w:rPr>
          <w:rFonts w:ascii="Segoe UI" w:hAnsi="Segoe UI" w:cs="Segoe UI"/>
          <w:rtl/>
        </w:rPr>
      </w:pPr>
    </w:p>
    <w:p w14:paraId="2C0066C2" w14:textId="5D59FA64" w:rsidR="002C3798" w:rsidRDefault="002C3798" w:rsidP="00270D0D">
      <w:pPr>
        <w:pStyle w:val="1"/>
        <w:rPr>
          <w:rtl/>
        </w:rPr>
      </w:pPr>
      <w:bookmarkStart w:id="67" w:name="_Toc108218223"/>
      <w:r>
        <w:rPr>
          <w:rFonts w:hint="cs"/>
          <w:rtl/>
        </w:rPr>
        <w:lastRenderedPageBreak/>
        <w:t>ענישת קטינים</w:t>
      </w:r>
      <w:bookmarkEnd w:id="67"/>
    </w:p>
    <w:p w14:paraId="1A6F5C01" w14:textId="77777777" w:rsidR="00430B38" w:rsidRDefault="00430B38" w:rsidP="00D95A69">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pPr>
      <w:r>
        <w:rPr>
          <w:rStyle w:val="big-number"/>
          <w:rFonts w:ascii="Time New Roman" w:hAnsi="Time New Roman"/>
          <w:b/>
          <w:bCs/>
          <w:color w:val="008000"/>
          <w:sz w:val="27"/>
          <w:szCs w:val="27"/>
          <w:rtl/>
        </w:rPr>
        <w:t>ענישת קטין (תיקון מס' 113) תשע"ב-2012</w:t>
      </w:r>
    </w:p>
    <w:p w14:paraId="3D294444" w14:textId="77777777" w:rsidR="00430B38" w:rsidRDefault="00430B38" w:rsidP="00D95A69">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big-number"/>
          <w:rFonts w:ascii="Miriam" w:hAnsi="Miriam" w:cs="Miriam"/>
          <w:sz w:val="32"/>
          <w:szCs w:val="32"/>
          <w:rtl/>
        </w:rPr>
        <w:t>40</w:t>
      </w:r>
      <w:r>
        <w:rPr>
          <w:rStyle w:val="default"/>
          <w:rFonts w:ascii="FrankRuehl" w:eastAsiaTheme="majorEastAsia" w:hAnsi="FrankRuehl" w:cs="FrankRuehl"/>
          <w:sz w:val="26"/>
          <w:szCs w:val="26"/>
          <w:rtl/>
        </w:rPr>
        <w:t>טו. (א)  על ענישת קטין יחולו הוראות חוק הנוער (שפיטה, ענישה ודרכי טיפול), התשל"א-1971.</w:t>
      </w:r>
    </w:p>
    <w:p w14:paraId="732CBD7E" w14:textId="77777777" w:rsidR="00430B38" w:rsidRDefault="00430B38" w:rsidP="00D95A69">
      <w:pPr>
        <w:pStyle w:val="p00"/>
        <w:pBdr>
          <w:top w:val="single" w:sz="4" w:space="1" w:color="auto"/>
          <w:left w:val="single" w:sz="4" w:space="4" w:color="auto"/>
          <w:bottom w:val="single" w:sz="4" w:space="1" w:color="auto"/>
          <w:right w:val="single" w:sz="4" w:space="4" w:color="auto"/>
        </w:pBdr>
        <w:bidi/>
        <w:spacing w:before="72" w:beforeAutospacing="0" w:after="0" w:afterAutospacing="0" w:line="276" w:lineRule="auto"/>
        <w:ind w:left="363" w:right="363"/>
        <w:jc w:val="both"/>
        <w:rPr>
          <w:rtl/>
        </w:rPr>
      </w:pPr>
      <w:r>
        <w:rPr>
          <w:rStyle w:val="default"/>
          <w:rFonts w:ascii="FrankRuehl" w:eastAsiaTheme="majorEastAsia" w:hAnsi="FrankRuehl" w:cs="FrankRuehl"/>
          <w:sz w:val="26"/>
          <w:szCs w:val="26"/>
          <w:rtl/>
        </w:rPr>
        <w:t>          (ב)  בלי לגרוע מהאמור בסעיף קטן (א), בית המשפט רשאי להתחשב בעקרונות ובשיקולים המנחים בענישה המנויים בסימן זה, תוך התאמתם לענישת הקטין, ככל שסבר שראוי לתת להם משקל בנסיבות המקרה.</w:t>
      </w:r>
    </w:p>
    <w:p w14:paraId="62B1D39C" w14:textId="478E6F1F" w:rsidR="00430B38" w:rsidRDefault="00430B38" w:rsidP="00D95A69">
      <w:pPr>
        <w:bidi/>
        <w:spacing w:after="0" w:line="276" w:lineRule="auto"/>
        <w:jc w:val="both"/>
        <w:rPr>
          <w:rFonts w:ascii="Segoe UI" w:hAnsi="Segoe UI" w:cs="Segoe UI"/>
          <w:rtl/>
          <w:lang w:val="en-ZW"/>
        </w:rPr>
      </w:pPr>
    </w:p>
    <w:p w14:paraId="3E49C1EB" w14:textId="74E12984" w:rsidR="001A4FA2" w:rsidRDefault="001A4FA2" w:rsidP="00D95A69">
      <w:pPr>
        <w:pStyle w:val="2"/>
        <w:rPr>
          <w:rtl/>
        </w:rPr>
      </w:pPr>
      <w:bookmarkStart w:id="68" w:name="_Toc108218224"/>
      <w:r>
        <w:rPr>
          <w:rFonts w:hint="cs"/>
          <w:rtl/>
        </w:rPr>
        <w:t>מיהו ילד? מיהו נער? מיהו קטין?</w:t>
      </w:r>
      <w:bookmarkEnd w:id="68"/>
    </w:p>
    <w:p w14:paraId="7D0296D3" w14:textId="0CFE9617" w:rsidR="001A4FA2" w:rsidRDefault="007A3BEA"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rtl/>
          <w:lang w:val="en-ZW"/>
        </w:rPr>
        <w:t xml:space="preserve">חוק הנוער קובע גיל סף </w:t>
      </w:r>
      <w:r>
        <w:rPr>
          <w:rFonts w:ascii="Segoe UI" w:hAnsi="Segoe UI" w:cs="Segoe UI"/>
          <w:rtl/>
          <w:lang w:val="en-ZW"/>
        </w:rPr>
        <w:t>–</w:t>
      </w:r>
      <w:r>
        <w:rPr>
          <w:rFonts w:ascii="Segoe UI" w:hAnsi="Segoe UI" w:cs="Segoe UI" w:hint="cs"/>
          <w:rtl/>
          <w:lang w:val="en-ZW"/>
        </w:rPr>
        <w:t xml:space="preserve"> ללא התחשבות פרטנית בסובייקטיביות של הנוער (בוגר? בשל?)</w:t>
      </w:r>
    </w:p>
    <w:p w14:paraId="1DD0A974" w14:textId="03FCCE66" w:rsidR="007A3BEA" w:rsidRDefault="007A3BEA"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rtl/>
          <w:lang w:val="en-ZW"/>
        </w:rPr>
        <w:t>אין כל אפשרות מעשית לעשות בחינה אינדיבידואלית של כל עבריין</w:t>
      </w:r>
    </w:p>
    <w:p w14:paraId="1486C3EC" w14:textId="0F616850" w:rsidR="007A3BEA" w:rsidRDefault="007A3BEA"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rtl/>
          <w:lang w:val="en-ZW"/>
        </w:rPr>
        <w:t>גיל סף שונה לצורך כל חוק</w:t>
      </w:r>
    </w:p>
    <w:p w14:paraId="26EB80DB" w14:textId="357CCEED" w:rsidR="007A3BEA" w:rsidRDefault="007A3BEA"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rtl/>
          <w:lang w:val="en-ZW"/>
        </w:rPr>
        <w:t xml:space="preserve">הגיל הכללי לכשרות משפטית </w:t>
      </w:r>
      <w:r>
        <w:rPr>
          <w:rFonts w:ascii="Segoe UI" w:hAnsi="Segoe UI" w:cs="Segoe UI"/>
          <w:rtl/>
          <w:lang w:val="en-ZW"/>
        </w:rPr>
        <w:t>–</w:t>
      </w:r>
      <w:r>
        <w:rPr>
          <w:rFonts w:ascii="Segoe UI" w:hAnsi="Segoe UI" w:cs="Segoe UI" w:hint="cs"/>
          <w:rtl/>
          <w:lang w:val="en-ZW"/>
        </w:rPr>
        <w:t xml:space="preserve"> 18</w:t>
      </w:r>
    </w:p>
    <w:p w14:paraId="18208ADD" w14:textId="16E846DA" w:rsidR="007A3BEA" w:rsidRDefault="007A3BEA"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rtl/>
          <w:lang w:val="en-ZW"/>
        </w:rPr>
        <w:t xml:space="preserve">גיל האחריות הפלילית הוא </w:t>
      </w:r>
      <w:r w:rsidR="00A47FD9">
        <w:rPr>
          <w:rFonts w:ascii="Segoe UI" w:hAnsi="Segoe UI" w:cs="Segoe UI" w:hint="cs"/>
          <w:rtl/>
          <w:lang w:val="en-ZW"/>
        </w:rPr>
        <w:t>12</w:t>
      </w:r>
      <w:r>
        <w:rPr>
          <w:rFonts w:ascii="Segoe UI" w:hAnsi="Segoe UI" w:cs="Segoe UI" w:hint="cs"/>
          <w:rtl/>
          <w:lang w:val="en-ZW"/>
        </w:rPr>
        <w:t xml:space="preserve"> (בעבר הגיל היה 9)</w:t>
      </w:r>
      <w:r w:rsidR="00A47FD9">
        <w:rPr>
          <w:rFonts w:ascii="Segoe UI" w:hAnsi="Segoe UI" w:cs="Segoe UI" w:hint="cs"/>
          <w:rtl/>
          <w:lang w:val="en-ZW"/>
        </w:rPr>
        <w:t xml:space="preserve"> </w:t>
      </w:r>
      <w:r w:rsidR="00A47FD9">
        <w:rPr>
          <w:rFonts w:ascii="Segoe UI" w:hAnsi="Segoe UI" w:cs="Segoe UI"/>
          <w:rtl/>
          <w:lang w:val="en-ZW"/>
        </w:rPr>
        <w:t>–</w:t>
      </w:r>
      <w:r w:rsidR="00A47FD9">
        <w:rPr>
          <w:rFonts w:ascii="Segoe UI" w:hAnsi="Segoe UI" w:cs="Segoe UI" w:hint="cs"/>
          <w:rtl/>
          <w:lang w:val="en-ZW"/>
        </w:rPr>
        <w:t xml:space="preserve"> </w:t>
      </w:r>
      <w:r w:rsidR="00A47FD9">
        <w:rPr>
          <w:rFonts w:ascii="Segoe UI" w:hAnsi="Segoe UI" w:cs="Segoe UI" w:hint="cs"/>
          <w:color w:val="7030A0"/>
          <w:rtl/>
          <w:lang w:val="en-ZW"/>
        </w:rPr>
        <w:t>אם יש ילד בן 11.5 שביצע עבירה בעצם אי אפשר להאשים אותו במשהו פלילי כי החוק קבע מראש שרק מעל גיל 12 הוא יישא באחריות פלילית</w:t>
      </w:r>
      <w:r w:rsidR="00295F19">
        <w:rPr>
          <w:rFonts w:ascii="Segoe UI" w:hAnsi="Segoe UI" w:cs="Segoe UI" w:hint="cs"/>
          <w:rtl/>
          <w:lang w:val="en-ZW"/>
        </w:rPr>
        <w:t>.</w:t>
      </w:r>
    </w:p>
    <w:p w14:paraId="654C9994" w14:textId="5830AA00" w:rsidR="007A3BEA" w:rsidRDefault="007A3BEA"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rtl/>
          <w:lang w:val="en-ZW"/>
        </w:rPr>
        <w:t xml:space="preserve">שמיעת קטין בבית משפט </w:t>
      </w:r>
      <w:r>
        <w:rPr>
          <w:rFonts w:ascii="Segoe UI" w:hAnsi="Segoe UI" w:cs="Segoe UI"/>
          <w:rtl/>
          <w:lang w:val="en-ZW"/>
        </w:rPr>
        <w:t>–</w:t>
      </w:r>
      <w:r>
        <w:rPr>
          <w:rFonts w:ascii="Segoe UI" w:hAnsi="Segoe UI" w:cs="Segoe UI" w:hint="cs"/>
          <w:rtl/>
          <w:lang w:val="en-ZW"/>
        </w:rPr>
        <w:t xml:space="preserve"> 14</w:t>
      </w:r>
    </w:p>
    <w:p w14:paraId="65B0C134" w14:textId="251E5118" w:rsidR="007A3BEA" w:rsidRPr="007A3BEA" w:rsidRDefault="007A3BEA"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b/>
          <w:bCs/>
          <w:rtl/>
          <w:lang w:val="en-ZW"/>
        </w:rPr>
        <w:t>עונש מאסר ניתן להטיל רק על קטין מעל גיל 14</w:t>
      </w:r>
    </w:p>
    <w:p w14:paraId="1719D05A" w14:textId="11A994D7" w:rsidR="007A3BEA" w:rsidRDefault="007A3BEA"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rtl/>
          <w:lang w:val="en-ZW"/>
        </w:rPr>
        <w:t xml:space="preserve">גיל מינימום להסכמת קטין ליחסי מין </w:t>
      </w:r>
      <w:r w:rsidR="00A312DF">
        <w:rPr>
          <w:rFonts w:ascii="Segoe UI" w:hAnsi="Segoe UI" w:cs="Segoe UI"/>
          <w:rtl/>
          <w:lang w:val="en-ZW"/>
        </w:rPr>
        <w:t>–</w:t>
      </w:r>
      <w:r>
        <w:rPr>
          <w:rFonts w:ascii="Segoe UI" w:hAnsi="Segoe UI" w:cs="Segoe UI" w:hint="cs"/>
          <w:rtl/>
          <w:lang w:val="en-ZW"/>
        </w:rPr>
        <w:t xml:space="preserve"> 14</w:t>
      </w:r>
    </w:p>
    <w:p w14:paraId="1302351D" w14:textId="3073C77F" w:rsidR="00A312DF" w:rsidRDefault="00A312DF"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rtl/>
          <w:lang w:val="en-ZW"/>
        </w:rPr>
        <w:t>יש קטינים שיש להם מודעות ואחריות ויש קטינים מבוגרים (קרוב ל-18) שאינם מבינים כלל את מעשיהם</w:t>
      </w:r>
    </w:p>
    <w:p w14:paraId="64B91EBD" w14:textId="6C8E0308" w:rsidR="00A312DF" w:rsidRDefault="00A312DF"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rtl/>
          <w:lang w:val="en-ZW"/>
        </w:rPr>
        <w:t>הגיל הכרונולוגי אינו חופף להבנה של הקטין</w:t>
      </w:r>
    </w:p>
    <w:p w14:paraId="1F174DA2" w14:textId="1319E49D" w:rsidR="00A312DF" w:rsidRDefault="00A312DF" w:rsidP="00D95A69">
      <w:pPr>
        <w:pStyle w:val="ab"/>
        <w:numPr>
          <w:ilvl w:val="0"/>
          <w:numId w:val="83"/>
        </w:numPr>
        <w:bidi/>
        <w:spacing w:after="0" w:line="276" w:lineRule="auto"/>
        <w:jc w:val="both"/>
        <w:rPr>
          <w:rFonts w:ascii="Segoe UI" w:hAnsi="Segoe UI" w:cs="Segoe UI"/>
          <w:lang w:val="en-ZW"/>
        </w:rPr>
      </w:pPr>
      <w:r>
        <w:rPr>
          <w:rFonts w:ascii="Segoe UI" w:hAnsi="Segoe UI" w:cs="Segoe UI" w:hint="cs"/>
          <w:b/>
          <w:bCs/>
          <w:u w:val="single"/>
          <w:rtl/>
          <w:lang w:val="en-ZW"/>
        </w:rPr>
        <w:t>הולכים רק אחר הגיל האובייקטיבי</w:t>
      </w:r>
    </w:p>
    <w:p w14:paraId="63641F5E" w14:textId="16E6C6DA" w:rsidR="00A312DF" w:rsidRDefault="00A312DF" w:rsidP="00D95A69">
      <w:pPr>
        <w:bidi/>
        <w:spacing w:after="0" w:line="276" w:lineRule="auto"/>
        <w:rPr>
          <w:rFonts w:ascii="Segoe UI" w:hAnsi="Segoe UI" w:cs="Segoe UI"/>
          <w:rtl/>
          <w:lang w:val="en-ZW"/>
        </w:rPr>
      </w:pPr>
    </w:p>
    <w:p w14:paraId="2E676553" w14:textId="5FE67995" w:rsidR="00A312DF" w:rsidRDefault="00A312DF" w:rsidP="00D95A69">
      <w:pPr>
        <w:pStyle w:val="2"/>
        <w:rPr>
          <w:rtl/>
        </w:rPr>
      </w:pPr>
      <w:bookmarkStart w:id="69" w:name="_Toc108218225"/>
      <w:r>
        <w:rPr>
          <w:rFonts w:hint="cs"/>
          <w:rtl/>
        </w:rPr>
        <w:t>הסכמת קטין למעשים פליליים</w:t>
      </w:r>
      <w:bookmarkEnd w:id="69"/>
    </w:p>
    <w:p w14:paraId="27D337BA" w14:textId="78DD5DCC" w:rsidR="00A312DF" w:rsidRDefault="00A312DF" w:rsidP="00D95A69">
      <w:pPr>
        <w:bidi/>
        <w:spacing w:after="0" w:line="276" w:lineRule="auto"/>
        <w:jc w:val="both"/>
        <w:rPr>
          <w:rFonts w:ascii="Segoe UI" w:hAnsi="Segoe UI" w:cs="Segoe UI"/>
          <w:rtl/>
          <w:lang w:val="en-ZW"/>
        </w:rPr>
      </w:pPr>
      <w:r>
        <w:rPr>
          <w:rFonts w:ascii="Segoe UI" w:hAnsi="Segoe UI" w:cs="Segoe UI" w:hint="cs"/>
          <w:rtl/>
          <w:lang w:val="en-ZW"/>
        </w:rPr>
        <w:t xml:space="preserve">דוג' 1 </w:t>
      </w:r>
      <w:r>
        <w:rPr>
          <w:rFonts w:ascii="Segoe UI" w:hAnsi="Segoe UI" w:cs="Segoe UI"/>
          <w:rtl/>
          <w:lang w:val="en-ZW"/>
        </w:rPr>
        <w:t>–</w:t>
      </w:r>
      <w:r>
        <w:rPr>
          <w:rFonts w:ascii="Segoe UI" w:hAnsi="Segoe UI" w:cs="Segoe UI" w:hint="cs"/>
          <w:rtl/>
          <w:lang w:val="en-ZW"/>
        </w:rPr>
        <w:t xml:space="preserve"> נערה הסכימה שיחטפו אותה לצורך קשר זוגי ונישואים. ביהמ"ש הרשיע את החוטף. אין נפקות להסכמתה לצורך ביצוע עבירות.</w:t>
      </w:r>
    </w:p>
    <w:p w14:paraId="5F64443B" w14:textId="78DF8685" w:rsidR="00A312DF" w:rsidRDefault="00A312DF" w:rsidP="00D95A69">
      <w:pPr>
        <w:bidi/>
        <w:spacing w:after="0" w:line="276" w:lineRule="auto"/>
        <w:jc w:val="both"/>
        <w:rPr>
          <w:rFonts w:ascii="Segoe UI" w:hAnsi="Segoe UI" w:cs="Segoe UI"/>
          <w:rtl/>
          <w:lang w:val="en-ZW"/>
        </w:rPr>
      </w:pPr>
      <w:r>
        <w:rPr>
          <w:rFonts w:ascii="Segoe UI" w:hAnsi="Segoe UI" w:cs="Segoe UI" w:hint="cs"/>
          <w:rtl/>
          <w:lang w:val="en-ZW"/>
        </w:rPr>
        <w:t xml:space="preserve">דוג' 2 </w:t>
      </w:r>
      <w:r>
        <w:rPr>
          <w:rFonts w:ascii="Segoe UI" w:hAnsi="Segoe UI" w:cs="Segoe UI"/>
          <w:rtl/>
          <w:lang w:val="en-ZW"/>
        </w:rPr>
        <w:t>–</w:t>
      </w:r>
      <w:r>
        <w:rPr>
          <w:rFonts w:ascii="Segoe UI" w:hAnsi="Segoe UI" w:cs="Segoe UI" w:hint="cs"/>
          <w:rtl/>
          <w:lang w:val="en-ZW"/>
        </w:rPr>
        <w:t xml:space="preserve"> נערה מתחת לגיל 16 הסכימה לקיום יחסי מין עם חברה. </w:t>
      </w:r>
      <w:r w:rsidR="00270D0D">
        <w:rPr>
          <w:rFonts w:ascii="Segoe UI" w:hAnsi="Segoe UI" w:cs="Segoe UI" w:hint="cs"/>
          <w:rtl/>
          <w:lang w:val="en-ZW"/>
        </w:rPr>
        <w:t>אין משמעות להסכמה.</w:t>
      </w:r>
    </w:p>
    <w:p w14:paraId="32388FEF" w14:textId="6000A6E3" w:rsidR="00270D0D" w:rsidRDefault="00270D0D" w:rsidP="00D95A69">
      <w:pPr>
        <w:bidi/>
        <w:spacing w:after="0" w:line="276" w:lineRule="auto"/>
        <w:jc w:val="both"/>
        <w:rPr>
          <w:rFonts w:ascii="Segoe UI" w:hAnsi="Segoe UI" w:cs="Segoe UI"/>
          <w:rtl/>
          <w:lang w:val="en-ZW"/>
        </w:rPr>
      </w:pPr>
      <w:r>
        <w:rPr>
          <w:rFonts w:ascii="Segoe UI" w:hAnsi="Segoe UI" w:cs="Segoe UI" w:hint="cs"/>
          <w:rtl/>
          <w:lang w:val="en-ZW"/>
        </w:rPr>
        <w:t xml:space="preserve">חריג </w:t>
      </w:r>
      <w:r>
        <w:rPr>
          <w:rFonts w:ascii="Segoe UI" w:hAnsi="Segoe UI" w:cs="Segoe UI"/>
          <w:rtl/>
          <w:lang w:val="en-ZW"/>
        </w:rPr>
        <w:t>–</w:t>
      </w:r>
      <w:r>
        <w:rPr>
          <w:rFonts w:ascii="Segoe UI" w:hAnsi="Segoe UI" w:cs="Segoe UI" w:hint="cs"/>
          <w:rtl/>
          <w:lang w:val="en-ZW"/>
        </w:rPr>
        <w:t xml:space="preserve"> אם ההבדל בין בני הזוג אינו עולה על שנתיים ואם אין יחסי ניצול </w:t>
      </w:r>
      <w:r>
        <w:rPr>
          <w:rFonts w:ascii="Segoe UI" w:hAnsi="Segoe UI" w:cs="Segoe UI"/>
          <w:rtl/>
          <w:lang w:val="en-ZW"/>
        </w:rPr>
        <w:t>–</w:t>
      </w:r>
      <w:r>
        <w:rPr>
          <w:rFonts w:ascii="Segoe UI" w:hAnsi="Segoe UI" w:cs="Segoe UI" w:hint="cs"/>
          <w:rtl/>
          <w:lang w:val="en-ZW"/>
        </w:rPr>
        <w:t xml:space="preserve"> לא מעמידים לדין. </w:t>
      </w:r>
      <w:r w:rsidRPr="00270D0D">
        <w:rPr>
          <w:rFonts w:ascii="Segoe UI" w:hAnsi="Segoe UI" w:cs="Segoe UI" w:hint="cs"/>
          <w:color w:val="7030A0"/>
          <w:rtl/>
          <w:lang w:val="en-ZW"/>
        </w:rPr>
        <w:t xml:space="preserve">לדוג' בני זוג שהוא בן 17 והיא בת 15.5 ואין יחסי ניצול, אם הם מקיימים יחסי מין לא מדובר במשהו פלילי. </w:t>
      </w:r>
    </w:p>
    <w:p w14:paraId="140F3752" w14:textId="26CA0B00" w:rsidR="003D3AD3" w:rsidRDefault="003D3AD3" w:rsidP="00D95A69">
      <w:pPr>
        <w:bidi/>
        <w:spacing w:after="0" w:line="276" w:lineRule="auto"/>
        <w:jc w:val="both"/>
        <w:rPr>
          <w:rFonts w:ascii="Segoe UI" w:hAnsi="Segoe UI" w:cs="Segoe UI"/>
          <w:rtl/>
          <w:lang w:val="en-ZW"/>
        </w:rPr>
      </w:pPr>
    </w:p>
    <w:p w14:paraId="3014BA0B" w14:textId="3BCD2E9C" w:rsidR="003D3AD3" w:rsidRDefault="003D3AD3" w:rsidP="00D95A69">
      <w:pPr>
        <w:bidi/>
        <w:spacing w:after="0" w:line="276" w:lineRule="auto"/>
        <w:jc w:val="both"/>
        <w:rPr>
          <w:rFonts w:ascii="Segoe UI" w:hAnsi="Segoe UI" w:cs="Segoe UI"/>
          <w:b/>
          <w:bCs/>
          <w:sz w:val="24"/>
          <w:szCs w:val="24"/>
          <w:u w:val="single"/>
          <w:rtl/>
          <w:lang w:val="en-ZW"/>
        </w:rPr>
      </w:pPr>
      <w:r>
        <w:rPr>
          <w:rFonts w:ascii="Segoe UI" w:hAnsi="Segoe UI" w:cs="Segoe UI" w:hint="cs"/>
          <w:b/>
          <w:bCs/>
          <w:sz w:val="24"/>
          <w:szCs w:val="24"/>
          <w:u w:val="single"/>
          <w:rtl/>
          <w:lang w:val="en-ZW"/>
        </w:rPr>
        <w:t>האמנה הבינלאומית לזכויות הילד</w:t>
      </w:r>
    </w:p>
    <w:p w14:paraId="4981DF94" w14:textId="1F969CD8" w:rsidR="003D3AD3" w:rsidRDefault="00F21BDE" w:rsidP="00D95A69">
      <w:pPr>
        <w:pStyle w:val="ab"/>
        <w:numPr>
          <w:ilvl w:val="0"/>
          <w:numId w:val="84"/>
        </w:numPr>
        <w:bidi/>
        <w:spacing w:after="0" w:line="276" w:lineRule="auto"/>
        <w:jc w:val="both"/>
        <w:rPr>
          <w:rFonts w:ascii="Segoe UI" w:hAnsi="Segoe UI" w:cs="Segoe UI"/>
          <w:lang w:val="en-ZW"/>
        </w:rPr>
      </w:pPr>
      <w:r>
        <w:rPr>
          <w:rFonts w:ascii="Segoe UI" w:hAnsi="Segoe UI" w:cs="Segoe UI" w:hint="cs"/>
          <w:rtl/>
          <w:lang w:val="en-ZW"/>
        </w:rPr>
        <w:t>"ילד, פירושו יצור אנוש מתחת לגיל 18, בלתי אם נקבע גיל הבגרות קודם לכן על פי הדין החל על הילד"</w:t>
      </w:r>
    </w:p>
    <w:p w14:paraId="700BDC37" w14:textId="17A9D232" w:rsidR="00F21BDE" w:rsidRDefault="00F21BDE" w:rsidP="00D95A69">
      <w:pPr>
        <w:pStyle w:val="ab"/>
        <w:numPr>
          <w:ilvl w:val="0"/>
          <w:numId w:val="84"/>
        </w:numPr>
        <w:bidi/>
        <w:spacing w:after="0" w:line="276" w:lineRule="auto"/>
        <w:jc w:val="both"/>
        <w:rPr>
          <w:rFonts w:ascii="Segoe UI" w:hAnsi="Segoe UI" w:cs="Segoe UI"/>
          <w:lang w:val="en-ZW"/>
        </w:rPr>
      </w:pPr>
      <w:r>
        <w:rPr>
          <w:rFonts w:ascii="Segoe UI" w:hAnsi="Segoe UI" w:cs="Segoe UI" w:hint="cs"/>
          <w:rtl/>
          <w:lang w:val="en-ZW"/>
        </w:rPr>
        <w:t>ביהדות, גיל הבגרות הוא 13 לבני ו-12 לבנות</w:t>
      </w:r>
    </w:p>
    <w:p w14:paraId="68F17605" w14:textId="5139306C" w:rsidR="00F21BDE" w:rsidRDefault="00F21BDE" w:rsidP="00D95A69">
      <w:pPr>
        <w:pStyle w:val="ab"/>
        <w:numPr>
          <w:ilvl w:val="0"/>
          <w:numId w:val="84"/>
        </w:numPr>
        <w:bidi/>
        <w:spacing w:after="0" w:line="276" w:lineRule="auto"/>
        <w:jc w:val="both"/>
        <w:rPr>
          <w:rFonts w:ascii="Segoe UI" w:hAnsi="Segoe UI" w:cs="Segoe UI"/>
          <w:lang w:val="en-ZW"/>
        </w:rPr>
      </w:pPr>
      <w:r>
        <w:rPr>
          <w:rFonts w:ascii="Segoe UI" w:hAnsi="Segoe UI" w:cs="Segoe UI" w:hint="cs"/>
          <w:b/>
          <w:bCs/>
          <w:rtl/>
          <w:lang w:val="en-ZW"/>
        </w:rPr>
        <w:t>מסקנה:</w:t>
      </w:r>
      <w:r>
        <w:rPr>
          <w:rFonts w:ascii="Segoe UI" w:hAnsi="Segoe UI" w:cs="Segoe UI" w:hint="cs"/>
          <w:rtl/>
          <w:lang w:val="en-ZW"/>
        </w:rPr>
        <w:t xml:space="preserve"> בעוד ההתבגרות היא סובייקטיבית, לצורך החוק בישראל יש הגדרות משפטיות מדויקות </w:t>
      </w:r>
      <w:r>
        <w:rPr>
          <w:rFonts w:ascii="Segoe UI" w:hAnsi="Segoe UI" w:cs="Segoe UI"/>
          <w:rtl/>
          <w:lang w:val="en-ZW"/>
        </w:rPr>
        <w:t>–</w:t>
      </w:r>
      <w:r>
        <w:rPr>
          <w:rFonts w:ascii="Segoe UI" w:hAnsi="Segoe UI" w:cs="Segoe UI" w:hint="cs"/>
          <w:rtl/>
          <w:lang w:val="en-ZW"/>
        </w:rPr>
        <w:t xml:space="preserve"> אובייקטיביות. </w:t>
      </w:r>
    </w:p>
    <w:p w14:paraId="1A03758E" w14:textId="36B2A299" w:rsidR="008D0B4A" w:rsidRDefault="008D0B4A" w:rsidP="00D95A69">
      <w:pPr>
        <w:pStyle w:val="ab"/>
        <w:numPr>
          <w:ilvl w:val="0"/>
          <w:numId w:val="84"/>
        </w:numPr>
        <w:bidi/>
        <w:spacing w:after="0" w:line="276" w:lineRule="auto"/>
        <w:jc w:val="both"/>
        <w:rPr>
          <w:rFonts w:ascii="Segoe UI" w:hAnsi="Segoe UI" w:cs="Segoe UI"/>
          <w:lang w:val="en-ZW"/>
        </w:rPr>
      </w:pPr>
      <w:r>
        <w:rPr>
          <w:rFonts w:ascii="Segoe UI" w:hAnsi="Segoe UI" w:cs="Segoe UI" w:hint="cs"/>
          <w:rtl/>
          <w:lang w:val="en-ZW"/>
        </w:rPr>
        <w:t>בשנת 2008, מדינת ישראל תיקנה את חוק הנוער והחילה את האמנה הבינלאומית בדבר זכויות הילד.</w:t>
      </w:r>
    </w:p>
    <w:p w14:paraId="7E148CF6" w14:textId="1611F618" w:rsidR="008D0B4A" w:rsidRDefault="008D0B4A" w:rsidP="00D95A69">
      <w:pPr>
        <w:pStyle w:val="ab"/>
        <w:numPr>
          <w:ilvl w:val="0"/>
          <w:numId w:val="84"/>
        </w:numPr>
        <w:bidi/>
        <w:spacing w:after="0" w:line="276" w:lineRule="auto"/>
        <w:jc w:val="both"/>
        <w:rPr>
          <w:rFonts w:ascii="Segoe UI" w:hAnsi="Segoe UI" w:cs="Segoe UI"/>
          <w:lang w:val="en-ZW"/>
        </w:rPr>
      </w:pPr>
      <w:r>
        <w:rPr>
          <w:rFonts w:ascii="Segoe UI" w:hAnsi="Segoe UI" w:cs="Segoe UI" w:hint="cs"/>
          <w:rtl/>
          <w:lang w:val="en-ZW"/>
        </w:rPr>
        <w:t>התיקון לחוק נותן דגש רב לשיקום הקטינים ולא להענשה; התיקון לחוק הוסיף אלמנטים לטובת הקטין:</w:t>
      </w:r>
    </w:p>
    <w:p w14:paraId="4A1ABA9A" w14:textId="50BA62CB" w:rsidR="008D0B4A" w:rsidRDefault="008D0B4A" w:rsidP="00D95A69">
      <w:pPr>
        <w:pStyle w:val="ab"/>
        <w:numPr>
          <w:ilvl w:val="1"/>
          <w:numId w:val="84"/>
        </w:numPr>
        <w:bidi/>
        <w:spacing w:after="0" w:line="276" w:lineRule="auto"/>
        <w:jc w:val="both"/>
        <w:rPr>
          <w:rFonts w:ascii="Segoe UI" w:hAnsi="Segoe UI" w:cs="Segoe UI"/>
          <w:lang w:val="en-ZW"/>
        </w:rPr>
      </w:pPr>
      <w:r>
        <w:rPr>
          <w:rFonts w:ascii="Segoe UI" w:hAnsi="Segoe UI" w:cs="Segoe UI" w:hint="cs"/>
          <w:rtl/>
          <w:lang w:val="en-ZW"/>
        </w:rPr>
        <w:t>הימנעות מחקירה בשעת לילה</w:t>
      </w:r>
      <w:r w:rsidR="00665623">
        <w:rPr>
          <w:rFonts w:ascii="Segoe UI" w:hAnsi="Segoe UI" w:cs="Segoe UI" w:hint="cs"/>
          <w:rtl/>
          <w:lang w:val="en-ZW"/>
        </w:rPr>
        <w:t xml:space="preserve"> </w:t>
      </w:r>
      <w:r w:rsidR="00665623">
        <w:rPr>
          <w:rFonts w:ascii="Segoe UI" w:hAnsi="Segoe UI" w:cs="Segoe UI"/>
          <w:rtl/>
          <w:lang w:val="en-ZW"/>
        </w:rPr>
        <w:t>–</w:t>
      </w:r>
      <w:r w:rsidR="00665623">
        <w:rPr>
          <w:rFonts w:ascii="Segoe UI" w:hAnsi="Segoe UI" w:cs="Segoe UI" w:hint="cs"/>
          <w:rtl/>
          <w:lang w:val="en-ZW"/>
        </w:rPr>
        <w:t xml:space="preserve"> </w:t>
      </w:r>
      <w:r w:rsidR="00665623">
        <w:rPr>
          <w:rFonts w:ascii="Segoe UI" w:hAnsi="Segoe UI" w:cs="Segoe UI" w:hint="cs"/>
          <w:color w:val="7030A0"/>
          <w:rtl/>
          <w:lang w:val="en-ZW"/>
        </w:rPr>
        <w:t>סנגור טוב אם תהיה חקירה בלילה יטען לפסולתה</w:t>
      </w:r>
    </w:p>
    <w:p w14:paraId="71E29130" w14:textId="09C2D3B5" w:rsidR="008D0B4A" w:rsidRDefault="008D0B4A" w:rsidP="00D95A69">
      <w:pPr>
        <w:pStyle w:val="ab"/>
        <w:numPr>
          <w:ilvl w:val="1"/>
          <w:numId w:val="84"/>
        </w:numPr>
        <w:bidi/>
        <w:spacing w:after="0" w:line="276" w:lineRule="auto"/>
        <w:jc w:val="both"/>
        <w:rPr>
          <w:rFonts w:ascii="Segoe UI" w:hAnsi="Segoe UI" w:cs="Segoe UI"/>
          <w:lang w:val="en-ZW"/>
        </w:rPr>
      </w:pPr>
      <w:r>
        <w:rPr>
          <w:rFonts w:ascii="Segoe UI" w:hAnsi="Segoe UI" w:cs="Segoe UI" w:hint="cs"/>
          <w:rtl/>
          <w:lang w:val="en-ZW"/>
        </w:rPr>
        <w:t>נוכחות הורה בחקירה ובמעצר</w:t>
      </w:r>
      <w:r w:rsidR="00665623">
        <w:rPr>
          <w:rFonts w:ascii="Segoe UI" w:hAnsi="Segoe UI" w:cs="Segoe UI" w:hint="cs"/>
          <w:rtl/>
          <w:lang w:val="en-ZW"/>
        </w:rPr>
        <w:t xml:space="preserve"> </w:t>
      </w:r>
      <w:r w:rsidR="00665623">
        <w:rPr>
          <w:rFonts w:ascii="Segoe UI" w:hAnsi="Segoe UI" w:cs="Segoe UI"/>
          <w:rtl/>
          <w:lang w:val="en-ZW"/>
        </w:rPr>
        <w:t>–</w:t>
      </w:r>
      <w:r w:rsidR="00665623">
        <w:rPr>
          <w:rFonts w:ascii="Segoe UI" w:hAnsi="Segoe UI" w:cs="Segoe UI" w:hint="cs"/>
          <w:rtl/>
          <w:lang w:val="en-ZW"/>
        </w:rPr>
        <w:t xml:space="preserve"> </w:t>
      </w:r>
      <w:r w:rsidR="00665623">
        <w:rPr>
          <w:rFonts w:ascii="Segoe UI" w:hAnsi="Segoe UI" w:cs="Segoe UI" w:hint="cs"/>
          <w:color w:val="7030A0"/>
          <w:rtl/>
          <w:lang w:val="en-ZW"/>
        </w:rPr>
        <w:t>למי שאינו קטין אין זכות לדבר כזה</w:t>
      </w:r>
    </w:p>
    <w:p w14:paraId="52905BED" w14:textId="64EE8E41" w:rsidR="008D0B4A" w:rsidRDefault="008D0B4A" w:rsidP="00D95A69">
      <w:pPr>
        <w:pStyle w:val="ab"/>
        <w:numPr>
          <w:ilvl w:val="1"/>
          <w:numId w:val="84"/>
        </w:numPr>
        <w:bidi/>
        <w:spacing w:after="0" w:line="276" w:lineRule="auto"/>
        <w:jc w:val="both"/>
        <w:rPr>
          <w:rFonts w:ascii="Segoe UI" w:hAnsi="Segoe UI" w:cs="Segoe UI"/>
          <w:lang w:val="en-ZW"/>
        </w:rPr>
      </w:pPr>
      <w:r>
        <w:rPr>
          <w:rFonts w:ascii="Segoe UI" w:hAnsi="Segoe UI" w:cs="Segoe UI" w:hint="cs"/>
          <w:rtl/>
          <w:lang w:val="en-ZW"/>
        </w:rPr>
        <w:t>הודעה מפורשת לקטינים על זכויותיהם</w:t>
      </w:r>
      <w:r w:rsidR="00665623">
        <w:rPr>
          <w:rFonts w:ascii="Segoe UI" w:hAnsi="Segoe UI" w:cs="Segoe UI" w:hint="cs"/>
          <w:rtl/>
          <w:lang w:val="en-ZW"/>
        </w:rPr>
        <w:t xml:space="preserve"> </w:t>
      </w:r>
      <w:r w:rsidR="00665623">
        <w:rPr>
          <w:rFonts w:ascii="Segoe UI" w:hAnsi="Segoe UI" w:cs="Segoe UI"/>
          <w:color w:val="7030A0"/>
          <w:rtl/>
          <w:lang w:val="en-ZW"/>
        </w:rPr>
        <w:t>–</w:t>
      </w:r>
      <w:r w:rsidR="00665623">
        <w:rPr>
          <w:rFonts w:ascii="Segoe UI" w:hAnsi="Segoe UI" w:cs="Segoe UI" w:hint="cs"/>
          <w:color w:val="7030A0"/>
          <w:rtl/>
          <w:lang w:val="en-ZW"/>
        </w:rPr>
        <w:t xml:space="preserve"> חייבים ממש להסביר להם את הזכויות</w:t>
      </w:r>
    </w:p>
    <w:p w14:paraId="2F969B56" w14:textId="7A67DD8F" w:rsidR="008D0B4A" w:rsidRDefault="008D0B4A" w:rsidP="00D95A69">
      <w:pPr>
        <w:pStyle w:val="ab"/>
        <w:numPr>
          <w:ilvl w:val="1"/>
          <w:numId w:val="84"/>
        </w:numPr>
        <w:bidi/>
        <w:spacing w:after="0" w:line="276" w:lineRule="auto"/>
        <w:jc w:val="both"/>
        <w:rPr>
          <w:rFonts w:ascii="Segoe UI" w:hAnsi="Segoe UI" w:cs="Segoe UI"/>
          <w:lang w:val="en-ZW"/>
        </w:rPr>
      </w:pPr>
      <w:r>
        <w:rPr>
          <w:rFonts w:ascii="Segoe UI" w:hAnsi="Segoe UI" w:cs="Segoe UI" w:hint="cs"/>
          <w:rtl/>
          <w:lang w:val="en-ZW"/>
        </w:rPr>
        <w:t>הפחתת השימוש במעצר קטינים</w:t>
      </w:r>
    </w:p>
    <w:p w14:paraId="7DABAF95" w14:textId="2ED43A57" w:rsidR="008D0B4A" w:rsidRDefault="008D0B4A" w:rsidP="00D95A69">
      <w:pPr>
        <w:pStyle w:val="ab"/>
        <w:numPr>
          <w:ilvl w:val="1"/>
          <w:numId w:val="84"/>
        </w:numPr>
        <w:bidi/>
        <w:spacing w:after="0" w:line="276" w:lineRule="auto"/>
        <w:jc w:val="both"/>
        <w:rPr>
          <w:rFonts w:ascii="Segoe UI" w:hAnsi="Segoe UI" w:cs="Segoe UI"/>
          <w:lang w:val="en-ZW"/>
        </w:rPr>
      </w:pPr>
      <w:r>
        <w:rPr>
          <w:rFonts w:ascii="Segoe UI" w:hAnsi="Segoe UI" w:cs="Segoe UI" w:hint="cs"/>
          <w:rtl/>
          <w:lang w:val="en-ZW"/>
        </w:rPr>
        <w:t>קיצור זמן הבאתם לפני שופט</w:t>
      </w:r>
      <w:r w:rsidR="00665623">
        <w:rPr>
          <w:rFonts w:ascii="Segoe UI" w:hAnsi="Segoe UI" w:cs="Segoe UI" w:hint="cs"/>
          <w:rtl/>
          <w:lang w:val="en-ZW"/>
        </w:rPr>
        <w:t xml:space="preserve"> </w:t>
      </w:r>
    </w:p>
    <w:p w14:paraId="7022DF3D" w14:textId="07D2C3BA" w:rsidR="008D0B4A" w:rsidRDefault="00665623" w:rsidP="00D95A69">
      <w:pPr>
        <w:pStyle w:val="ab"/>
        <w:numPr>
          <w:ilvl w:val="1"/>
          <w:numId w:val="84"/>
        </w:numPr>
        <w:bidi/>
        <w:spacing w:after="0" w:line="276" w:lineRule="auto"/>
        <w:jc w:val="both"/>
        <w:rPr>
          <w:rFonts w:ascii="Segoe UI" w:hAnsi="Segoe UI" w:cs="Segoe UI"/>
          <w:lang w:val="en-ZW"/>
        </w:rPr>
      </w:pPr>
      <w:r>
        <w:rPr>
          <w:rFonts w:ascii="Segoe UI" w:hAnsi="Segoe UI" w:cs="Segoe UI" w:hint="cs"/>
          <w:rtl/>
          <w:lang w:val="en-ZW"/>
        </w:rPr>
        <w:t>שיפור תנאי המעצר של הקטינים</w:t>
      </w:r>
    </w:p>
    <w:p w14:paraId="708223F2" w14:textId="3B52A2C2" w:rsidR="00777A40" w:rsidRPr="003220FF" w:rsidRDefault="00665623" w:rsidP="003220FF">
      <w:pPr>
        <w:pStyle w:val="ab"/>
        <w:numPr>
          <w:ilvl w:val="1"/>
          <w:numId w:val="84"/>
        </w:numPr>
        <w:bidi/>
        <w:spacing w:after="0" w:line="276" w:lineRule="auto"/>
        <w:jc w:val="both"/>
        <w:rPr>
          <w:rFonts w:ascii="Segoe UI" w:hAnsi="Segoe UI" w:cs="Segoe UI"/>
          <w:lang w:val="en-ZW"/>
        </w:rPr>
      </w:pPr>
      <w:r>
        <w:rPr>
          <w:rFonts w:ascii="Segoe UI" w:hAnsi="Segoe UI" w:cs="Segoe UI" w:hint="cs"/>
          <w:rtl/>
          <w:lang w:val="en-ZW"/>
        </w:rPr>
        <w:t>ייצוג משפטי (חוק הסנגוריה הציבורית)</w:t>
      </w:r>
      <w:r>
        <w:rPr>
          <w:rFonts w:ascii="Segoe UI" w:hAnsi="Segoe UI" w:cs="Segoe UI" w:hint="cs"/>
          <w:color w:val="7030A0"/>
          <w:rtl/>
          <w:lang w:val="en-ZW"/>
        </w:rPr>
        <w:t xml:space="preserve"> </w:t>
      </w:r>
      <w:r>
        <w:rPr>
          <w:rFonts w:ascii="Segoe UI" w:hAnsi="Segoe UI" w:cs="Segoe UI"/>
          <w:color w:val="7030A0"/>
          <w:rtl/>
          <w:lang w:val="en-ZW"/>
        </w:rPr>
        <w:t>–</w:t>
      </w:r>
      <w:r>
        <w:rPr>
          <w:rFonts w:ascii="Segoe UI" w:hAnsi="Segoe UI" w:cs="Segoe UI" w:hint="cs"/>
          <w:color w:val="7030A0"/>
          <w:rtl/>
          <w:lang w:val="en-ZW"/>
        </w:rPr>
        <w:t xml:space="preserve"> כל קטין זכאי לייצוג של הסנגוריה הציבורית</w:t>
      </w:r>
    </w:p>
    <w:p w14:paraId="490B0CC8" w14:textId="7BE6C3D6" w:rsidR="00F21BDE" w:rsidRDefault="00BE436D" w:rsidP="00D95A69">
      <w:pPr>
        <w:pStyle w:val="2"/>
        <w:rPr>
          <w:rtl/>
        </w:rPr>
      </w:pPr>
      <w:bookmarkStart w:id="70" w:name="_Toc108218226"/>
      <w:r>
        <w:rPr>
          <w:rFonts w:hint="cs"/>
          <w:rtl/>
        </w:rPr>
        <w:lastRenderedPageBreak/>
        <w:t>ביהמ"ש לנוער</w:t>
      </w:r>
      <w:bookmarkEnd w:id="70"/>
    </w:p>
    <w:p w14:paraId="5EF3EABE" w14:textId="046AC77F" w:rsidR="00BE436D" w:rsidRPr="00AF3969" w:rsidRDefault="00BE436D" w:rsidP="00D95A69">
      <w:pPr>
        <w:pStyle w:val="ab"/>
        <w:numPr>
          <w:ilvl w:val="0"/>
          <w:numId w:val="85"/>
        </w:numPr>
        <w:bidi/>
        <w:spacing w:after="0" w:line="276" w:lineRule="auto"/>
        <w:jc w:val="both"/>
        <w:rPr>
          <w:rFonts w:ascii="Segoe UI" w:hAnsi="Segoe UI" w:cs="Segoe UI"/>
          <w:rtl/>
          <w:lang w:val="en-ZW"/>
        </w:rPr>
      </w:pPr>
      <w:r w:rsidRPr="00AF3969">
        <w:rPr>
          <w:rFonts w:ascii="Segoe UI" w:hAnsi="Segoe UI" w:cs="Segoe UI" w:hint="cs"/>
          <w:rtl/>
          <w:lang w:val="en-ZW"/>
        </w:rPr>
        <w:t xml:space="preserve">במקור </w:t>
      </w:r>
      <w:r w:rsidRPr="00AF3969">
        <w:rPr>
          <w:rFonts w:ascii="Segoe UI" w:hAnsi="Segoe UI" w:cs="Segoe UI"/>
          <w:rtl/>
          <w:lang w:val="en-ZW"/>
        </w:rPr>
        <w:t>–</w:t>
      </w:r>
      <w:r w:rsidRPr="00AF3969">
        <w:rPr>
          <w:rFonts w:ascii="Segoe UI" w:hAnsi="Segoe UI" w:cs="Segoe UI" w:hint="cs"/>
          <w:rtl/>
          <w:lang w:val="en-ZW"/>
        </w:rPr>
        <w:t xml:space="preserve"> פקודת העבריינים הצעירים; היום </w:t>
      </w:r>
      <w:r w:rsidRPr="00AF3969">
        <w:rPr>
          <w:rFonts w:ascii="Segoe UI" w:hAnsi="Segoe UI" w:cs="Segoe UI"/>
          <w:rtl/>
          <w:lang w:val="en-ZW"/>
        </w:rPr>
        <w:t>–</w:t>
      </w:r>
      <w:r w:rsidRPr="00AF3969">
        <w:rPr>
          <w:rFonts w:ascii="Segoe UI" w:hAnsi="Segoe UI" w:cs="Segoe UI" w:hint="cs"/>
          <w:rtl/>
          <w:lang w:val="en-ZW"/>
        </w:rPr>
        <w:t xml:space="preserve"> חוק הנוער</w:t>
      </w:r>
    </w:p>
    <w:p w14:paraId="19DE6CD3" w14:textId="59F76F04" w:rsidR="00BE436D" w:rsidRPr="00AF3969" w:rsidRDefault="00BE436D" w:rsidP="00D95A69">
      <w:pPr>
        <w:pStyle w:val="ab"/>
        <w:numPr>
          <w:ilvl w:val="0"/>
          <w:numId w:val="85"/>
        </w:numPr>
        <w:bidi/>
        <w:spacing w:after="0" w:line="276" w:lineRule="auto"/>
        <w:jc w:val="both"/>
        <w:rPr>
          <w:rFonts w:ascii="Segoe UI" w:hAnsi="Segoe UI" w:cs="Segoe UI"/>
          <w:rtl/>
          <w:lang w:val="en-ZW"/>
        </w:rPr>
      </w:pPr>
      <w:r w:rsidRPr="00AF3969">
        <w:rPr>
          <w:rFonts w:ascii="Segoe UI" w:hAnsi="Segoe UI" w:cs="Segoe UI" w:hint="cs"/>
          <w:rtl/>
          <w:lang w:val="en-ZW"/>
        </w:rPr>
        <w:t>מדובר בבית משפט בערכאת שלום שיושב כבית משפט לנוער</w:t>
      </w:r>
    </w:p>
    <w:p w14:paraId="485AF93A" w14:textId="793B2D30" w:rsidR="00F21BDE" w:rsidRDefault="00AF3969" w:rsidP="00D95A69">
      <w:pPr>
        <w:pStyle w:val="ab"/>
        <w:numPr>
          <w:ilvl w:val="0"/>
          <w:numId w:val="85"/>
        </w:numPr>
        <w:bidi/>
        <w:spacing w:after="0" w:line="276" w:lineRule="auto"/>
        <w:jc w:val="both"/>
        <w:rPr>
          <w:rFonts w:ascii="Segoe UI" w:hAnsi="Segoe UI" w:cs="Segoe UI"/>
          <w:lang w:val="en-ZW"/>
        </w:rPr>
      </w:pPr>
      <w:r w:rsidRPr="00AF3969">
        <w:rPr>
          <w:rFonts w:ascii="Segoe UI" w:hAnsi="Segoe UI" w:cs="Segoe UI" w:hint="cs"/>
          <w:rtl/>
          <w:lang w:val="en-ZW"/>
        </w:rPr>
        <w:t xml:space="preserve">מטרת בית המשפט לנוער היא לשקם את הנאשם </w:t>
      </w:r>
      <w:r w:rsidRPr="00AF3969">
        <w:rPr>
          <w:rFonts w:ascii="Segoe UI" w:hAnsi="Segoe UI" w:cs="Segoe UI"/>
          <w:rtl/>
          <w:lang w:val="en-ZW"/>
        </w:rPr>
        <w:t>–</w:t>
      </w:r>
      <w:r w:rsidRPr="00AF3969">
        <w:rPr>
          <w:rFonts w:ascii="Segoe UI" w:hAnsi="Segoe UI" w:cs="Segoe UI" w:hint="cs"/>
          <w:rtl/>
          <w:lang w:val="en-ZW"/>
        </w:rPr>
        <w:t xml:space="preserve"> הקטין</w:t>
      </w:r>
    </w:p>
    <w:p w14:paraId="6E418145" w14:textId="582B66D0" w:rsidR="00AF3969" w:rsidRDefault="00AF3969" w:rsidP="00D95A69">
      <w:pPr>
        <w:pStyle w:val="ab"/>
        <w:numPr>
          <w:ilvl w:val="0"/>
          <w:numId w:val="85"/>
        </w:numPr>
        <w:bidi/>
        <w:spacing w:after="0" w:line="276" w:lineRule="auto"/>
        <w:jc w:val="both"/>
        <w:rPr>
          <w:rFonts w:ascii="Segoe UI" w:hAnsi="Segoe UI" w:cs="Segoe UI"/>
          <w:lang w:val="en-ZW"/>
        </w:rPr>
      </w:pPr>
      <w:r>
        <w:rPr>
          <w:rFonts w:ascii="Segoe UI" w:hAnsi="Segoe UI" w:cs="Segoe UI" w:hint="cs"/>
          <w:rtl/>
          <w:lang w:val="en-ZW"/>
        </w:rPr>
        <w:t xml:space="preserve">מבנה מיוחד </w:t>
      </w:r>
      <w:r>
        <w:rPr>
          <w:rFonts w:ascii="Segoe UI" w:hAnsi="Segoe UI" w:cs="Segoe UI"/>
          <w:rtl/>
          <w:lang w:val="en-ZW"/>
        </w:rPr>
        <w:t>–</w:t>
      </w:r>
      <w:r>
        <w:rPr>
          <w:rFonts w:ascii="Segoe UI" w:hAnsi="Segoe UI" w:cs="Segoe UI" w:hint="cs"/>
          <w:rtl/>
          <w:lang w:val="en-ZW"/>
        </w:rPr>
        <w:t xml:space="preserve"> משפט של קטין מופרד ממשפטם של בגירים [</w:t>
      </w:r>
      <w:r>
        <w:rPr>
          <w:rFonts w:ascii="Segoe UI" w:hAnsi="Segoe UI" w:cs="Segoe UI" w:hint="cs"/>
          <w:color w:val="7030A0"/>
          <w:rtl/>
          <w:lang w:val="en-ZW"/>
        </w:rPr>
        <w:t>גם אם המעשה נעשה ביחד]</w:t>
      </w:r>
      <w:r>
        <w:rPr>
          <w:rFonts w:ascii="Segoe UI" w:hAnsi="Segoe UI" w:cs="Segoe UI" w:hint="cs"/>
          <w:rtl/>
          <w:lang w:val="en-ZW"/>
        </w:rPr>
        <w:t xml:space="preserve">, המטרה היא להגן עליהם מהתקשורת ומהציבור הכללי </w:t>
      </w:r>
      <w:r>
        <w:rPr>
          <w:rFonts w:ascii="Segoe UI" w:hAnsi="Segoe UI" w:cs="Segoe UI"/>
          <w:rtl/>
          <w:lang w:val="en-ZW"/>
        </w:rPr>
        <w:t>–</w:t>
      </w:r>
      <w:r>
        <w:rPr>
          <w:rFonts w:ascii="Segoe UI" w:hAnsi="Segoe UI" w:cs="Segoe UI" w:hint="cs"/>
          <w:rtl/>
          <w:lang w:val="en-ZW"/>
        </w:rPr>
        <w:t xml:space="preserve"> כך יוכלו לשקם את חייהם</w:t>
      </w:r>
    </w:p>
    <w:p w14:paraId="4E6E0149" w14:textId="4310B343" w:rsidR="00F21BDE" w:rsidRPr="000B1D2E" w:rsidRDefault="00AF3969" w:rsidP="00D95A69">
      <w:pPr>
        <w:pStyle w:val="ab"/>
        <w:numPr>
          <w:ilvl w:val="0"/>
          <w:numId w:val="85"/>
        </w:numPr>
        <w:bidi/>
        <w:spacing w:after="0" w:line="276" w:lineRule="auto"/>
        <w:jc w:val="both"/>
        <w:rPr>
          <w:rFonts w:ascii="Segoe UI" w:hAnsi="Segoe UI" w:cs="Segoe UI"/>
          <w:lang w:val="en-ZW"/>
        </w:rPr>
      </w:pPr>
      <w:r>
        <w:rPr>
          <w:rFonts w:ascii="Segoe UI" w:hAnsi="Segoe UI" w:cs="Segoe UI" w:hint="cs"/>
          <w:rtl/>
          <w:lang w:val="en-ZW"/>
        </w:rPr>
        <w:t xml:space="preserve">מניעת מגע בין עבריינים קטינים לבין עבריינים בגירים </w:t>
      </w:r>
      <w:r>
        <w:rPr>
          <w:rFonts w:ascii="Segoe UI" w:hAnsi="Segoe UI" w:cs="Segoe UI"/>
          <w:rtl/>
          <w:lang w:val="en-ZW"/>
        </w:rPr>
        <w:t>–</w:t>
      </w:r>
      <w:r>
        <w:rPr>
          <w:rFonts w:ascii="Segoe UI" w:hAnsi="Segoe UI" w:cs="Segoe UI" w:hint="cs"/>
          <w:rtl/>
          <w:lang w:val="en-ZW"/>
        </w:rPr>
        <w:t xml:space="preserve"> </w:t>
      </w:r>
      <w:r>
        <w:rPr>
          <w:rFonts w:ascii="Segoe UI" w:hAnsi="Segoe UI" w:cs="Segoe UI" w:hint="cs"/>
          <w:color w:val="7030A0"/>
          <w:rtl/>
          <w:lang w:val="en-ZW"/>
        </w:rPr>
        <w:t xml:space="preserve">כדי שעבריינים בגירים לא יוכלו לנצל את העבריינים הקטינים ולגרור אותם לעולם הפשע ולביצוע עבירות פליליות במקום לשקם אותם ולהחזיר אותם לחברה </w:t>
      </w:r>
    </w:p>
    <w:p w14:paraId="72B9F3DE" w14:textId="13BFD459" w:rsidR="000B1D2E" w:rsidRDefault="000B1D2E" w:rsidP="00D95A69">
      <w:pPr>
        <w:bidi/>
        <w:spacing w:after="0" w:line="276" w:lineRule="auto"/>
        <w:jc w:val="both"/>
        <w:rPr>
          <w:rFonts w:ascii="Segoe UI" w:hAnsi="Segoe UI" w:cs="Segoe UI"/>
          <w:rtl/>
          <w:lang w:val="en-ZW"/>
        </w:rPr>
      </w:pPr>
    </w:p>
    <w:p w14:paraId="41420C3C" w14:textId="77DE12D7" w:rsidR="000B1D2E" w:rsidRDefault="000B1D2E" w:rsidP="00D95A69">
      <w:pPr>
        <w:pStyle w:val="2"/>
        <w:rPr>
          <w:rtl/>
        </w:rPr>
      </w:pPr>
      <w:bookmarkStart w:id="71" w:name="_Toc108218227"/>
      <w:r>
        <w:rPr>
          <w:rFonts w:hint="cs"/>
          <w:rtl/>
        </w:rPr>
        <w:t xml:space="preserve">חוק הנוער </w:t>
      </w:r>
      <w:r>
        <w:rPr>
          <w:rtl/>
        </w:rPr>
        <w:t>–</w:t>
      </w:r>
      <w:r>
        <w:rPr>
          <w:rFonts w:hint="cs"/>
          <w:rtl/>
        </w:rPr>
        <w:t xml:space="preserve"> קווים כלליים</w:t>
      </w:r>
      <w:bookmarkEnd w:id="71"/>
    </w:p>
    <w:p w14:paraId="3D35DD8E" w14:textId="77777777" w:rsidR="0093334F" w:rsidRPr="0093334F" w:rsidRDefault="0093334F" w:rsidP="00D95A69">
      <w:pPr>
        <w:pStyle w:val="ab"/>
        <w:numPr>
          <w:ilvl w:val="0"/>
          <w:numId w:val="86"/>
        </w:numPr>
        <w:bidi/>
        <w:spacing w:after="0" w:line="276" w:lineRule="auto"/>
        <w:jc w:val="both"/>
        <w:rPr>
          <w:rFonts w:ascii="Segoe UI" w:hAnsi="Segoe UI" w:cs="Segoe UI"/>
          <w:rtl/>
          <w:lang w:val="en-ZW"/>
        </w:rPr>
      </w:pPr>
      <w:r w:rsidRPr="0093334F">
        <w:rPr>
          <w:rFonts w:ascii="Segoe UI" w:hAnsi="Segoe UI" w:cs="Segoe UI"/>
          <w:rtl/>
          <w:lang w:val="en-ZW"/>
        </w:rPr>
        <w:t>חוק הנוער מתייחס לקטינים מתחת לגיל 18</w:t>
      </w:r>
    </w:p>
    <w:p w14:paraId="56816721" w14:textId="2566E4F4" w:rsidR="0093334F" w:rsidRPr="0093334F" w:rsidRDefault="0093334F" w:rsidP="00D95A69">
      <w:pPr>
        <w:pStyle w:val="ab"/>
        <w:numPr>
          <w:ilvl w:val="0"/>
          <w:numId w:val="86"/>
        </w:numPr>
        <w:bidi/>
        <w:spacing w:after="0" w:line="276" w:lineRule="auto"/>
        <w:jc w:val="both"/>
        <w:rPr>
          <w:rFonts w:ascii="Segoe UI" w:hAnsi="Segoe UI" w:cs="Segoe UI"/>
          <w:rtl/>
          <w:lang w:val="en-ZW"/>
        </w:rPr>
      </w:pPr>
      <w:r w:rsidRPr="0093334F">
        <w:rPr>
          <w:rFonts w:ascii="Segoe UI" w:hAnsi="Segoe UI" w:cs="Segoe UI"/>
          <w:rtl/>
          <w:lang w:val="en-ZW"/>
        </w:rPr>
        <w:t>מי שביצע עבירה פלילית והוגש נגדו כת"א בעודו קטין - יטופל בבית משפט לנוער</w:t>
      </w:r>
    </w:p>
    <w:p w14:paraId="3D5E2EF6" w14:textId="77777777" w:rsidR="0093334F" w:rsidRPr="0093334F" w:rsidRDefault="0093334F" w:rsidP="00D95A69">
      <w:pPr>
        <w:pStyle w:val="ab"/>
        <w:numPr>
          <w:ilvl w:val="0"/>
          <w:numId w:val="86"/>
        </w:numPr>
        <w:bidi/>
        <w:spacing w:after="0" w:line="276" w:lineRule="auto"/>
        <w:jc w:val="both"/>
        <w:rPr>
          <w:rFonts w:ascii="Segoe UI" w:hAnsi="Segoe UI" w:cs="Segoe UI"/>
          <w:rtl/>
          <w:lang w:val="en-ZW"/>
        </w:rPr>
      </w:pPr>
      <w:r w:rsidRPr="0093334F">
        <w:rPr>
          <w:rFonts w:ascii="Segoe UI" w:hAnsi="Segoe UI" w:cs="Segoe UI"/>
          <w:rtl/>
          <w:lang w:val="en-ZW"/>
        </w:rPr>
        <w:t>הדיון בבית המשפט לנוער הוא בדלתיים סגורות</w:t>
      </w:r>
    </w:p>
    <w:p w14:paraId="613C6244" w14:textId="77777777" w:rsidR="0093334F" w:rsidRPr="0093334F" w:rsidRDefault="0093334F" w:rsidP="00D95A69">
      <w:pPr>
        <w:pStyle w:val="ab"/>
        <w:numPr>
          <w:ilvl w:val="0"/>
          <w:numId w:val="86"/>
        </w:numPr>
        <w:bidi/>
        <w:spacing w:after="0" w:line="276" w:lineRule="auto"/>
        <w:jc w:val="both"/>
        <w:rPr>
          <w:rFonts w:ascii="Segoe UI" w:hAnsi="Segoe UI" w:cs="Segoe UI"/>
          <w:rtl/>
          <w:lang w:val="en-ZW"/>
        </w:rPr>
      </w:pPr>
      <w:r w:rsidRPr="0093334F">
        <w:rPr>
          <w:rFonts w:ascii="Segoe UI" w:hAnsi="Segoe UI" w:cs="Segoe UI"/>
          <w:rtl/>
          <w:lang w:val="en-ZW"/>
        </w:rPr>
        <w:t>קטינים מוחזקים בתאים ייחודיים ולא עם בוגרים</w:t>
      </w:r>
      <w:r w:rsidRPr="0093334F">
        <w:rPr>
          <w:rFonts w:ascii="Segoe UI" w:hAnsi="Segoe UI" w:cs="Segoe UI"/>
          <w:lang w:val="en-ZW"/>
        </w:rPr>
        <w:t xml:space="preserve"> </w:t>
      </w:r>
    </w:p>
    <w:p w14:paraId="6492AECE" w14:textId="77777777" w:rsidR="0093334F" w:rsidRPr="0093334F" w:rsidRDefault="0093334F" w:rsidP="00D95A69">
      <w:pPr>
        <w:pStyle w:val="ab"/>
        <w:numPr>
          <w:ilvl w:val="0"/>
          <w:numId w:val="86"/>
        </w:numPr>
        <w:bidi/>
        <w:spacing w:after="0" w:line="276" w:lineRule="auto"/>
        <w:jc w:val="both"/>
        <w:rPr>
          <w:rFonts w:ascii="Segoe UI" w:hAnsi="Segoe UI" w:cs="Segoe UI"/>
          <w:rtl/>
          <w:lang w:val="en-ZW"/>
        </w:rPr>
      </w:pPr>
      <w:r w:rsidRPr="0093334F">
        <w:rPr>
          <w:rFonts w:ascii="Segoe UI" w:hAnsi="Segoe UI" w:cs="Segoe UI"/>
          <w:rtl/>
          <w:lang w:val="en-ZW"/>
        </w:rPr>
        <w:t>על קטין שנגזר עונש מאסר - לא יוטל עונש אם לא מלאו לו 14</w:t>
      </w:r>
    </w:p>
    <w:p w14:paraId="6A490873" w14:textId="77777777" w:rsidR="0093334F" w:rsidRPr="0093334F" w:rsidRDefault="0093334F" w:rsidP="00D95A69">
      <w:pPr>
        <w:pStyle w:val="ab"/>
        <w:numPr>
          <w:ilvl w:val="0"/>
          <w:numId w:val="86"/>
        </w:numPr>
        <w:bidi/>
        <w:spacing w:after="0" w:line="276" w:lineRule="auto"/>
        <w:jc w:val="both"/>
        <w:rPr>
          <w:rFonts w:ascii="Segoe UI" w:hAnsi="Segoe UI" w:cs="Segoe UI"/>
          <w:rtl/>
          <w:lang w:val="en-ZW"/>
        </w:rPr>
      </w:pPr>
      <w:r w:rsidRPr="0093334F">
        <w:rPr>
          <w:rFonts w:ascii="Segoe UI" w:hAnsi="Segoe UI" w:cs="Segoe UI"/>
          <w:rtl/>
          <w:lang w:val="en-ZW"/>
        </w:rPr>
        <w:t>אין עונש מוות לקטינים ואין חובה לגזור מאסר עולם</w:t>
      </w:r>
      <w:r w:rsidRPr="0093334F">
        <w:rPr>
          <w:rFonts w:ascii="Segoe UI" w:hAnsi="Segoe UI" w:cs="Segoe UI"/>
          <w:lang w:val="en-ZW"/>
        </w:rPr>
        <w:t xml:space="preserve"> </w:t>
      </w:r>
    </w:p>
    <w:p w14:paraId="1D85B233" w14:textId="45D88DBB" w:rsidR="000B1D2E" w:rsidRDefault="0093334F" w:rsidP="00D95A69">
      <w:pPr>
        <w:pStyle w:val="ab"/>
        <w:numPr>
          <w:ilvl w:val="0"/>
          <w:numId w:val="86"/>
        </w:numPr>
        <w:bidi/>
        <w:spacing w:after="0" w:line="276" w:lineRule="auto"/>
        <w:jc w:val="both"/>
        <w:rPr>
          <w:rFonts w:ascii="Segoe UI" w:hAnsi="Segoe UI" w:cs="Segoe UI"/>
          <w:lang w:val="en-ZW"/>
        </w:rPr>
      </w:pPr>
      <w:r w:rsidRPr="0093334F">
        <w:rPr>
          <w:rFonts w:ascii="Segoe UI" w:hAnsi="Segoe UI" w:cs="Segoe UI"/>
          <w:rtl/>
          <w:lang w:val="en-ZW"/>
        </w:rPr>
        <w:t>לפני גזר דין - חייבים לקבל תסקיר שירות לנוער</w:t>
      </w:r>
    </w:p>
    <w:p w14:paraId="1FC21148" w14:textId="2B751301" w:rsidR="00205533" w:rsidRDefault="00205533" w:rsidP="00D95A69">
      <w:pPr>
        <w:bidi/>
        <w:spacing w:after="0" w:line="276" w:lineRule="auto"/>
        <w:jc w:val="both"/>
        <w:rPr>
          <w:rFonts w:ascii="Segoe UI" w:hAnsi="Segoe UI" w:cs="Segoe UI"/>
          <w:rtl/>
          <w:lang w:val="en-ZW"/>
        </w:rPr>
      </w:pPr>
    </w:p>
    <w:p w14:paraId="0D7862C3" w14:textId="525D9BB8" w:rsidR="005F2F7E" w:rsidRPr="00A026B3" w:rsidRDefault="009D1518"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center"/>
        <w:rPr>
          <w:rFonts w:ascii="FrankRuehl" w:hAnsi="FrankRuehl" w:cs="FrankRuehl"/>
          <w:b/>
          <w:bCs/>
          <w:sz w:val="30"/>
          <w:szCs w:val="30"/>
          <w:rtl/>
          <w:lang w:val="en-US"/>
        </w:rPr>
      </w:pPr>
      <w:r w:rsidRPr="00A026B3">
        <w:rPr>
          <w:rFonts w:ascii="FrankRuehl" w:hAnsi="FrankRuehl" w:cs="FrankRuehl"/>
          <w:b/>
          <w:bCs/>
          <w:sz w:val="30"/>
          <w:szCs w:val="30"/>
          <w:rtl/>
          <w:lang w:val="en-US"/>
        </w:rPr>
        <w:t>פרק ד' – סדרי הדין</w:t>
      </w:r>
    </w:p>
    <w:p w14:paraId="65A84C61" w14:textId="77777777"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C24662">
        <w:rPr>
          <w:rFonts w:asciiTheme="majorBidi" w:hAnsiTheme="majorBidi" w:cstheme="majorBidi"/>
          <w:b/>
          <w:bCs/>
          <w:color w:val="008000"/>
          <w:sz w:val="27"/>
          <w:szCs w:val="27"/>
          <w:rtl/>
        </w:rPr>
        <w:t>הכרעת הדין</w:t>
      </w:r>
    </w:p>
    <w:p w14:paraId="4A16F263" w14:textId="6791BFE0" w:rsidR="00477D97"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color w:val="7030A0"/>
          <w:sz w:val="26"/>
          <w:szCs w:val="26"/>
          <w:rtl/>
        </w:rPr>
      </w:pPr>
      <w:r w:rsidRPr="006D79AE">
        <w:rPr>
          <w:rFonts w:ascii="Miriam" w:hAnsi="Miriam" w:cs="Miriam"/>
          <w:sz w:val="32"/>
          <w:szCs w:val="32"/>
          <w:rtl/>
        </w:rPr>
        <w:t>21</w:t>
      </w:r>
      <w:r>
        <w:rPr>
          <w:rFonts w:ascii="FrankRuehl" w:hAnsi="FrankRuehl" w:cs="FrankRuehl" w:hint="cs"/>
          <w:sz w:val="27"/>
          <w:szCs w:val="27"/>
          <w:rtl/>
        </w:rPr>
        <w:t xml:space="preserve">. </w:t>
      </w:r>
      <w:r w:rsidRPr="00C24662">
        <w:rPr>
          <w:rFonts w:ascii="FrankRuehl" w:hAnsi="FrankRuehl" w:cs="FrankRuehl"/>
          <w:sz w:val="26"/>
          <w:szCs w:val="26"/>
          <w:rtl/>
        </w:rPr>
        <w:t xml:space="preserve">בהכרעת הדין יחליט בית משפט לנוער על </w:t>
      </w:r>
      <w:r w:rsidRPr="00C24662">
        <w:rPr>
          <w:rFonts w:ascii="FrankRuehl" w:hAnsi="FrankRuehl" w:cs="FrankRuehl"/>
          <w:color w:val="FF0000"/>
          <w:sz w:val="26"/>
          <w:szCs w:val="26"/>
          <w:rtl/>
        </w:rPr>
        <w:t>זיכוי הקטין או יקבע שהקטין ביצע את העבירה</w:t>
      </w:r>
      <w:r w:rsidRPr="00C24662">
        <w:rPr>
          <w:rFonts w:ascii="FrankRuehl" w:hAnsi="FrankRuehl" w:cs="FrankRuehl"/>
          <w:sz w:val="26"/>
          <w:szCs w:val="26"/>
        </w:rPr>
        <w:t>.</w:t>
      </w:r>
      <w:r w:rsidR="00C17731" w:rsidRPr="00C24662">
        <w:rPr>
          <w:rFonts w:ascii="FrankRuehl" w:hAnsi="FrankRuehl" w:cs="FrankRuehl" w:hint="cs"/>
          <w:sz w:val="26"/>
          <w:szCs w:val="26"/>
          <w:rtl/>
        </w:rPr>
        <w:t xml:space="preserve"> [</w:t>
      </w:r>
      <w:r w:rsidR="00C17731" w:rsidRPr="00C24662">
        <w:rPr>
          <w:rFonts w:ascii="FrankRuehl" w:hAnsi="FrankRuehl" w:cs="FrankRuehl" w:hint="cs"/>
          <w:color w:val="7030A0"/>
          <w:sz w:val="26"/>
          <w:szCs w:val="26"/>
          <w:rtl/>
        </w:rPr>
        <w:t>כלומר, אי הרשעה]</w:t>
      </w:r>
    </w:p>
    <w:p w14:paraId="5D7AE092" w14:textId="77777777" w:rsidR="00C24662" w:rsidRPr="00C24662" w:rsidRDefault="00C24662"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color w:val="7030A0"/>
          <w:sz w:val="26"/>
          <w:szCs w:val="26"/>
        </w:rPr>
      </w:pPr>
    </w:p>
    <w:p w14:paraId="2D21B24C" w14:textId="4E0625F8"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C24662">
        <w:rPr>
          <w:rFonts w:asciiTheme="majorBidi" w:hAnsiTheme="majorBidi" w:cstheme="majorBidi"/>
          <w:b/>
          <w:bCs/>
          <w:color w:val="008000"/>
          <w:sz w:val="27"/>
          <w:szCs w:val="27"/>
          <w:rtl/>
        </w:rPr>
        <w:t>תסקיר קצין מבחן ובדיקות אחרות</w:t>
      </w:r>
    </w:p>
    <w:p w14:paraId="3F35B274" w14:textId="6D447CED" w:rsidR="00477D97"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color w:val="7030A0"/>
          <w:sz w:val="27"/>
          <w:szCs w:val="27"/>
          <w:rtl/>
        </w:rPr>
      </w:pPr>
      <w:r w:rsidRPr="006D79AE">
        <w:rPr>
          <w:rFonts w:ascii="Miriam" w:hAnsi="Miriam" w:cs="Miriam"/>
          <w:sz w:val="32"/>
          <w:szCs w:val="32"/>
          <w:rtl/>
        </w:rPr>
        <w:t>22</w:t>
      </w:r>
      <w:r>
        <w:rPr>
          <w:rFonts w:ascii="FrankRuehl" w:hAnsi="FrankRuehl" w:cs="FrankRuehl" w:hint="cs"/>
          <w:sz w:val="27"/>
          <w:szCs w:val="27"/>
          <w:rtl/>
        </w:rPr>
        <w:t xml:space="preserve">. </w:t>
      </w:r>
      <w:r w:rsidRPr="00C24662">
        <w:rPr>
          <w:rFonts w:ascii="FrankRuehl" w:hAnsi="FrankRuehl" w:cs="FrankRuehl"/>
          <w:sz w:val="26"/>
          <w:szCs w:val="26"/>
          <w:rtl/>
        </w:rPr>
        <w:t xml:space="preserve">קבע בית משפט לנוער שהקטין ביצע את העבירה, </w:t>
      </w:r>
      <w:r w:rsidRPr="00C24662">
        <w:rPr>
          <w:rFonts w:ascii="FrankRuehl" w:hAnsi="FrankRuehl" w:cs="FrankRuehl"/>
          <w:color w:val="FF0000"/>
          <w:sz w:val="26"/>
          <w:szCs w:val="26"/>
          <w:rtl/>
        </w:rPr>
        <w:t xml:space="preserve">יורה על הגשת תסקיר קצין מבחן </w:t>
      </w:r>
      <w:r w:rsidRPr="00C24662">
        <w:rPr>
          <w:rFonts w:ascii="FrankRuehl" w:hAnsi="FrankRuehl" w:cs="FrankRuehl"/>
          <w:sz w:val="26"/>
          <w:szCs w:val="26"/>
          <w:rtl/>
        </w:rPr>
        <w:t>לפי סעיף 37 לחוק העונשין, ורשאי בית-המשפט להורות על עריכת בדיקות וחקירות כאמור בסעיף 190 לחוק סדר הדין הפלילי [נוסח משולב], התשמ"ד-1984</w:t>
      </w:r>
      <w:r w:rsidRPr="00C24662">
        <w:rPr>
          <w:rFonts w:ascii="FrankRuehl" w:hAnsi="FrankRuehl" w:cs="FrankRuehl"/>
          <w:sz w:val="26"/>
          <w:szCs w:val="26"/>
        </w:rPr>
        <w:t>.</w:t>
      </w:r>
      <w:r w:rsidR="00270450" w:rsidRPr="00C24662">
        <w:rPr>
          <w:rFonts w:ascii="FrankRuehl" w:hAnsi="FrankRuehl" w:cs="FrankRuehl" w:hint="cs"/>
          <w:sz w:val="26"/>
          <w:szCs w:val="26"/>
          <w:rtl/>
        </w:rPr>
        <w:t xml:space="preserve"> </w:t>
      </w:r>
      <w:r w:rsidR="00270450" w:rsidRPr="00C24662">
        <w:rPr>
          <w:rFonts w:ascii="FrankRuehl" w:hAnsi="FrankRuehl" w:cs="FrankRuehl" w:hint="cs"/>
          <w:color w:val="7030A0"/>
          <w:sz w:val="26"/>
          <w:szCs w:val="26"/>
          <w:rtl/>
        </w:rPr>
        <w:t>[קבלת תסקיר הינה חובה].</w:t>
      </w:r>
      <w:r w:rsidR="00270450">
        <w:rPr>
          <w:rFonts w:ascii="FrankRuehl" w:hAnsi="FrankRuehl" w:cs="FrankRuehl" w:hint="cs"/>
          <w:color w:val="7030A0"/>
          <w:sz w:val="27"/>
          <w:szCs w:val="27"/>
          <w:rtl/>
        </w:rPr>
        <w:t xml:space="preserve"> </w:t>
      </w:r>
    </w:p>
    <w:p w14:paraId="7779819C" w14:textId="77777777" w:rsidR="00C24662" w:rsidRPr="00270450" w:rsidRDefault="00C24662"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color w:val="7030A0"/>
          <w:sz w:val="27"/>
          <w:szCs w:val="27"/>
        </w:rPr>
      </w:pPr>
    </w:p>
    <w:p w14:paraId="0A0BED67" w14:textId="77777777" w:rsidR="00477D97" w:rsidRPr="00A026B3"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center"/>
        <w:rPr>
          <w:rFonts w:ascii="FrankRuehl" w:hAnsi="FrankRuehl" w:cs="FrankRuehl"/>
          <w:b/>
          <w:bCs/>
          <w:sz w:val="30"/>
          <w:szCs w:val="30"/>
        </w:rPr>
      </w:pPr>
      <w:r w:rsidRPr="00A026B3">
        <w:rPr>
          <w:rFonts w:ascii="FrankRuehl" w:hAnsi="FrankRuehl" w:cs="FrankRuehl"/>
          <w:b/>
          <w:bCs/>
          <w:sz w:val="30"/>
          <w:szCs w:val="30"/>
          <w:rtl/>
        </w:rPr>
        <w:t>פרק ה' – ענשים ודרכי טיפול</w:t>
      </w:r>
    </w:p>
    <w:p w14:paraId="069F330E" w14:textId="77777777"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C24662">
        <w:rPr>
          <w:rFonts w:asciiTheme="majorBidi" w:hAnsiTheme="majorBidi" w:cstheme="majorBidi"/>
          <w:b/>
          <w:bCs/>
          <w:color w:val="008000"/>
          <w:sz w:val="27"/>
          <w:szCs w:val="27"/>
          <w:rtl/>
        </w:rPr>
        <w:t>החלטת בית המשפט לגבי קטין שביצע עבירה</w:t>
      </w:r>
    </w:p>
    <w:p w14:paraId="6C78D593" w14:textId="221710E6"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6D79AE">
        <w:rPr>
          <w:rFonts w:ascii="Miriam" w:hAnsi="Miriam" w:cs="Miriam"/>
          <w:sz w:val="32"/>
          <w:szCs w:val="32"/>
          <w:rtl/>
        </w:rPr>
        <w:t>24</w:t>
      </w:r>
      <w:r>
        <w:rPr>
          <w:rFonts w:ascii="FrankRuehl" w:hAnsi="FrankRuehl" w:cs="FrankRuehl" w:hint="cs"/>
          <w:sz w:val="27"/>
          <w:szCs w:val="27"/>
          <w:rtl/>
        </w:rPr>
        <w:t xml:space="preserve">. </w:t>
      </w:r>
      <w:r w:rsidRPr="00C24662">
        <w:rPr>
          <w:rFonts w:ascii="FrankRuehl" w:hAnsi="FrankRuehl" w:cs="FrankRuehl"/>
          <w:sz w:val="26"/>
          <w:szCs w:val="26"/>
          <w:rtl/>
        </w:rPr>
        <w:t>קבע בית משפט לנוער שהקטין ביצע את העבירה והוגשו לו תסקיר של קצין המבחן ותוצאות הבדיקות והחקירות, שעליהם הורה לפי סעיף 22, יחליט על אחד מאלה</w:t>
      </w:r>
      <w:r w:rsidRPr="00C24662">
        <w:rPr>
          <w:rFonts w:ascii="FrankRuehl" w:hAnsi="FrankRuehl" w:cs="FrankRuehl"/>
          <w:sz w:val="26"/>
          <w:szCs w:val="26"/>
        </w:rPr>
        <w:t>:</w:t>
      </w:r>
    </w:p>
    <w:p w14:paraId="726A1243" w14:textId="14D0D1A1"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C24662">
        <w:rPr>
          <w:rFonts w:ascii="FrankRuehl" w:hAnsi="FrankRuehl" w:cs="FrankRuehl"/>
          <w:sz w:val="26"/>
          <w:szCs w:val="26"/>
        </w:rPr>
        <w:t xml:space="preserve">(1) </w:t>
      </w:r>
      <w:r w:rsidRPr="00C24662">
        <w:rPr>
          <w:rFonts w:ascii="FrankRuehl" w:hAnsi="FrankRuehl" w:cs="FrankRuehl" w:hint="cs"/>
          <w:sz w:val="26"/>
          <w:szCs w:val="26"/>
          <w:rtl/>
        </w:rPr>
        <w:t xml:space="preserve"> </w:t>
      </w:r>
      <w:r w:rsidRPr="00C24662">
        <w:rPr>
          <w:rFonts w:ascii="FrankRuehl" w:hAnsi="FrankRuehl" w:cs="FrankRuehl"/>
          <w:sz w:val="26"/>
          <w:szCs w:val="26"/>
          <w:rtl/>
        </w:rPr>
        <w:t>להרשיע את הקטין ולגזור את דינו</w:t>
      </w:r>
    </w:p>
    <w:p w14:paraId="6D02131B" w14:textId="68F58C2A"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C24662">
        <w:rPr>
          <w:rFonts w:ascii="FrankRuehl" w:hAnsi="FrankRuehl" w:cs="FrankRuehl"/>
          <w:sz w:val="26"/>
          <w:szCs w:val="26"/>
        </w:rPr>
        <w:t xml:space="preserve">(2) </w:t>
      </w:r>
      <w:r w:rsidRPr="00C24662">
        <w:rPr>
          <w:rFonts w:ascii="FrankRuehl" w:hAnsi="FrankRuehl" w:cs="FrankRuehl" w:hint="cs"/>
          <w:sz w:val="26"/>
          <w:szCs w:val="26"/>
          <w:rtl/>
        </w:rPr>
        <w:t xml:space="preserve"> </w:t>
      </w:r>
      <w:r w:rsidRPr="00C24662">
        <w:rPr>
          <w:rFonts w:ascii="FrankRuehl" w:hAnsi="FrankRuehl" w:cs="FrankRuehl"/>
          <w:sz w:val="26"/>
          <w:szCs w:val="26"/>
          <w:rtl/>
        </w:rPr>
        <w:t xml:space="preserve">לצוות על אחד או יותר מהאמצעים ודרכי הטיפול המנויים בסעיף </w:t>
      </w:r>
      <w:proofErr w:type="gramStart"/>
      <w:r w:rsidRPr="00C24662">
        <w:rPr>
          <w:rFonts w:ascii="FrankRuehl" w:hAnsi="FrankRuehl" w:cs="FrankRuehl"/>
          <w:sz w:val="26"/>
          <w:szCs w:val="26"/>
          <w:rtl/>
        </w:rPr>
        <w:t>26</w:t>
      </w:r>
      <w:r w:rsidRPr="00C24662">
        <w:rPr>
          <w:rFonts w:ascii="FrankRuehl" w:hAnsi="FrankRuehl" w:cs="FrankRuehl"/>
          <w:sz w:val="26"/>
          <w:szCs w:val="26"/>
        </w:rPr>
        <w:t>;</w:t>
      </w:r>
      <w:proofErr w:type="gramEnd"/>
    </w:p>
    <w:p w14:paraId="44582448" w14:textId="00C1E8BA"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sidRPr="00C24662">
        <w:rPr>
          <w:rFonts w:ascii="FrankRuehl" w:hAnsi="FrankRuehl" w:cs="FrankRuehl"/>
          <w:sz w:val="26"/>
          <w:szCs w:val="26"/>
        </w:rPr>
        <w:t xml:space="preserve">(3) </w:t>
      </w:r>
      <w:r w:rsidRPr="00C24662">
        <w:rPr>
          <w:rFonts w:ascii="FrankRuehl" w:hAnsi="FrankRuehl" w:cs="FrankRuehl" w:hint="cs"/>
          <w:sz w:val="26"/>
          <w:szCs w:val="26"/>
          <w:rtl/>
        </w:rPr>
        <w:t xml:space="preserve"> </w:t>
      </w:r>
      <w:r w:rsidRPr="00C24662">
        <w:rPr>
          <w:rFonts w:ascii="FrankRuehl" w:hAnsi="FrankRuehl" w:cs="FrankRuehl"/>
          <w:sz w:val="26"/>
          <w:szCs w:val="26"/>
          <w:rtl/>
        </w:rPr>
        <w:t>לפטור את הקטין בלא צו כאמור</w:t>
      </w:r>
      <w:r w:rsidRPr="00C24662">
        <w:rPr>
          <w:rFonts w:ascii="FrankRuehl" w:hAnsi="FrankRuehl" w:cs="FrankRuehl"/>
          <w:sz w:val="26"/>
          <w:szCs w:val="26"/>
        </w:rPr>
        <w:t>.</w:t>
      </w:r>
    </w:p>
    <w:p w14:paraId="2A09D641" w14:textId="77777777" w:rsidR="00477D97" w:rsidRPr="00477D97"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7"/>
          <w:szCs w:val="27"/>
        </w:rPr>
      </w:pPr>
    </w:p>
    <w:p w14:paraId="0474B886" w14:textId="77777777"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C24662">
        <w:rPr>
          <w:rFonts w:asciiTheme="majorBidi" w:hAnsiTheme="majorBidi" w:cstheme="majorBidi"/>
          <w:b/>
          <w:bCs/>
          <w:color w:val="008000"/>
          <w:sz w:val="27"/>
          <w:szCs w:val="27"/>
          <w:rtl/>
        </w:rPr>
        <w:t>החלטת בית המשפט על אמצעים ודרכי טיפול לאחר הרשעה</w:t>
      </w:r>
    </w:p>
    <w:p w14:paraId="477E2C53" w14:textId="566D354F"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sidRPr="006D79AE">
        <w:rPr>
          <w:rFonts w:ascii="Miriam" w:hAnsi="Miriam" w:cs="Miriam"/>
          <w:sz w:val="32"/>
          <w:szCs w:val="32"/>
          <w:rtl/>
        </w:rPr>
        <w:t>24א</w:t>
      </w:r>
      <w:r>
        <w:rPr>
          <w:rFonts w:ascii="FrankRuehl" w:hAnsi="FrankRuehl" w:cs="FrankRuehl" w:hint="cs"/>
          <w:sz w:val="27"/>
          <w:szCs w:val="27"/>
          <w:rtl/>
        </w:rPr>
        <w:t xml:space="preserve">. </w:t>
      </w:r>
      <w:r w:rsidRPr="00C24662">
        <w:rPr>
          <w:rFonts w:ascii="FrankRuehl" w:hAnsi="FrankRuehl" w:cs="FrankRuehl"/>
          <w:b/>
          <w:bCs/>
          <w:color w:val="FF0000"/>
          <w:sz w:val="26"/>
          <w:szCs w:val="26"/>
          <w:rtl/>
        </w:rPr>
        <w:t>על אף האמור בסעיף 24 רישה</w:t>
      </w:r>
      <w:r w:rsidRPr="00C24662">
        <w:rPr>
          <w:rFonts w:ascii="FrankRuehl" w:hAnsi="FrankRuehl" w:cs="FrankRuehl"/>
          <w:sz w:val="26"/>
          <w:szCs w:val="26"/>
          <w:rtl/>
        </w:rPr>
        <w:t xml:space="preserve">, רשאי בית משפט לנוער, לאחר שהרשיע את הקטין וגזר את דינו כאמור בפסקה (1) לסעיף האמור, לצוות, נוסף על העונש שהטיל, </w:t>
      </w:r>
      <w:r w:rsidRPr="00C24662">
        <w:rPr>
          <w:rFonts w:ascii="FrankRuehl" w:hAnsi="FrankRuehl" w:cs="FrankRuehl"/>
          <w:sz w:val="26"/>
          <w:szCs w:val="26"/>
          <w:u w:val="single"/>
          <w:rtl/>
        </w:rPr>
        <w:t xml:space="preserve">על קבלת התחייבות מאת הורהו של הקטין או על חיוב ההורה </w:t>
      </w:r>
      <w:r w:rsidRPr="00C24662">
        <w:rPr>
          <w:rFonts w:ascii="FrankRuehl" w:hAnsi="FrankRuehl" w:cs="FrankRuehl"/>
          <w:sz w:val="26"/>
          <w:szCs w:val="26"/>
          <w:u w:val="single"/>
          <w:rtl/>
        </w:rPr>
        <w:lastRenderedPageBreak/>
        <w:t>בתשלום קנס</w:t>
      </w:r>
      <w:r w:rsidRPr="00C24662">
        <w:rPr>
          <w:rFonts w:ascii="FrankRuehl" w:hAnsi="FrankRuehl" w:cs="FrankRuehl"/>
          <w:sz w:val="26"/>
          <w:szCs w:val="26"/>
          <w:rtl/>
        </w:rPr>
        <w:t xml:space="preserve">, </w:t>
      </w:r>
      <w:r w:rsidRPr="00C24662">
        <w:rPr>
          <w:rFonts w:ascii="FrankRuehl" w:hAnsi="FrankRuehl" w:cs="FrankRuehl"/>
          <w:sz w:val="26"/>
          <w:szCs w:val="26"/>
          <w:u w:val="single"/>
          <w:rtl/>
        </w:rPr>
        <w:t>הוצאות משפט או פיצוי</w:t>
      </w:r>
      <w:r w:rsidRPr="00C24662">
        <w:rPr>
          <w:rFonts w:ascii="FrankRuehl" w:hAnsi="FrankRuehl" w:cs="FrankRuehl"/>
          <w:sz w:val="26"/>
          <w:szCs w:val="26"/>
          <w:rtl/>
        </w:rPr>
        <w:t>, לפי פסקאות (3), (7) או (8) של סעיף 26, והכול אם מצא כי קיימות נסיבות המצדיקות לעשות כן</w:t>
      </w:r>
      <w:r w:rsidRPr="00C24662">
        <w:rPr>
          <w:rFonts w:ascii="FrankRuehl" w:hAnsi="FrankRuehl" w:cs="FrankRuehl"/>
          <w:sz w:val="26"/>
          <w:szCs w:val="26"/>
        </w:rPr>
        <w:t>.</w:t>
      </w:r>
    </w:p>
    <w:p w14:paraId="36A2F7CC" w14:textId="77777777" w:rsidR="00477D97" w:rsidRPr="00477D97"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7"/>
          <w:szCs w:val="27"/>
        </w:rPr>
      </w:pPr>
    </w:p>
    <w:p w14:paraId="4E773D00" w14:textId="77777777" w:rsidR="00477D97" w:rsidRPr="00C24662"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C24662">
        <w:rPr>
          <w:rFonts w:asciiTheme="majorBidi" w:hAnsiTheme="majorBidi" w:cstheme="majorBidi"/>
          <w:b/>
          <w:bCs/>
          <w:color w:val="008000"/>
          <w:sz w:val="27"/>
          <w:szCs w:val="27"/>
          <w:rtl/>
        </w:rPr>
        <w:t>דרכי ענישה</w:t>
      </w:r>
    </w:p>
    <w:p w14:paraId="7DA7646C" w14:textId="0E11F9F1" w:rsidR="00477D97" w:rsidRPr="00EF08A5"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6D79AE">
        <w:rPr>
          <w:rFonts w:ascii="Miriam" w:hAnsi="Miriam" w:cs="Miriam"/>
          <w:sz w:val="32"/>
          <w:szCs w:val="32"/>
          <w:rtl/>
        </w:rPr>
        <w:t>25</w:t>
      </w:r>
      <w:r>
        <w:rPr>
          <w:rFonts w:ascii="FrankRuehl" w:hAnsi="FrankRuehl" w:cs="FrankRuehl" w:hint="cs"/>
          <w:sz w:val="27"/>
          <w:szCs w:val="27"/>
          <w:rtl/>
        </w:rPr>
        <w:t xml:space="preserve">. </w:t>
      </w:r>
      <w:r w:rsidRPr="00EF08A5">
        <w:rPr>
          <w:rFonts w:ascii="FrankRuehl" w:hAnsi="FrankRuehl" w:cs="FrankRuehl" w:hint="cs"/>
          <w:sz w:val="26"/>
          <w:szCs w:val="26"/>
          <w:rtl/>
        </w:rPr>
        <w:t xml:space="preserve">(א)(1) </w:t>
      </w:r>
      <w:r w:rsidRPr="00EF08A5">
        <w:rPr>
          <w:rFonts w:ascii="FrankRuehl" w:hAnsi="FrankRuehl" w:cs="FrankRuehl"/>
          <w:sz w:val="26"/>
          <w:szCs w:val="26"/>
          <w:rtl/>
        </w:rPr>
        <w:t>קטין שהורשע, רשאי בית משפט לנוער, במקום להטיל עליו מאסר לצוות על החזקתו במעון נעול לתקופה שיקבע ובלבד שלא תעלה על תקופת המאסר המרבית הקבועה לעבירה שבה הורשע הקטין</w:t>
      </w:r>
      <w:r w:rsidRPr="00EF08A5">
        <w:rPr>
          <w:rFonts w:ascii="FrankRuehl" w:hAnsi="FrankRuehl" w:cs="FrankRuehl"/>
          <w:sz w:val="26"/>
          <w:szCs w:val="26"/>
        </w:rPr>
        <w:t>;</w:t>
      </w:r>
    </w:p>
    <w:p w14:paraId="2038B0CA" w14:textId="2987EA60" w:rsidR="00477D97" w:rsidRPr="00EF08A5"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EF08A5">
        <w:rPr>
          <w:rFonts w:ascii="FrankRuehl" w:hAnsi="FrankRuehl" w:cs="FrankRuehl"/>
          <w:sz w:val="26"/>
          <w:szCs w:val="26"/>
        </w:rPr>
        <w:t xml:space="preserve">(2) </w:t>
      </w:r>
      <w:r w:rsidRPr="00EF08A5">
        <w:rPr>
          <w:rFonts w:ascii="FrankRuehl" w:hAnsi="FrankRuehl" w:cs="FrankRuehl" w:hint="cs"/>
          <w:sz w:val="26"/>
          <w:szCs w:val="26"/>
          <w:rtl/>
        </w:rPr>
        <w:t xml:space="preserve"> </w:t>
      </w:r>
      <w:r w:rsidRPr="00EF08A5">
        <w:rPr>
          <w:rFonts w:ascii="FrankRuehl" w:hAnsi="FrankRuehl" w:cs="FrankRuehl"/>
          <w:sz w:val="26"/>
          <w:szCs w:val="26"/>
          <w:rtl/>
        </w:rPr>
        <w:t>בית משפט לנוער, המצווה על הפעלת מאסר על-תנאי לפי סעיף 55 לחוק העונשין</w:t>
      </w:r>
      <w:r w:rsidRPr="00EF08A5">
        <w:rPr>
          <w:rFonts w:ascii="FrankRuehl" w:hAnsi="FrankRuehl" w:cs="FrankRuehl"/>
          <w:sz w:val="26"/>
          <w:szCs w:val="26"/>
        </w:rPr>
        <w:t xml:space="preserve">, </w:t>
      </w:r>
      <w:r w:rsidRPr="00EF08A5">
        <w:rPr>
          <w:rFonts w:ascii="FrankRuehl" w:hAnsi="FrankRuehl" w:cs="FrankRuehl"/>
          <w:sz w:val="26"/>
          <w:szCs w:val="26"/>
          <w:rtl/>
        </w:rPr>
        <w:t>רשאי, במקום להטיל על הקטין מאסר, לצוות על החזקתו במעון נעול</w:t>
      </w:r>
    </w:p>
    <w:p w14:paraId="51932B84" w14:textId="197A8B30" w:rsidR="00477D97" w:rsidRPr="00EF08A5"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EF08A5">
        <w:rPr>
          <w:rFonts w:ascii="FrankRuehl" w:hAnsi="FrankRuehl" w:cs="FrankRuehl" w:hint="cs"/>
          <w:sz w:val="26"/>
          <w:szCs w:val="26"/>
          <w:rtl/>
        </w:rPr>
        <w:t xml:space="preserve">(3) </w:t>
      </w:r>
      <w:r w:rsidRPr="00EF08A5">
        <w:rPr>
          <w:rFonts w:ascii="FrankRuehl" w:hAnsi="FrankRuehl" w:cs="FrankRuehl"/>
          <w:sz w:val="26"/>
          <w:szCs w:val="26"/>
          <w:rtl/>
        </w:rPr>
        <w:t>בית משפט לנוער שהחליט על החזקת קטין במעון נעול לפי פסקאות (1) או (2), יסביר לקטין, בשפה ובאופן המובנים לו בהתחשב בגילו ובמידת בגרותו, באילו נסיבות יהיה ניתן להעבירו מהמעון הנעול למאסר, לפי הוראות סעיפים 25א או 25ב(ג)</w:t>
      </w:r>
      <w:r w:rsidRPr="00EF08A5">
        <w:rPr>
          <w:rFonts w:ascii="FrankRuehl" w:hAnsi="FrankRuehl" w:cs="FrankRuehl"/>
          <w:sz w:val="26"/>
          <w:szCs w:val="26"/>
        </w:rPr>
        <w:t xml:space="preserve">, </w:t>
      </w:r>
      <w:r w:rsidRPr="00EF08A5">
        <w:rPr>
          <w:rFonts w:ascii="FrankRuehl" w:hAnsi="FrankRuehl" w:cs="FrankRuehl"/>
          <w:sz w:val="26"/>
          <w:szCs w:val="26"/>
          <w:rtl/>
        </w:rPr>
        <w:t>ואת ההשפעה של מעבר כאמור על תנאי החזקתו ועל שחרורו</w:t>
      </w:r>
      <w:r w:rsidRPr="00EF08A5">
        <w:rPr>
          <w:rFonts w:ascii="FrankRuehl" w:hAnsi="FrankRuehl" w:cs="FrankRuehl"/>
          <w:sz w:val="26"/>
          <w:szCs w:val="26"/>
        </w:rPr>
        <w:t>.</w:t>
      </w:r>
    </w:p>
    <w:p w14:paraId="15DE616E" w14:textId="7B072E85" w:rsidR="00477D97" w:rsidRPr="00EF08A5"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EF08A5">
        <w:rPr>
          <w:rFonts w:ascii="FrankRuehl" w:hAnsi="FrankRuehl" w:cs="FrankRuehl" w:hint="cs"/>
          <w:sz w:val="26"/>
          <w:szCs w:val="26"/>
          <w:rtl/>
        </w:rPr>
        <w:t>(ב)</w:t>
      </w:r>
      <w:r w:rsidRPr="00EF08A5">
        <w:rPr>
          <w:rFonts w:ascii="FrankRuehl" w:hAnsi="FrankRuehl" w:cs="FrankRuehl"/>
          <w:sz w:val="26"/>
          <w:szCs w:val="26"/>
        </w:rPr>
        <w:t xml:space="preserve"> </w:t>
      </w:r>
      <w:r w:rsidRPr="00EF08A5">
        <w:rPr>
          <w:rFonts w:ascii="FrankRuehl" w:hAnsi="FrankRuehl" w:cs="FrankRuehl"/>
          <w:sz w:val="26"/>
          <w:szCs w:val="26"/>
          <w:rtl/>
        </w:rPr>
        <w:t>אדם שהיה קטין ביום ביצוע העבירה, לא יוטל עליו עונש מוות, ועל אף האמור בכל דין אין חובה להטיל עליו מאסר עולם, מאסר חובה או עונש מינימום</w:t>
      </w:r>
      <w:r w:rsidRPr="00EF08A5">
        <w:rPr>
          <w:rFonts w:ascii="FrankRuehl" w:hAnsi="FrankRuehl" w:cs="FrankRuehl"/>
          <w:sz w:val="26"/>
          <w:szCs w:val="26"/>
        </w:rPr>
        <w:t>.</w:t>
      </w:r>
    </w:p>
    <w:p w14:paraId="03BD6149" w14:textId="7DFE9DF5" w:rsidR="00477D97" w:rsidRPr="00EF08A5"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EF08A5">
        <w:rPr>
          <w:rFonts w:ascii="FrankRuehl" w:hAnsi="FrankRuehl" w:cs="FrankRuehl" w:hint="cs"/>
          <w:sz w:val="26"/>
          <w:szCs w:val="26"/>
          <w:rtl/>
        </w:rPr>
        <w:t xml:space="preserve">(ג) </w:t>
      </w:r>
      <w:r w:rsidRPr="00EF08A5">
        <w:rPr>
          <w:rFonts w:ascii="FrankRuehl" w:hAnsi="FrankRuehl" w:cs="FrankRuehl"/>
          <w:sz w:val="26"/>
          <w:szCs w:val="26"/>
          <w:rtl/>
        </w:rPr>
        <w:t>בקביעת ענשו של קטין יתחשב בית המשפט לנוער, בין השאר, בגילו בשעת ביצוע העבירה</w:t>
      </w:r>
      <w:r w:rsidRPr="00EF08A5">
        <w:rPr>
          <w:rFonts w:ascii="FrankRuehl" w:hAnsi="FrankRuehl" w:cs="FrankRuehl"/>
          <w:sz w:val="26"/>
          <w:szCs w:val="26"/>
        </w:rPr>
        <w:t>.</w:t>
      </w:r>
    </w:p>
    <w:p w14:paraId="1149EAD7" w14:textId="3C44F4D1" w:rsidR="00477D97" w:rsidRPr="00EF08A5" w:rsidRDefault="00477D97"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sidRPr="00EF08A5">
        <w:rPr>
          <w:rFonts w:ascii="FrankRuehl" w:hAnsi="FrankRuehl" w:cs="FrankRuehl" w:hint="cs"/>
          <w:sz w:val="26"/>
          <w:szCs w:val="26"/>
          <w:rtl/>
        </w:rPr>
        <w:t xml:space="preserve">(ד) </w:t>
      </w:r>
      <w:r w:rsidRPr="00EF08A5">
        <w:rPr>
          <w:rFonts w:ascii="FrankRuehl" w:hAnsi="FrankRuehl" w:cs="FrankRuehl"/>
          <w:sz w:val="26"/>
          <w:szCs w:val="26"/>
          <w:rtl/>
        </w:rPr>
        <w:t>קטין שבשעת גזירת דינו טרם מלאו לו ארבע עשרה שנה, לא יוטל עליו מאסר</w:t>
      </w:r>
      <w:r w:rsidRPr="00EF08A5">
        <w:rPr>
          <w:rFonts w:ascii="FrankRuehl" w:hAnsi="FrankRuehl" w:cs="FrankRuehl"/>
          <w:sz w:val="26"/>
          <w:szCs w:val="26"/>
        </w:rPr>
        <w:t>.</w:t>
      </w:r>
    </w:p>
    <w:p w14:paraId="3C70D250" w14:textId="77777777" w:rsidR="000E1F24"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7"/>
          <w:szCs w:val="27"/>
          <w:rtl/>
        </w:rPr>
      </w:pPr>
    </w:p>
    <w:p w14:paraId="6BC0C5F2" w14:textId="77777777"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tl/>
        </w:rPr>
      </w:pPr>
      <w:r w:rsidRPr="00EF08A5">
        <w:rPr>
          <w:rFonts w:asciiTheme="majorBidi" w:hAnsiTheme="majorBidi" w:cstheme="majorBidi"/>
          <w:b/>
          <w:bCs/>
          <w:color w:val="008000"/>
          <w:sz w:val="27"/>
          <w:szCs w:val="27"/>
          <w:rtl/>
        </w:rPr>
        <w:t>דרכי טיפול</w:t>
      </w:r>
    </w:p>
    <w:p w14:paraId="20C29CDC" w14:textId="1061720D"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4"/>
          <w:szCs w:val="24"/>
          <w:rtl/>
        </w:rPr>
      </w:pPr>
      <w:r w:rsidRPr="006D79AE">
        <w:rPr>
          <w:rFonts w:ascii="Miriam" w:hAnsi="Miriam" w:cs="Miriam"/>
          <w:sz w:val="32"/>
          <w:szCs w:val="32"/>
          <w:rtl/>
        </w:rPr>
        <w:t>26</w:t>
      </w:r>
      <w:r w:rsidRPr="000E1F24">
        <w:rPr>
          <w:rFonts w:ascii="FrankRuehl" w:hAnsi="FrankRuehl" w:cs="FrankRuehl"/>
          <w:sz w:val="27"/>
          <w:szCs w:val="27"/>
        </w:rPr>
        <w:t>.</w:t>
      </w:r>
      <w:r>
        <w:rPr>
          <w:rFonts w:ascii="FrankRuehl" w:hAnsi="FrankRuehl" w:cs="FrankRuehl" w:hint="cs"/>
          <w:sz w:val="27"/>
          <w:szCs w:val="27"/>
          <w:rtl/>
        </w:rPr>
        <w:t xml:space="preserve"> </w:t>
      </w:r>
      <w:r w:rsidRPr="00EF08A5">
        <w:rPr>
          <w:rFonts w:ascii="FrankRuehl" w:hAnsi="FrankRuehl" w:cs="FrankRuehl"/>
          <w:sz w:val="24"/>
          <w:szCs w:val="24"/>
          <w:rtl/>
        </w:rPr>
        <w:t>ואלה דרכי הטיפול שעליהן רשאי בית משפט לנוער לצוות לפי סעיף 24</w:t>
      </w:r>
      <w:r w:rsidRPr="00EF08A5">
        <w:rPr>
          <w:rFonts w:ascii="FrankRuehl" w:hAnsi="FrankRuehl" w:cs="FrankRuehl"/>
          <w:sz w:val="24"/>
          <w:szCs w:val="24"/>
        </w:rPr>
        <w:t>(2):</w:t>
      </w:r>
    </w:p>
    <w:p w14:paraId="165DB8C0" w14:textId="43A76448"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4"/>
          <w:szCs w:val="24"/>
          <w:rtl/>
        </w:rPr>
      </w:pPr>
      <w:r w:rsidRPr="00EF08A5">
        <w:rPr>
          <w:rFonts w:ascii="FrankRuehl" w:hAnsi="FrankRuehl" w:cs="FrankRuehl"/>
          <w:sz w:val="24"/>
          <w:szCs w:val="24"/>
        </w:rPr>
        <w:t>(1)</w:t>
      </w:r>
      <w:r w:rsidRPr="00EF08A5">
        <w:rPr>
          <w:rFonts w:ascii="FrankRuehl" w:hAnsi="FrankRuehl" w:cs="FrankRuehl" w:hint="cs"/>
          <w:sz w:val="24"/>
          <w:szCs w:val="24"/>
          <w:rtl/>
        </w:rPr>
        <w:t xml:space="preserve"> </w:t>
      </w:r>
      <w:r w:rsidRPr="00EF08A5">
        <w:rPr>
          <w:rFonts w:ascii="FrankRuehl" w:hAnsi="FrankRuehl" w:cs="FrankRuehl"/>
          <w:sz w:val="24"/>
          <w:szCs w:val="24"/>
          <w:rtl/>
        </w:rPr>
        <w:t xml:space="preserve">מסירת הקטין לטיפולו והשגחתו של אדם הראוי לכך שאינו הורה הקטין, לתקופה שיקבע בית המשפט, והגבלת זכויותיהם של הורי הקטין </w:t>
      </w:r>
      <w:proofErr w:type="spellStart"/>
      <w:r w:rsidRPr="00EF08A5">
        <w:rPr>
          <w:rFonts w:ascii="FrankRuehl" w:hAnsi="FrankRuehl" w:cs="FrankRuehl"/>
          <w:sz w:val="24"/>
          <w:szCs w:val="24"/>
          <w:rtl/>
        </w:rPr>
        <w:t>כאפוטרופסיו</w:t>
      </w:r>
      <w:proofErr w:type="spellEnd"/>
      <w:r w:rsidRPr="00EF08A5">
        <w:rPr>
          <w:rFonts w:ascii="FrankRuehl" w:hAnsi="FrankRuehl" w:cs="FrankRuehl"/>
          <w:sz w:val="24"/>
          <w:szCs w:val="24"/>
          <w:rtl/>
        </w:rPr>
        <w:t xml:space="preserve"> במשך התקופה האמורה</w:t>
      </w:r>
    </w:p>
    <w:p w14:paraId="31167A49" w14:textId="3D7380B6"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4"/>
          <w:szCs w:val="24"/>
          <w:rtl/>
        </w:rPr>
      </w:pPr>
      <w:r w:rsidRPr="00EF08A5">
        <w:rPr>
          <w:rFonts w:ascii="FrankRuehl" w:hAnsi="FrankRuehl" w:cs="FrankRuehl"/>
          <w:sz w:val="24"/>
          <w:szCs w:val="24"/>
        </w:rPr>
        <w:t>(2)</w:t>
      </w:r>
      <w:r w:rsidRPr="00EF08A5">
        <w:rPr>
          <w:rFonts w:ascii="FrankRuehl" w:hAnsi="FrankRuehl" w:cs="FrankRuehl" w:hint="cs"/>
          <w:sz w:val="24"/>
          <w:szCs w:val="24"/>
          <w:rtl/>
        </w:rPr>
        <w:t xml:space="preserve"> </w:t>
      </w:r>
      <w:r w:rsidRPr="00EF08A5">
        <w:rPr>
          <w:rFonts w:ascii="FrankRuehl" w:hAnsi="FrankRuehl" w:cs="FrankRuehl"/>
          <w:sz w:val="24"/>
          <w:szCs w:val="24"/>
          <w:rtl/>
        </w:rPr>
        <w:t>העמדת הקטין במבחן</w:t>
      </w:r>
    </w:p>
    <w:p w14:paraId="34E3F05A" w14:textId="131D8FED"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4"/>
          <w:szCs w:val="24"/>
          <w:rtl/>
        </w:rPr>
      </w:pPr>
      <w:r w:rsidRPr="00EF08A5">
        <w:rPr>
          <w:rFonts w:ascii="FrankRuehl" w:hAnsi="FrankRuehl" w:cs="FrankRuehl"/>
          <w:sz w:val="24"/>
          <w:szCs w:val="24"/>
        </w:rPr>
        <w:t>(3)</w:t>
      </w:r>
      <w:r w:rsidRPr="00EF08A5">
        <w:rPr>
          <w:rFonts w:ascii="FrankRuehl" w:hAnsi="FrankRuehl" w:cs="FrankRuehl" w:hint="cs"/>
          <w:sz w:val="24"/>
          <w:szCs w:val="24"/>
          <w:rtl/>
        </w:rPr>
        <w:t xml:space="preserve"> </w:t>
      </w:r>
      <w:r w:rsidRPr="00EF08A5">
        <w:rPr>
          <w:rFonts w:ascii="FrankRuehl" w:hAnsi="FrankRuehl" w:cs="FrankRuehl"/>
          <w:sz w:val="24"/>
          <w:szCs w:val="24"/>
          <w:rtl/>
        </w:rPr>
        <w:t>קבלת התחייבות, בערובה או בלי ערובה, מאת הקטין או הורהו בדבר התנהגותו של הקטין בעתיד</w:t>
      </w:r>
    </w:p>
    <w:p w14:paraId="7B89C6A4" w14:textId="6BDCB811"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4"/>
          <w:szCs w:val="24"/>
          <w:rtl/>
        </w:rPr>
      </w:pPr>
      <w:r w:rsidRPr="00EF08A5">
        <w:rPr>
          <w:rFonts w:ascii="FrankRuehl" w:hAnsi="FrankRuehl" w:cs="FrankRuehl"/>
          <w:sz w:val="24"/>
          <w:szCs w:val="24"/>
        </w:rPr>
        <w:t>(4)</w:t>
      </w:r>
      <w:r w:rsidRPr="00EF08A5">
        <w:rPr>
          <w:rFonts w:ascii="FrankRuehl" w:hAnsi="FrankRuehl" w:cs="FrankRuehl" w:hint="cs"/>
          <w:sz w:val="24"/>
          <w:szCs w:val="24"/>
          <w:rtl/>
        </w:rPr>
        <w:t xml:space="preserve"> </w:t>
      </w:r>
      <w:r w:rsidRPr="00EF08A5">
        <w:rPr>
          <w:rFonts w:ascii="FrankRuehl" w:hAnsi="FrankRuehl" w:cs="FrankRuehl"/>
          <w:sz w:val="24"/>
          <w:szCs w:val="24"/>
          <w:rtl/>
        </w:rPr>
        <w:t>שהייה של הקטין במעון יומי במשך תקופה שיקבע בית המשפט</w:t>
      </w:r>
    </w:p>
    <w:p w14:paraId="57491DCF" w14:textId="6E0F7BF2"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4"/>
          <w:szCs w:val="24"/>
          <w:rtl/>
        </w:rPr>
      </w:pPr>
      <w:r w:rsidRPr="00EF08A5">
        <w:rPr>
          <w:rFonts w:ascii="FrankRuehl" w:hAnsi="FrankRuehl" w:cs="FrankRuehl"/>
          <w:sz w:val="24"/>
          <w:szCs w:val="24"/>
        </w:rPr>
        <w:t>(5)</w:t>
      </w:r>
      <w:r w:rsidRPr="00EF08A5">
        <w:rPr>
          <w:rFonts w:ascii="FrankRuehl" w:hAnsi="FrankRuehl" w:cs="FrankRuehl" w:hint="cs"/>
          <w:sz w:val="24"/>
          <w:szCs w:val="24"/>
          <w:rtl/>
        </w:rPr>
        <w:t xml:space="preserve"> </w:t>
      </w:r>
      <w:r w:rsidRPr="00EF08A5">
        <w:rPr>
          <w:rFonts w:ascii="FrankRuehl" w:hAnsi="FrankRuehl" w:cs="FrankRuehl"/>
          <w:sz w:val="24"/>
          <w:szCs w:val="24"/>
          <w:rtl/>
        </w:rPr>
        <w:t>החזקת הקטין במעון לתקופה שיקבע בית המשפט או החזקת הקטין במעון נעול לתקופה שלא תעלה על תקופת המאסר המרבית הקבועה לעבירה שביצע הקטין</w:t>
      </w:r>
    </w:p>
    <w:p w14:paraId="4541AA45" w14:textId="6312D3F2"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4"/>
          <w:szCs w:val="24"/>
          <w:rtl/>
        </w:rPr>
      </w:pPr>
      <w:r w:rsidRPr="00EF08A5">
        <w:rPr>
          <w:rFonts w:ascii="FrankRuehl" w:hAnsi="FrankRuehl" w:cs="FrankRuehl"/>
          <w:sz w:val="24"/>
          <w:szCs w:val="24"/>
        </w:rPr>
        <w:t>(6)</w:t>
      </w:r>
      <w:r w:rsidRPr="00EF08A5">
        <w:rPr>
          <w:rFonts w:ascii="FrankRuehl" w:hAnsi="FrankRuehl" w:cs="FrankRuehl" w:hint="cs"/>
          <w:sz w:val="24"/>
          <w:szCs w:val="24"/>
          <w:rtl/>
        </w:rPr>
        <w:t xml:space="preserve"> </w:t>
      </w:r>
      <w:r w:rsidRPr="00EF08A5">
        <w:rPr>
          <w:rFonts w:ascii="FrankRuehl" w:hAnsi="FrankRuehl" w:cs="FrankRuehl"/>
          <w:sz w:val="24"/>
          <w:szCs w:val="24"/>
          <w:rtl/>
        </w:rPr>
        <w:t>מתן כל הוראה אחרת בדבר התנהגותו של הקטין אם הדבר דרוש, לדעת בית המשפט, לטיפול בו</w:t>
      </w:r>
    </w:p>
    <w:p w14:paraId="021151A7" w14:textId="779D7146"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4"/>
          <w:szCs w:val="24"/>
          <w:rtl/>
        </w:rPr>
      </w:pPr>
      <w:r w:rsidRPr="00EF08A5">
        <w:rPr>
          <w:rFonts w:ascii="FrankRuehl" w:hAnsi="FrankRuehl" w:cs="FrankRuehl"/>
          <w:sz w:val="24"/>
          <w:szCs w:val="24"/>
        </w:rPr>
        <w:t>(7)</w:t>
      </w:r>
      <w:r w:rsidRPr="00EF08A5">
        <w:rPr>
          <w:rFonts w:ascii="FrankRuehl" w:hAnsi="FrankRuehl" w:cs="FrankRuehl" w:hint="cs"/>
          <w:sz w:val="24"/>
          <w:szCs w:val="24"/>
          <w:rtl/>
        </w:rPr>
        <w:t xml:space="preserve"> </w:t>
      </w:r>
      <w:r w:rsidRPr="00EF08A5">
        <w:rPr>
          <w:rFonts w:ascii="FrankRuehl" w:hAnsi="FrankRuehl" w:cs="FrankRuehl"/>
          <w:sz w:val="24"/>
          <w:szCs w:val="24"/>
          <w:rtl/>
        </w:rPr>
        <w:t>חיוב הקטין או הורהו בתשלום קנס או הוצאות המשפט</w:t>
      </w:r>
    </w:p>
    <w:p w14:paraId="0FC0A71E" w14:textId="5F4BBCF8" w:rsidR="000E1F24" w:rsidRPr="00EF08A5" w:rsidRDefault="000E1F2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4"/>
          <w:szCs w:val="24"/>
        </w:rPr>
      </w:pPr>
      <w:r w:rsidRPr="00EF08A5">
        <w:rPr>
          <w:rFonts w:ascii="FrankRuehl" w:hAnsi="FrankRuehl" w:cs="FrankRuehl"/>
          <w:sz w:val="24"/>
          <w:szCs w:val="24"/>
        </w:rPr>
        <w:t>(8)</w:t>
      </w:r>
      <w:r w:rsidRPr="00EF08A5">
        <w:rPr>
          <w:rFonts w:ascii="FrankRuehl" w:hAnsi="FrankRuehl" w:cs="FrankRuehl" w:hint="cs"/>
          <w:sz w:val="24"/>
          <w:szCs w:val="24"/>
          <w:rtl/>
        </w:rPr>
        <w:t xml:space="preserve"> </w:t>
      </w:r>
      <w:r w:rsidRPr="00EF08A5">
        <w:rPr>
          <w:rFonts w:ascii="FrankRuehl" w:hAnsi="FrankRuehl" w:cs="FrankRuehl"/>
          <w:sz w:val="24"/>
          <w:szCs w:val="24"/>
          <w:rtl/>
        </w:rPr>
        <w:t>חיוב הקטין או הורהו בתשלום פיצוי לאדם שניזוק באותה עבירה.</w:t>
      </w:r>
    </w:p>
    <w:p w14:paraId="6C2BC7BE" w14:textId="71F8B016" w:rsidR="009D1518" w:rsidRDefault="009D1518" w:rsidP="00D95A69">
      <w:pPr>
        <w:tabs>
          <w:tab w:val="left" w:pos="1907"/>
        </w:tabs>
        <w:bidi/>
        <w:spacing w:after="0" w:line="276" w:lineRule="auto"/>
        <w:jc w:val="both"/>
        <w:rPr>
          <w:rFonts w:ascii="FrankRuehl" w:hAnsi="FrankRuehl" w:cs="FrankRuehl"/>
          <w:sz w:val="26"/>
          <w:szCs w:val="26"/>
          <w:rtl/>
          <w:lang w:val="en-US"/>
        </w:rPr>
      </w:pPr>
    </w:p>
    <w:p w14:paraId="6C883885" w14:textId="55E8C179" w:rsidR="0045004B" w:rsidRDefault="0045004B" w:rsidP="00D95A69">
      <w:pPr>
        <w:tabs>
          <w:tab w:val="left" w:pos="1907"/>
        </w:tabs>
        <w:bidi/>
        <w:spacing w:after="0" w:line="276" w:lineRule="auto"/>
        <w:jc w:val="center"/>
        <w:rPr>
          <w:rFonts w:ascii="FrankRuehl" w:hAnsi="FrankRuehl" w:cs="FrankRuehl"/>
          <w:sz w:val="26"/>
          <w:szCs w:val="26"/>
          <w:rtl/>
          <w:lang w:val="en-US"/>
        </w:rPr>
      </w:pPr>
      <w:r w:rsidRPr="0045004B">
        <w:rPr>
          <w:rFonts w:ascii="FrankRuehl" w:hAnsi="FrankRuehl" w:cs="FrankRuehl"/>
          <w:noProof/>
          <w:sz w:val="26"/>
          <w:szCs w:val="26"/>
        </w:rPr>
        <w:drawing>
          <wp:inline distT="0" distB="0" distL="0" distR="0" wp14:anchorId="1C781EBF" wp14:editId="08B2FEE1">
            <wp:extent cx="4540250" cy="2146300"/>
            <wp:effectExtent l="19050" t="19050" r="12700" b="2540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45" cstate="print">
                      <a:extLst>
                        <a:ext uri="{28A0092B-C50C-407E-A947-70E740481C1C}">
                          <a14:useLocalDpi xmlns:a14="http://schemas.microsoft.com/office/drawing/2010/main" val="0"/>
                        </a:ext>
                      </a:extLst>
                    </a:blip>
                    <a:srcRect l="9671" r="7015" b="37690"/>
                    <a:stretch/>
                  </pic:blipFill>
                  <pic:spPr bwMode="auto">
                    <a:xfrm>
                      <a:off x="0" y="0"/>
                      <a:ext cx="4540693" cy="2146509"/>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E202945" w14:textId="6C3AC591" w:rsidR="00DA3239" w:rsidRDefault="00DA3239" w:rsidP="00D95A69">
      <w:pPr>
        <w:tabs>
          <w:tab w:val="left" w:pos="1907"/>
        </w:tabs>
        <w:bidi/>
        <w:spacing w:after="0" w:line="276" w:lineRule="auto"/>
        <w:jc w:val="center"/>
        <w:rPr>
          <w:rFonts w:ascii="FrankRuehl" w:hAnsi="FrankRuehl" w:cs="FrankRuehl"/>
          <w:sz w:val="26"/>
          <w:szCs w:val="26"/>
          <w:rtl/>
          <w:lang w:val="en-US"/>
        </w:rPr>
      </w:pPr>
    </w:p>
    <w:p w14:paraId="25BA3B65" w14:textId="77777777" w:rsidR="003220FF" w:rsidRDefault="003220FF" w:rsidP="003220FF">
      <w:pPr>
        <w:tabs>
          <w:tab w:val="left" w:pos="1907"/>
        </w:tabs>
        <w:bidi/>
        <w:spacing w:after="0" w:line="276" w:lineRule="auto"/>
        <w:jc w:val="center"/>
        <w:rPr>
          <w:rFonts w:ascii="FrankRuehl" w:hAnsi="FrankRuehl" w:cs="FrankRuehl"/>
          <w:sz w:val="26"/>
          <w:szCs w:val="26"/>
          <w:rtl/>
          <w:lang w:val="en-US"/>
        </w:rPr>
      </w:pPr>
    </w:p>
    <w:p w14:paraId="7B47AA0A" w14:textId="7E102FF6" w:rsidR="00DA3239" w:rsidRDefault="00DA3239" w:rsidP="00D95A69">
      <w:pPr>
        <w:pStyle w:val="2"/>
        <w:rPr>
          <w:rtl/>
        </w:rPr>
      </w:pPr>
      <w:bookmarkStart w:id="72" w:name="_Toc108218228"/>
      <w:r>
        <w:rPr>
          <w:rFonts w:hint="cs"/>
          <w:rtl/>
        </w:rPr>
        <w:lastRenderedPageBreak/>
        <w:t>בית סוהר לקטינים</w:t>
      </w:r>
      <w:bookmarkEnd w:id="72"/>
    </w:p>
    <w:p w14:paraId="35C1B144" w14:textId="6535F99D"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lang w:val="en-US"/>
        </w:rPr>
      </w:pPr>
      <w:r w:rsidRPr="00EF08A5">
        <w:rPr>
          <w:rFonts w:asciiTheme="majorBidi" w:hAnsiTheme="majorBidi" w:cstheme="majorBidi"/>
          <w:b/>
          <w:bCs/>
          <w:color w:val="008000"/>
          <w:sz w:val="27"/>
          <w:szCs w:val="27"/>
          <w:rtl/>
          <w:lang w:val="en-US"/>
        </w:rPr>
        <w:t>בית סוהר לקטינים</w:t>
      </w:r>
    </w:p>
    <w:p w14:paraId="41FB0595" w14:textId="759A2671"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6D79AE">
        <w:rPr>
          <w:rFonts w:ascii="Miriam" w:hAnsi="Miriam" w:cs="Miriam"/>
          <w:sz w:val="32"/>
          <w:szCs w:val="32"/>
          <w:lang w:val="en-US"/>
        </w:rPr>
        <w:t>34</w:t>
      </w:r>
      <w:r w:rsidRPr="006D79AE">
        <w:rPr>
          <w:rFonts w:ascii="Miriam" w:hAnsi="Miriam" w:cs="Miriam"/>
          <w:sz w:val="32"/>
          <w:szCs w:val="32"/>
          <w:rtl/>
          <w:lang w:val="en-US"/>
        </w:rPr>
        <w:t>ב</w:t>
      </w:r>
      <w:r w:rsidRPr="00DA3239">
        <w:rPr>
          <w:rFonts w:ascii="FrankRuehl" w:hAnsi="FrankRuehl" w:cs="FrankRuehl"/>
          <w:sz w:val="27"/>
          <w:szCs w:val="27"/>
          <w:rtl/>
          <w:lang w:val="en-US"/>
        </w:rPr>
        <w:t xml:space="preserve">. </w:t>
      </w:r>
      <w:r w:rsidRPr="00EF08A5">
        <w:rPr>
          <w:rFonts w:ascii="FrankRuehl" w:hAnsi="FrankRuehl" w:cs="FrankRuehl"/>
          <w:sz w:val="26"/>
          <w:szCs w:val="26"/>
          <w:rtl/>
          <w:lang w:val="en-US"/>
        </w:rPr>
        <w:t>(א) לא יוחזק קטין במאסר אלא בבית סוהר נפרד לקטינים, או באגף בבית סוהר כללי</w:t>
      </w:r>
      <w:r w:rsidRPr="00EF08A5">
        <w:rPr>
          <w:rFonts w:ascii="FrankRuehl" w:hAnsi="FrankRuehl" w:cs="FrankRuehl"/>
          <w:sz w:val="26"/>
          <w:szCs w:val="26"/>
          <w:lang w:val="en-US"/>
        </w:rPr>
        <w:t xml:space="preserve">, </w:t>
      </w:r>
      <w:r w:rsidRPr="00EF08A5">
        <w:rPr>
          <w:rFonts w:ascii="FrankRuehl" w:hAnsi="FrankRuehl" w:cs="FrankRuehl"/>
          <w:sz w:val="26"/>
          <w:szCs w:val="26"/>
          <w:rtl/>
          <w:lang w:val="en-US"/>
        </w:rPr>
        <w:t>ובלבד שאותו אגף יהיה מופרד לחלוטין, ייועד לקטינים בלבד ולא יהיו גישה או קשר ראיה בינו לבין אגפיו האחרים של בית הסוהר או שוכניו</w:t>
      </w:r>
      <w:r w:rsidRPr="00EF08A5">
        <w:rPr>
          <w:rFonts w:ascii="FrankRuehl" w:hAnsi="FrankRuehl" w:cs="FrankRuehl"/>
          <w:sz w:val="26"/>
          <w:szCs w:val="26"/>
          <w:lang w:val="en-US"/>
        </w:rPr>
        <w:t>.</w:t>
      </w:r>
    </w:p>
    <w:p w14:paraId="0AC2C987" w14:textId="08B2C69C"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EF08A5">
        <w:rPr>
          <w:rFonts w:ascii="FrankRuehl" w:hAnsi="FrankRuehl" w:cs="FrankRuehl" w:hint="cs"/>
          <w:sz w:val="26"/>
          <w:szCs w:val="26"/>
          <w:rtl/>
          <w:lang w:val="en-US"/>
        </w:rPr>
        <w:t xml:space="preserve">(ב) </w:t>
      </w:r>
      <w:r w:rsidRPr="00EF08A5">
        <w:rPr>
          <w:rFonts w:ascii="FrankRuehl" w:hAnsi="FrankRuehl" w:cs="FrankRuehl"/>
          <w:sz w:val="26"/>
          <w:szCs w:val="26"/>
          <w:rtl/>
          <w:lang w:val="en-US"/>
        </w:rPr>
        <w:t>לא יוחזק קטין במאסר בתא יחד עם מי שאינו קטין, ואולם ניתן להחזיק אסיר שבמהלך נשיאת מאסרו מלאו לו 18 שנים וטרם מלאו לו 21 שנים, במאסר בתא יחד עם קטין, ובלבד שמלאו לקטין 17 שנים ואין בכך כדי לפגוע בטובת הקטין; קטין זכאי שתינתן לו הזדמנות להביע עמדה לעניין זה; הוראות סעיפים קטנים (ג) ו-(ד) יחולו בכפוף להוראות סעיף קטן זה</w:t>
      </w:r>
      <w:r w:rsidRPr="00EF08A5">
        <w:rPr>
          <w:rFonts w:ascii="FrankRuehl" w:hAnsi="FrankRuehl" w:cs="FrankRuehl"/>
          <w:sz w:val="26"/>
          <w:szCs w:val="26"/>
          <w:lang w:val="en-US"/>
        </w:rPr>
        <w:t>.</w:t>
      </w:r>
    </w:p>
    <w:p w14:paraId="143E2A48" w14:textId="284AA89A"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EF08A5">
        <w:rPr>
          <w:rFonts w:ascii="FrankRuehl" w:hAnsi="FrankRuehl" w:cs="FrankRuehl" w:hint="cs"/>
          <w:sz w:val="26"/>
          <w:szCs w:val="26"/>
          <w:rtl/>
          <w:lang w:val="en-US"/>
        </w:rPr>
        <w:t xml:space="preserve">(ג) </w:t>
      </w:r>
      <w:r w:rsidRPr="00EF08A5">
        <w:rPr>
          <w:rFonts w:ascii="FrankRuehl" w:hAnsi="FrankRuehl" w:cs="FrankRuehl"/>
          <w:sz w:val="26"/>
          <w:szCs w:val="26"/>
          <w:rtl/>
          <w:lang w:val="en-US"/>
        </w:rPr>
        <w:t>על אף הוראות סעיף קטן (א), ניתן להחזיק קטין במאסר בבית סוהר או באגף שאינו כאמור באותו סעיף קטן, אם ההחזקה כאמור היא לצורך הבאת הקטין לדיון בבית משפט, ובלבד שהחזקתו תהיה לפרק זמן שלא יעלה על 24 שעות; בסעיף קטן זה ובסעיף קטן (ד), ההחזקה תהיה ככל הניתן בנסיבות העניין, כך שלא יהיה קשר ישיר בין קטין ובין מי שאינו קטין, לרבות מגע פיזי, קשר ראייה או שמיעה</w:t>
      </w:r>
      <w:r w:rsidRPr="00EF08A5">
        <w:rPr>
          <w:rFonts w:ascii="FrankRuehl" w:hAnsi="FrankRuehl" w:cs="FrankRuehl"/>
          <w:sz w:val="26"/>
          <w:szCs w:val="26"/>
          <w:lang w:val="en-US"/>
        </w:rPr>
        <w:t>.</w:t>
      </w:r>
    </w:p>
    <w:p w14:paraId="0FDB7237" w14:textId="08F8658B"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EF08A5">
        <w:rPr>
          <w:rFonts w:ascii="FrankRuehl" w:hAnsi="FrankRuehl" w:cs="FrankRuehl" w:hint="cs"/>
          <w:sz w:val="26"/>
          <w:szCs w:val="26"/>
          <w:rtl/>
          <w:lang w:val="en-US"/>
        </w:rPr>
        <w:t xml:space="preserve">(ד) </w:t>
      </w:r>
      <w:r w:rsidRPr="00EF08A5">
        <w:rPr>
          <w:rFonts w:ascii="FrankRuehl" w:hAnsi="FrankRuehl" w:cs="FrankRuehl"/>
          <w:sz w:val="26"/>
          <w:szCs w:val="26"/>
          <w:rtl/>
          <w:lang w:val="en-US"/>
        </w:rPr>
        <w:t>על אף הוראות סעיף קטן (ג), ניתן להחזיק קטין כאמור באותו סעיף קטן לפרק זמן שלא יעלה על 72 שעות במקרים אלה</w:t>
      </w:r>
      <w:r w:rsidRPr="00EF08A5">
        <w:rPr>
          <w:rFonts w:ascii="FrankRuehl" w:hAnsi="FrankRuehl" w:cs="FrankRuehl"/>
          <w:sz w:val="26"/>
          <w:szCs w:val="26"/>
          <w:lang w:val="en-US"/>
        </w:rPr>
        <w:t>:</w:t>
      </w:r>
    </w:p>
    <w:p w14:paraId="136C185E" w14:textId="1245199D"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EF08A5">
        <w:rPr>
          <w:rFonts w:ascii="FrankRuehl" w:hAnsi="FrankRuehl" w:cs="FrankRuehl" w:hint="cs"/>
          <w:sz w:val="26"/>
          <w:szCs w:val="26"/>
          <w:rtl/>
          <w:lang w:val="en-US"/>
        </w:rPr>
        <w:t xml:space="preserve">(1) </w:t>
      </w:r>
      <w:r w:rsidRPr="00EF08A5">
        <w:rPr>
          <w:rFonts w:ascii="FrankRuehl" w:hAnsi="FrankRuehl" w:cs="FrankRuehl"/>
          <w:sz w:val="26"/>
          <w:szCs w:val="26"/>
          <w:rtl/>
          <w:lang w:val="en-US"/>
        </w:rPr>
        <w:t>חל מועד הדיון בבית המשפט בשבת או בחג, או בסמוך לתום שבת או חג</w:t>
      </w:r>
      <w:r w:rsidRPr="00EF08A5">
        <w:rPr>
          <w:rFonts w:ascii="FrankRuehl" w:hAnsi="FrankRuehl" w:cs="FrankRuehl"/>
          <w:sz w:val="26"/>
          <w:szCs w:val="26"/>
          <w:lang w:val="en-US"/>
        </w:rPr>
        <w:t>;</w:t>
      </w:r>
    </w:p>
    <w:p w14:paraId="636F273E" w14:textId="114EF90C"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EF08A5">
        <w:rPr>
          <w:rFonts w:ascii="FrankRuehl" w:hAnsi="FrankRuehl" w:cs="FrankRuehl" w:hint="cs"/>
          <w:sz w:val="26"/>
          <w:szCs w:val="26"/>
          <w:rtl/>
          <w:lang w:val="en-US"/>
        </w:rPr>
        <w:t xml:space="preserve">(2) </w:t>
      </w:r>
      <w:r w:rsidRPr="00EF08A5">
        <w:rPr>
          <w:rFonts w:ascii="FrankRuehl" w:hAnsi="FrankRuehl" w:cs="FrankRuehl"/>
          <w:sz w:val="26"/>
          <w:szCs w:val="26"/>
          <w:rtl/>
          <w:lang w:val="en-US"/>
        </w:rPr>
        <w:t>הקטין הוא עצור שטרם ניתנה החלטה בדבר מעצרו או שטרם הוגש נגדו כתב אישום</w:t>
      </w:r>
      <w:r w:rsidRPr="00EF08A5">
        <w:rPr>
          <w:rFonts w:ascii="FrankRuehl" w:hAnsi="FrankRuehl" w:cs="FrankRuehl"/>
          <w:sz w:val="26"/>
          <w:szCs w:val="26"/>
          <w:lang w:val="en-US"/>
        </w:rPr>
        <w:t>.</w:t>
      </w:r>
    </w:p>
    <w:p w14:paraId="7A938628" w14:textId="7FBB6525"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EF08A5">
        <w:rPr>
          <w:rFonts w:ascii="FrankRuehl" w:hAnsi="FrankRuehl" w:cs="FrankRuehl"/>
          <w:sz w:val="26"/>
          <w:szCs w:val="26"/>
          <w:rtl/>
          <w:lang w:val="en-US"/>
        </w:rPr>
        <w:t>(ה)</w:t>
      </w:r>
      <w:r w:rsidRPr="00EF08A5">
        <w:rPr>
          <w:rFonts w:ascii="FrankRuehl" w:hAnsi="FrankRuehl" w:cs="FrankRuehl"/>
          <w:sz w:val="26"/>
          <w:szCs w:val="26"/>
          <w:lang w:val="en-US"/>
        </w:rPr>
        <w:t xml:space="preserve"> (1) </w:t>
      </w:r>
      <w:r w:rsidRPr="00EF08A5">
        <w:rPr>
          <w:rFonts w:ascii="FrankRuehl" w:hAnsi="FrankRuehl" w:cs="FrankRuehl"/>
          <w:sz w:val="26"/>
          <w:szCs w:val="26"/>
          <w:rtl/>
          <w:lang w:val="en-US"/>
        </w:rPr>
        <w:t>על אף הוראות סעיפים קטנים (א) ו-(ב) וסעיף 8 לחוק המעצרים, ניתן להחזיק קטינה במאסר בבית סוהר שאינו בית סוהר נפרד לקטינים או באגף בבית סוהר כללי שאינו עומד בתנאים המנויים בסעיף קטן (א), ואולם לא תוחזק קטינה במאסר בתא יחד עם עצורה או אסירה שאינה קטינה, אלא אם כן הקטינה הסכימה לכך ומנהל בית הסוהר סבר כי התקיימו התנאים שבסעיף 13(ב1)(1)(א) עד (ג)</w:t>
      </w:r>
      <w:r w:rsidRPr="00EF08A5">
        <w:rPr>
          <w:rFonts w:ascii="FrankRuehl" w:hAnsi="FrankRuehl" w:cs="FrankRuehl"/>
          <w:sz w:val="26"/>
          <w:szCs w:val="26"/>
          <w:lang w:val="en-US"/>
        </w:rPr>
        <w:t>;</w:t>
      </w:r>
    </w:p>
    <w:p w14:paraId="61D39915" w14:textId="030F609C"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lang w:val="en-US"/>
        </w:rPr>
      </w:pPr>
      <w:r w:rsidRPr="00EF08A5">
        <w:rPr>
          <w:rFonts w:ascii="FrankRuehl" w:hAnsi="FrankRuehl" w:cs="FrankRuehl"/>
          <w:sz w:val="26"/>
          <w:szCs w:val="26"/>
          <w:lang w:val="en-US"/>
        </w:rPr>
        <w:t xml:space="preserve">(2) </w:t>
      </w:r>
      <w:r w:rsidRPr="00EF08A5">
        <w:rPr>
          <w:rFonts w:ascii="FrankRuehl" w:hAnsi="FrankRuehl" w:cs="FrankRuehl" w:hint="cs"/>
          <w:sz w:val="26"/>
          <w:szCs w:val="26"/>
          <w:rtl/>
          <w:lang w:val="en-US"/>
        </w:rPr>
        <w:t xml:space="preserve"> </w:t>
      </w:r>
      <w:r w:rsidRPr="00EF08A5">
        <w:rPr>
          <w:rFonts w:ascii="FrankRuehl" w:hAnsi="FrankRuehl" w:cs="FrankRuehl"/>
          <w:sz w:val="26"/>
          <w:szCs w:val="26"/>
          <w:rtl/>
          <w:lang w:val="en-US"/>
        </w:rPr>
        <w:t>החלטה על החזקת קטינה יחד עם מי שאינה קטינה כאמור בפסקה (1), תובא לאישור בית המשפט בתוך 24 שעות מתחילת ההחזקה</w:t>
      </w:r>
      <w:r w:rsidRPr="00EF08A5">
        <w:rPr>
          <w:rFonts w:ascii="FrankRuehl" w:hAnsi="FrankRuehl" w:cs="FrankRuehl"/>
          <w:sz w:val="26"/>
          <w:szCs w:val="26"/>
          <w:lang w:val="en-US"/>
        </w:rPr>
        <w:t>.</w:t>
      </w:r>
    </w:p>
    <w:p w14:paraId="7FF9E1F0" w14:textId="77777777" w:rsidR="00DA3239" w:rsidRPr="00DA3239"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lang w:val="en-US"/>
        </w:rPr>
      </w:pPr>
    </w:p>
    <w:p w14:paraId="0DA49299" w14:textId="77777777"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lang w:val="en-US"/>
        </w:rPr>
      </w:pPr>
      <w:r w:rsidRPr="00EF08A5">
        <w:rPr>
          <w:rFonts w:asciiTheme="majorBidi" w:hAnsiTheme="majorBidi" w:cstheme="majorBidi"/>
          <w:b/>
          <w:bCs/>
          <w:color w:val="008000"/>
          <w:sz w:val="27"/>
          <w:szCs w:val="27"/>
          <w:rtl/>
          <w:lang w:val="en-US"/>
        </w:rPr>
        <w:t>תנאי החזקת קטין במאסר</w:t>
      </w:r>
    </w:p>
    <w:p w14:paraId="66515FD3" w14:textId="4981E44D" w:rsidR="00DA3239" w:rsidRPr="00EF08A5" w:rsidRDefault="00DA323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6D79AE">
        <w:rPr>
          <w:rFonts w:ascii="Miriam" w:hAnsi="Miriam" w:cs="Miriam"/>
          <w:sz w:val="32"/>
          <w:szCs w:val="32"/>
          <w:lang w:val="en-US"/>
        </w:rPr>
        <w:t>34</w:t>
      </w:r>
      <w:r w:rsidRPr="006D79AE">
        <w:rPr>
          <w:rFonts w:ascii="Miriam" w:hAnsi="Miriam" w:cs="Miriam"/>
          <w:sz w:val="32"/>
          <w:szCs w:val="32"/>
          <w:rtl/>
          <w:lang w:val="en-US"/>
        </w:rPr>
        <w:t>ג</w:t>
      </w:r>
      <w:r w:rsidRPr="006D79AE">
        <w:rPr>
          <w:rFonts w:ascii="FrankRuehl" w:hAnsi="FrankRuehl" w:cs="FrankRuehl"/>
          <w:sz w:val="32"/>
          <w:szCs w:val="32"/>
          <w:lang w:val="en-US"/>
        </w:rPr>
        <w:t xml:space="preserve"> </w:t>
      </w:r>
      <w:r w:rsidRPr="00DA3239">
        <w:rPr>
          <w:rFonts w:ascii="FrankRuehl" w:hAnsi="FrankRuehl" w:cs="FrankRuehl"/>
          <w:sz w:val="27"/>
          <w:szCs w:val="27"/>
          <w:lang w:val="en-US"/>
        </w:rPr>
        <w:t>.</w:t>
      </w:r>
      <w:r w:rsidRPr="00EF08A5">
        <w:rPr>
          <w:rFonts w:ascii="FrankRuehl" w:hAnsi="FrankRuehl" w:cs="FrankRuehl" w:hint="cs"/>
          <w:sz w:val="26"/>
          <w:szCs w:val="26"/>
          <w:rtl/>
          <w:lang w:val="en-US"/>
        </w:rPr>
        <w:t>ק</w:t>
      </w:r>
      <w:r w:rsidRPr="00EF08A5">
        <w:rPr>
          <w:rFonts w:ascii="FrankRuehl" w:hAnsi="FrankRuehl" w:cs="FrankRuehl"/>
          <w:sz w:val="26"/>
          <w:szCs w:val="26"/>
          <w:rtl/>
          <w:lang w:val="en-US"/>
        </w:rPr>
        <w:t>טין יוחזק במאסר בתנאים ההולמים את גילו ואת צרכיו, שלא יהיה בהם כדי לפגוע בכבודו, ותוך השגחה מיוחדת על שלומו הגופני והנפשי, ובכלל זה יינתנו לקטין שירותי חינוך ופנאי, כפי שיקבע השר לביטחון הפנים, לאחר התייעצות עם שר החינוך</w:t>
      </w:r>
      <w:r w:rsidRPr="00EF08A5">
        <w:rPr>
          <w:rFonts w:ascii="FrankRuehl" w:hAnsi="FrankRuehl" w:cs="FrankRuehl"/>
          <w:sz w:val="26"/>
          <w:szCs w:val="26"/>
          <w:lang w:val="en-US"/>
        </w:rPr>
        <w:t>.</w:t>
      </w:r>
    </w:p>
    <w:p w14:paraId="553D731D" w14:textId="7A2B9F50" w:rsidR="00DA3239" w:rsidRDefault="00DA3239" w:rsidP="00D95A69">
      <w:pPr>
        <w:bidi/>
        <w:spacing w:after="0" w:line="276" w:lineRule="auto"/>
        <w:jc w:val="both"/>
        <w:rPr>
          <w:rFonts w:ascii="Segoe UI" w:hAnsi="Segoe UI" w:cs="Segoe UI"/>
          <w:rtl/>
          <w:lang w:val="en-US"/>
        </w:rPr>
      </w:pPr>
    </w:p>
    <w:p w14:paraId="5E18EC52" w14:textId="716CF1EA" w:rsidR="00856881" w:rsidRPr="00856881" w:rsidRDefault="00856881" w:rsidP="00D95A69">
      <w:pPr>
        <w:bidi/>
        <w:spacing w:after="0" w:line="276" w:lineRule="auto"/>
        <w:jc w:val="both"/>
        <w:rPr>
          <w:rFonts w:ascii="Segoe UI" w:hAnsi="Segoe UI" w:cs="Segoe UI"/>
          <w:lang w:val="en-US"/>
        </w:rPr>
      </w:pPr>
      <w:r w:rsidRPr="00856881">
        <w:rPr>
          <w:rStyle w:val="111"/>
          <w:rtl/>
        </w:rPr>
        <w:t>לסיכום</w:t>
      </w:r>
    </w:p>
    <w:p w14:paraId="7D2EE791" w14:textId="1A653FBA" w:rsidR="00856881" w:rsidRPr="00856881" w:rsidRDefault="00856881" w:rsidP="00D95A69">
      <w:pPr>
        <w:bidi/>
        <w:spacing w:after="0" w:line="276" w:lineRule="auto"/>
        <w:jc w:val="both"/>
        <w:rPr>
          <w:rFonts w:ascii="Segoe UI" w:hAnsi="Segoe UI" w:cs="Segoe UI"/>
          <w:rtl/>
          <w:lang w:val="en-US"/>
        </w:rPr>
      </w:pPr>
      <w:r w:rsidRPr="00856881">
        <w:rPr>
          <w:rFonts w:ascii="Segoe UI" w:hAnsi="Segoe UI" w:cs="Segoe UI"/>
          <w:rtl/>
          <w:lang w:val="en-US"/>
        </w:rPr>
        <w:t xml:space="preserve">העיקרון המנחה של בתי המשפט לנוער הוא ענישה </w:t>
      </w:r>
      <w:r w:rsidRPr="00856881">
        <w:rPr>
          <w:rFonts w:ascii="Segoe UI" w:hAnsi="Segoe UI" w:cs="Segoe UI" w:hint="cs"/>
          <w:rtl/>
          <w:lang w:val="en-US"/>
        </w:rPr>
        <w:t>אינדיבידואלי</w:t>
      </w:r>
      <w:r w:rsidRPr="00856881">
        <w:rPr>
          <w:rFonts w:ascii="Segoe UI" w:hAnsi="Segoe UI" w:cs="Segoe UI" w:hint="eastAsia"/>
          <w:rtl/>
          <w:lang w:val="en-US"/>
        </w:rPr>
        <w:t>ת</w:t>
      </w:r>
      <w:r w:rsidRPr="00856881">
        <w:rPr>
          <w:rFonts w:ascii="Segoe UI" w:hAnsi="Segoe UI" w:cs="Segoe UI"/>
          <w:rtl/>
          <w:lang w:val="en-US"/>
        </w:rPr>
        <w:t xml:space="preserve"> – בהתאם לנסיבות.</w:t>
      </w:r>
      <w:r>
        <w:rPr>
          <w:rFonts w:ascii="Segoe UI" w:hAnsi="Segoe UI" w:cs="Segoe UI" w:hint="cs"/>
          <w:rtl/>
          <w:lang w:val="en-US"/>
        </w:rPr>
        <w:t xml:space="preserve"> 4</w:t>
      </w:r>
      <w:r w:rsidRPr="00856881">
        <w:rPr>
          <w:rFonts w:ascii="Segoe UI" w:hAnsi="Segoe UI" w:cs="Segoe UI"/>
          <w:rtl/>
          <w:lang w:val="en-US"/>
        </w:rPr>
        <w:t xml:space="preserve"> שותפים לעבירת התפרצות – כ</w:t>
      </w:r>
      <w:r w:rsidRPr="00856881">
        <w:rPr>
          <w:rFonts w:ascii="Segoe UI" w:hAnsi="Segoe UI" w:cs="Segoe UI" w:hint="cs"/>
          <w:rtl/>
          <w:lang w:val="en-US"/>
        </w:rPr>
        <w:t>ל אחד</w:t>
      </w:r>
      <w:r w:rsidRPr="00856881">
        <w:rPr>
          <w:rFonts w:ascii="Segoe UI" w:hAnsi="Segoe UI" w:cs="Segoe UI"/>
          <w:rtl/>
          <w:lang w:val="en-US"/>
        </w:rPr>
        <w:t xml:space="preserve"> עונש אחר.</w:t>
      </w:r>
    </w:p>
    <w:p w14:paraId="0B76A775" w14:textId="77777777" w:rsidR="00856881" w:rsidRPr="00856881" w:rsidRDefault="00856881" w:rsidP="00D95A69">
      <w:pPr>
        <w:bidi/>
        <w:spacing w:after="0" w:line="276" w:lineRule="auto"/>
        <w:jc w:val="both"/>
        <w:rPr>
          <w:rFonts w:ascii="Segoe UI" w:hAnsi="Segoe UI" w:cs="Segoe UI"/>
          <w:rtl/>
          <w:lang w:val="en-US"/>
        </w:rPr>
      </w:pPr>
      <w:r w:rsidRPr="00856881">
        <w:rPr>
          <w:rFonts w:ascii="Segoe UI" w:hAnsi="Segoe UI" w:cs="Segoe UI"/>
          <w:b/>
          <w:bCs/>
          <w:u w:val="single"/>
          <w:rtl/>
          <w:lang w:val="en-US"/>
        </w:rPr>
        <w:t xml:space="preserve">לבתי משפט לנוער – </w:t>
      </w:r>
      <w:proofErr w:type="spellStart"/>
      <w:r w:rsidRPr="00856881">
        <w:rPr>
          <w:rFonts w:ascii="Segoe UI" w:hAnsi="Segoe UI" w:cs="Segoe UI"/>
          <w:b/>
          <w:bCs/>
          <w:u w:val="single"/>
          <w:rtl/>
          <w:lang w:val="en-US"/>
        </w:rPr>
        <w:t>שק"ד</w:t>
      </w:r>
      <w:proofErr w:type="spellEnd"/>
      <w:r w:rsidRPr="00856881">
        <w:rPr>
          <w:rFonts w:ascii="Segoe UI" w:hAnsi="Segoe UI" w:cs="Segoe UI"/>
          <w:b/>
          <w:bCs/>
          <w:u w:val="single"/>
          <w:rtl/>
          <w:lang w:val="en-US"/>
        </w:rPr>
        <w:t xml:space="preserve"> רחב:</w:t>
      </w:r>
    </w:p>
    <w:p w14:paraId="297C886D" w14:textId="3A4D9AD8" w:rsidR="00856881" w:rsidRPr="00856881" w:rsidRDefault="00856881" w:rsidP="00D95A69">
      <w:pPr>
        <w:bidi/>
        <w:spacing w:after="0" w:line="276" w:lineRule="auto"/>
        <w:jc w:val="both"/>
        <w:rPr>
          <w:rFonts w:ascii="Segoe UI" w:hAnsi="Segoe UI" w:cs="Segoe UI"/>
          <w:rtl/>
          <w:lang w:val="en-US"/>
        </w:rPr>
      </w:pPr>
      <w:r w:rsidRPr="00856881">
        <w:rPr>
          <w:rFonts w:ascii="Segoe UI" w:hAnsi="Segoe UI" w:cs="Segoe UI"/>
          <w:rtl/>
          <w:lang w:val="en-US"/>
        </w:rPr>
        <w:t>סמכות לפטור את הנער מכל צו</w:t>
      </w:r>
      <w:r>
        <w:rPr>
          <w:rFonts w:ascii="Segoe UI" w:hAnsi="Segoe UI" w:cs="Segoe UI" w:hint="cs"/>
          <w:rtl/>
          <w:lang w:val="en-US"/>
        </w:rPr>
        <w:t xml:space="preserve">; </w:t>
      </w:r>
      <w:r w:rsidRPr="00856881">
        <w:rPr>
          <w:rFonts w:ascii="Segoe UI" w:hAnsi="Segoe UI" w:cs="Segoe UI"/>
          <w:rtl/>
          <w:lang w:val="en-US"/>
        </w:rPr>
        <w:t>הזהרת הנער</w:t>
      </w:r>
      <w:r>
        <w:rPr>
          <w:rFonts w:ascii="Segoe UI" w:hAnsi="Segoe UI" w:cs="Segoe UI" w:hint="cs"/>
          <w:rtl/>
          <w:lang w:val="en-US"/>
        </w:rPr>
        <w:t xml:space="preserve">; </w:t>
      </w:r>
      <w:r w:rsidRPr="00856881">
        <w:rPr>
          <w:rFonts w:ascii="Segoe UI" w:hAnsi="Segoe UI" w:cs="Segoe UI"/>
          <w:rtl/>
          <w:lang w:val="en-US"/>
        </w:rPr>
        <w:t>החתמה על התחייבות להימנע מעבירה</w:t>
      </w:r>
      <w:r>
        <w:rPr>
          <w:rFonts w:ascii="Segoe UI" w:hAnsi="Segoe UI" w:cs="Segoe UI" w:hint="cs"/>
          <w:rtl/>
          <w:lang w:val="en-US"/>
        </w:rPr>
        <w:t xml:space="preserve">; </w:t>
      </w:r>
      <w:r w:rsidRPr="00856881">
        <w:rPr>
          <w:rFonts w:ascii="Segoe UI" w:hAnsi="Segoe UI" w:cs="Segoe UI"/>
          <w:rtl/>
          <w:lang w:val="en-US"/>
        </w:rPr>
        <w:t>הטלת עונשי מאסר</w:t>
      </w:r>
      <w:r w:rsidRPr="00856881">
        <w:rPr>
          <w:rFonts w:ascii="Segoe UI" w:hAnsi="Segoe UI" w:cs="Segoe UI" w:hint="cs"/>
          <w:rtl/>
          <w:lang w:val="en-US"/>
        </w:rPr>
        <w:t xml:space="preserve">; </w:t>
      </w:r>
      <w:r w:rsidRPr="00856881">
        <w:rPr>
          <w:rFonts w:ascii="Segoe UI" w:hAnsi="Segoe UI" w:cs="Segoe UI"/>
          <w:rtl/>
          <w:lang w:val="en-US"/>
        </w:rPr>
        <w:t>הטלת קנס על ההורה</w:t>
      </w:r>
      <w:r w:rsidRPr="00856881">
        <w:rPr>
          <w:rFonts w:ascii="Segoe UI" w:hAnsi="Segoe UI" w:cs="Segoe UI" w:hint="cs"/>
          <w:rtl/>
          <w:lang w:val="en-US"/>
        </w:rPr>
        <w:t xml:space="preserve">; </w:t>
      </w:r>
      <w:r w:rsidRPr="00856881">
        <w:rPr>
          <w:rFonts w:ascii="Segoe UI" w:hAnsi="Segoe UI" w:cs="Segoe UI"/>
          <w:rtl/>
          <w:lang w:val="en-US"/>
        </w:rPr>
        <w:t>טיפול בקהילה</w:t>
      </w:r>
      <w:r w:rsidRPr="00856881">
        <w:rPr>
          <w:rFonts w:ascii="Segoe UI" w:hAnsi="Segoe UI" w:cs="Segoe UI" w:hint="cs"/>
          <w:rtl/>
          <w:lang w:val="en-US"/>
        </w:rPr>
        <w:t xml:space="preserve">; </w:t>
      </w:r>
      <w:r w:rsidRPr="00856881">
        <w:rPr>
          <w:rFonts w:ascii="Segoe UI" w:hAnsi="Segoe UI" w:cs="Segoe UI"/>
          <w:rtl/>
          <w:lang w:val="en-US"/>
        </w:rPr>
        <w:t>שירות לתועלת הציבור</w:t>
      </w:r>
      <w:r w:rsidRPr="00856881">
        <w:rPr>
          <w:rFonts w:ascii="Segoe UI" w:hAnsi="Segoe UI" w:cs="Segoe UI" w:hint="cs"/>
          <w:rtl/>
          <w:lang w:val="en-US"/>
        </w:rPr>
        <w:t xml:space="preserve">; </w:t>
      </w:r>
      <w:r w:rsidRPr="00856881">
        <w:rPr>
          <w:rFonts w:ascii="Segoe UI" w:hAnsi="Segoe UI" w:cs="Segoe UI"/>
          <w:rtl/>
          <w:lang w:val="en-US"/>
        </w:rPr>
        <w:t>הוצאה למשפחה אומנה/הוסטל/מעון נעול</w:t>
      </w:r>
    </w:p>
    <w:p w14:paraId="768BAEA7" w14:textId="45F4D2F3" w:rsidR="00856881" w:rsidRDefault="00856881" w:rsidP="00D95A69">
      <w:pPr>
        <w:bidi/>
        <w:spacing w:after="0" w:line="276" w:lineRule="auto"/>
        <w:jc w:val="both"/>
        <w:rPr>
          <w:rFonts w:ascii="Segoe UI" w:hAnsi="Segoe UI" w:cs="Segoe UI"/>
          <w:rtl/>
          <w:lang w:val="en-US"/>
        </w:rPr>
      </w:pPr>
    </w:p>
    <w:p w14:paraId="399E50E1" w14:textId="3D809F43" w:rsidR="0052761B" w:rsidRPr="0052761B" w:rsidRDefault="0052761B"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lang w:val="en-US"/>
        </w:rPr>
      </w:pPr>
      <w:r w:rsidRPr="00DB2A5C">
        <w:rPr>
          <w:rFonts w:ascii="Segoe UI" w:hAnsi="Segoe UI" w:cs="Segoe UI"/>
          <w:highlight w:val="yellow"/>
          <w:rtl/>
          <w:lang w:val="en-US"/>
        </w:rPr>
        <w:t>ע"</w:t>
      </w:r>
      <w:r w:rsidR="00E82CEC" w:rsidRPr="00DB2A5C">
        <w:rPr>
          <w:rFonts w:ascii="Segoe UI" w:hAnsi="Segoe UI" w:cs="Segoe UI" w:hint="cs"/>
          <w:highlight w:val="yellow"/>
          <w:rtl/>
          <w:lang w:val="en-US"/>
        </w:rPr>
        <w:t>פ</w:t>
      </w:r>
      <w:r w:rsidRPr="00DB2A5C">
        <w:rPr>
          <w:rFonts w:ascii="Segoe UI" w:hAnsi="Segoe UI" w:cs="Segoe UI"/>
          <w:highlight w:val="yellow"/>
          <w:rtl/>
          <w:lang w:val="en-US"/>
        </w:rPr>
        <w:t xml:space="preserve"> 534/04‏</w:t>
      </w:r>
      <w:r w:rsidRPr="00DB2A5C">
        <w:rPr>
          <w:rFonts w:ascii="Segoe UI" w:hAnsi="Segoe UI" w:cs="Segoe UI"/>
          <w:b/>
          <w:bCs/>
          <w:highlight w:val="yellow"/>
          <w:rtl/>
          <w:lang w:val="en-US"/>
        </w:rPr>
        <w:t xml:space="preserve"> פלוני נ' מדינת ישראל</w:t>
      </w:r>
    </w:p>
    <w:p w14:paraId="674E9568" w14:textId="317CA17D" w:rsidR="004C3068" w:rsidRPr="004C3068" w:rsidRDefault="004C3068"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4C3068">
        <w:rPr>
          <w:rFonts w:ascii="Segoe UI" w:hAnsi="Segoe UI" w:cs="Segoe UI"/>
          <w:rtl/>
          <w:lang w:val="en-ZW"/>
        </w:rPr>
        <w:t>ערעור על גזר-דינו שגזר על קטין שבעת ביצוע העבירות היה גילו פחות מ-14 – 18 שנות מאסר, מתוכן 15 שנים לריצוי בפועל</w:t>
      </w:r>
      <w:r w:rsidR="00A82018">
        <w:rPr>
          <w:rFonts w:ascii="Segoe UI" w:hAnsi="Segoe UI" w:cs="Segoe UI" w:hint="cs"/>
          <w:rtl/>
          <w:lang w:val="en-ZW"/>
        </w:rPr>
        <w:t xml:space="preserve"> </w:t>
      </w:r>
      <w:r w:rsidRPr="004C3068">
        <w:rPr>
          <w:rFonts w:ascii="Segoe UI" w:hAnsi="Segoe UI" w:cs="Segoe UI"/>
          <w:rtl/>
          <w:lang w:val="en-ZW"/>
        </w:rPr>
        <w:t xml:space="preserve">(אנס, דקר וביתר </w:t>
      </w:r>
      <w:r w:rsidR="00A82018">
        <w:rPr>
          <w:rFonts w:ascii="Segoe UI" w:hAnsi="Segoe UI" w:cs="Segoe UI" w:hint="cs"/>
          <w:rtl/>
          <w:lang w:val="en-ZW"/>
        </w:rPr>
        <w:t>קטינה בת 5</w:t>
      </w:r>
      <w:r w:rsidRPr="004C3068">
        <w:rPr>
          <w:rFonts w:ascii="Segoe UI" w:hAnsi="Segoe UI" w:cs="Segoe UI"/>
          <w:rtl/>
          <w:lang w:val="en-ZW"/>
        </w:rPr>
        <w:t>).</w:t>
      </w:r>
      <w:r w:rsidR="00A82018">
        <w:rPr>
          <w:rFonts w:ascii="Segoe UI" w:hAnsi="Segoe UI" w:cs="Segoe UI" w:hint="cs"/>
          <w:rtl/>
          <w:lang w:val="en-US"/>
        </w:rPr>
        <w:t xml:space="preserve"> </w:t>
      </w:r>
      <w:r w:rsidRPr="004C3068">
        <w:rPr>
          <w:rFonts w:ascii="Segoe UI" w:hAnsi="Segoe UI" w:cs="Segoe UI"/>
          <w:rtl/>
          <w:lang w:val="en-ZW"/>
        </w:rPr>
        <w:t xml:space="preserve">הקטין הורשע </w:t>
      </w:r>
      <w:r w:rsidRPr="004C3068">
        <w:rPr>
          <w:rFonts w:ascii="Segoe UI" w:hAnsi="Segoe UI" w:cs="Segoe UI"/>
          <w:u w:val="single"/>
          <w:rtl/>
          <w:lang w:val="en-ZW"/>
        </w:rPr>
        <w:t>בביצוע רצח ואינוס</w:t>
      </w:r>
      <w:r w:rsidRPr="004C3068">
        <w:rPr>
          <w:rFonts w:ascii="Segoe UI" w:hAnsi="Segoe UI" w:cs="Segoe UI"/>
          <w:rtl/>
          <w:lang w:val="en-ZW"/>
        </w:rPr>
        <w:t xml:space="preserve"> של קטינה בת 5. </w:t>
      </w:r>
    </w:p>
    <w:p w14:paraId="64C4E2AF" w14:textId="5261A2FC" w:rsidR="00A82018" w:rsidRPr="00A82018" w:rsidRDefault="004C3068"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sidRPr="004C3068">
        <w:rPr>
          <w:rFonts w:ascii="Segoe UI" w:hAnsi="Segoe UI" w:cs="Segoe UI"/>
          <w:u w:val="single"/>
          <w:rtl/>
          <w:lang w:val="en-ZW"/>
        </w:rPr>
        <w:t>הסנגוריה</w:t>
      </w:r>
      <w:r w:rsidRPr="004C3068">
        <w:rPr>
          <w:rFonts w:ascii="Segoe UI" w:hAnsi="Segoe UI" w:cs="Segoe UI"/>
          <w:rtl/>
          <w:lang w:val="en-ZW"/>
        </w:rPr>
        <w:t xml:space="preserve"> </w:t>
      </w:r>
      <w:r w:rsidR="00A82018">
        <w:rPr>
          <w:rFonts w:ascii="Segoe UI" w:hAnsi="Segoe UI" w:cs="Segoe UI" w:hint="cs"/>
          <w:rtl/>
          <w:lang w:val="en-ZW"/>
        </w:rPr>
        <w:t xml:space="preserve">- </w:t>
      </w:r>
      <w:r w:rsidRPr="004C3068">
        <w:rPr>
          <w:rFonts w:ascii="Segoe UI" w:hAnsi="Segoe UI" w:cs="Segoe UI"/>
          <w:rtl/>
          <w:lang w:val="en-ZW"/>
        </w:rPr>
        <w:t>לאחר שהודה באישומים שיוחסו לו, היה זכאי לכך שייגזר דינו בתוך זמן סביר ובמקרה דנן – לפני שימלאו לו 14.  (כלומר – ללא מאסר בפועל!)</w:t>
      </w:r>
      <w:r w:rsidR="00A82018">
        <w:rPr>
          <w:rFonts w:ascii="Segoe UI" w:hAnsi="Segoe UI" w:cs="Segoe UI" w:hint="cs"/>
          <w:rtl/>
          <w:lang w:val="en-ZW"/>
        </w:rPr>
        <w:t xml:space="preserve">; </w:t>
      </w:r>
      <w:r w:rsidRPr="004C3068">
        <w:rPr>
          <w:rFonts w:ascii="Segoe UI" w:hAnsi="Segoe UI" w:cs="Segoe UI"/>
          <w:u w:val="single"/>
          <w:rtl/>
          <w:lang w:val="en-ZW"/>
        </w:rPr>
        <w:t>הסנגוריה</w:t>
      </w:r>
      <w:r w:rsidRPr="004C3068">
        <w:rPr>
          <w:rFonts w:ascii="Segoe UI" w:hAnsi="Segoe UI" w:cs="Segoe UI"/>
          <w:rtl/>
          <w:lang w:val="en-ZW"/>
        </w:rPr>
        <w:t xml:space="preserve"> - פרשנותו של חוק הנוער מחייבת לקבוע כי גיל העבריין צריך להיבחן במועד ביצוע העבירה ולא במועד מתן גזר הדין. </w:t>
      </w:r>
      <w:r w:rsidR="00A82018" w:rsidRPr="00A82018">
        <w:rPr>
          <w:rFonts w:ascii="Segoe UI" w:hAnsi="Segoe UI" w:cs="Segoe UI"/>
          <w:u w:val="single"/>
          <w:rtl/>
          <w:lang w:val="en-ZW"/>
        </w:rPr>
        <w:t>התביעה</w:t>
      </w:r>
      <w:r w:rsidR="00A82018" w:rsidRPr="00A82018">
        <w:rPr>
          <w:rFonts w:ascii="Segoe UI" w:hAnsi="Segoe UI" w:cs="Segoe UI"/>
          <w:rtl/>
          <w:lang w:val="en-ZW"/>
        </w:rPr>
        <w:t xml:space="preserve"> הציעה לפצל את העונש </w:t>
      </w:r>
      <w:r w:rsidR="00A82018" w:rsidRPr="00A82018">
        <w:rPr>
          <w:rFonts w:ascii="Segoe UI" w:hAnsi="Segoe UI" w:cs="Segoe UI"/>
          <w:rtl/>
          <w:lang w:val="en-ZW"/>
        </w:rPr>
        <w:lastRenderedPageBreak/>
        <w:t>כך שעד גיל 20 (6 שנים) הוא יהיה במעון נעול (בסעיף 34 לחוק נקבע ניתן להיות במעון רק עד גיל 20)  על עבירת הרצח</w:t>
      </w:r>
      <w:r w:rsidR="00A82018" w:rsidRPr="00A82018">
        <w:rPr>
          <w:rFonts w:ascii="Segoe UI" w:hAnsi="Segoe UI" w:cs="Segoe UI"/>
          <w:lang w:val="en-ZW"/>
        </w:rPr>
        <w:t xml:space="preserve"> </w:t>
      </w:r>
      <w:r w:rsidR="00A82018" w:rsidRPr="00A82018">
        <w:rPr>
          <w:rFonts w:ascii="Segoe UI" w:hAnsi="Segoe UI" w:cs="Segoe UI"/>
          <w:rtl/>
          <w:lang w:val="en-ZW"/>
        </w:rPr>
        <w:t>ולאחר מכן הוא ישב במאסר עוד 3 שנים על עבירת האונס</w:t>
      </w:r>
      <w:r w:rsidR="00A82018" w:rsidRPr="00A82018">
        <w:rPr>
          <w:rFonts w:ascii="Segoe UI" w:hAnsi="Segoe UI" w:cs="Segoe UI"/>
          <w:lang w:val="en-ZW"/>
        </w:rPr>
        <w:t>.</w:t>
      </w:r>
      <w:r w:rsidR="00320468">
        <w:rPr>
          <w:rFonts w:ascii="Segoe UI" w:hAnsi="Segoe UI" w:cs="Segoe UI" w:hint="cs"/>
          <w:rtl/>
          <w:lang w:val="en-ZW"/>
        </w:rPr>
        <w:t xml:space="preserve"> </w:t>
      </w:r>
      <w:r w:rsidR="00A82018" w:rsidRPr="00A82018">
        <w:rPr>
          <w:rFonts w:ascii="Segoe UI" w:hAnsi="Segoe UI" w:cs="Segoe UI"/>
          <w:u w:val="single"/>
          <w:rtl/>
          <w:lang w:val="en-ZW"/>
        </w:rPr>
        <w:t>הסנגוריה</w:t>
      </w:r>
      <w:r w:rsidR="00A82018" w:rsidRPr="00A82018">
        <w:rPr>
          <w:rFonts w:ascii="Segoe UI" w:hAnsi="Segoe UI" w:cs="Segoe UI"/>
          <w:rtl/>
          <w:lang w:val="en-ZW"/>
        </w:rPr>
        <w:t xml:space="preserve"> מעון נעול עד גיל 20</w:t>
      </w:r>
      <w:r w:rsidR="00A82018" w:rsidRPr="00A82018">
        <w:rPr>
          <w:rFonts w:ascii="Segoe UI" w:hAnsi="Segoe UI" w:cs="Segoe UI"/>
          <w:lang w:val="en-ZW"/>
        </w:rPr>
        <w:t>.</w:t>
      </w:r>
    </w:p>
    <w:p w14:paraId="5C4DA0C6" w14:textId="6FD91C5E" w:rsidR="005F2762" w:rsidRDefault="00A82018"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u w:val="single"/>
          <w:rtl/>
          <w:lang w:val="en-ZW"/>
        </w:rPr>
      </w:pPr>
      <w:r w:rsidRPr="00320468">
        <w:rPr>
          <w:rFonts w:ascii="Segoe UI" w:hAnsi="Segoe UI" w:cs="Segoe UI"/>
          <w:u w:val="single"/>
          <w:rtl/>
          <w:lang w:val="en-ZW"/>
        </w:rPr>
        <w:t>ביהמ"ש מחוזי</w:t>
      </w:r>
      <w:r w:rsidR="00320468">
        <w:rPr>
          <w:rFonts w:ascii="Segoe UI" w:hAnsi="Segoe UI" w:cs="Segoe UI" w:hint="cs"/>
          <w:rtl/>
          <w:lang w:val="en-ZW"/>
        </w:rPr>
        <w:t>:</w:t>
      </w:r>
      <w:r w:rsidRPr="00A82018">
        <w:rPr>
          <w:rFonts w:ascii="Segoe UI" w:hAnsi="Segoe UI" w:cs="Segoe UI"/>
          <w:rtl/>
          <w:lang w:val="en-ZW"/>
        </w:rPr>
        <w:t xml:space="preserve"> 15 שנים מאסר בפועל ו3 שנות מאסר על תנאי</w:t>
      </w:r>
    </w:p>
    <w:p w14:paraId="48EBB754" w14:textId="61194F81" w:rsidR="00FB5CD6" w:rsidRDefault="00FB5CD6"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FB5CD6">
        <w:rPr>
          <w:rFonts w:ascii="Segoe UI" w:hAnsi="Segoe UI" w:cs="Segoe UI"/>
          <w:u w:val="single"/>
          <w:rtl/>
          <w:lang w:val="en-ZW"/>
        </w:rPr>
        <w:t>ביהמ"ש העליון</w:t>
      </w:r>
      <w:r>
        <w:rPr>
          <w:rFonts w:ascii="Segoe UI" w:hAnsi="Segoe UI" w:cs="Segoe UI" w:hint="cs"/>
          <w:rtl/>
          <w:lang w:val="en-ZW"/>
        </w:rPr>
        <w:t>:</w:t>
      </w:r>
      <w:r>
        <w:rPr>
          <w:rFonts w:ascii="Segoe UI" w:hAnsi="Segoe UI" w:cs="Segoe UI" w:hint="cs"/>
          <w:rtl/>
          <w:lang w:val="en-US"/>
        </w:rPr>
        <w:t xml:space="preserve"> </w:t>
      </w:r>
      <w:r w:rsidRPr="00FB5CD6">
        <w:rPr>
          <w:rFonts w:ascii="Segoe UI" w:hAnsi="Segoe UI" w:cs="Segoe UI"/>
          <w:rtl/>
          <w:lang w:val="en-ZW"/>
        </w:rPr>
        <w:t>משפטו של המערער התברר בקצב מניח את הדעת. הליך פלילי בגין עבירות כה חמורות כרצח וביצוע מעשה סדום באינוס, הנערך לקטין, אל לו להיערך כמרוץ מרתוני לקידום הישגים טקטיים.</w:t>
      </w:r>
      <w:r>
        <w:rPr>
          <w:rFonts w:ascii="Segoe UI" w:hAnsi="Segoe UI" w:cs="Segoe UI" w:hint="cs"/>
          <w:rtl/>
          <w:lang w:val="en-US"/>
        </w:rPr>
        <w:t xml:space="preserve"> </w:t>
      </w:r>
      <w:r w:rsidRPr="00FB5CD6">
        <w:rPr>
          <w:rFonts w:ascii="Segoe UI" w:hAnsi="Segoe UI" w:cs="Segoe UI"/>
          <w:rtl/>
          <w:lang w:val="en-ZW"/>
        </w:rPr>
        <w:t>למערער לא קמה ציפייה מוגנת, להבדיל מתקווה, כי דינו ייגזר לפני שימלאו לו 14 וכי לא יוטל עליו עונש מאסר.</w:t>
      </w:r>
      <w:r>
        <w:rPr>
          <w:rFonts w:ascii="Segoe UI" w:hAnsi="Segoe UI" w:cs="Segoe UI" w:hint="cs"/>
          <w:rtl/>
          <w:lang w:val="en-US"/>
        </w:rPr>
        <w:t xml:space="preserve"> </w:t>
      </w:r>
      <w:r w:rsidRPr="00FB5CD6">
        <w:rPr>
          <w:rFonts w:ascii="Segoe UI" w:hAnsi="Segoe UI" w:cs="Segoe UI"/>
          <w:b/>
          <w:bCs/>
          <w:rtl/>
          <w:lang w:val="en-ZW"/>
        </w:rPr>
        <w:t xml:space="preserve">המועד הרלוונטי לקביעת סוג העונש שניתן להטיל על קטין, הוא </w:t>
      </w:r>
      <w:r w:rsidRPr="00FB5CD6">
        <w:rPr>
          <w:rFonts w:ascii="Segoe UI" w:hAnsi="Segoe UI" w:cs="Segoe UI"/>
          <w:b/>
          <w:bCs/>
          <w:color w:val="FF0000"/>
          <w:rtl/>
          <w:lang w:val="en-ZW"/>
        </w:rPr>
        <w:t>מועד גזר הדין</w:t>
      </w:r>
      <w:r w:rsidRPr="00FB5CD6">
        <w:rPr>
          <w:rFonts w:ascii="Segoe UI" w:hAnsi="Segoe UI" w:cs="Segoe UI"/>
          <w:rtl/>
          <w:lang w:val="en-ZW"/>
        </w:rPr>
        <w:t>. הסעיף מבקש למנוע את שליחתם של קטינים מתחת לגיל 14 למאסר על יסוד התפיסה שתנאי הכליאה בבית הסוהר הולמים את גילם הצעיר ויכולים לפגוע בקטין</w:t>
      </w:r>
      <w:r w:rsidR="00D87046">
        <w:rPr>
          <w:rFonts w:ascii="Segoe UI" w:hAnsi="Segoe UI" w:cs="Segoe UI" w:hint="cs"/>
          <w:rtl/>
          <w:lang w:val="en-US"/>
        </w:rPr>
        <w:t>.</w:t>
      </w:r>
    </w:p>
    <w:p w14:paraId="230BE97F" w14:textId="7BEEDD05" w:rsidR="00D87046" w:rsidRDefault="00D87046"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D87046">
        <w:rPr>
          <w:rFonts w:ascii="Segoe UI" w:hAnsi="Segoe UI" w:cs="Segoe UI" w:hint="cs"/>
          <w:u w:val="single"/>
          <w:rtl/>
          <w:lang w:val="en-US"/>
        </w:rPr>
        <w:t>הש' בייניש</w:t>
      </w:r>
      <w:r>
        <w:rPr>
          <w:rFonts w:ascii="Segoe UI" w:hAnsi="Segoe UI" w:cs="Segoe UI" w:hint="cs"/>
          <w:rtl/>
          <w:lang w:val="en-US"/>
        </w:rPr>
        <w:t xml:space="preserve">: </w:t>
      </w:r>
      <w:r w:rsidRPr="00D87046">
        <w:rPr>
          <w:rFonts w:ascii="Segoe UI" w:hAnsi="Segoe UI" w:cs="Segoe UI"/>
          <w:rtl/>
          <w:lang w:val="en-US"/>
        </w:rPr>
        <w:t xml:space="preserve">בפרשה אחרת (ע"פ 4890/01 פלוני נ' מדינת ישראל) עמדנו על חובתו של בית-המשפט, בבואו לשפוט קטין, לבחון בראש ובראשונה את נסיבותיו של הקטין ואת האפשרות לשקמו. עם זאת כפי שנאמר שם, בעמ' 602, "...שומה עלינו לבחון הן את העבריין הקטין והן את העבירה שביצע". דהיינו, הגם שהגישה השיקומית היא בדרך-כלל הגישה הראויה לטיפול בעבריינים קטינים, הרי שבמקרים מסוימים הגישה השיקומית – יהיו יעילותה וסיכוייה אשר יהיו – תיסוג מפני שיקולים אחרים אשר משקלם יגבר לנוכח העבירה שבוצעה. לעתים המעשה שבוצע הוא כה חמור עד כי הבחירה באפיק השיקומי נראית בלתי הולמת בעליל. כאשר מדובר במעשה אכזרי כנגד קורבן חסר ישע, כאשר נראה כי שמץ של רחמים לא נותר במבצע, אזי גם </w:t>
      </w:r>
      <w:proofErr w:type="spellStart"/>
      <w:r w:rsidRPr="00D87046">
        <w:rPr>
          <w:rFonts w:ascii="Segoe UI" w:hAnsi="Segoe UI" w:cs="Segoe UI"/>
          <w:rtl/>
          <w:lang w:val="en-US"/>
        </w:rPr>
        <w:t>קטינותו</w:t>
      </w:r>
      <w:proofErr w:type="spellEnd"/>
      <w:r w:rsidRPr="00D87046">
        <w:rPr>
          <w:rFonts w:ascii="Segoe UI" w:hAnsi="Segoe UI" w:cs="Segoe UI"/>
          <w:rtl/>
          <w:lang w:val="en-US"/>
        </w:rPr>
        <w:t xml:space="preserve"> של המבצע לא תעמוד לו כמגן מפני הפעלתם של אמצעים </w:t>
      </w:r>
      <w:proofErr w:type="spellStart"/>
      <w:r w:rsidRPr="00D87046">
        <w:rPr>
          <w:rFonts w:ascii="Segoe UI" w:hAnsi="Segoe UI" w:cs="Segoe UI"/>
          <w:rtl/>
          <w:lang w:val="en-US"/>
        </w:rPr>
        <w:t>עונשיים</w:t>
      </w:r>
      <w:proofErr w:type="spellEnd"/>
      <w:r w:rsidRPr="00D87046">
        <w:rPr>
          <w:rFonts w:ascii="Segoe UI" w:hAnsi="Segoe UI" w:cs="Segoe UI"/>
          <w:rtl/>
          <w:lang w:val="en-US"/>
        </w:rPr>
        <w:t xml:space="preserve"> מחמירים.</w:t>
      </w:r>
    </w:p>
    <w:p w14:paraId="15A213F6" w14:textId="30421E5F" w:rsidR="003B6521" w:rsidRPr="003B6521" w:rsidRDefault="003B6521"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3B6521">
        <w:rPr>
          <w:rFonts w:ascii="Segoe UI" w:hAnsi="Segoe UI" w:cs="Segoe UI"/>
          <w:rtl/>
        </w:rPr>
        <w:t>בית-המשפט מופקד על שלומם של קטינים שקשיי חייהם הפכו אותם לעבריינים, אך הוא מופקד גם על ביטחונם של קורבנות פוטנציאליים מהציבור ועל זכויותיהם של הקורבנות ובני משפחתם הנפגעים. דמי הילדה שחייה קופדו באכזריות זועקים. את חיי הקורבן אין להשיב, אך עלינו להעביר מסר – מסר ברור וחד-משמעי – שיסייע להגנה על קורבנות פוטנציאליים ויגן על הציבור מפני מסוכנותו של העבריין.</w:t>
      </w:r>
    </w:p>
    <w:p w14:paraId="772225E0" w14:textId="74609322" w:rsidR="00FB5CD6" w:rsidRDefault="00FB5CD6" w:rsidP="00D95A69">
      <w:pPr>
        <w:bidi/>
        <w:spacing w:after="0" w:line="276" w:lineRule="auto"/>
        <w:rPr>
          <w:rFonts w:ascii="Segoe UI" w:hAnsi="Segoe UI" w:cs="Segoe UI"/>
          <w:rtl/>
          <w:lang w:val="en-ZW"/>
        </w:rPr>
      </w:pPr>
    </w:p>
    <w:p w14:paraId="37F982C7" w14:textId="08B871F7" w:rsidR="00C124C9" w:rsidRDefault="00C124C9"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lang w:val="en-ZW"/>
        </w:rPr>
      </w:pPr>
      <w:r w:rsidRPr="00DB2A5C">
        <w:rPr>
          <w:rFonts w:ascii="Segoe UI" w:hAnsi="Segoe UI" w:cs="Segoe UI"/>
          <w:highlight w:val="yellow"/>
          <w:rtl/>
          <w:lang w:val="en-ZW"/>
        </w:rPr>
        <w:t>ע"פ 4890/01‏</w:t>
      </w:r>
      <w:r w:rsidRPr="00DB2A5C">
        <w:rPr>
          <w:rFonts w:ascii="Segoe UI" w:hAnsi="Segoe UI" w:cs="Segoe UI"/>
          <w:b/>
          <w:bCs/>
          <w:highlight w:val="yellow"/>
          <w:rtl/>
          <w:lang w:val="en-ZW"/>
        </w:rPr>
        <w:t xml:space="preserve"> פלוני נ' מדינת ישראל</w:t>
      </w:r>
    </w:p>
    <w:p w14:paraId="048767B0" w14:textId="77777777" w:rsidR="00DB35E3" w:rsidRDefault="00DB35E3"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DB35E3">
        <w:rPr>
          <w:rFonts w:ascii="Segoe UI" w:hAnsi="Segoe UI" w:cs="Segoe UI"/>
          <w:rtl/>
          <w:lang w:val="en-ZW"/>
        </w:rPr>
        <w:t>שני קטינים הורשעו בעבירות של אינוס ומעשה מגונה בקטינה מהישוב בת 7 במשך שנתיים. ברחה, רדפו אחריה. בני 14 ו-15.</w:t>
      </w:r>
      <w:r>
        <w:rPr>
          <w:rFonts w:ascii="Segoe UI" w:hAnsi="Segoe UI" w:cs="Segoe UI" w:hint="cs"/>
          <w:rtl/>
          <w:lang w:val="en-US"/>
        </w:rPr>
        <w:t xml:space="preserve"> </w:t>
      </w:r>
    </w:p>
    <w:p w14:paraId="3D753411" w14:textId="45DAE4CE" w:rsidR="00DB35E3" w:rsidRPr="00DB35E3" w:rsidRDefault="00DB35E3"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DB35E3">
        <w:rPr>
          <w:rFonts w:ascii="Segoe UI" w:hAnsi="Segoe UI" w:cs="Segoe UI" w:hint="cs"/>
          <w:u w:val="single"/>
          <w:rtl/>
          <w:lang w:val="en-ZW"/>
        </w:rPr>
        <w:t>ביהמ"ש</w:t>
      </w:r>
      <w:r w:rsidRPr="00DB35E3">
        <w:rPr>
          <w:rFonts w:ascii="Segoe UI" w:hAnsi="Segoe UI" w:cs="Segoe UI"/>
          <w:u w:val="single"/>
          <w:rtl/>
          <w:lang w:val="en-ZW"/>
        </w:rPr>
        <w:t xml:space="preserve"> המחוזי</w:t>
      </w:r>
      <w:r>
        <w:rPr>
          <w:rFonts w:ascii="Segoe UI" w:hAnsi="Segoe UI" w:cs="Segoe UI" w:hint="cs"/>
          <w:rtl/>
          <w:lang w:val="en-ZW"/>
        </w:rPr>
        <w:t>:</w:t>
      </w:r>
      <w:r w:rsidRPr="00DB35E3">
        <w:rPr>
          <w:rFonts w:ascii="Segoe UI" w:hAnsi="Segoe UI" w:cs="Segoe UI"/>
          <w:rtl/>
          <w:lang w:val="en-ZW"/>
        </w:rPr>
        <w:t xml:space="preserve"> דחה את המלצות שירות המבחן שלא להרשיע את המערערים ולהמשיך את שהותם במעונות שאליהם הועברו, והשית על המערערים עונשי מאסר בפועל.</w:t>
      </w:r>
    </w:p>
    <w:p w14:paraId="6FF073D1" w14:textId="6BD2DFF8" w:rsidR="00D24895" w:rsidRPr="00D24895" w:rsidRDefault="00DB35E3"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lang w:val="en-ZW"/>
        </w:rPr>
      </w:pPr>
      <w:r w:rsidRPr="00DB35E3">
        <w:rPr>
          <w:rFonts w:ascii="Segoe UI" w:hAnsi="Segoe UI" w:cs="Segoe UI" w:hint="cs"/>
          <w:u w:val="single"/>
          <w:rtl/>
          <w:lang w:val="en-ZW"/>
        </w:rPr>
        <w:t>ביהמ"ש העליון</w:t>
      </w:r>
      <w:r>
        <w:rPr>
          <w:rFonts w:ascii="Segoe UI" w:hAnsi="Segoe UI" w:cs="Segoe UI" w:hint="cs"/>
          <w:rtl/>
          <w:lang w:val="en-ZW"/>
        </w:rPr>
        <w:t>:</w:t>
      </w:r>
      <w:r w:rsidR="00313EDD">
        <w:rPr>
          <w:rFonts w:ascii="Segoe UI" w:hAnsi="Segoe UI" w:cs="Segoe UI" w:hint="cs"/>
          <w:u w:val="single"/>
          <w:rtl/>
          <w:lang w:val="en-ZW"/>
        </w:rPr>
        <w:t xml:space="preserve"> </w:t>
      </w:r>
      <w:r w:rsidR="00313EDD" w:rsidRPr="00313EDD">
        <w:rPr>
          <w:rFonts w:ascii="Segoe UI" w:hAnsi="Segoe UI" w:cs="Segoe UI"/>
          <w:rtl/>
          <w:lang w:val="en-ZW"/>
        </w:rPr>
        <w:t>"יסודו של מודל הענישה בארץ הוא מודל מעורב, שחוברים בו יחד שיקולי הענישה השונים: הגמול, ההרתעה, השיקום והמניעה, ובכל מקרה ומקרה מוטלת על השופטים החובה לערוך את האיזון ביניהם...</w:t>
      </w:r>
      <w:r w:rsidR="00313EDD">
        <w:rPr>
          <w:rFonts w:ascii="Segoe UI" w:hAnsi="Segoe UI" w:cs="Segoe UI" w:hint="cs"/>
          <w:rtl/>
          <w:lang w:val="en-ZW"/>
        </w:rPr>
        <w:t xml:space="preserve">"; </w:t>
      </w:r>
      <w:r w:rsidR="00313EDD" w:rsidRPr="00313EDD">
        <w:rPr>
          <w:rFonts w:ascii="Segoe UI" w:hAnsi="Segoe UI" w:cs="Segoe UI"/>
          <w:rtl/>
          <w:lang w:val="en-ZW"/>
        </w:rPr>
        <w:t xml:space="preserve">"מקום חשוב נודע לשיקולי שיקומם שלעבריינים, בייחוד כאשר מדובר בקטינים, אולם אף שמשקלם של שיקולים אלה הוא רב, </w:t>
      </w:r>
      <w:r w:rsidR="00313EDD" w:rsidRPr="00313EDD">
        <w:rPr>
          <w:rFonts w:ascii="Segoe UI" w:hAnsi="Segoe UI" w:cs="Segoe UI"/>
          <w:u w:val="single"/>
          <w:rtl/>
          <w:lang w:val="en-ZW"/>
        </w:rPr>
        <w:t xml:space="preserve">הרי הם רק חלק ממכלול השיקולים </w:t>
      </w:r>
      <w:r w:rsidR="00313EDD" w:rsidRPr="00313EDD">
        <w:rPr>
          <w:rFonts w:ascii="Segoe UI" w:hAnsi="Segoe UI" w:cs="Segoe UI"/>
          <w:rtl/>
          <w:lang w:val="en-ZW"/>
        </w:rPr>
        <w:t>שעל בית-המשפט לשקול בבואו לגזור את דינו של נאשם"</w:t>
      </w:r>
      <w:r w:rsidR="00313EDD" w:rsidRPr="00313EDD">
        <w:rPr>
          <w:rFonts w:ascii="Segoe UI" w:hAnsi="Segoe UI" w:cs="Segoe UI" w:hint="cs"/>
          <w:rtl/>
          <w:lang w:val="en-ZW"/>
        </w:rPr>
        <w:t xml:space="preserve">; </w:t>
      </w:r>
      <w:r w:rsidR="00313EDD" w:rsidRPr="00313EDD">
        <w:rPr>
          <w:rFonts w:ascii="Segoe UI" w:hAnsi="Segoe UI" w:cs="Segoe UI"/>
          <w:rtl/>
          <w:lang w:val="en-ZW"/>
        </w:rPr>
        <w:t xml:space="preserve">מטרת הענישה איננה נקמה, אך אחת ממטרות הענישה, היא </w:t>
      </w:r>
      <w:r w:rsidR="00313EDD" w:rsidRPr="00313EDD">
        <w:rPr>
          <w:rFonts w:ascii="Segoe UI" w:hAnsi="Segoe UI" w:cs="Segoe UI"/>
          <w:u w:val="single"/>
          <w:rtl/>
          <w:lang w:val="en-ZW"/>
        </w:rPr>
        <w:t>לתת ביטוי להרגשה הקולקטיבית של סלידה ממעשים מסוימים</w:t>
      </w:r>
      <w:r w:rsidR="00313EDD">
        <w:rPr>
          <w:rFonts w:ascii="Segoe UI" w:hAnsi="Segoe UI" w:cs="Segoe UI" w:hint="cs"/>
          <w:rtl/>
          <w:lang w:val="en-ZW"/>
        </w:rPr>
        <w:t xml:space="preserve">; </w:t>
      </w:r>
      <w:r w:rsidR="00313EDD" w:rsidRPr="00313EDD">
        <w:rPr>
          <w:rFonts w:ascii="Segoe UI" w:hAnsi="Segoe UI" w:cs="Segoe UI"/>
          <w:rtl/>
          <w:lang w:val="en-ZW"/>
        </w:rPr>
        <w:t>שיקול חשוב בין שיקולי הענישה הוא השיקול של הרתעה, הן הרתעה אישית של העבריין הנדון והן הרתעה של עבריינים בכוח</w:t>
      </w:r>
      <w:r w:rsidR="00313EDD">
        <w:rPr>
          <w:rFonts w:ascii="Segoe UI" w:hAnsi="Segoe UI" w:cs="Segoe UI" w:hint="cs"/>
          <w:rtl/>
          <w:lang w:val="en-ZW"/>
        </w:rPr>
        <w:t xml:space="preserve">; </w:t>
      </w:r>
      <w:r w:rsidR="00313EDD" w:rsidRPr="00313EDD">
        <w:rPr>
          <w:rFonts w:ascii="Segoe UI" w:hAnsi="Segoe UI" w:cs="Segoe UI"/>
          <w:rtl/>
          <w:lang w:val="en-ZW"/>
        </w:rPr>
        <w:t>"בגוזרו את דינם של עבריינים משמש בית-המשפט פה לחברה כולה ונושא הוא מסר לציבור העבריינים הפוטנציאליים"</w:t>
      </w:r>
      <w:r w:rsidR="00D24895">
        <w:rPr>
          <w:rFonts w:ascii="Segoe UI" w:hAnsi="Segoe UI" w:cs="Segoe UI" w:hint="cs"/>
          <w:rtl/>
          <w:lang w:val="en-ZW"/>
        </w:rPr>
        <w:t xml:space="preserve">; </w:t>
      </w:r>
      <w:r w:rsidR="00D24895" w:rsidRPr="00D24895">
        <w:rPr>
          <w:rFonts w:ascii="Segoe UI" w:hAnsi="Segoe UI" w:cs="Segoe UI"/>
          <w:rtl/>
          <w:lang w:val="en-ZW"/>
        </w:rPr>
        <w:t>"</w:t>
      </w:r>
      <w:r w:rsidR="00D24895" w:rsidRPr="00D24895">
        <w:rPr>
          <w:rFonts w:ascii="Segoe UI" w:hAnsi="Segoe UI" w:cs="Segoe UI"/>
          <w:b/>
          <w:bCs/>
          <w:rtl/>
          <w:lang w:val="en-ZW"/>
        </w:rPr>
        <w:t xml:space="preserve">ידעו הכול, כי עבריין, גם אם קטין הוא, הפוגע בגופם ובכבודו של ילד או ילדה ומנצל את כוחו לרעה כלפיהם, צפוי לשאת בתוצאות </w:t>
      </w:r>
      <w:proofErr w:type="spellStart"/>
      <w:r w:rsidR="00D24895" w:rsidRPr="00D24895">
        <w:rPr>
          <w:rFonts w:ascii="Segoe UI" w:hAnsi="Segoe UI" w:cs="Segoe UI"/>
          <w:b/>
          <w:bCs/>
          <w:rtl/>
          <w:lang w:val="en-ZW"/>
        </w:rPr>
        <w:t>העונשיות</w:t>
      </w:r>
      <w:proofErr w:type="spellEnd"/>
      <w:r w:rsidR="00D24895" w:rsidRPr="00D24895">
        <w:rPr>
          <w:rFonts w:ascii="Segoe UI" w:hAnsi="Segoe UI" w:cs="Segoe UI"/>
          <w:b/>
          <w:bCs/>
          <w:rtl/>
          <w:lang w:val="en-ZW"/>
        </w:rPr>
        <w:t xml:space="preserve"> של מעשהו"</w:t>
      </w:r>
      <w:r w:rsidR="00D24895">
        <w:rPr>
          <w:rFonts w:ascii="Segoe UI" w:hAnsi="Segoe UI" w:cs="Segoe UI" w:hint="cs"/>
          <w:rtl/>
          <w:lang w:val="en-ZW"/>
        </w:rPr>
        <w:t>.</w:t>
      </w:r>
    </w:p>
    <w:p w14:paraId="660B9B92" w14:textId="71A89917" w:rsidR="00313EDD" w:rsidRDefault="00313EDD" w:rsidP="00CF55C6">
      <w:pPr>
        <w:bidi/>
        <w:spacing w:after="0"/>
        <w:rPr>
          <w:rFonts w:ascii="Segoe UI" w:hAnsi="Segoe UI" w:cs="Segoe UI"/>
          <w:rtl/>
          <w:lang w:val="en-US"/>
        </w:rPr>
      </w:pPr>
    </w:p>
    <w:p w14:paraId="1C899CE5" w14:textId="4D8A324E" w:rsidR="00E96BEE" w:rsidRDefault="00E96BEE" w:rsidP="00E96BEE">
      <w:pPr>
        <w:tabs>
          <w:tab w:val="left" w:pos="2165"/>
        </w:tabs>
        <w:bidi/>
        <w:spacing w:after="0"/>
        <w:rPr>
          <w:rFonts w:ascii="Segoe UI" w:hAnsi="Segoe UI" w:cs="Segoe UI"/>
          <w:rtl/>
          <w:lang w:val="en-US"/>
        </w:rPr>
      </w:pPr>
    </w:p>
    <w:p w14:paraId="49B8B42D" w14:textId="4DE4F405" w:rsidR="00CF55C6" w:rsidRDefault="00CF55C6" w:rsidP="00CF55C6">
      <w:pPr>
        <w:tabs>
          <w:tab w:val="left" w:pos="2165"/>
        </w:tabs>
        <w:bidi/>
        <w:spacing w:after="0"/>
        <w:rPr>
          <w:rFonts w:ascii="Segoe UI" w:hAnsi="Segoe UI" w:cs="Segoe UI"/>
          <w:rtl/>
          <w:lang w:val="en-US"/>
        </w:rPr>
      </w:pPr>
    </w:p>
    <w:p w14:paraId="63723D34" w14:textId="30A2E87B" w:rsidR="00CF55C6" w:rsidRDefault="00CF55C6" w:rsidP="00CF55C6">
      <w:pPr>
        <w:tabs>
          <w:tab w:val="left" w:pos="2165"/>
        </w:tabs>
        <w:bidi/>
        <w:spacing w:after="0"/>
        <w:rPr>
          <w:rFonts w:ascii="Segoe UI" w:hAnsi="Segoe UI" w:cs="Segoe UI"/>
          <w:rtl/>
          <w:lang w:val="en-US"/>
        </w:rPr>
      </w:pPr>
    </w:p>
    <w:p w14:paraId="54EC5170" w14:textId="77777777" w:rsidR="00672464" w:rsidRDefault="00672464" w:rsidP="00672464">
      <w:pPr>
        <w:tabs>
          <w:tab w:val="left" w:pos="2165"/>
        </w:tabs>
        <w:bidi/>
        <w:spacing w:after="0"/>
        <w:rPr>
          <w:rFonts w:ascii="Segoe UI" w:hAnsi="Segoe UI" w:cs="Segoe UI"/>
          <w:rtl/>
          <w:lang w:val="en-US"/>
        </w:rPr>
      </w:pPr>
    </w:p>
    <w:p w14:paraId="6292EC3B" w14:textId="37CF0807" w:rsidR="00CF55C6" w:rsidRPr="008C2E00" w:rsidRDefault="00CF55C6" w:rsidP="00CF55C6">
      <w:pPr>
        <w:pStyle w:val="1"/>
        <w:rPr>
          <w:rtl/>
          <w:lang w:val="en-US"/>
        </w:rPr>
      </w:pPr>
      <w:bookmarkStart w:id="73" w:name="_Toc108218229"/>
      <w:r>
        <w:rPr>
          <w:rFonts w:hint="cs"/>
          <w:rtl/>
        </w:rPr>
        <w:lastRenderedPageBreak/>
        <w:t>וועדות שחרורים בישראל</w:t>
      </w:r>
      <w:r w:rsidR="008C2E00">
        <w:rPr>
          <w:rFonts w:hint="cs"/>
        </w:rPr>
        <w:t xml:space="preserve"> </w:t>
      </w:r>
      <w:r w:rsidR="008C2E00">
        <w:rPr>
          <w:rtl/>
        </w:rPr>
        <w:t>–</w:t>
      </w:r>
      <w:r w:rsidR="008C2E00">
        <w:rPr>
          <w:rFonts w:hint="cs"/>
        </w:rPr>
        <w:t xml:space="preserve"> </w:t>
      </w:r>
      <w:r w:rsidR="008C2E00">
        <w:rPr>
          <w:rFonts w:hint="cs"/>
          <w:rtl/>
          <w:lang w:val="en-US"/>
        </w:rPr>
        <w:t>"דיני בית הסוהר"</w:t>
      </w:r>
      <w:bookmarkEnd w:id="73"/>
    </w:p>
    <w:p w14:paraId="28DD61F5" w14:textId="5C5A4E71" w:rsidR="008C2E00" w:rsidRDefault="008C2E00" w:rsidP="00D95A69">
      <w:pPr>
        <w:spacing w:after="0" w:line="276" w:lineRule="auto"/>
        <w:jc w:val="right"/>
        <w:rPr>
          <w:rFonts w:ascii="Segoe UI" w:hAnsi="Segoe UI" w:cs="Segoe UI"/>
          <w:rtl/>
          <w:lang w:val="en-US"/>
        </w:rPr>
      </w:pPr>
      <w:r>
        <w:rPr>
          <w:rFonts w:ascii="Segoe UI" w:hAnsi="Segoe UI" w:cs="Segoe UI" w:hint="cs"/>
          <w:rtl/>
          <w:lang w:val="en-US"/>
        </w:rPr>
        <w:t xml:space="preserve">סעיף 3 לחוק שחרור על-תנאי ממאסר, התשס"א-2001 קובע: </w:t>
      </w:r>
    </w:p>
    <w:p w14:paraId="6197EF0D" w14:textId="77777777" w:rsidR="005F5205" w:rsidRPr="00B9646C" w:rsidRDefault="005F5205" w:rsidP="00D95A69">
      <w:pPr>
        <w:pBdr>
          <w:top w:val="single" w:sz="4" w:space="1" w:color="auto"/>
          <w:left w:val="single" w:sz="4" w:space="1" w:color="auto"/>
          <w:bottom w:val="single" w:sz="4" w:space="1" w:color="auto"/>
          <w:right w:val="single" w:sz="4" w:space="1" w:color="auto"/>
        </w:pBdr>
        <w:bidi/>
        <w:spacing w:before="72" w:after="0" w:line="276" w:lineRule="auto"/>
        <w:ind w:left="363" w:right="363"/>
        <w:jc w:val="both"/>
        <w:rPr>
          <w:rFonts w:asciiTheme="majorBidi" w:hAnsiTheme="majorBidi" w:cstheme="majorBidi"/>
          <w:b/>
          <w:bCs/>
          <w:color w:val="008000"/>
          <w:sz w:val="27"/>
          <w:szCs w:val="27"/>
          <w:lang w:val="en-US"/>
        </w:rPr>
      </w:pPr>
      <w:r w:rsidRPr="00B9646C">
        <w:rPr>
          <w:rFonts w:asciiTheme="majorBidi" w:hAnsiTheme="majorBidi" w:cstheme="majorBidi"/>
          <w:b/>
          <w:bCs/>
          <w:color w:val="008000"/>
          <w:sz w:val="27"/>
          <w:szCs w:val="27"/>
          <w:rtl/>
          <w:lang w:val="en-US"/>
        </w:rPr>
        <w:t>שחרור על-תנאי על ידי ועדת שחרורים – הוראת שעה</w:t>
      </w:r>
    </w:p>
    <w:p w14:paraId="45617785" w14:textId="252ECB3F" w:rsidR="005F5205" w:rsidRPr="005F5205" w:rsidRDefault="005F5205" w:rsidP="00D95A69">
      <w:pPr>
        <w:pBdr>
          <w:top w:val="single" w:sz="4" w:space="1" w:color="auto"/>
          <w:left w:val="single" w:sz="4" w:space="1" w:color="auto"/>
          <w:bottom w:val="single" w:sz="4" w:space="1" w:color="auto"/>
          <w:right w:val="single" w:sz="4" w:space="1" w:color="auto"/>
        </w:pBdr>
        <w:bidi/>
        <w:spacing w:before="72" w:after="0" w:line="276" w:lineRule="auto"/>
        <w:ind w:left="363" w:right="363"/>
        <w:jc w:val="both"/>
        <w:rPr>
          <w:rFonts w:ascii="FrankRuehl" w:hAnsi="FrankRuehl" w:cs="FrankRuehl"/>
          <w:sz w:val="26"/>
          <w:szCs w:val="26"/>
          <w:lang w:val="en-US"/>
        </w:rPr>
      </w:pPr>
      <w:r w:rsidRPr="00C350AE">
        <w:rPr>
          <w:rFonts w:ascii="Miriam" w:hAnsi="Miriam" w:cs="Miriam"/>
          <w:sz w:val="32"/>
          <w:szCs w:val="32"/>
          <w:rtl/>
          <w:lang w:val="en-US"/>
        </w:rPr>
        <w:t>3</w:t>
      </w:r>
      <w:r w:rsidRPr="005F5205">
        <w:rPr>
          <w:rFonts w:ascii="FrankRuehl" w:hAnsi="FrankRuehl" w:cs="FrankRuehl"/>
          <w:sz w:val="26"/>
          <w:szCs w:val="26"/>
          <w:rtl/>
          <w:lang w:val="en-US"/>
        </w:rPr>
        <w:t>. (א) אסיר, למעט אסיר עולם, שהוא אחד מאלה, ושנשא שני שלישים לפחות מתקופת המאסר שעליו לשאת, רשאית ועדת השחרורים, לבקשתו, לשחררו על-תנאי מנשיאת יתרת תקופת המאסר</w:t>
      </w:r>
      <w:r w:rsidRPr="005F5205">
        <w:rPr>
          <w:rFonts w:ascii="FrankRuehl" w:hAnsi="FrankRuehl" w:cs="FrankRuehl"/>
          <w:sz w:val="26"/>
          <w:szCs w:val="26"/>
          <w:lang w:val="en-US"/>
        </w:rPr>
        <w:t>:</w:t>
      </w:r>
    </w:p>
    <w:p w14:paraId="67824720" w14:textId="1274ABEE" w:rsidR="005F5205" w:rsidRPr="005F5205" w:rsidRDefault="005F5205" w:rsidP="00D95A69">
      <w:pPr>
        <w:pBdr>
          <w:top w:val="single" w:sz="4" w:space="1" w:color="auto"/>
          <w:left w:val="single" w:sz="4" w:space="1" w:color="auto"/>
          <w:bottom w:val="single" w:sz="4" w:space="1" w:color="auto"/>
          <w:right w:val="single" w:sz="4" w:space="1" w:color="auto"/>
        </w:pBdr>
        <w:bidi/>
        <w:spacing w:before="72" w:after="0" w:line="276" w:lineRule="auto"/>
        <w:ind w:left="363" w:right="363"/>
        <w:jc w:val="both"/>
        <w:rPr>
          <w:rFonts w:ascii="FrankRuehl" w:hAnsi="FrankRuehl" w:cs="FrankRuehl"/>
          <w:sz w:val="26"/>
          <w:szCs w:val="26"/>
          <w:lang w:val="en-US"/>
        </w:rPr>
      </w:pPr>
      <w:r w:rsidRPr="005F5205">
        <w:rPr>
          <w:rFonts w:ascii="FrankRuehl" w:hAnsi="FrankRuehl" w:cs="FrankRuehl"/>
          <w:sz w:val="26"/>
          <w:szCs w:val="26"/>
          <w:lang w:val="en-US"/>
        </w:rPr>
        <w:t>(1)</w:t>
      </w:r>
      <w:r w:rsidRPr="005F5205">
        <w:rPr>
          <w:rFonts w:ascii="FrankRuehl" w:hAnsi="FrankRuehl" w:cs="FrankRuehl"/>
          <w:sz w:val="26"/>
          <w:szCs w:val="26"/>
          <w:rtl/>
          <w:lang w:val="en-US"/>
        </w:rPr>
        <w:t xml:space="preserve"> אסיר הנושא עונש מאסר לתקופה העולה על </w:t>
      </w:r>
      <w:proofErr w:type="gramStart"/>
      <w:r w:rsidRPr="005F5205">
        <w:rPr>
          <w:rFonts w:ascii="FrankRuehl" w:hAnsi="FrankRuehl" w:cs="FrankRuehl"/>
          <w:sz w:val="26"/>
          <w:szCs w:val="26"/>
          <w:rtl/>
          <w:lang w:val="en-US"/>
        </w:rPr>
        <w:t>שנה</w:t>
      </w:r>
      <w:r w:rsidRPr="005F5205">
        <w:rPr>
          <w:rFonts w:ascii="FrankRuehl" w:hAnsi="FrankRuehl" w:cs="FrankRuehl"/>
          <w:sz w:val="26"/>
          <w:szCs w:val="26"/>
          <w:lang w:val="en-US"/>
        </w:rPr>
        <w:t>;</w:t>
      </w:r>
      <w:proofErr w:type="gramEnd"/>
    </w:p>
    <w:p w14:paraId="4A452F7B" w14:textId="757E1F62" w:rsidR="005F5205" w:rsidRPr="005F5205" w:rsidRDefault="005F5205" w:rsidP="00D95A69">
      <w:pPr>
        <w:pBdr>
          <w:top w:val="single" w:sz="4" w:space="1" w:color="auto"/>
          <w:left w:val="single" w:sz="4" w:space="1" w:color="auto"/>
          <w:bottom w:val="single" w:sz="4" w:space="1" w:color="auto"/>
          <w:right w:val="single" w:sz="4" w:space="1" w:color="auto"/>
        </w:pBdr>
        <w:bidi/>
        <w:spacing w:before="72" w:after="0" w:line="276" w:lineRule="auto"/>
        <w:ind w:left="363" w:right="363"/>
        <w:jc w:val="both"/>
        <w:rPr>
          <w:rFonts w:ascii="FrankRuehl" w:hAnsi="FrankRuehl" w:cs="FrankRuehl"/>
          <w:sz w:val="26"/>
          <w:szCs w:val="26"/>
          <w:lang w:val="en-US"/>
        </w:rPr>
      </w:pPr>
      <w:r w:rsidRPr="005F5205">
        <w:rPr>
          <w:rFonts w:ascii="FrankRuehl" w:hAnsi="FrankRuehl" w:cs="FrankRuehl"/>
          <w:sz w:val="26"/>
          <w:szCs w:val="26"/>
          <w:lang w:val="en-US"/>
        </w:rPr>
        <w:t>(2)</w:t>
      </w:r>
      <w:r w:rsidRPr="005F5205">
        <w:rPr>
          <w:rFonts w:ascii="FrankRuehl" w:hAnsi="FrankRuehl" w:cs="FrankRuehl"/>
          <w:sz w:val="26"/>
          <w:szCs w:val="26"/>
          <w:rtl/>
          <w:lang w:val="en-US"/>
        </w:rPr>
        <w:t xml:space="preserve"> אסיר הנושא עונש מאסר לתקופה העולה על שישה חודשים, שהוא קטין במועד תום שני שלישים מתקופת המאסר שעליו לשאת או שהוא אסיר כאמור בסעיף 11 או 12</w:t>
      </w:r>
      <w:r w:rsidRPr="005F5205">
        <w:rPr>
          <w:rFonts w:ascii="FrankRuehl" w:hAnsi="FrankRuehl" w:cs="FrankRuehl"/>
          <w:sz w:val="26"/>
          <w:szCs w:val="26"/>
          <w:lang w:val="en-US"/>
        </w:rPr>
        <w:t>.</w:t>
      </w:r>
    </w:p>
    <w:p w14:paraId="23479781" w14:textId="5003C84C" w:rsidR="005F5205" w:rsidRDefault="005F5205" w:rsidP="00D95A69">
      <w:pPr>
        <w:pBdr>
          <w:top w:val="single" w:sz="4" w:space="1" w:color="auto"/>
          <w:left w:val="single" w:sz="4" w:space="1" w:color="auto"/>
          <w:bottom w:val="single" w:sz="4" w:space="1" w:color="auto"/>
          <w:right w:val="single" w:sz="4" w:space="1" w:color="auto"/>
        </w:pBdr>
        <w:bidi/>
        <w:spacing w:before="72" w:after="0" w:line="276" w:lineRule="auto"/>
        <w:ind w:left="363" w:right="363"/>
        <w:jc w:val="both"/>
        <w:rPr>
          <w:rFonts w:ascii="FrankRuehl" w:hAnsi="FrankRuehl" w:cs="FrankRuehl"/>
          <w:sz w:val="26"/>
          <w:szCs w:val="26"/>
          <w:rtl/>
          <w:lang w:val="en-US"/>
        </w:rPr>
      </w:pPr>
      <w:r w:rsidRPr="005F5205">
        <w:rPr>
          <w:rFonts w:ascii="FrankRuehl" w:hAnsi="FrankRuehl" w:cs="FrankRuehl"/>
          <w:sz w:val="26"/>
          <w:szCs w:val="26"/>
          <w:rtl/>
          <w:lang w:val="en-US"/>
        </w:rPr>
        <w:t>(ב) ועדת השחרורים לא תשחרר אסיר כאמור בסעיף קטן (א), אלא אם כן שוכנעה כי הוא ראוי לשחרור וכי שחרורו אינו מסכן את שלום הציבור</w:t>
      </w:r>
      <w:r w:rsidRPr="005F5205">
        <w:rPr>
          <w:rFonts w:ascii="FrankRuehl" w:hAnsi="FrankRuehl" w:cs="FrankRuehl"/>
          <w:sz w:val="26"/>
          <w:szCs w:val="26"/>
          <w:lang w:val="en-US"/>
        </w:rPr>
        <w:t>.</w:t>
      </w:r>
    </w:p>
    <w:p w14:paraId="3C27F2B6" w14:textId="77C302BC" w:rsidR="008C2E00" w:rsidRDefault="008C2E00" w:rsidP="00D95A69">
      <w:pPr>
        <w:bidi/>
        <w:spacing w:after="0" w:line="276" w:lineRule="auto"/>
        <w:jc w:val="both"/>
        <w:rPr>
          <w:rFonts w:ascii="FrankRuehl" w:hAnsi="FrankRuehl" w:cs="FrankRuehl"/>
          <w:sz w:val="26"/>
          <w:szCs w:val="26"/>
          <w:rtl/>
          <w:lang w:val="en-US"/>
        </w:rPr>
      </w:pPr>
    </w:p>
    <w:p w14:paraId="0F4CCEE6" w14:textId="24EDC134" w:rsidR="008C2E00" w:rsidRDefault="00C92A82" w:rsidP="00D95A69">
      <w:pPr>
        <w:bidi/>
        <w:spacing w:after="0" w:line="276" w:lineRule="auto"/>
        <w:rPr>
          <w:rFonts w:ascii="Segoe UI" w:hAnsi="Segoe UI" w:cs="Segoe UI"/>
          <w:rtl/>
          <w:lang w:val="en-ZW"/>
        </w:rPr>
      </w:pPr>
      <w:r>
        <w:rPr>
          <w:rFonts w:ascii="Segoe UI" w:hAnsi="Segoe UI" w:cs="Segoe UI" w:hint="cs"/>
          <w:rtl/>
          <w:lang w:val="en-ZW"/>
        </w:rPr>
        <w:t xml:space="preserve">החוק הוא חידוש כי יש בו קביעת קריטריונים לשחרור (לפני כן </w:t>
      </w:r>
      <w:r>
        <w:rPr>
          <w:rFonts w:ascii="Segoe UI" w:hAnsi="Segoe UI" w:cs="Segoe UI"/>
          <w:rtl/>
          <w:lang w:val="en-ZW"/>
        </w:rPr>
        <w:t>–</w:t>
      </w:r>
      <w:r>
        <w:rPr>
          <w:rFonts w:ascii="Segoe UI" w:hAnsi="Segoe UI" w:cs="Segoe UI" w:hint="cs"/>
          <w:rtl/>
          <w:lang w:val="en-ZW"/>
        </w:rPr>
        <w:t xml:space="preserve"> הכול היה בפסיקה). </w:t>
      </w:r>
    </w:p>
    <w:p w14:paraId="5019B896" w14:textId="46E58707" w:rsidR="00C92A82" w:rsidRDefault="00C92A82" w:rsidP="00D95A69">
      <w:pPr>
        <w:bidi/>
        <w:spacing w:after="0" w:line="276" w:lineRule="auto"/>
        <w:rPr>
          <w:rFonts w:ascii="Segoe UI" w:hAnsi="Segoe UI" w:cs="Segoe UI"/>
          <w:rtl/>
          <w:lang w:val="en-ZW"/>
        </w:rPr>
      </w:pPr>
      <w:r>
        <w:rPr>
          <w:rFonts w:ascii="Segoe UI" w:hAnsi="Segoe UI" w:cs="Segoe UI" w:hint="cs"/>
          <w:rtl/>
          <w:lang w:val="en-ZW"/>
        </w:rPr>
        <w:t>הסיבה לקריטריונים בחקיקה</w:t>
      </w:r>
      <w:r w:rsidR="005351BD">
        <w:rPr>
          <w:rFonts w:ascii="Segoe UI" w:hAnsi="Segoe UI" w:cs="Segoe UI" w:hint="cs"/>
          <w:rtl/>
          <w:lang w:val="en-ZW"/>
        </w:rPr>
        <w:t xml:space="preserve"> - </w:t>
      </w:r>
      <w:proofErr w:type="spellStart"/>
      <w:r w:rsidR="005351BD" w:rsidRPr="005351BD">
        <w:rPr>
          <w:rFonts w:ascii="Segoe UI" w:hAnsi="Segoe UI" w:cs="Segoe UI"/>
          <w:rtl/>
          <w:lang w:val="en-ZW"/>
        </w:rPr>
        <w:t>עע"א</w:t>
      </w:r>
      <w:proofErr w:type="spellEnd"/>
      <w:r w:rsidR="005351BD" w:rsidRPr="005351BD">
        <w:rPr>
          <w:rFonts w:ascii="Segoe UI" w:hAnsi="Segoe UI" w:cs="Segoe UI"/>
          <w:rtl/>
          <w:lang w:val="en-ZW"/>
        </w:rPr>
        <w:t xml:space="preserve"> 2/83 </w:t>
      </w:r>
      <w:r w:rsidR="005351BD" w:rsidRPr="005351BD">
        <w:rPr>
          <w:rFonts w:ascii="Segoe UI" w:hAnsi="Segoe UI" w:cs="Segoe UI"/>
          <w:b/>
          <w:bCs/>
          <w:rtl/>
          <w:lang w:val="en-ZW"/>
        </w:rPr>
        <w:t xml:space="preserve">ועדת השחרורים נ' יהודה בן יעקב </w:t>
      </w:r>
      <w:proofErr w:type="spellStart"/>
      <w:r w:rsidR="005351BD" w:rsidRPr="005351BD">
        <w:rPr>
          <w:rFonts w:ascii="Segoe UI" w:hAnsi="Segoe UI" w:cs="Segoe UI"/>
          <w:b/>
          <w:bCs/>
          <w:rtl/>
          <w:lang w:val="en-ZW"/>
        </w:rPr>
        <w:t>אסיאס</w:t>
      </w:r>
      <w:proofErr w:type="spellEnd"/>
      <w:r w:rsidR="005351BD">
        <w:rPr>
          <w:rFonts w:ascii="Segoe UI" w:hAnsi="Segoe UI" w:cs="Segoe UI" w:hint="cs"/>
          <w:rtl/>
          <w:lang w:val="en-ZW"/>
        </w:rPr>
        <w:t xml:space="preserve">, </w:t>
      </w:r>
      <w:r>
        <w:rPr>
          <w:rFonts w:ascii="Segoe UI" w:hAnsi="Segoe UI" w:cs="Segoe UI" w:hint="cs"/>
          <w:rtl/>
          <w:lang w:val="en-ZW"/>
        </w:rPr>
        <w:t xml:space="preserve">שבו הש' ברק קובע בשנת 1983 כי יש לגבש קריטריונים בחקיקה ראשית. </w:t>
      </w:r>
    </w:p>
    <w:p w14:paraId="7BB769F2" w14:textId="2BD93538" w:rsidR="00C92A82" w:rsidRDefault="00C92A82" w:rsidP="00D95A69">
      <w:pPr>
        <w:bidi/>
        <w:spacing w:after="0" w:line="276" w:lineRule="auto"/>
        <w:rPr>
          <w:rFonts w:ascii="Segoe UI" w:hAnsi="Segoe UI" w:cs="Segoe UI"/>
          <w:rtl/>
          <w:lang w:val="en-ZW"/>
        </w:rPr>
      </w:pPr>
    </w:p>
    <w:p w14:paraId="46DB6F73" w14:textId="528E3F92" w:rsidR="007027B4" w:rsidRPr="00036F2A" w:rsidRDefault="007027B4"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lang w:val="en-ZW"/>
        </w:rPr>
      </w:pPr>
      <w:r w:rsidRPr="00DB2A5C">
        <w:rPr>
          <w:rFonts w:ascii="Segoe UI" w:hAnsi="Segoe UI" w:cs="Segoe UI" w:hint="cs"/>
          <w:highlight w:val="yellow"/>
          <w:rtl/>
          <w:lang w:val="en-ZW"/>
        </w:rPr>
        <w:t xml:space="preserve">ע"פ 1732/10 </w:t>
      </w:r>
      <w:r w:rsidRPr="00DB2A5C">
        <w:rPr>
          <w:rFonts w:ascii="Segoe UI" w:hAnsi="Segoe UI" w:cs="Segoe UI" w:hint="cs"/>
          <w:b/>
          <w:bCs/>
          <w:highlight w:val="yellow"/>
          <w:rtl/>
          <w:lang w:val="en-ZW"/>
        </w:rPr>
        <w:t>פחימה נ' מדינת ישראל</w:t>
      </w:r>
    </w:p>
    <w:p w14:paraId="3409D1D1" w14:textId="107B8E40" w:rsidR="008C2E00" w:rsidRDefault="000A7EAF"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Pr>
          <w:rFonts w:ascii="Segoe UI" w:hAnsi="Segoe UI" w:cs="Segoe UI" w:hint="cs"/>
          <w:rtl/>
        </w:rPr>
        <w:t>"</w:t>
      </w:r>
      <w:r w:rsidR="007027B4" w:rsidRPr="007027B4">
        <w:rPr>
          <w:rFonts w:ascii="Segoe UI" w:hAnsi="Segoe UI" w:cs="Segoe UI"/>
          <w:rtl/>
        </w:rPr>
        <w:t>על העונש</w:t>
      </w:r>
      <w:r>
        <w:rPr>
          <w:rFonts w:ascii="Segoe UI" w:hAnsi="Segoe UI" w:cs="Segoe UI" w:hint="cs"/>
          <w:rtl/>
        </w:rPr>
        <w:t xml:space="preserve"> </w:t>
      </w:r>
      <w:r w:rsidR="007027B4" w:rsidRPr="007027B4">
        <w:rPr>
          <w:rFonts w:ascii="Segoe UI" w:hAnsi="Segoe UI" w:cs="Segoe UI"/>
          <w:rtl/>
        </w:rPr>
        <w:t>לבטא באופן הולם את המעשים וחומרתם. שחרור מוקדם לעומת זאת, נגזר במידה ניכרת גם מהתנהגותו של האסיר, מחוות הדעת המקצועיות בעניינו ומשיקולי שיקום. פניו של השחרור המוקדם אל העתיד, גם אם לוקח הוא בחשבון שיקולים הקשורים בעבירה בה הורשע האסיר ונסיבותיה. כל הליך ותכליותיו.</w:t>
      </w:r>
      <w:r>
        <w:rPr>
          <w:rFonts w:ascii="Segoe UI" w:hAnsi="Segoe UI" w:cs="Segoe UI" w:hint="cs"/>
          <w:rtl/>
        </w:rPr>
        <w:t>"</w:t>
      </w:r>
    </w:p>
    <w:p w14:paraId="6F0CE97D" w14:textId="5D66621C" w:rsidR="000A7EAF" w:rsidRDefault="000A7EAF" w:rsidP="00D95A69">
      <w:pPr>
        <w:bidi/>
        <w:spacing w:after="0" w:line="276" w:lineRule="auto"/>
        <w:rPr>
          <w:rFonts w:ascii="Segoe UI" w:hAnsi="Segoe UI" w:cs="Segoe UI"/>
          <w:rtl/>
        </w:rPr>
      </w:pPr>
    </w:p>
    <w:p w14:paraId="3BCEB632" w14:textId="4294892A" w:rsidR="000A7EAF" w:rsidRDefault="000A7EAF" w:rsidP="00D95A69">
      <w:pPr>
        <w:bidi/>
        <w:spacing w:after="0" w:line="276" w:lineRule="auto"/>
        <w:jc w:val="both"/>
        <w:rPr>
          <w:rFonts w:ascii="Segoe UI" w:hAnsi="Segoe UI" w:cs="Segoe UI"/>
          <w:rtl/>
        </w:rPr>
      </w:pPr>
      <w:r>
        <w:rPr>
          <w:rFonts w:ascii="Segoe UI" w:hAnsi="Segoe UI" w:cs="Segoe UI" w:hint="cs"/>
          <w:rtl/>
        </w:rPr>
        <w:t xml:space="preserve">שחרור </w:t>
      </w:r>
      <w:r w:rsidR="00024EB9">
        <w:rPr>
          <w:rFonts w:ascii="Segoe UI" w:hAnsi="Segoe UI" w:cs="Segoe UI" w:hint="cs"/>
          <w:rtl/>
        </w:rPr>
        <w:t xml:space="preserve">מוקדם של אדם המרצה עונש מאסר שווה </w:t>
      </w:r>
      <w:r w:rsidR="00024EB9">
        <w:rPr>
          <w:rFonts w:ascii="Segoe UI" w:hAnsi="Segoe UI" w:cs="Segoe UI"/>
          <w:rtl/>
        </w:rPr>
        <w:t>–</w:t>
      </w:r>
      <w:r w:rsidR="00024EB9">
        <w:rPr>
          <w:rFonts w:ascii="Segoe UI" w:hAnsi="Segoe UI" w:cs="Segoe UI" w:hint="cs"/>
          <w:rtl/>
        </w:rPr>
        <w:t xml:space="preserve"> בדרך כלל </w:t>
      </w:r>
      <w:r w:rsidR="00024EB9">
        <w:rPr>
          <w:rFonts w:ascii="Segoe UI" w:hAnsi="Segoe UI" w:cs="Segoe UI"/>
          <w:rtl/>
        </w:rPr>
        <w:t>–</w:t>
      </w:r>
      <w:r w:rsidR="00024EB9">
        <w:rPr>
          <w:rFonts w:ascii="Segoe UI" w:hAnsi="Segoe UI" w:cs="Segoe UI" w:hint="cs"/>
          <w:rtl/>
        </w:rPr>
        <w:t xml:space="preserve"> כשליש מתקופת העונש שנגזר עליו. </w:t>
      </w:r>
    </w:p>
    <w:p w14:paraId="575EEFDD" w14:textId="502FA9F8" w:rsidR="00024EB9" w:rsidRDefault="00024EB9" w:rsidP="00D95A69">
      <w:pPr>
        <w:bidi/>
        <w:spacing w:after="0" w:line="276" w:lineRule="auto"/>
        <w:jc w:val="both"/>
        <w:rPr>
          <w:rFonts w:ascii="Segoe UI" w:hAnsi="Segoe UI" w:cs="Segoe UI"/>
          <w:rtl/>
        </w:rPr>
      </w:pPr>
      <w:r>
        <w:rPr>
          <w:rFonts w:ascii="Segoe UI" w:hAnsi="Segoe UI" w:cs="Segoe UI" w:hint="cs"/>
          <w:rtl/>
        </w:rPr>
        <w:t>בעבר ועדות שחרורים היו באחריות שירות בתי הסוהר, משנת 2016 הוועדות הן תחת הנהלת בתי המשפט.</w:t>
      </w:r>
    </w:p>
    <w:p w14:paraId="1F378E9E" w14:textId="5B9CB5A1" w:rsidR="00024EB9" w:rsidRDefault="00024EB9" w:rsidP="00D95A69">
      <w:pPr>
        <w:bidi/>
        <w:spacing w:after="0" w:line="276" w:lineRule="auto"/>
        <w:jc w:val="both"/>
        <w:rPr>
          <w:rFonts w:ascii="Segoe UI" w:hAnsi="Segoe UI" w:cs="Segoe UI"/>
          <w:b/>
          <w:bCs/>
          <w:rtl/>
        </w:rPr>
      </w:pPr>
      <w:r w:rsidRPr="00024EB9">
        <w:rPr>
          <w:rFonts w:ascii="Segoe UI" w:hAnsi="Segoe UI" w:cs="Segoe UI" w:hint="cs"/>
          <w:b/>
          <w:bCs/>
          <w:rtl/>
        </w:rPr>
        <w:t xml:space="preserve">כלומר, ועדת השחרורים שותפה מלאה למלאכת עיצוב העונש. </w:t>
      </w:r>
    </w:p>
    <w:p w14:paraId="5B26446A" w14:textId="5041D961" w:rsidR="004221D5" w:rsidRPr="004221D5" w:rsidRDefault="004221D5" w:rsidP="00D95A69">
      <w:pPr>
        <w:bidi/>
        <w:spacing w:after="0" w:line="276" w:lineRule="auto"/>
        <w:jc w:val="both"/>
        <w:rPr>
          <w:rFonts w:ascii="Segoe UI" w:hAnsi="Segoe UI" w:cs="Segoe UI"/>
          <w:b/>
          <w:bCs/>
          <w:color w:val="FF0000"/>
          <w:rtl/>
        </w:rPr>
      </w:pPr>
      <w:r w:rsidRPr="004221D5">
        <w:rPr>
          <w:rFonts w:ascii="Segoe UI" w:hAnsi="Segoe UI" w:cs="Segoe UI" w:hint="cs"/>
          <w:b/>
          <w:bCs/>
          <w:color w:val="FF0000"/>
          <w:rtl/>
        </w:rPr>
        <w:t>שחרור מוקדם אינו זכות מוקנית אלא נתון לשיקול דעת!</w:t>
      </w:r>
      <w:r w:rsidRPr="004221D5">
        <w:rPr>
          <w:rFonts w:ascii="Segoe UI" w:hAnsi="Segoe UI" w:cs="Segoe UI" w:hint="cs"/>
          <w:b/>
          <w:bCs/>
          <w:color w:val="FF0000"/>
        </w:rPr>
        <w:t xml:space="preserve"> </w:t>
      </w:r>
    </w:p>
    <w:p w14:paraId="093D4FFC" w14:textId="2F630279" w:rsidR="004221D5" w:rsidRDefault="004221D5" w:rsidP="00D95A69">
      <w:pPr>
        <w:bidi/>
        <w:spacing w:after="0" w:line="276" w:lineRule="auto"/>
        <w:jc w:val="both"/>
        <w:rPr>
          <w:rFonts w:ascii="Segoe UI" w:hAnsi="Segoe UI" w:cs="Segoe UI"/>
          <w:rtl/>
        </w:rPr>
      </w:pPr>
    </w:p>
    <w:p w14:paraId="04629F79" w14:textId="514CA1DB" w:rsidR="00487AC8" w:rsidRDefault="00487AC8"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rPr>
      </w:pPr>
      <w:r w:rsidRPr="00DB2A5C">
        <w:rPr>
          <w:rFonts w:ascii="Segoe UI" w:hAnsi="Segoe UI" w:cs="Segoe UI"/>
          <w:highlight w:val="yellow"/>
          <w:rtl/>
        </w:rPr>
        <w:t>בג"ץ 6067</w:t>
      </w:r>
      <w:r w:rsidRPr="00DB2A5C">
        <w:rPr>
          <w:rFonts w:ascii="Segoe UI" w:hAnsi="Segoe UI" w:cs="Segoe UI" w:hint="cs"/>
          <w:highlight w:val="yellow"/>
          <w:rtl/>
        </w:rPr>
        <w:t>/</w:t>
      </w:r>
      <w:r w:rsidRPr="00DB2A5C">
        <w:rPr>
          <w:rFonts w:ascii="Segoe UI" w:hAnsi="Segoe UI" w:cs="Segoe UI"/>
          <w:highlight w:val="yellow"/>
          <w:rtl/>
        </w:rPr>
        <w:t xml:space="preserve">11 </w:t>
      </w:r>
      <w:r w:rsidRPr="00DB2A5C">
        <w:rPr>
          <w:rFonts w:ascii="Segoe UI" w:hAnsi="Segoe UI" w:cs="Segoe UI"/>
          <w:b/>
          <w:bCs/>
          <w:highlight w:val="yellow"/>
          <w:rtl/>
        </w:rPr>
        <w:t>הפרקליט הצבאי הראשי נ' הועדה הצבאית לעיון בעונש</w:t>
      </w:r>
      <w:r w:rsidRPr="00DB2A5C">
        <w:rPr>
          <w:rFonts w:ascii="Segoe UI" w:hAnsi="Segoe UI" w:cs="Segoe UI" w:hint="cs"/>
          <w:highlight w:val="yellow"/>
          <w:rtl/>
        </w:rPr>
        <w:t xml:space="preserve"> (בג"ץ </w:t>
      </w:r>
      <w:proofErr w:type="spellStart"/>
      <w:r w:rsidRPr="00DB2A5C">
        <w:rPr>
          <w:rFonts w:ascii="Segoe UI" w:hAnsi="Segoe UI" w:cs="Segoe UI" w:hint="cs"/>
          <w:highlight w:val="yellow"/>
          <w:rtl/>
        </w:rPr>
        <w:t>זהאר</w:t>
      </w:r>
      <w:proofErr w:type="spellEnd"/>
      <w:r w:rsidRPr="00DB2A5C">
        <w:rPr>
          <w:rFonts w:ascii="Segoe UI" w:hAnsi="Segoe UI" w:cs="Segoe UI" w:hint="cs"/>
          <w:highlight w:val="yellow"/>
          <w:rtl/>
        </w:rPr>
        <w:t>)</w:t>
      </w:r>
    </w:p>
    <w:p w14:paraId="03EA2A0D" w14:textId="35A11B13" w:rsidR="00086D85" w:rsidRDefault="00AD3E23" w:rsidP="00D95A69">
      <w:pPr>
        <w:pBdr>
          <w:top w:val="single" w:sz="4" w:space="1" w:color="auto"/>
          <w:left w:val="single" w:sz="4" w:space="4" w:color="auto"/>
          <w:bottom w:val="single" w:sz="4" w:space="1" w:color="auto"/>
          <w:right w:val="single" w:sz="4" w:space="4" w:color="auto"/>
        </w:pBdr>
        <w:tabs>
          <w:tab w:val="left" w:pos="1138"/>
        </w:tabs>
        <w:bidi/>
        <w:spacing w:after="0" w:line="276" w:lineRule="auto"/>
        <w:ind w:left="363" w:right="363"/>
        <w:jc w:val="both"/>
        <w:rPr>
          <w:rFonts w:ascii="Segoe UI" w:hAnsi="Segoe UI" w:cs="Segoe UI"/>
          <w:rtl/>
        </w:rPr>
      </w:pPr>
      <w:r w:rsidRPr="00AD3E23">
        <w:rPr>
          <w:rFonts w:ascii="Segoe UI" w:hAnsi="Segoe UI" w:cs="Segoe UI"/>
          <w:rtl/>
        </w:rPr>
        <w:t xml:space="preserve">ענייננו בשחרורו המוקדם של אסיר. האסיר הוא מפקד בכיר לשעבר בצה"ל שהורשע בביצוע סדרה ארוכה של עבירות אינוס ועבירות מין נוספות במי </w:t>
      </w:r>
      <w:proofErr w:type="spellStart"/>
      <w:r w:rsidRPr="00AD3E23">
        <w:rPr>
          <w:rFonts w:ascii="Segoe UI" w:hAnsi="Segoe UI" w:cs="Segoe UI"/>
          <w:rtl/>
        </w:rPr>
        <w:t>שהיתה</w:t>
      </w:r>
      <w:proofErr w:type="spellEnd"/>
      <w:r w:rsidRPr="00AD3E23">
        <w:rPr>
          <w:rFonts w:ascii="Segoe UI" w:hAnsi="Segoe UI" w:cs="Segoe UI"/>
          <w:rtl/>
        </w:rPr>
        <w:t xml:space="preserve"> פקידה בלשכתו. נגזר עליו עונש של שש שנות מאסר בפועל. האסיר ממשיך להכחיש את פליליות מעשיו, וגורס כי חטא רק ב"רומן" אסור וכי הרשעתו היא פרי עלילה. נוכח הכחשותיו וחוסר המוטיבציה שלו לקבלת טיפול תומך הוא נמצא בלתי מתאים לעבור הליך שיקום בכלא. עניינו של האסיר הובא בפני ועדת שחרורים צבאית, המוסמכת להקל בעונשו. מעריכי המסוכנות, שחיוו דעתם לפני הוועדה, מצאו כי אם ישוחרר האסיר מכלאו תהא גלומה בו מסוכנות שאיננה נמוכה כלפי מי שהוא יימצא כלפיה בעמדת סמכות וכוח. ועדת השחרורים החליטה לשחררו לאחר שנשא בארבע שנים ממאסרו, בנימוק עיקרי כי האסיר יוכל כך להתחיל להשתתף בהליך שיקום במסגרת פרטית, מחוץ לכלא. </w:t>
      </w:r>
      <w:r w:rsidRPr="002C6CB5">
        <w:rPr>
          <w:rFonts w:ascii="Segoe UI" w:hAnsi="Segoe UI" w:cs="Segoe UI"/>
          <w:b/>
          <w:bCs/>
          <w:rtl/>
        </w:rPr>
        <w:t>האם החלטה שכזו מצויה במתחם הסבירות, או שמא היא מחייבת את התערבותו של בית המשפט? זו תמצית השאלה העומדת להכרעתנו</w:t>
      </w:r>
      <w:r w:rsidRPr="00AD3E23">
        <w:rPr>
          <w:rFonts w:ascii="Segoe UI" w:hAnsi="Segoe UI" w:cs="Segoe UI"/>
          <w:rtl/>
        </w:rPr>
        <w:t>.</w:t>
      </w:r>
    </w:p>
    <w:p w14:paraId="2132D697" w14:textId="2BF7FF3A" w:rsidR="002C6CB5" w:rsidRPr="002C6CB5" w:rsidRDefault="002C6CB5"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2C6CB5">
        <w:rPr>
          <w:rFonts w:ascii="Segoe UI" w:hAnsi="Segoe UI" w:cs="Segoe UI"/>
          <w:b/>
          <w:bCs/>
          <w:rtl/>
        </w:rPr>
        <w:t>החלטת הועדה מחייבת את התערבותו בהיותה בלתי סבירה באורח קיצוני</w:t>
      </w:r>
      <w:r w:rsidRPr="002C6CB5">
        <w:rPr>
          <w:rFonts w:ascii="Segoe UI" w:hAnsi="Segoe UI" w:cs="Segoe UI"/>
          <w:rtl/>
        </w:rPr>
        <w:t xml:space="preserve">. המשיב הוא עבריין מין. הוא מכחיש את פליליות מעשיו. הוא לא עבר הליך טיפולי בכלא, ולא נמצא מתאים להליך טיפולי בשב"ס. יתר על כן, למשיב אין כל תובנה באשר לצורך בטיפול כלשהו, והוא מוכן להשתתף בהליך טיפולי פרטי רק אם ישוחרר מן הכלא. שיקול עיקרי בהחלטה לשחרר את המשיב היה רמת מסוכנות נמוכה ככלל, </w:t>
      </w:r>
      <w:r w:rsidRPr="002C6CB5">
        <w:rPr>
          <w:rFonts w:ascii="Segoe UI" w:hAnsi="Segoe UI" w:cs="Segoe UI"/>
          <w:rtl/>
        </w:rPr>
        <w:lastRenderedPageBreak/>
        <w:t>הנשקפת לפי עמדת מעריכי המסוכנות מהמשיב. ברם בפועל אין אחיזה לכך אצל מעריכי המסוכנות. האינדיקציות עליהן הצביעה דעת הרוב, היכולות ללמד על מסוכנות נמוכה של המשיב, אינן משכנעות כל צרכן. דעת הרוב נתנה משקל לכך שהמשיב לא שולב בהליך טיפולי בכלא, אף שהכחשתו היא המונעת, לדעת החטיבה לפסיכיאטריה משפטית בשירות בתי הסוהר (</w:t>
      </w:r>
      <w:proofErr w:type="spellStart"/>
      <w:r w:rsidRPr="002C6CB5">
        <w:rPr>
          <w:rFonts w:ascii="Segoe UI" w:hAnsi="Segoe UI" w:cs="Segoe UI"/>
          <w:rtl/>
        </w:rPr>
        <w:t>מב"ן</w:t>
      </w:r>
      <w:proofErr w:type="spellEnd"/>
      <w:r w:rsidRPr="002C6CB5">
        <w:rPr>
          <w:rFonts w:ascii="Segoe UI" w:hAnsi="Segoe UI" w:cs="Segoe UI"/>
          <w:rtl/>
        </w:rPr>
        <w:t xml:space="preserve">), את האפשרות לטפל בו, ולא קיימות </w:t>
      </w:r>
      <w:proofErr w:type="spellStart"/>
      <w:r w:rsidRPr="002C6CB5">
        <w:rPr>
          <w:rFonts w:ascii="Segoe UI" w:hAnsi="Segoe UI" w:cs="Segoe UI"/>
          <w:rtl/>
        </w:rPr>
        <w:t>במב"ן</w:t>
      </w:r>
      <w:proofErr w:type="spellEnd"/>
      <w:r w:rsidRPr="002C6CB5">
        <w:rPr>
          <w:rFonts w:ascii="Segoe UI" w:hAnsi="Segoe UI" w:cs="Segoe UI"/>
          <w:rtl/>
        </w:rPr>
        <w:t xml:space="preserve"> ובשב"ס </w:t>
      </w:r>
      <w:proofErr w:type="spellStart"/>
      <w:r w:rsidRPr="002C6CB5">
        <w:rPr>
          <w:rFonts w:ascii="Segoe UI" w:hAnsi="Segoe UI" w:cs="Segoe UI"/>
          <w:rtl/>
        </w:rPr>
        <w:t>תכניות</w:t>
      </w:r>
      <w:proofErr w:type="spellEnd"/>
      <w:r w:rsidRPr="002C6CB5">
        <w:rPr>
          <w:rFonts w:ascii="Segoe UI" w:hAnsi="Segoe UI" w:cs="Segoe UI"/>
          <w:rtl/>
        </w:rPr>
        <w:t xml:space="preserve"> טיפול ייחודיות לעברייני מין מכחישים. דעת הרוב אף נתנה משקל רב מדי לשיקול קיומה של תוכנית שיקום פרטית ולא נתנה ליבה לכך שבמידה מסוימת היא הפכה את היוצרות על פיהן: היא הורתה על שחרור לחופשי של אסיר מסוכן מתוך תקווה שישוקם בעתיד; העניקה יתרון בלתי סביר לעבריין מין מכחיש על פני עבריין שאיננו מכחיש ונכון ומסוגל לעבור הליך טיפולי בכלא; ובפרט מתן אפשרות למי שעניינו העיקרי בטיפול הוא בשחרור מן הכלא - לזכות בשחרור האמור. בנוסף, דעת הרוב לא העמידה לנגד עיניה את השיקולים האזרחיים והצבאיים הרלבנטיים, שגוברים לעת הזו על השיקול האמור</w:t>
      </w:r>
      <w:r w:rsidRPr="002C6CB5">
        <w:rPr>
          <w:rFonts w:ascii="Segoe UI" w:hAnsi="Segoe UI" w:cs="Segoe UI"/>
        </w:rPr>
        <w:t>.</w:t>
      </w:r>
    </w:p>
    <w:p w14:paraId="787D167A" w14:textId="64072451" w:rsidR="002C6CB5" w:rsidRPr="002C6CB5" w:rsidRDefault="002C6CB5"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2C6CB5">
        <w:rPr>
          <w:rFonts w:ascii="Segoe UI" w:hAnsi="Segoe UI" w:cs="Segoe UI"/>
          <w:rtl/>
        </w:rPr>
        <w:t>העובדה שהמשיב ממשיך להכחיש את פליליות מעשיו מכבידה על שחרור המוקדם, ולעת הזו יש קושי למצוא נימוקים נוגדים שיש בהם להביא לשחרורו המוקדם מן הכלא. עם זאת העובדה שעבריין מין ממשיך להכחיש את המעשים שבהם הורשע אין משמעה, כשלעצמה, כי סגורה בפניו הדרך לשחרור מוקדם. דרך התנהלותו של עבריין המין המכחיש תוכל אף היא ללמד לעתים כי חרף הכחשתו הוא בכל זאת ראוי לשחרור, על רקע מכלול השיקולים הנוגעים לעניינו. בהקשר זה פירט בג"ץ מספר מסלולים שבהם יכול המשיב לפעול. בשים לב גם לכך שעוצמתם של חלק מהשיקולים העומדים כיום לרועץ למשיב תקהה מאליה עם חלוף הזמן, ובשים לב לאפשרות הקיימת תמיד לשינויים, עדיין יש למשיב סיכוי לזכות בעתיד בשחרור מוקדם</w:t>
      </w:r>
      <w:r w:rsidRPr="002C6CB5">
        <w:rPr>
          <w:rFonts w:ascii="Segoe UI" w:hAnsi="Segoe UI" w:cs="Segoe UI"/>
        </w:rPr>
        <w:t>.</w:t>
      </w:r>
    </w:p>
    <w:p w14:paraId="00987F7F" w14:textId="073FB1E2" w:rsidR="002C6CB5" w:rsidRDefault="002C6CB5"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b/>
          <w:bCs/>
          <w:rtl/>
        </w:rPr>
      </w:pPr>
      <w:r w:rsidRPr="002C6CB5">
        <w:rPr>
          <w:rFonts w:ascii="Segoe UI" w:hAnsi="Segoe UI" w:cs="Segoe UI"/>
          <w:rtl/>
        </w:rPr>
        <w:t xml:space="preserve">לסיכום, </w:t>
      </w:r>
      <w:r w:rsidRPr="002C6CB5">
        <w:rPr>
          <w:rFonts w:ascii="Segoe UI" w:hAnsi="Segoe UI" w:cs="Segoe UI"/>
          <w:b/>
          <w:bCs/>
          <w:rtl/>
        </w:rPr>
        <w:t>יש לבטל את החלטת הועדה בעניינו של המשיב ולהורות על דחיית בקשתו לשחרור מוקדם ממאסר</w:t>
      </w:r>
      <w:r w:rsidRPr="002C6CB5">
        <w:rPr>
          <w:rFonts w:ascii="Segoe UI" w:hAnsi="Segoe UI" w:cs="Segoe UI"/>
          <w:rtl/>
        </w:rPr>
        <w:t>.</w:t>
      </w:r>
    </w:p>
    <w:p w14:paraId="3197D6DC" w14:textId="291A92C2" w:rsidR="00E962EE" w:rsidRDefault="00E962EE" w:rsidP="00D95A69">
      <w:pPr>
        <w:bidi/>
        <w:spacing w:after="0" w:line="276" w:lineRule="auto"/>
        <w:jc w:val="both"/>
        <w:rPr>
          <w:rFonts w:ascii="Segoe UI" w:hAnsi="Segoe UI" w:cs="Segoe UI"/>
          <w:rtl/>
        </w:rPr>
      </w:pPr>
    </w:p>
    <w:p w14:paraId="7B7CF856" w14:textId="683700D5" w:rsidR="00E962EE" w:rsidRDefault="00E962EE" w:rsidP="00D95A69">
      <w:pPr>
        <w:pStyle w:val="2"/>
        <w:rPr>
          <w:rtl/>
        </w:rPr>
      </w:pPr>
      <w:bookmarkStart w:id="74" w:name="_Toc108218230"/>
      <w:r>
        <w:rPr>
          <w:rFonts w:hint="cs"/>
          <w:rtl/>
        </w:rPr>
        <w:t>סוגי וועדות שחרורים</w:t>
      </w:r>
      <w:bookmarkEnd w:id="74"/>
    </w:p>
    <w:p w14:paraId="2127CC6A" w14:textId="37F68081" w:rsidR="00E962EE" w:rsidRDefault="00E962EE" w:rsidP="00D95A69">
      <w:pPr>
        <w:bidi/>
        <w:spacing w:after="0" w:line="276" w:lineRule="auto"/>
        <w:jc w:val="both"/>
        <w:rPr>
          <w:rFonts w:ascii="Segoe UI" w:hAnsi="Segoe UI" w:cs="Segoe UI"/>
          <w:rtl/>
          <w:lang w:val="en-US"/>
        </w:rPr>
      </w:pPr>
      <w:r w:rsidRPr="00E962EE">
        <w:rPr>
          <w:rFonts w:ascii="Segoe UI" w:hAnsi="Segoe UI" w:cs="Segoe UI"/>
          <w:rtl/>
          <w:lang w:val="en-US"/>
        </w:rPr>
        <w:t>ועדות השחרורים מתחלקות ל-3 סוגים:</w:t>
      </w:r>
    </w:p>
    <w:p w14:paraId="06ACAAFF" w14:textId="385B51BD" w:rsidR="00541080" w:rsidRDefault="00541080" w:rsidP="00D95A69">
      <w:pPr>
        <w:bidi/>
        <w:spacing w:after="0" w:line="276" w:lineRule="auto"/>
        <w:jc w:val="both"/>
        <w:rPr>
          <w:rFonts w:ascii="Segoe UI" w:hAnsi="Segoe UI" w:cs="Segoe UI"/>
          <w:rtl/>
          <w:lang w:val="en-US"/>
        </w:rPr>
      </w:pPr>
      <w:r>
        <w:rPr>
          <w:rFonts w:ascii="Segoe UI" w:hAnsi="Segoe UI" w:cs="Segoe UI" w:hint="cs"/>
          <w:b/>
          <w:bCs/>
          <w:rtl/>
          <w:lang w:val="en-US"/>
        </w:rPr>
        <w:t xml:space="preserve">ועדה רגילה </w:t>
      </w:r>
      <w:r>
        <w:rPr>
          <w:rFonts w:ascii="Segoe UI" w:hAnsi="Segoe UI" w:cs="Segoe UI"/>
          <w:b/>
          <w:bCs/>
          <w:rtl/>
          <w:lang w:val="en-US"/>
        </w:rPr>
        <w:t>–</w:t>
      </w:r>
      <w:r>
        <w:rPr>
          <w:rFonts w:ascii="Segoe UI" w:hAnsi="Segoe UI" w:cs="Segoe UI" w:hint="cs"/>
          <w:b/>
          <w:bCs/>
          <w:rtl/>
          <w:lang w:val="en-US"/>
        </w:rPr>
        <w:t xml:space="preserve"> </w:t>
      </w:r>
      <w:r>
        <w:rPr>
          <w:rFonts w:ascii="Segoe UI" w:hAnsi="Segoe UI" w:cs="Segoe UI" w:hint="cs"/>
          <w:rtl/>
          <w:lang w:val="en-US"/>
        </w:rPr>
        <w:t>דנה בבקשה לשחרור מוקדם של האסיר בסמוך לריצוי שני-שליש מתקופת מאסרו.</w:t>
      </w:r>
    </w:p>
    <w:p w14:paraId="225B86EB" w14:textId="55D3FF73" w:rsidR="00541080" w:rsidRDefault="00541080" w:rsidP="00D95A69">
      <w:pPr>
        <w:bidi/>
        <w:spacing w:after="0" w:line="276" w:lineRule="auto"/>
        <w:jc w:val="both"/>
        <w:rPr>
          <w:rFonts w:ascii="Segoe UI" w:hAnsi="Segoe UI" w:cs="Segoe UI"/>
          <w:color w:val="7030A0"/>
          <w:rtl/>
          <w:lang w:val="en-US"/>
        </w:rPr>
      </w:pPr>
      <w:r>
        <w:rPr>
          <w:rFonts w:ascii="Segoe UI" w:hAnsi="Segoe UI" w:cs="Segoe UI" w:hint="cs"/>
          <w:b/>
          <w:bCs/>
          <w:rtl/>
          <w:lang w:val="en-US"/>
        </w:rPr>
        <w:t xml:space="preserve">ועדה מיוחדת </w:t>
      </w:r>
      <w:r>
        <w:rPr>
          <w:rFonts w:ascii="Segoe UI" w:hAnsi="Segoe UI" w:cs="Segoe UI"/>
          <w:b/>
          <w:bCs/>
          <w:rtl/>
          <w:lang w:val="en-US"/>
        </w:rPr>
        <w:t>–</w:t>
      </w:r>
      <w:r>
        <w:rPr>
          <w:rFonts w:ascii="Segoe UI" w:hAnsi="Segoe UI" w:cs="Segoe UI" w:hint="cs"/>
          <w:b/>
          <w:bCs/>
          <w:rtl/>
          <w:lang w:val="en-US"/>
        </w:rPr>
        <w:t xml:space="preserve"> </w:t>
      </w:r>
      <w:r>
        <w:rPr>
          <w:rFonts w:ascii="Segoe UI" w:hAnsi="Segoe UI" w:cs="Segoe UI" w:hint="cs"/>
          <w:rtl/>
          <w:lang w:val="en-US"/>
        </w:rPr>
        <w:t xml:space="preserve">דנה בבקשה לשחרור מוקדם של אסיר עולם או אסיר המרצה 25 שנים ומעלה, בסמוך לריצוי שני-שליש. </w:t>
      </w:r>
      <w:r>
        <w:rPr>
          <w:rFonts w:ascii="Segoe UI" w:hAnsi="Segoe UI" w:cs="Segoe UI" w:hint="cs"/>
          <w:color w:val="7030A0"/>
          <w:rtl/>
          <w:lang w:val="en-US"/>
        </w:rPr>
        <w:t>האסיר יכול לפנות לוועדה מיוחדת והיא יכולה לקצר לו את העונש שנקצב בוועדת הקציבה [הכוונה לאסיר שנגזר עליו מאסר עולם].</w:t>
      </w:r>
    </w:p>
    <w:p w14:paraId="40FBC714" w14:textId="5A33B637" w:rsidR="00541080" w:rsidRDefault="00541080" w:rsidP="00D95A69">
      <w:pPr>
        <w:bidi/>
        <w:spacing w:after="0" w:line="276" w:lineRule="auto"/>
        <w:jc w:val="both"/>
        <w:rPr>
          <w:rFonts w:ascii="Segoe UI" w:hAnsi="Segoe UI" w:cs="Segoe UI"/>
          <w:color w:val="7030A0"/>
          <w:rtl/>
          <w:lang w:val="en-US"/>
        </w:rPr>
      </w:pPr>
      <w:r w:rsidRPr="00541080">
        <w:rPr>
          <w:rFonts w:ascii="Segoe UI" w:hAnsi="Segoe UI" w:cs="Segoe UI" w:hint="cs"/>
          <w:b/>
          <w:bCs/>
          <w:rtl/>
          <w:lang w:val="en-US"/>
        </w:rPr>
        <w:t xml:space="preserve">ועדת </w:t>
      </w:r>
      <w:proofErr w:type="spellStart"/>
      <w:r w:rsidRPr="00541080">
        <w:rPr>
          <w:rFonts w:ascii="Segoe UI" w:hAnsi="Segoe UI" w:cs="Segoe UI" w:hint="cs"/>
          <w:b/>
          <w:bCs/>
          <w:rtl/>
          <w:lang w:val="en-US"/>
        </w:rPr>
        <w:t>קציבה</w:t>
      </w:r>
      <w:proofErr w:type="spellEnd"/>
      <w:r w:rsidRPr="00541080">
        <w:rPr>
          <w:rFonts w:ascii="Segoe UI" w:hAnsi="Segoe UI" w:cs="Segoe UI" w:hint="cs"/>
          <w:b/>
          <w:bCs/>
          <w:rtl/>
          <w:lang w:val="en-US"/>
        </w:rPr>
        <w:t xml:space="preserve"> </w:t>
      </w:r>
      <w:r>
        <w:rPr>
          <w:rFonts w:ascii="Segoe UI" w:hAnsi="Segoe UI" w:cs="Segoe UI"/>
          <w:b/>
          <w:bCs/>
          <w:rtl/>
          <w:lang w:val="en-US"/>
        </w:rPr>
        <w:t>–</w:t>
      </w:r>
      <w:r w:rsidRPr="00541080">
        <w:rPr>
          <w:rFonts w:ascii="Segoe UI" w:hAnsi="Segoe UI" w:cs="Segoe UI" w:hint="cs"/>
          <w:b/>
          <w:bCs/>
          <w:rtl/>
          <w:lang w:val="en-US"/>
        </w:rPr>
        <w:t xml:space="preserve"> </w:t>
      </w:r>
      <w:r>
        <w:rPr>
          <w:rFonts w:ascii="Segoe UI" w:hAnsi="Segoe UI" w:cs="Segoe UI" w:hint="cs"/>
          <w:rtl/>
          <w:lang w:val="en-US"/>
        </w:rPr>
        <w:t xml:space="preserve">דנה בבקשת אסיר עולם וממליצה בפני נשיא המדינה בעניין </w:t>
      </w:r>
      <w:proofErr w:type="spellStart"/>
      <w:r>
        <w:rPr>
          <w:rFonts w:ascii="Segoe UI" w:hAnsi="Segoe UI" w:cs="Segoe UI" w:hint="cs"/>
          <w:rtl/>
          <w:lang w:val="en-US"/>
        </w:rPr>
        <w:t>קציבת</w:t>
      </w:r>
      <w:proofErr w:type="spellEnd"/>
      <w:r>
        <w:rPr>
          <w:rFonts w:ascii="Segoe UI" w:hAnsi="Segoe UI" w:cs="Segoe UI" w:hint="cs"/>
          <w:rtl/>
          <w:lang w:val="en-US"/>
        </w:rPr>
        <w:t xml:space="preserve"> עונשו. </w:t>
      </w:r>
      <w:r w:rsidR="006E2B93">
        <w:rPr>
          <w:rFonts w:ascii="Segoe UI" w:hAnsi="Segoe UI" w:cs="Segoe UI" w:hint="cs"/>
          <w:color w:val="7030A0"/>
          <w:rtl/>
          <w:lang w:val="en-US"/>
        </w:rPr>
        <w:t xml:space="preserve">נניח אומרים אתה שפוט למאסר עולם ואנחנו הוועדה החלטנו להמיר לך את העונש ל-40 שנות מאסר או 30 שנות מאסר, אין מספר קבוע וזה תלוי בוועדה. </w:t>
      </w:r>
    </w:p>
    <w:p w14:paraId="0CE25285" w14:textId="64F8FB8A" w:rsidR="006E2B93" w:rsidRDefault="006E2B93" w:rsidP="00D95A69">
      <w:pPr>
        <w:bidi/>
        <w:spacing w:after="0" w:line="276" w:lineRule="auto"/>
        <w:jc w:val="both"/>
        <w:rPr>
          <w:rFonts w:ascii="Segoe UI" w:hAnsi="Segoe UI" w:cs="Segoe UI"/>
          <w:rtl/>
          <w:lang w:val="en-US"/>
        </w:rPr>
      </w:pPr>
      <w:r>
        <w:rPr>
          <w:rFonts w:ascii="Segoe UI" w:hAnsi="Segoe UI" w:cs="Segoe UI" w:hint="cs"/>
          <w:rtl/>
          <w:lang w:val="en-US"/>
        </w:rPr>
        <w:t>בכל וועדה יושבים ארבעה חברים: שופט, נציגי ציבור וקצין שב"ס. הרכב החברים הפנימי משתנה בהתאם לסוג הוועדה.</w:t>
      </w:r>
    </w:p>
    <w:p w14:paraId="3ED6C762" w14:textId="50ABC3CE" w:rsidR="006E2B93" w:rsidRPr="0082445A" w:rsidRDefault="006E2B93" w:rsidP="00D95A69">
      <w:pPr>
        <w:bidi/>
        <w:spacing w:after="0" w:line="276" w:lineRule="auto"/>
        <w:jc w:val="both"/>
        <w:rPr>
          <w:rFonts w:ascii="Segoe UI" w:hAnsi="Segoe UI" w:cs="Segoe UI"/>
          <w:rtl/>
          <w:lang w:val="en-ZW"/>
        </w:rPr>
      </w:pPr>
    </w:p>
    <w:p w14:paraId="6883A16E" w14:textId="41587276" w:rsidR="006E2B93" w:rsidRDefault="006E2B93" w:rsidP="00D95A69">
      <w:pPr>
        <w:pStyle w:val="2"/>
        <w:rPr>
          <w:rtl/>
        </w:rPr>
      </w:pPr>
      <w:bookmarkStart w:id="75" w:name="_Toc108218231"/>
      <w:r>
        <w:rPr>
          <w:rFonts w:hint="cs"/>
          <w:rtl/>
        </w:rPr>
        <w:t>ההבדל בין ועדות שחרורים לבתי משפט</w:t>
      </w:r>
      <w:bookmarkEnd w:id="75"/>
    </w:p>
    <w:p w14:paraId="792BF999" w14:textId="34F15056" w:rsidR="006E2B93" w:rsidRDefault="000B663F" w:rsidP="00D95A69">
      <w:pPr>
        <w:bidi/>
        <w:spacing w:after="0" w:line="276" w:lineRule="auto"/>
        <w:jc w:val="both"/>
        <w:rPr>
          <w:rFonts w:ascii="Segoe UI" w:hAnsi="Segoe UI" w:cs="Segoe UI"/>
          <w:rtl/>
          <w:lang w:val="en-ZW"/>
        </w:rPr>
      </w:pPr>
      <w:r>
        <w:rPr>
          <w:rFonts w:ascii="Segoe UI" w:hAnsi="Segoe UI" w:cs="Segoe UI" w:hint="cs"/>
          <w:rtl/>
          <w:lang w:val="en-ZW"/>
        </w:rPr>
        <w:t xml:space="preserve">וועדת השחרורים היא גוף מעין שיפוטי, אך </w:t>
      </w:r>
      <w:r w:rsidR="006E2B93">
        <w:rPr>
          <w:rFonts w:ascii="Segoe UI" w:hAnsi="Segoe UI" w:cs="Segoe UI" w:hint="cs"/>
          <w:rtl/>
          <w:lang w:val="en-ZW"/>
        </w:rPr>
        <w:t xml:space="preserve">בעוד שבשלב גזירת הדין העקרון המנחה הוא עקרון ההלימה </w:t>
      </w:r>
      <w:r w:rsidR="006E2B93" w:rsidRPr="006E2B93">
        <w:rPr>
          <w:rFonts w:ascii="Segoe UI" w:hAnsi="Segoe UI" w:cs="Segoe UI" w:hint="cs"/>
          <w:color w:val="7030A0"/>
          <w:rtl/>
          <w:lang w:val="en-ZW"/>
        </w:rPr>
        <w:t xml:space="preserve">(רטרואקטיבי), </w:t>
      </w:r>
      <w:r w:rsidR="006E2B93">
        <w:rPr>
          <w:rFonts w:ascii="Segoe UI" w:hAnsi="Segoe UI" w:cs="Segoe UI" w:hint="cs"/>
          <w:rtl/>
          <w:lang w:val="en-ZW"/>
        </w:rPr>
        <w:t xml:space="preserve">בשלב השחרור המוקדם </w:t>
      </w:r>
      <w:r w:rsidR="006E2B93">
        <w:rPr>
          <w:rFonts w:ascii="Segoe UI" w:hAnsi="Segoe UI" w:cs="Segoe UI"/>
          <w:rtl/>
          <w:lang w:val="en-ZW"/>
        </w:rPr>
        <w:t>–</w:t>
      </w:r>
      <w:r w:rsidR="006E2B93">
        <w:rPr>
          <w:rFonts w:ascii="Segoe UI" w:hAnsi="Segoe UI" w:cs="Segoe UI" w:hint="cs"/>
          <w:rtl/>
          <w:lang w:val="en-ZW"/>
        </w:rPr>
        <w:t xml:space="preserve"> מרכז הכובד הוא טיפולי-שיקומי </w:t>
      </w:r>
      <w:r w:rsidR="006E2B93" w:rsidRPr="006E2B93">
        <w:rPr>
          <w:rFonts w:ascii="Segoe UI" w:hAnsi="Segoe UI" w:cs="Segoe UI" w:hint="cs"/>
          <w:color w:val="7030A0"/>
          <w:rtl/>
          <w:lang w:val="en-ZW"/>
        </w:rPr>
        <w:t xml:space="preserve">(דגש על העתיד, אבל לא תמיד). </w:t>
      </w:r>
    </w:p>
    <w:p w14:paraId="0864BB62" w14:textId="1CA6FC40" w:rsidR="006E2B93" w:rsidRDefault="000B663F" w:rsidP="00D95A69">
      <w:pPr>
        <w:bidi/>
        <w:spacing w:after="0" w:line="276" w:lineRule="auto"/>
        <w:jc w:val="both"/>
        <w:rPr>
          <w:rFonts w:ascii="Segoe UI" w:hAnsi="Segoe UI" w:cs="Segoe UI"/>
          <w:rtl/>
          <w:lang w:val="en-ZW"/>
        </w:rPr>
      </w:pPr>
      <w:r>
        <w:rPr>
          <w:rFonts w:ascii="Segoe UI" w:hAnsi="Segoe UI" w:cs="Segoe UI" w:hint="cs"/>
          <w:rtl/>
          <w:lang w:val="en-ZW"/>
        </w:rPr>
        <w:t>ועדת שחרורים מדגימה את הפער בין שיקול הדעת השיפוטי (גז"ד) לבין שיקול הדעת המנהלי (</w:t>
      </w:r>
      <w:r w:rsidRPr="000B663F">
        <w:rPr>
          <w:rFonts w:ascii="Segoe UI" w:hAnsi="Segoe UI" w:cs="Segoe UI" w:hint="cs"/>
          <w:color w:val="7030A0"/>
          <w:rtl/>
          <w:lang w:val="en-ZW"/>
        </w:rPr>
        <w:t>וועדת שחרורים נתפסת להליך מנהלי ולא להליך שיפוטי)</w:t>
      </w:r>
      <w:r>
        <w:rPr>
          <w:rFonts w:ascii="Segoe UI" w:hAnsi="Segoe UI" w:cs="Segoe UI" w:hint="cs"/>
          <w:rtl/>
          <w:lang w:val="en-ZW"/>
        </w:rPr>
        <w:t>.</w:t>
      </w:r>
    </w:p>
    <w:p w14:paraId="4D27EB08" w14:textId="4EA40093" w:rsidR="000B663F" w:rsidRDefault="000B663F" w:rsidP="00D95A69">
      <w:pPr>
        <w:bidi/>
        <w:spacing w:after="0" w:line="276" w:lineRule="auto"/>
        <w:jc w:val="both"/>
        <w:rPr>
          <w:rFonts w:ascii="Segoe UI" w:hAnsi="Segoe UI" w:cs="Segoe UI"/>
          <w:rtl/>
          <w:lang w:val="en-ZW"/>
        </w:rPr>
      </w:pPr>
    </w:p>
    <w:p w14:paraId="04B6DF5F" w14:textId="76A3FC6D" w:rsidR="00726516" w:rsidRDefault="00726516" w:rsidP="00726516">
      <w:pPr>
        <w:bidi/>
        <w:spacing w:after="0" w:line="276" w:lineRule="auto"/>
        <w:jc w:val="both"/>
        <w:rPr>
          <w:rFonts w:ascii="Segoe UI" w:hAnsi="Segoe UI" w:cs="Segoe UI"/>
          <w:rtl/>
          <w:lang w:val="en-ZW"/>
        </w:rPr>
      </w:pPr>
    </w:p>
    <w:p w14:paraId="0C17D54A" w14:textId="77777777" w:rsidR="00726516" w:rsidRDefault="00726516" w:rsidP="00726516">
      <w:pPr>
        <w:bidi/>
        <w:spacing w:after="0" w:line="276" w:lineRule="auto"/>
        <w:jc w:val="both"/>
        <w:rPr>
          <w:rFonts w:ascii="Segoe UI" w:hAnsi="Segoe UI" w:cs="Segoe UI"/>
          <w:rtl/>
          <w:lang w:val="en-ZW"/>
        </w:rPr>
      </w:pPr>
    </w:p>
    <w:p w14:paraId="66F38F48" w14:textId="41B9B02A" w:rsidR="000B663F" w:rsidRDefault="00F05237" w:rsidP="00D95A69">
      <w:pPr>
        <w:pStyle w:val="2"/>
        <w:rPr>
          <w:rtl/>
        </w:rPr>
      </w:pPr>
      <w:bookmarkStart w:id="76" w:name="_Toc108218232"/>
      <w:r>
        <w:rPr>
          <w:rFonts w:hint="cs"/>
          <w:rtl/>
        </w:rPr>
        <w:lastRenderedPageBreak/>
        <w:t>הרכבי וועדות השחרורים</w:t>
      </w:r>
      <w:bookmarkEnd w:id="76"/>
    </w:p>
    <w:p w14:paraId="0BA8097D" w14:textId="66457EE1" w:rsidR="00F05237" w:rsidRPr="00F05237" w:rsidRDefault="00F05237" w:rsidP="00D95A69">
      <w:pPr>
        <w:bidi/>
        <w:spacing w:after="0" w:line="276" w:lineRule="auto"/>
        <w:jc w:val="both"/>
        <w:rPr>
          <w:rFonts w:ascii="Segoe UI" w:hAnsi="Segoe UI" w:cs="Segoe UI"/>
          <w:rtl/>
          <w:lang w:val="en-ZW"/>
        </w:rPr>
      </w:pPr>
      <w:r w:rsidRPr="00960EF9">
        <w:rPr>
          <w:rFonts w:ascii="Segoe UI" w:hAnsi="Segoe UI" w:cs="Segoe UI"/>
          <w:b/>
          <w:bCs/>
          <w:rtl/>
          <w:lang w:val="en-ZW"/>
        </w:rPr>
        <w:t>ועדה רגילה</w:t>
      </w:r>
      <w:r w:rsidRPr="00F05237">
        <w:rPr>
          <w:rFonts w:ascii="Segoe UI" w:hAnsi="Segoe UI" w:cs="Segoe UI"/>
          <w:rtl/>
          <w:lang w:val="en-ZW"/>
        </w:rPr>
        <w:t xml:space="preserve"> – 4 חברים – שופט שלום בתפקיד יו"ר הוועדה, 2 נציגי ציבור בעלי ניסיון של 5 שנים בתחום עיסוקם וקצין שב"ס </w:t>
      </w:r>
      <w:proofErr w:type="spellStart"/>
      <w:r w:rsidRPr="00F05237">
        <w:rPr>
          <w:rFonts w:ascii="Segoe UI" w:hAnsi="Segoe UI" w:cs="Segoe UI"/>
          <w:rtl/>
          <w:lang w:val="en-ZW"/>
        </w:rPr>
        <w:t>בדגרה</w:t>
      </w:r>
      <w:proofErr w:type="spellEnd"/>
      <w:r w:rsidRPr="00F05237">
        <w:rPr>
          <w:rFonts w:ascii="Segoe UI" w:hAnsi="Segoe UI" w:cs="Segoe UI"/>
          <w:rtl/>
          <w:lang w:val="en-ZW"/>
        </w:rPr>
        <w:t xml:space="preserve"> של רב כלאי ומעלה (ללא זכות הצבעה).</w:t>
      </w:r>
    </w:p>
    <w:p w14:paraId="13215ED9" w14:textId="5C5E850D" w:rsidR="00F05237" w:rsidRPr="00F05237" w:rsidRDefault="00F05237" w:rsidP="00D95A69">
      <w:pPr>
        <w:bidi/>
        <w:spacing w:after="0" w:line="276" w:lineRule="auto"/>
        <w:jc w:val="both"/>
        <w:rPr>
          <w:rFonts w:ascii="Segoe UI" w:hAnsi="Segoe UI" w:cs="Segoe UI"/>
          <w:rtl/>
          <w:lang w:val="en-ZW"/>
        </w:rPr>
      </w:pPr>
      <w:r w:rsidRPr="00960EF9">
        <w:rPr>
          <w:rFonts w:ascii="Segoe UI" w:hAnsi="Segoe UI" w:cs="Segoe UI"/>
          <w:b/>
          <w:bCs/>
          <w:rtl/>
          <w:lang w:val="en-ZW"/>
        </w:rPr>
        <w:t>ועדה מיוחדת</w:t>
      </w:r>
      <w:r w:rsidRPr="00F05237">
        <w:rPr>
          <w:rFonts w:ascii="Segoe UI" w:hAnsi="Segoe UI" w:cs="Segoe UI"/>
          <w:rtl/>
          <w:lang w:val="en-ZW"/>
        </w:rPr>
        <w:t xml:space="preserve"> – 4 חברים – שופט מחוזי/עליון בתפקיד יו"ר הוועדה, 2 נציגי ציבור בעלי ניסיון של 10 שנים בתחום עיסוקם וקצין שב"ס בדרגה של רב כלאי ומעלה (ללא זכות הצבעה).</w:t>
      </w:r>
    </w:p>
    <w:p w14:paraId="31233398" w14:textId="0F391BCC" w:rsidR="00F05237" w:rsidRPr="00F05237" w:rsidRDefault="00F05237" w:rsidP="00D95A69">
      <w:pPr>
        <w:bidi/>
        <w:spacing w:after="0" w:line="276" w:lineRule="auto"/>
        <w:jc w:val="both"/>
        <w:rPr>
          <w:rFonts w:ascii="Segoe UI" w:hAnsi="Segoe UI" w:cs="Segoe UI"/>
          <w:rtl/>
          <w:lang w:val="en-ZW"/>
        </w:rPr>
      </w:pPr>
      <w:r w:rsidRPr="00960EF9">
        <w:rPr>
          <w:rFonts w:ascii="Segoe UI" w:hAnsi="Segoe UI" w:cs="Segoe UI"/>
          <w:b/>
          <w:bCs/>
          <w:rtl/>
          <w:lang w:val="en-ZW"/>
        </w:rPr>
        <w:t xml:space="preserve">ועדת </w:t>
      </w:r>
      <w:proofErr w:type="spellStart"/>
      <w:r w:rsidRPr="00960EF9">
        <w:rPr>
          <w:rFonts w:ascii="Segoe UI" w:hAnsi="Segoe UI" w:cs="Segoe UI"/>
          <w:b/>
          <w:bCs/>
          <w:rtl/>
          <w:lang w:val="en-ZW"/>
        </w:rPr>
        <w:t>קציבה</w:t>
      </w:r>
      <w:proofErr w:type="spellEnd"/>
      <w:r w:rsidRPr="00F05237">
        <w:rPr>
          <w:rFonts w:ascii="Segoe UI" w:hAnsi="Segoe UI" w:cs="Segoe UI"/>
          <w:rtl/>
          <w:lang w:val="en-ZW"/>
        </w:rPr>
        <w:t xml:space="preserve"> – 4 חברים – שופט מחוזי/עליון בתפקיד יו"ר הוועדה, 2 נציגי ציבור בעלי ניסיון של 10 שנים בתחום עיסוקם וקצין שב"ס </w:t>
      </w:r>
      <w:proofErr w:type="spellStart"/>
      <w:r w:rsidRPr="00F05237">
        <w:rPr>
          <w:rFonts w:ascii="Segoe UI" w:hAnsi="Segoe UI" w:cs="Segoe UI"/>
          <w:rtl/>
          <w:lang w:val="en-ZW"/>
        </w:rPr>
        <w:t>בדגרה</w:t>
      </w:r>
      <w:proofErr w:type="spellEnd"/>
      <w:r w:rsidRPr="00F05237">
        <w:rPr>
          <w:rFonts w:ascii="Segoe UI" w:hAnsi="Segoe UI" w:cs="Segoe UI"/>
          <w:rtl/>
          <w:lang w:val="en-ZW"/>
        </w:rPr>
        <w:t xml:space="preserve"> של רב כלאי ומעלה (ללא זכות הבצעה). </w:t>
      </w:r>
    </w:p>
    <w:p w14:paraId="6C829725" w14:textId="1994A386" w:rsidR="006E2B93" w:rsidRDefault="006E2B93" w:rsidP="00D95A69">
      <w:pPr>
        <w:bidi/>
        <w:spacing w:after="0" w:line="276" w:lineRule="auto"/>
        <w:jc w:val="both"/>
        <w:rPr>
          <w:rFonts w:ascii="Segoe UI" w:hAnsi="Segoe UI" w:cs="Segoe UI"/>
          <w:rtl/>
          <w:lang w:val="en-US"/>
        </w:rPr>
      </w:pPr>
    </w:p>
    <w:p w14:paraId="27BF1757" w14:textId="4F9E8081" w:rsidR="002916E6" w:rsidRPr="000107C2" w:rsidRDefault="00960EF9" w:rsidP="00D95A69">
      <w:pPr>
        <w:bidi/>
        <w:spacing w:after="0" w:line="276" w:lineRule="auto"/>
        <w:jc w:val="both"/>
        <w:rPr>
          <w:rFonts w:ascii="Segoe UI" w:hAnsi="Segoe UI" w:cs="Segoe UI"/>
          <w:color w:val="7030A0"/>
          <w:lang w:val="en-US"/>
        </w:rPr>
      </w:pPr>
      <w:r w:rsidRPr="002916E6">
        <w:rPr>
          <w:rFonts w:ascii="Segoe UI" w:hAnsi="Segoe UI" w:cs="Segoe UI" w:hint="cs"/>
          <w:color w:val="7030A0"/>
          <w:rtl/>
          <w:lang w:val="en-US"/>
        </w:rPr>
        <w:t xml:space="preserve">אפשר לשים לב </w:t>
      </w:r>
      <w:proofErr w:type="spellStart"/>
      <w:r w:rsidRPr="002916E6">
        <w:rPr>
          <w:rFonts w:ascii="Segoe UI" w:hAnsi="Segoe UI" w:cs="Segoe UI" w:hint="cs"/>
          <w:color w:val="7030A0"/>
          <w:rtl/>
          <w:lang w:val="en-US"/>
        </w:rPr>
        <w:t>שועדה</w:t>
      </w:r>
      <w:proofErr w:type="spellEnd"/>
      <w:r w:rsidRPr="002916E6">
        <w:rPr>
          <w:rFonts w:ascii="Segoe UI" w:hAnsi="Segoe UI" w:cs="Segoe UI" w:hint="cs"/>
          <w:color w:val="7030A0"/>
          <w:rtl/>
          <w:lang w:val="en-US"/>
        </w:rPr>
        <w:t xml:space="preserve"> רגילה דורשת דרג נמוך יותר של שופט והן פחות שנות ניסיון בנציגי הציבור ואילו יתר הוועדות דורשות כפל ניסיון ודרגות גבוהות של שפיטה. </w:t>
      </w:r>
      <w:r w:rsidR="002916E6" w:rsidRPr="002916E6">
        <w:rPr>
          <w:rFonts w:ascii="Segoe UI" w:hAnsi="Segoe UI" w:cs="Segoe UI" w:hint="cs"/>
          <w:color w:val="7030A0"/>
          <w:rtl/>
          <w:lang w:val="en-US"/>
        </w:rPr>
        <w:t xml:space="preserve">אפשר להסביר זאת משום שמי שנדון לעונשים מאוד חמורים אז שיחליטו וועדות יותר "מקצועיות". </w:t>
      </w:r>
    </w:p>
    <w:p w14:paraId="46A61AB8" w14:textId="77777777" w:rsidR="00C051C4" w:rsidRPr="007A4E81" w:rsidRDefault="00C051C4" w:rsidP="00D95A69">
      <w:pPr>
        <w:pStyle w:val="110"/>
        <w:spacing w:line="276" w:lineRule="auto"/>
      </w:pPr>
      <w:r w:rsidRPr="007A4E81">
        <w:rPr>
          <w:rtl/>
        </w:rPr>
        <w:t>הוועדה מחלקת בין שני סוגי אסירים</w:t>
      </w:r>
    </w:p>
    <w:p w14:paraId="7F28432D" w14:textId="7A521C09" w:rsidR="00C051C4" w:rsidRPr="00C051C4" w:rsidRDefault="00C051C4" w:rsidP="00D95A69">
      <w:pPr>
        <w:bidi/>
        <w:spacing w:after="0" w:line="276" w:lineRule="auto"/>
        <w:jc w:val="both"/>
        <w:rPr>
          <w:rFonts w:ascii="Segoe UI" w:hAnsi="Segoe UI" w:cs="Segoe UI"/>
          <w:lang w:val="en-US"/>
        </w:rPr>
      </w:pPr>
      <w:r w:rsidRPr="007A4E81">
        <w:rPr>
          <w:rFonts w:ascii="Segoe UI" w:hAnsi="Segoe UI" w:cs="Segoe UI"/>
          <w:rtl/>
          <w:lang w:val="en-US"/>
        </w:rPr>
        <w:t xml:space="preserve">אסירים שזכאים לשחרור מוקדם </w:t>
      </w:r>
      <w:r>
        <w:rPr>
          <w:rFonts w:ascii="Segoe UI" w:hAnsi="Segoe UI" w:cs="Segoe UI" w:hint="cs"/>
          <w:rtl/>
          <w:lang w:val="en-US"/>
        </w:rPr>
        <w:t>ו</w:t>
      </w:r>
      <w:r w:rsidRPr="007A4E81">
        <w:rPr>
          <w:rFonts w:ascii="Segoe UI" w:hAnsi="Segoe UI" w:cs="Segoe UI"/>
          <w:rtl/>
          <w:lang w:val="en-US"/>
        </w:rPr>
        <w:t>אסירים שירצו את כל המאסר בכליאה</w:t>
      </w:r>
    </w:p>
    <w:p w14:paraId="31A8DA53" w14:textId="77777777" w:rsidR="00C051C4" w:rsidRDefault="00C051C4" w:rsidP="00D95A69">
      <w:pPr>
        <w:spacing w:after="0" w:line="276" w:lineRule="auto"/>
        <w:jc w:val="right"/>
        <w:rPr>
          <w:lang w:val="en-US"/>
        </w:rPr>
      </w:pPr>
    </w:p>
    <w:p w14:paraId="3B3BC41B" w14:textId="4836CC84" w:rsidR="002916E6" w:rsidRPr="003165A8" w:rsidRDefault="002916E6" w:rsidP="00D95A69">
      <w:pPr>
        <w:pStyle w:val="2"/>
        <w:rPr>
          <w:rtl/>
        </w:rPr>
      </w:pPr>
      <w:bookmarkStart w:id="77" w:name="_Toc108218233"/>
      <w:r w:rsidRPr="003165A8">
        <w:rPr>
          <w:rFonts w:hint="cs"/>
          <w:rtl/>
        </w:rPr>
        <w:t>למה יש שחרורים?</w:t>
      </w:r>
      <w:bookmarkEnd w:id="77"/>
      <w:r w:rsidRPr="003165A8">
        <w:rPr>
          <w:rFonts w:hint="cs"/>
          <w:rtl/>
        </w:rPr>
        <w:t xml:space="preserve"> </w:t>
      </w:r>
    </w:p>
    <w:p w14:paraId="7950B745" w14:textId="7C27978B" w:rsidR="002916E6" w:rsidRPr="00F32C25" w:rsidRDefault="002916E6" w:rsidP="00D95A69">
      <w:pPr>
        <w:bidi/>
        <w:spacing w:after="0" w:line="276" w:lineRule="auto"/>
        <w:jc w:val="both"/>
        <w:rPr>
          <w:rFonts w:ascii="Segoe UI" w:hAnsi="Segoe UI" w:cs="Segoe UI"/>
          <w:rtl/>
          <w:lang w:val="en-US"/>
        </w:rPr>
      </w:pPr>
      <w:r w:rsidRPr="00F32C25">
        <w:rPr>
          <w:rFonts w:ascii="Segoe UI" w:hAnsi="Segoe UI" w:cs="Segoe UI"/>
          <w:rtl/>
          <w:lang w:val="en-US"/>
        </w:rPr>
        <w:t xml:space="preserve">יש בערך 18,000 דיונים בשנה של וועדות שחרורים. דו"ח פלמור משנת 2010 מצא כי בין השנים 1990 ל-2010 חלה ירידה במספר האסירים שאושר להם שחרור על תנאי. </w:t>
      </w:r>
      <w:r w:rsidR="009C527E" w:rsidRPr="00F32C25">
        <w:rPr>
          <w:rFonts w:ascii="Segoe UI" w:hAnsi="Segoe UI" w:cs="Segoe UI"/>
          <w:rtl/>
          <w:lang w:val="en-US"/>
        </w:rPr>
        <w:t xml:space="preserve">דו"ח דורנר משנת 2015 אישש פעם נוספת את הנתונים שנמצאו בדו"ח פלמור. לפי דו"ח דורנר אם בשנת 1990 שוחררו כ-64% מהאסירים שעניינם נדון בוועדה, בשנים שבין 2010 ל-2012 ירד מספר השחרורים ל-33%. </w:t>
      </w:r>
    </w:p>
    <w:p w14:paraId="15ED9AF2" w14:textId="00B2CD48" w:rsidR="009C527E" w:rsidRPr="00F32C25" w:rsidRDefault="009C527E" w:rsidP="00D95A69">
      <w:pPr>
        <w:bidi/>
        <w:spacing w:after="0" w:line="276" w:lineRule="auto"/>
        <w:jc w:val="both"/>
        <w:rPr>
          <w:rFonts w:ascii="Segoe UI" w:hAnsi="Segoe UI" w:cs="Segoe UI"/>
          <w:rtl/>
          <w:lang w:val="en-US"/>
        </w:rPr>
      </w:pPr>
      <w:r w:rsidRPr="00F32C25">
        <w:rPr>
          <w:rFonts w:ascii="Segoe UI" w:hAnsi="Segoe UI" w:cs="Segoe UI"/>
          <w:rtl/>
          <w:lang w:val="en-US"/>
        </w:rPr>
        <w:t xml:space="preserve">בשנים האחרונות יש מגמת גידול בשחרור אסירים על תנאי ממאסר (בשנת 2014 – 30% מהאסירים שהופיעו בוועדה, בשנת 2016 – 41%). </w:t>
      </w:r>
    </w:p>
    <w:p w14:paraId="6679EC37" w14:textId="4225CDF6" w:rsidR="009C527E" w:rsidRPr="00F32C25" w:rsidRDefault="009C527E" w:rsidP="00D95A69">
      <w:pPr>
        <w:bidi/>
        <w:spacing w:after="0" w:line="276" w:lineRule="auto"/>
        <w:jc w:val="both"/>
        <w:rPr>
          <w:rFonts w:ascii="Segoe UI" w:hAnsi="Segoe UI" w:cs="Segoe UI"/>
          <w:rtl/>
          <w:lang w:val="en-US"/>
        </w:rPr>
      </w:pPr>
      <w:r w:rsidRPr="00F32C25">
        <w:rPr>
          <w:rFonts w:ascii="Segoe UI" w:hAnsi="Segoe UI" w:cs="Segoe UI"/>
          <w:rtl/>
          <w:lang w:val="en-US"/>
        </w:rPr>
        <w:t>בשנת 2015 שוחררו מהכלא 7339 אסירים, כ-73%</w:t>
      </w:r>
      <w:r w:rsidR="00F32C25" w:rsidRPr="00F32C25">
        <w:rPr>
          <w:rFonts w:ascii="Segoe UI" w:hAnsi="Segoe UI" w:cs="Segoe UI"/>
          <w:rtl/>
          <w:lang w:val="en-US"/>
        </w:rPr>
        <w:t xml:space="preserve"> לאחר ריצוי מלא ו-27% בשחרור מוקדם. </w:t>
      </w:r>
    </w:p>
    <w:p w14:paraId="0E78ABFE" w14:textId="1B9D364F" w:rsidR="00F32C25" w:rsidRPr="00F32C25" w:rsidRDefault="00F32C25" w:rsidP="00D95A69">
      <w:pPr>
        <w:bidi/>
        <w:spacing w:after="0" w:line="276" w:lineRule="auto"/>
        <w:jc w:val="both"/>
        <w:rPr>
          <w:rFonts w:ascii="Segoe UI" w:hAnsi="Segoe UI" w:cs="Segoe UI"/>
          <w:color w:val="7030A0"/>
          <w:rtl/>
          <w:lang w:val="en-US"/>
        </w:rPr>
      </w:pPr>
      <w:r w:rsidRPr="00F32C25">
        <w:rPr>
          <w:rFonts w:ascii="Segoe UI" w:hAnsi="Segoe UI" w:cs="Segoe UI"/>
          <w:color w:val="7030A0"/>
          <w:rtl/>
          <w:lang w:val="en-US"/>
        </w:rPr>
        <w:t>יש מחקרים שמוכיחים שאסירים על תנאי יותר מפחדים מחזרה לכלא מאשר מי שיושב בכלא עד הסוף.</w:t>
      </w:r>
    </w:p>
    <w:p w14:paraId="7939246D" w14:textId="7CF37299" w:rsidR="00F32C25" w:rsidRDefault="00F32C25" w:rsidP="00D95A69">
      <w:pPr>
        <w:spacing w:after="0" w:line="276" w:lineRule="auto"/>
        <w:jc w:val="right"/>
        <w:rPr>
          <w:lang w:val="en-US"/>
        </w:rPr>
      </w:pPr>
    </w:p>
    <w:p w14:paraId="22804A60" w14:textId="2885E768" w:rsidR="00C5227B" w:rsidRPr="007A4E81" w:rsidRDefault="00C5227B" w:rsidP="00D95A69">
      <w:pPr>
        <w:pStyle w:val="2"/>
        <w:rPr>
          <w:rtl/>
        </w:rPr>
      </w:pPr>
      <w:bookmarkStart w:id="78" w:name="_Toc108218234"/>
      <w:r w:rsidRPr="007A4E81">
        <w:rPr>
          <w:rtl/>
        </w:rPr>
        <w:t>מי מופיע?</w:t>
      </w:r>
      <w:bookmarkEnd w:id="78"/>
    </w:p>
    <w:p w14:paraId="60A76B98" w14:textId="77777777" w:rsidR="00BA7990" w:rsidRPr="00BA7990" w:rsidRDefault="00BA7990" w:rsidP="00D95A69">
      <w:pPr>
        <w:bidi/>
        <w:spacing w:after="0" w:line="276" w:lineRule="auto"/>
        <w:jc w:val="both"/>
        <w:rPr>
          <w:rFonts w:ascii="Segoe UI" w:hAnsi="Segoe UI" w:cs="Segoe UI"/>
          <w:lang w:val="en-US"/>
        </w:rPr>
      </w:pPr>
      <w:r w:rsidRPr="00BA7990">
        <w:rPr>
          <w:rFonts w:ascii="Segoe UI" w:hAnsi="Segoe UI" w:cs="Segoe UI"/>
          <w:rtl/>
          <w:lang w:val="en-US"/>
        </w:rPr>
        <w:t xml:space="preserve">מצד אחד, פרקליט מפרקליטות המחוז הפליליות ברחבי הארץ </w:t>
      </w:r>
    </w:p>
    <w:p w14:paraId="11D7805C" w14:textId="77777777" w:rsidR="00BA7990" w:rsidRPr="00BA7990" w:rsidRDefault="00BA7990" w:rsidP="00D95A69">
      <w:pPr>
        <w:bidi/>
        <w:spacing w:after="0" w:line="276" w:lineRule="auto"/>
        <w:jc w:val="both"/>
        <w:rPr>
          <w:rFonts w:ascii="Segoe UI" w:hAnsi="Segoe UI" w:cs="Segoe UI"/>
          <w:rtl/>
          <w:lang w:val="en-US"/>
        </w:rPr>
      </w:pPr>
      <w:r w:rsidRPr="00BA7990">
        <w:rPr>
          <w:rFonts w:ascii="Segoe UI" w:hAnsi="Segoe UI" w:cs="Segoe UI"/>
          <w:rtl/>
          <w:lang w:val="en-US"/>
        </w:rPr>
        <w:t>מצד שני, האסיר בעצמו, אשר מיוצג על ידי עו"ד מטעמו או עו"ד מהסניגוריה הציבורית.</w:t>
      </w:r>
    </w:p>
    <w:p w14:paraId="1364109B" w14:textId="77777777" w:rsidR="00BA7990" w:rsidRPr="00BA7990" w:rsidRDefault="00BA7990" w:rsidP="00D95A69">
      <w:pPr>
        <w:bidi/>
        <w:spacing w:after="0" w:line="276" w:lineRule="auto"/>
        <w:jc w:val="both"/>
        <w:rPr>
          <w:rFonts w:ascii="Segoe UI" w:hAnsi="Segoe UI" w:cs="Segoe UI"/>
          <w:rtl/>
          <w:lang w:val="en-US"/>
        </w:rPr>
      </w:pPr>
      <w:r w:rsidRPr="00BA7990">
        <w:rPr>
          <w:rFonts w:ascii="Segoe UI" w:hAnsi="Segoe UI" w:cs="Segoe UI"/>
          <w:rtl/>
          <w:lang w:val="en-US"/>
        </w:rPr>
        <w:t>הרשות לשיקום האסיר (</w:t>
      </w:r>
      <w:proofErr w:type="spellStart"/>
      <w:r w:rsidRPr="00BA7990">
        <w:rPr>
          <w:rFonts w:ascii="Segoe UI" w:hAnsi="Segoe UI" w:cs="Segoe UI"/>
          <w:rtl/>
          <w:lang w:val="en-US"/>
        </w:rPr>
        <w:t>רש"א</w:t>
      </w:r>
      <w:proofErr w:type="spellEnd"/>
      <w:r w:rsidRPr="00BA7990">
        <w:rPr>
          <w:rFonts w:ascii="Segoe UI" w:hAnsi="Segoe UI" w:cs="Segoe UI"/>
          <w:rtl/>
          <w:lang w:val="en-US"/>
        </w:rPr>
        <w:t>) - מוסרת חוות דעת לוועדה בנוגע לתוכנית השיקום, שילוב בעבודה, פיקוח.</w:t>
      </w:r>
    </w:p>
    <w:p w14:paraId="00DDD338" w14:textId="77777777" w:rsidR="00BA7990" w:rsidRPr="00BA7990" w:rsidRDefault="00BA7990" w:rsidP="00D95A69">
      <w:pPr>
        <w:bidi/>
        <w:spacing w:after="0" w:line="276" w:lineRule="auto"/>
        <w:jc w:val="both"/>
        <w:rPr>
          <w:rFonts w:ascii="Segoe UI" w:hAnsi="Segoe UI" w:cs="Segoe UI"/>
          <w:rtl/>
          <w:lang w:val="en-US"/>
        </w:rPr>
      </w:pPr>
      <w:r w:rsidRPr="00BA7990">
        <w:rPr>
          <w:rFonts w:ascii="Segoe UI" w:hAnsi="Segoe UI" w:cs="Segoe UI"/>
          <w:rtl/>
          <w:lang w:val="en-US"/>
        </w:rPr>
        <w:t>בד"כ נפגשים עם ב"כ האסיר פעם אחת. רוב הדיון על בסיס מסמכים בכתב.</w:t>
      </w:r>
    </w:p>
    <w:p w14:paraId="574F0264" w14:textId="3E7AA3B4" w:rsidR="007A4E81" w:rsidRPr="007A4E81" w:rsidRDefault="007A4E81" w:rsidP="00D95A69">
      <w:pPr>
        <w:bidi/>
        <w:spacing w:after="0" w:line="276" w:lineRule="auto"/>
        <w:jc w:val="both"/>
        <w:rPr>
          <w:rFonts w:ascii="Segoe UI" w:hAnsi="Segoe UI" w:cs="Segoe UI"/>
          <w:lang w:val="en-US"/>
        </w:rPr>
      </w:pPr>
    </w:p>
    <w:p w14:paraId="22FBDCA4" w14:textId="77777777" w:rsidR="007A4E81" w:rsidRPr="007A4E81" w:rsidRDefault="007A4E81" w:rsidP="00D95A69">
      <w:pPr>
        <w:pStyle w:val="2"/>
      </w:pPr>
      <w:bookmarkStart w:id="79" w:name="_Toc108218235"/>
      <w:r w:rsidRPr="007A4E81">
        <w:rPr>
          <w:rtl/>
        </w:rPr>
        <w:t>הסיבה לקיומם של ועדות שחרור</w:t>
      </w:r>
      <w:bookmarkEnd w:id="79"/>
    </w:p>
    <w:p w14:paraId="334C3527" w14:textId="77777777" w:rsidR="007A4E81" w:rsidRPr="007A4E81" w:rsidRDefault="007A4E81" w:rsidP="00D95A69">
      <w:pPr>
        <w:bidi/>
        <w:spacing w:after="0" w:line="276" w:lineRule="auto"/>
        <w:jc w:val="both"/>
        <w:rPr>
          <w:rFonts w:ascii="Segoe UI" w:hAnsi="Segoe UI" w:cs="Segoe UI"/>
          <w:rtl/>
          <w:lang w:val="en-US"/>
        </w:rPr>
      </w:pPr>
      <w:r w:rsidRPr="007A4E81">
        <w:rPr>
          <w:rFonts w:ascii="Segoe UI" w:hAnsi="Segoe UI" w:cs="Segoe UI"/>
          <w:u w:val="single"/>
          <w:rtl/>
          <w:lang w:val="en-US"/>
        </w:rPr>
        <w:t>שיקול תועלתני</w:t>
      </w:r>
      <w:r w:rsidRPr="007A4E81">
        <w:rPr>
          <w:rFonts w:ascii="Segoe UI" w:hAnsi="Segoe UI" w:cs="Segoe UI"/>
          <w:rtl/>
          <w:lang w:val="en-US"/>
        </w:rPr>
        <w:t xml:space="preserve">: הידיעה שלאסיר יש יכולת לזכות בשחרור מוקדם, מדרבנת אותו להתחיל בהליך טיפולי, כבר במהלך המאסר. </w:t>
      </w:r>
    </w:p>
    <w:p w14:paraId="4B7F8DCE" w14:textId="7893654A" w:rsidR="007A4E81" w:rsidRPr="007A4E81" w:rsidRDefault="007A4E81" w:rsidP="00D95A69">
      <w:pPr>
        <w:bidi/>
        <w:spacing w:after="0" w:line="276" w:lineRule="auto"/>
        <w:jc w:val="both"/>
        <w:rPr>
          <w:rFonts w:ascii="Segoe UI" w:hAnsi="Segoe UI" w:cs="Segoe UI"/>
          <w:rtl/>
          <w:lang w:val="en-US"/>
        </w:rPr>
      </w:pPr>
      <w:r w:rsidRPr="007A4E81">
        <w:rPr>
          <w:rFonts w:ascii="Segoe UI" w:hAnsi="Segoe UI" w:cs="Segoe UI"/>
          <w:rtl/>
          <w:lang w:val="en-US"/>
        </w:rPr>
        <w:t xml:space="preserve">-שיעור </w:t>
      </w:r>
      <w:proofErr w:type="spellStart"/>
      <w:r w:rsidRPr="007A4E81">
        <w:rPr>
          <w:rFonts w:ascii="Segoe UI" w:hAnsi="Segoe UI" w:cs="Segoe UI"/>
          <w:rtl/>
          <w:lang w:val="en-US"/>
        </w:rPr>
        <w:t>הרדציביזם</w:t>
      </w:r>
      <w:proofErr w:type="spellEnd"/>
      <w:r w:rsidRPr="007A4E81">
        <w:rPr>
          <w:rFonts w:ascii="Segoe UI" w:hAnsi="Segoe UI" w:cs="Segoe UI"/>
          <w:rtl/>
          <w:lang w:val="en-US"/>
        </w:rPr>
        <w:t xml:space="preserve"> הכלל ארצי הוא 43.5 אחוז כאשר שיעור </w:t>
      </w:r>
      <w:proofErr w:type="spellStart"/>
      <w:r w:rsidRPr="007A4E81">
        <w:rPr>
          <w:rFonts w:ascii="Segoe UI" w:hAnsi="Segoe UI" w:cs="Segoe UI"/>
          <w:rtl/>
          <w:lang w:val="en-US"/>
        </w:rPr>
        <w:t>הרדציביזם</w:t>
      </w:r>
      <w:proofErr w:type="spellEnd"/>
      <w:r w:rsidRPr="007A4E81">
        <w:rPr>
          <w:rFonts w:ascii="Segoe UI" w:hAnsi="Segoe UI" w:cs="Segoe UI"/>
          <w:rtl/>
          <w:lang w:val="en-US"/>
        </w:rPr>
        <w:t xml:space="preserve"> של אסירים ששוחררו בוועדת שחרורים הוא 11.1 אחוזים </w:t>
      </w:r>
      <w:proofErr w:type="spellStart"/>
      <w:r w:rsidRPr="007A4E81">
        <w:rPr>
          <w:rFonts w:ascii="Segoe UI" w:hAnsi="Segoe UI" w:cs="Segoe UI"/>
          <w:rtl/>
          <w:lang w:val="en-US"/>
        </w:rPr>
        <w:t>ורדציביזם</w:t>
      </w:r>
      <w:proofErr w:type="spellEnd"/>
      <w:r w:rsidRPr="007A4E81">
        <w:rPr>
          <w:rFonts w:ascii="Segoe UI" w:hAnsi="Segoe UI" w:cs="Segoe UI"/>
          <w:rtl/>
          <w:lang w:val="en-US"/>
        </w:rPr>
        <w:t xml:space="preserve"> של אסירים שריצו מאסר מלא - 48.1 אחוז (מחקר מ-2011). </w:t>
      </w:r>
      <w:r w:rsidRPr="007A4E81">
        <w:rPr>
          <w:rFonts w:ascii="Segoe UI" w:hAnsi="Segoe UI" w:cs="Segoe UI"/>
          <w:color w:val="7030A0"/>
          <w:rtl/>
          <w:lang w:val="en-US"/>
        </w:rPr>
        <w:t>הם מאוד מפחדים לחזור לאחר שהם שוחררו עם "מתנה".</w:t>
      </w:r>
      <w:r w:rsidRPr="007A4E81">
        <w:rPr>
          <w:rFonts w:ascii="Segoe UI" w:hAnsi="Segoe UI" w:cs="Segoe UI"/>
          <w:rtl/>
          <w:lang w:val="en-US"/>
        </w:rPr>
        <w:t xml:space="preserve"> </w:t>
      </w:r>
    </w:p>
    <w:p w14:paraId="776FF08C" w14:textId="77777777" w:rsidR="007A4E81" w:rsidRPr="007A4E81" w:rsidRDefault="007A4E81" w:rsidP="00D95A69">
      <w:pPr>
        <w:bidi/>
        <w:spacing w:after="0" w:line="276" w:lineRule="auto"/>
        <w:jc w:val="both"/>
        <w:rPr>
          <w:rFonts w:ascii="Segoe UI" w:hAnsi="Segoe UI" w:cs="Segoe UI"/>
          <w:rtl/>
          <w:lang w:val="en-US"/>
        </w:rPr>
      </w:pPr>
      <w:r w:rsidRPr="007A4E81">
        <w:rPr>
          <w:rFonts w:ascii="Segoe UI" w:hAnsi="Segoe UI" w:cs="Segoe UI"/>
          <w:u w:val="single"/>
          <w:rtl/>
          <w:lang w:val="en-US"/>
        </w:rPr>
        <w:t>שיקול חברתי/שיקומי</w:t>
      </w:r>
      <w:r w:rsidRPr="007A4E81">
        <w:rPr>
          <w:rFonts w:ascii="Segoe UI" w:hAnsi="Segoe UI" w:cs="Segoe UI"/>
          <w:rtl/>
          <w:lang w:val="en-US"/>
        </w:rPr>
        <w:t>: כאשר אסיר מקבל הזדמנות לעבור תהליך במסגרת הכלא ישנו סיכוי שהוא יחזור אל החברה עם תובנות ועם יכולת להשתלב בה</w:t>
      </w:r>
    </w:p>
    <w:p w14:paraId="01E70E5B" w14:textId="16FB05B0" w:rsidR="007A4E81" w:rsidRPr="007A4E81" w:rsidRDefault="007A4E81" w:rsidP="00D95A69">
      <w:pPr>
        <w:bidi/>
        <w:spacing w:after="0" w:line="276" w:lineRule="auto"/>
        <w:jc w:val="both"/>
        <w:rPr>
          <w:rFonts w:ascii="Segoe UI" w:hAnsi="Segoe UI" w:cs="Segoe UI"/>
          <w:lang w:val="en-US"/>
        </w:rPr>
      </w:pPr>
    </w:p>
    <w:p w14:paraId="15ABCCA0" w14:textId="36630837" w:rsidR="007A4E81" w:rsidRPr="007A4E81" w:rsidRDefault="007A4E81" w:rsidP="00D95A69">
      <w:pPr>
        <w:pStyle w:val="2"/>
      </w:pPr>
      <w:bookmarkStart w:id="80" w:name="_Toc108218236"/>
      <w:r w:rsidRPr="007A4E81">
        <w:rPr>
          <w:rtl/>
        </w:rPr>
        <w:t>הפרדוקס</w:t>
      </w:r>
      <w:bookmarkEnd w:id="80"/>
    </w:p>
    <w:p w14:paraId="7AD5C64D" w14:textId="77777777" w:rsidR="007A4E81" w:rsidRPr="007A4E81" w:rsidRDefault="007A4E81" w:rsidP="00D95A69">
      <w:pPr>
        <w:bidi/>
        <w:spacing w:after="0" w:line="276" w:lineRule="auto"/>
        <w:jc w:val="both"/>
        <w:rPr>
          <w:rFonts w:ascii="Segoe UI" w:hAnsi="Segoe UI" w:cs="Segoe UI"/>
          <w:rtl/>
          <w:lang w:val="en-US"/>
        </w:rPr>
      </w:pPr>
      <w:r w:rsidRPr="007A4E81">
        <w:rPr>
          <w:rFonts w:ascii="Segoe UI" w:hAnsi="Segoe UI" w:cs="Segoe UI"/>
          <w:rtl/>
          <w:lang w:val="en-US"/>
        </w:rPr>
        <w:t>ככל שפרק הזמן אליו נשפט האסיר קצר יותר (בד"כ מתחת לשנה וחצי) - כך יותר קשה לעמוד בתנאי השחרור - תוכניות שיקום בכלא הן ארוכות יותר (ממוצע של תוכנית טיפולית בכלא היא לפחות שנה).</w:t>
      </w:r>
    </w:p>
    <w:p w14:paraId="7625704E" w14:textId="77777777" w:rsidR="007A4E81" w:rsidRPr="007A4E81" w:rsidRDefault="007A4E81" w:rsidP="00D95A69">
      <w:pPr>
        <w:bidi/>
        <w:spacing w:after="0" w:line="276" w:lineRule="auto"/>
        <w:jc w:val="both"/>
        <w:rPr>
          <w:rFonts w:ascii="Segoe UI" w:hAnsi="Segoe UI" w:cs="Segoe UI"/>
          <w:rtl/>
          <w:lang w:val="en-US"/>
        </w:rPr>
      </w:pPr>
      <w:r w:rsidRPr="007A4E81">
        <w:rPr>
          <w:rFonts w:ascii="Segoe UI" w:hAnsi="Segoe UI" w:cs="Segoe UI"/>
          <w:u w:val="single"/>
          <w:rtl/>
          <w:lang w:val="en-US"/>
        </w:rPr>
        <w:lastRenderedPageBreak/>
        <w:t xml:space="preserve">תהליך שיקום בכלא </w:t>
      </w:r>
      <w:r w:rsidRPr="007A4E81">
        <w:rPr>
          <w:rFonts w:ascii="Segoe UI" w:hAnsi="Segoe UI" w:cs="Segoe UI"/>
          <w:rtl/>
          <w:lang w:val="en-US"/>
        </w:rPr>
        <w:t>– לרוב מתחיל כחצי שנה לפני מועד ההתייצבות לוועדה.</w:t>
      </w:r>
    </w:p>
    <w:p w14:paraId="155255C0" w14:textId="77777777" w:rsidR="007A4E81" w:rsidRPr="007A4E81" w:rsidRDefault="007A4E81" w:rsidP="00D95A69">
      <w:pPr>
        <w:bidi/>
        <w:spacing w:after="0" w:line="276" w:lineRule="auto"/>
        <w:jc w:val="both"/>
        <w:rPr>
          <w:rFonts w:ascii="Segoe UI" w:hAnsi="Segoe UI" w:cs="Segoe UI"/>
          <w:rtl/>
          <w:lang w:val="en-US"/>
        </w:rPr>
      </w:pPr>
      <w:r w:rsidRPr="007A4E81">
        <w:rPr>
          <w:rFonts w:ascii="Segoe UI" w:hAnsi="Segoe UI" w:cs="Segoe UI"/>
          <w:u w:val="single"/>
          <w:rtl/>
          <w:lang w:val="en-US"/>
        </w:rPr>
        <w:t xml:space="preserve">הבעיה </w:t>
      </w:r>
      <w:r w:rsidRPr="007A4E81">
        <w:rPr>
          <w:rFonts w:ascii="Segoe UI" w:hAnsi="Segoe UI" w:cs="Segoe UI"/>
          <w:rtl/>
          <w:lang w:val="en-US"/>
        </w:rPr>
        <w:t>– חלק גדול מאוד מהאסירים בארץ שפוטים לעונשים של עד שנתיים (דוח דורנר)</w:t>
      </w:r>
    </w:p>
    <w:p w14:paraId="12B07281" w14:textId="3B0A6D7F" w:rsidR="007A4E81" w:rsidRDefault="007A4E81" w:rsidP="00D95A69">
      <w:pPr>
        <w:bidi/>
        <w:spacing w:after="0" w:line="276" w:lineRule="auto"/>
        <w:jc w:val="both"/>
        <w:rPr>
          <w:rFonts w:ascii="Segoe UI" w:hAnsi="Segoe UI" w:cs="Segoe UI"/>
          <w:rtl/>
          <w:lang w:val="en-US"/>
        </w:rPr>
      </w:pPr>
      <w:r w:rsidRPr="007A4E81">
        <w:rPr>
          <w:rFonts w:ascii="Segoe UI" w:hAnsi="Segoe UI" w:cs="Segoe UI"/>
          <w:rtl/>
          <w:lang w:val="en-US"/>
        </w:rPr>
        <w:t xml:space="preserve">יוצא שאנשים שנשפטו לשנה וחצי אנשים שנשפטו לשנתיים ייתכן שהם ישתחררו באותו הזמן כי זה ששפוט לשנה וחצי לא עבר תהליך שיקום ואילו זה שנשפט לשנתיים לא עבר תהליך שיקום ולא קיבל שליש. בגלל זה היום עושים </w:t>
      </w:r>
      <w:proofErr w:type="spellStart"/>
      <w:r w:rsidRPr="007A4E81">
        <w:rPr>
          <w:rFonts w:ascii="Segoe UI" w:hAnsi="Segoe UI" w:cs="Segoe UI"/>
          <w:rtl/>
          <w:lang w:val="en-US"/>
        </w:rPr>
        <w:t>תכניות</w:t>
      </w:r>
      <w:proofErr w:type="spellEnd"/>
      <w:r w:rsidRPr="007A4E81">
        <w:rPr>
          <w:rFonts w:ascii="Segoe UI" w:hAnsi="Segoe UI" w:cs="Segoe UI"/>
          <w:rtl/>
          <w:lang w:val="en-US"/>
        </w:rPr>
        <w:t xml:space="preserve"> שיקום מאוד קצרות וכו'. לדוג' שיקום </w:t>
      </w:r>
      <w:proofErr w:type="spellStart"/>
      <w:r w:rsidRPr="007A4E81">
        <w:rPr>
          <w:rFonts w:ascii="Segoe UI" w:hAnsi="Segoe UI" w:cs="Segoe UI"/>
          <w:rtl/>
          <w:lang w:val="en-US"/>
        </w:rPr>
        <w:t>למכורי</w:t>
      </w:r>
      <w:proofErr w:type="spellEnd"/>
      <w:r w:rsidRPr="007A4E81">
        <w:rPr>
          <w:rFonts w:ascii="Segoe UI" w:hAnsi="Segoe UI" w:cs="Segoe UI"/>
          <w:rtl/>
          <w:lang w:val="en-US"/>
        </w:rPr>
        <w:t xml:space="preserve"> סמים – תחליפי סם, 12 צעדים איך נגמלים מסמים, שיחות וכו'. </w:t>
      </w:r>
    </w:p>
    <w:p w14:paraId="1A176E17" w14:textId="493F958A" w:rsidR="00C051C4" w:rsidRDefault="00C051C4" w:rsidP="00D95A69">
      <w:pPr>
        <w:bidi/>
        <w:spacing w:after="0" w:line="276" w:lineRule="auto"/>
        <w:jc w:val="both"/>
        <w:rPr>
          <w:rFonts w:ascii="Segoe UI" w:hAnsi="Segoe UI" w:cs="Segoe UI"/>
          <w:rtl/>
          <w:lang w:val="en-US"/>
        </w:rPr>
      </w:pPr>
    </w:p>
    <w:p w14:paraId="440406CD" w14:textId="4A1646EA" w:rsidR="000F33A4" w:rsidRPr="000F33A4" w:rsidRDefault="000F33A4" w:rsidP="00D95A69">
      <w:pPr>
        <w:pStyle w:val="110"/>
        <w:spacing w:line="276" w:lineRule="auto"/>
      </w:pPr>
      <w:r w:rsidRPr="000F33A4">
        <w:rPr>
          <w:rtl/>
        </w:rPr>
        <w:t>על הפרק</w:t>
      </w:r>
    </w:p>
    <w:p w14:paraId="6985B3DF" w14:textId="0EB4C363" w:rsidR="000F33A4" w:rsidRPr="000F33A4" w:rsidRDefault="000F33A4" w:rsidP="00D95A69">
      <w:pPr>
        <w:bidi/>
        <w:spacing w:after="0" w:line="276" w:lineRule="auto"/>
        <w:jc w:val="both"/>
        <w:rPr>
          <w:rFonts w:ascii="Segoe UI" w:hAnsi="Segoe UI" w:cs="Segoe UI"/>
          <w:rtl/>
          <w:lang w:val="en-US"/>
        </w:rPr>
      </w:pPr>
      <w:r w:rsidRPr="000F33A4">
        <w:rPr>
          <w:rFonts w:ascii="Segoe UI" w:hAnsi="Segoe UI" w:cs="Segoe UI"/>
          <w:rtl/>
          <w:lang w:val="en-US"/>
        </w:rPr>
        <w:t>הצעת חוק בנושא ועדת שחרורים מיוחדת לעבירות קלות "הממשלה אישרה את הצעת שרי המשפטים וביטחון הפנים ליצירת מנגנון מיוחד לדיון בבקשות שחרור מוקדם של אסירים שנשפטו ל-3 עד 12 חודשים"</w:t>
      </w:r>
      <w:r w:rsidR="000107C2">
        <w:rPr>
          <w:rFonts w:ascii="Segoe UI" w:hAnsi="Segoe UI" w:cs="Segoe UI" w:hint="cs"/>
          <w:rtl/>
          <w:lang w:val="en-US"/>
        </w:rPr>
        <w:t>.</w:t>
      </w:r>
    </w:p>
    <w:p w14:paraId="2758A800" w14:textId="2B8603D3" w:rsidR="000F33A4" w:rsidRDefault="000F33A4" w:rsidP="00D95A69">
      <w:pPr>
        <w:bidi/>
        <w:spacing w:after="0" w:line="276" w:lineRule="auto"/>
        <w:jc w:val="both"/>
        <w:rPr>
          <w:rFonts w:ascii="Segoe UI" w:hAnsi="Segoe UI" w:cs="Segoe UI"/>
          <w:rtl/>
          <w:lang w:val="en-US"/>
        </w:rPr>
      </w:pPr>
      <w:r w:rsidRPr="000F33A4">
        <w:rPr>
          <w:rFonts w:ascii="Segoe UI" w:hAnsi="Segoe UI" w:cs="Segoe UI"/>
          <w:rtl/>
          <w:lang w:val="en-US"/>
        </w:rPr>
        <w:t>ההצעה כוללת את כלל האסירים שנשפטו לתקופות קצרות של עד שנה, למעט אסירים שהורשעו בעבירות מין ואלימות במשפחה</w:t>
      </w:r>
      <w:r w:rsidR="000107C2">
        <w:rPr>
          <w:rFonts w:ascii="Segoe UI" w:hAnsi="Segoe UI" w:cs="Segoe UI" w:hint="cs"/>
          <w:rtl/>
          <w:lang w:val="en-US"/>
        </w:rPr>
        <w:t xml:space="preserve">; </w:t>
      </w:r>
      <w:r w:rsidRPr="000F33A4">
        <w:rPr>
          <w:rFonts w:ascii="Segoe UI" w:hAnsi="Segoe UI" w:cs="Segoe UI"/>
          <w:rtl/>
          <w:lang w:val="en-US"/>
        </w:rPr>
        <w:t>בראשות הוועדה – קצין שב"ס.</w:t>
      </w:r>
    </w:p>
    <w:p w14:paraId="24E3B0AD" w14:textId="473FE9C3" w:rsidR="00BF7F52" w:rsidRPr="002E039C" w:rsidRDefault="00BF7F52" w:rsidP="00D95A69">
      <w:pPr>
        <w:pStyle w:val="2"/>
        <w:rPr>
          <w:rtl/>
        </w:rPr>
      </w:pPr>
      <w:bookmarkStart w:id="81" w:name="_Toc108218237"/>
      <w:r>
        <w:rPr>
          <w:rFonts w:hint="cs"/>
          <w:rtl/>
        </w:rPr>
        <w:t xml:space="preserve">אסיר </w:t>
      </w:r>
      <w:proofErr w:type="spellStart"/>
      <w:r>
        <w:rPr>
          <w:rFonts w:hint="cs"/>
          <w:rtl/>
        </w:rPr>
        <w:t>ברשיון</w:t>
      </w:r>
      <w:bookmarkEnd w:id="81"/>
      <w:proofErr w:type="spellEnd"/>
    </w:p>
    <w:p w14:paraId="4AFEDBF8" w14:textId="77777777" w:rsidR="000F33A4" w:rsidRPr="000F33A4" w:rsidRDefault="000F33A4" w:rsidP="00D95A69">
      <w:pPr>
        <w:bidi/>
        <w:spacing w:after="0" w:line="276" w:lineRule="auto"/>
        <w:jc w:val="both"/>
        <w:rPr>
          <w:rFonts w:ascii="Segoe UI" w:hAnsi="Segoe UI" w:cs="Segoe UI"/>
          <w:lang w:val="en-US"/>
        </w:rPr>
      </w:pPr>
      <w:r w:rsidRPr="000F33A4">
        <w:rPr>
          <w:rFonts w:ascii="Segoe UI" w:hAnsi="Segoe UI" w:cs="Segoe UI"/>
          <w:rtl/>
          <w:lang w:val="en-US"/>
        </w:rPr>
        <w:t xml:space="preserve">אסיר אשר שוחרר בשחרור מוקדם הינו "אסיר </w:t>
      </w:r>
      <w:proofErr w:type="spellStart"/>
      <w:r w:rsidRPr="000F33A4">
        <w:rPr>
          <w:rFonts w:ascii="Segoe UI" w:hAnsi="Segoe UI" w:cs="Segoe UI"/>
          <w:rtl/>
          <w:lang w:val="en-US"/>
        </w:rPr>
        <w:t>ברשיון</w:t>
      </w:r>
      <w:proofErr w:type="spellEnd"/>
      <w:r w:rsidRPr="000F33A4">
        <w:rPr>
          <w:rFonts w:ascii="Segoe UI" w:hAnsi="Segoe UI" w:cs="Segoe UI"/>
          <w:rtl/>
          <w:lang w:val="en-US"/>
        </w:rPr>
        <w:t xml:space="preserve">", וחלות עליו מגבלות רבות: </w:t>
      </w:r>
    </w:p>
    <w:p w14:paraId="5890C13E" w14:textId="4C010D78" w:rsidR="000F33A4" w:rsidRPr="000F33A4" w:rsidRDefault="000F33A4" w:rsidP="00D95A69">
      <w:pPr>
        <w:numPr>
          <w:ilvl w:val="0"/>
          <w:numId w:val="89"/>
        </w:numPr>
        <w:bidi/>
        <w:spacing w:after="0" w:line="276" w:lineRule="auto"/>
        <w:jc w:val="both"/>
        <w:rPr>
          <w:rFonts w:ascii="Segoe UI" w:hAnsi="Segoe UI" w:cs="Segoe UI"/>
          <w:rtl/>
          <w:lang w:val="en-US"/>
        </w:rPr>
      </w:pPr>
      <w:r w:rsidRPr="000F33A4">
        <w:rPr>
          <w:rFonts w:ascii="Segoe UI" w:hAnsi="Segoe UI" w:cs="Segoe UI"/>
          <w:rtl/>
          <w:lang w:val="en-US"/>
        </w:rPr>
        <w:t xml:space="preserve">הוא צריך להסתובב עם פנקס אסיר </w:t>
      </w:r>
      <w:proofErr w:type="spellStart"/>
      <w:r w:rsidRPr="000F33A4">
        <w:rPr>
          <w:rFonts w:ascii="Segoe UI" w:hAnsi="Segoe UI" w:cs="Segoe UI"/>
          <w:rtl/>
          <w:lang w:val="en-US"/>
        </w:rPr>
        <w:t>ברשיון</w:t>
      </w:r>
      <w:proofErr w:type="spellEnd"/>
      <w:r w:rsidR="002A270B">
        <w:rPr>
          <w:rFonts w:ascii="Segoe UI" w:hAnsi="Segoe UI" w:cs="Segoe UI" w:hint="cs"/>
          <w:rtl/>
          <w:lang w:val="en-US"/>
        </w:rPr>
        <w:t xml:space="preserve">; </w:t>
      </w:r>
      <w:r w:rsidRPr="000F33A4">
        <w:rPr>
          <w:rFonts w:ascii="Segoe UI" w:hAnsi="Segoe UI" w:cs="Segoe UI"/>
          <w:rtl/>
          <w:lang w:val="en-US"/>
        </w:rPr>
        <w:t>אינו יכול לצאת מהארץ וחייב להגיע מעת לעת לדיוני מעקב, אשר במהלכם הוא עומד בפני ועדת השחרורים, הבודקת אם לא הפר את תנאי שחרורו.</w:t>
      </w:r>
    </w:p>
    <w:p w14:paraId="44525A04" w14:textId="77777777" w:rsidR="000F33A4" w:rsidRPr="000F33A4" w:rsidRDefault="000F33A4" w:rsidP="00D95A69">
      <w:pPr>
        <w:numPr>
          <w:ilvl w:val="0"/>
          <w:numId w:val="89"/>
        </w:numPr>
        <w:bidi/>
        <w:spacing w:after="0" w:line="276" w:lineRule="auto"/>
        <w:jc w:val="both"/>
        <w:rPr>
          <w:rFonts w:ascii="Segoe UI" w:hAnsi="Segoe UI" w:cs="Segoe UI"/>
          <w:rtl/>
          <w:lang w:val="en-US"/>
        </w:rPr>
      </w:pPr>
      <w:r w:rsidRPr="000F33A4">
        <w:rPr>
          <w:rFonts w:ascii="Segoe UI" w:hAnsi="Segoe UI" w:cs="Segoe UI"/>
          <w:rtl/>
          <w:lang w:val="en-US"/>
        </w:rPr>
        <w:t xml:space="preserve">במידה ונמצא שאסיר הפר תנאי מתנאי השחרור שלו (לדוגמה: ביצע עבירה חדשה, לא עבד או לא השתתף בהליך טיפולי שאותו התחייב לעבור) -  </w:t>
      </w:r>
      <w:proofErr w:type="spellStart"/>
      <w:r w:rsidRPr="000F33A4">
        <w:rPr>
          <w:rFonts w:ascii="Segoe UI" w:hAnsi="Segoe UI" w:cs="Segoe UI"/>
          <w:rtl/>
          <w:lang w:val="en-US"/>
        </w:rPr>
        <w:t>רשיונו</w:t>
      </w:r>
      <w:proofErr w:type="spellEnd"/>
      <w:r w:rsidRPr="000F33A4">
        <w:rPr>
          <w:rFonts w:ascii="Segoe UI" w:hAnsi="Segoe UI" w:cs="Segoe UI"/>
          <w:rtl/>
          <w:lang w:val="en-US"/>
        </w:rPr>
        <w:t xml:space="preserve"> יופקע והוא יוחזר לכלא לריצוי תקופת מאסרו. </w:t>
      </w:r>
    </w:p>
    <w:p w14:paraId="31ED4C62" w14:textId="77777777" w:rsidR="002A270B" w:rsidRDefault="002A270B" w:rsidP="00D95A69">
      <w:pPr>
        <w:bidi/>
        <w:spacing w:after="0" w:line="276" w:lineRule="auto"/>
        <w:jc w:val="both"/>
        <w:rPr>
          <w:rFonts w:ascii="Segoe UI" w:hAnsi="Segoe UI" w:cs="Segoe UI"/>
          <w:b/>
          <w:bCs/>
          <w:u w:val="single"/>
          <w:rtl/>
          <w:lang w:val="en-US"/>
        </w:rPr>
      </w:pPr>
    </w:p>
    <w:p w14:paraId="265413E9" w14:textId="5F6E9F97" w:rsidR="000F33A4" w:rsidRPr="005E73B2" w:rsidRDefault="000F33A4"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jc w:val="center"/>
        <w:rPr>
          <w:rFonts w:ascii="Segoe UI" w:hAnsi="Segoe UI" w:cs="Segoe UI"/>
          <w:rtl/>
          <w:lang w:val="en-US"/>
        </w:rPr>
      </w:pPr>
      <w:r w:rsidRPr="005E73B2">
        <w:rPr>
          <w:rFonts w:ascii="Segoe UI" w:hAnsi="Segoe UI" w:cs="Segoe UI"/>
          <w:b/>
          <w:bCs/>
          <w:highlight w:val="yellow"/>
          <w:u w:val="single"/>
          <w:rtl/>
          <w:lang w:val="en-US"/>
        </w:rPr>
        <w:t>פס"ד משוחררי עסקת שליט – הוחזרו לכלא</w:t>
      </w:r>
    </w:p>
    <w:p w14:paraId="529D8D21" w14:textId="2B44249C" w:rsidR="000F33A4" w:rsidRPr="005E73B2" w:rsidRDefault="005E73B2"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5E73B2">
        <w:rPr>
          <w:rFonts w:ascii="Segoe UI" w:hAnsi="Segoe UI" w:cs="Segoe UI" w:hint="cs"/>
          <w:rtl/>
          <w:lang w:val="en-US"/>
        </w:rPr>
        <w:t>המדובר במחבלים שישבו בכלא ושוחררו במסגרת עסקת שליט, היו תנאים שלא יחזרו לפעילויות טרור וכו'. בסופו של דבר חזרו לביצוע פעילויות טרור ולכן נעצרו שוב והוחזרו לכלא לריצוי מאסר עולם כפי שנגזר עליהם בעבר.</w:t>
      </w:r>
    </w:p>
    <w:p w14:paraId="176AE72F" w14:textId="77777777" w:rsidR="00AC7A58" w:rsidRPr="00AC395F" w:rsidRDefault="00AC7A58" w:rsidP="00D95A69">
      <w:pPr>
        <w:bidi/>
        <w:spacing w:after="0" w:line="276" w:lineRule="auto"/>
        <w:jc w:val="both"/>
        <w:rPr>
          <w:rFonts w:ascii="Segoe UI" w:hAnsi="Segoe UI" w:cs="Segoe UI"/>
          <w:highlight w:val="red"/>
          <w:rtl/>
          <w:lang w:val="en-US"/>
        </w:rPr>
      </w:pPr>
    </w:p>
    <w:p w14:paraId="71A367D1" w14:textId="77777777" w:rsidR="000F33A4" w:rsidRPr="00243A07" w:rsidRDefault="000F33A4"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jc w:val="center"/>
        <w:rPr>
          <w:rFonts w:ascii="Segoe UI" w:hAnsi="Segoe UI" w:cs="Segoe UI"/>
          <w:lang w:val="en-US"/>
        </w:rPr>
      </w:pPr>
      <w:r w:rsidRPr="00DB2A5C">
        <w:rPr>
          <w:rFonts w:ascii="Segoe UI" w:hAnsi="Segoe UI" w:cs="Segoe UI"/>
          <w:b/>
          <w:bCs/>
          <w:highlight w:val="yellow"/>
          <w:u w:val="single"/>
          <w:rtl/>
          <w:lang w:val="en-US"/>
        </w:rPr>
        <w:t xml:space="preserve">פס"ד </w:t>
      </w:r>
      <w:proofErr w:type="spellStart"/>
      <w:r w:rsidRPr="00DB2A5C">
        <w:rPr>
          <w:rFonts w:ascii="Segoe UI" w:hAnsi="Segoe UI" w:cs="Segoe UI"/>
          <w:b/>
          <w:bCs/>
          <w:highlight w:val="yellow"/>
          <w:u w:val="single"/>
          <w:rtl/>
          <w:lang w:val="en-US"/>
        </w:rPr>
        <w:t>סמיר</w:t>
      </w:r>
      <w:proofErr w:type="spellEnd"/>
      <w:r w:rsidRPr="00DB2A5C">
        <w:rPr>
          <w:rFonts w:ascii="Segoe UI" w:hAnsi="Segoe UI" w:cs="Segoe UI"/>
          <w:b/>
          <w:bCs/>
          <w:highlight w:val="yellow"/>
          <w:u w:val="single"/>
          <w:rtl/>
          <w:lang w:val="en-US"/>
        </w:rPr>
        <w:t xml:space="preserve"> </w:t>
      </w:r>
      <w:proofErr w:type="spellStart"/>
      <w:r w:rsidRPr="00DB2A5C">
        <w:rPr>
          <w:rFonts w:ascii="Segoe UI" w:hAnsi="Segoe UI" w:cs="Segoe UI"/>
          <w:b/>
          <w:bCs/>
          <w:highlight w:val="yellow"/>
          <w:u w:val="single"/>
          <w:rtl/>
          <w:lang w:val="en-US"/>
        </w:rPr>
        <w:t>גנאמה</w:t>
      </w:r>
      <w:proofErr w:type="spellEnd"/>
      <w:r w:rsidRPr="00DB2A5C">
        <w:rPr>
          <w:rFonts w:ascii="Segoe UI" w:hAnsi="Segoe UI" w:cs="Segoe UI"/>
          <w:b/>
          <w:bCs/>
          <w:highlight w:val="yellow"/>
          <w:u w:val="single"/>
          <w:rtl/>
          <w:lang w:val="en-US"/>
        </w:rPr>
        <w:t xml:space="preserve"> </w:t>
      </w:r>
      <w:r w:rsidRPr="00DB2A5C">
        <w:rPr>
          <w:rFonts w:ascii="Segoe UI" w:hAnsi="Segoe UI" w:cs="Segoe UI"/>
          <w:highlight w:val="yellow"/>
          <w:rtl/>
          <w:lang w:val="en-US"/>
        </w:rPr>
        <w:t>– רוצחו של דני כץ ז"ל</w:t>
      </w:r>
    </w:p>
    <w:p w14:paraId="24D2B364" w14:textId="77777777" w:rsidR="000F33A4" w:rsidRPr="00243A07" w:rsidRDefault="000F33A4"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243A07">
        <w:rPr>
          <w:rFonts w:ascii="Segoe UI" w:hAnsi="Segoe UI" w:cs="Segoe UI"/>
          <w:rtl/>
          <w:lang w:val="en-US"/>
        </w:rPr>
        <w:t xml:space="preserve">"כלל יסוד הוא שלמי שנידון למאסר </w:t>
      </w:r>
      <w:r w:rsidRPr="00243A07">
        <w:rPr>
          <w:rFonts w:ascii="Segoe UI" w:hAnsi="Segoe UI" w:cs="Segoe UI"/>
          <w:b/>
          <w:bCs/>
          <w:u w:val="single"/>
          <w:rtl/>
          <w:lang w:val="en-US"/>
        </w:rPr>
        <w:t xml:space="preserve">אין זכות קנויה </w:t>
      </w:r>
      <w:r w:rsidRPr="00243A07">
        <w:rPr>
          <w:rFonts w:ascii="Segoe UI" w:hAnsi="Segoe UI" w:cs="Segoe UI"/>
          <w:rtl/>
          <w:lang w:val="en-US"/>
        </w:rPr>
        <w:t xml:space="preserve">לקיצור עונשו, ולצד זאת קובע חוק שחרור על-תנאי כי אם ריצה שני-שלישים מתקופת מאסרו זכאי הוא שהרשות המוסמכת תשקול את אפשרות שחרורו על-תנאי" </w:t>
      </w:r>
    </w:p>
    <w:p w14:paraId="4238BD8C" w14:textId="77777777" w:rsidR="000F33A4" w:rsidRPr="00243A07" w:rsidRDefault="000F33A4"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243A07">
        <w:rPr>
          <w:rFonts w:ascii="Segoe UI" w:hAnsi="Segoe UI" w:cs="Segoe UI"/>
          <w:rtl/>
          <w:lang w:val="en-US"/>
        </w:rPr>
        <w:t xml:space="preserve"> "ועדת השחרורים רשאית, מכוח סמכותה הטבועה וסמכויות העזר הנתונות לה, להידרש לטיעונים בעל-פה של נפגע עבירה ואף להיזקק לנושאים החורגים מהסיכון הצפוי משחרור האסיר, אך על הפעלת סמכות זו להיעשות בזהירות ובסבירות"</w:t>
      </w:r>
    </w:p>
    <w:p w14:paraId="55A6CD4B" w14:textId="31041F9E" w:rsidR="000F33A4" w:rsidRPr="00AC395F" w:rsidRDefault="000F33A4" w:rsidP="00D95A69">
      <w:pPr>
        <w:bidi/>
        <w:spacing w:after="0" w:line="276" w:lineRule="auto"/>
        <w:jc w:val="both"/>
        <w:rPr>
          <w:rFonts w:ascii="Segoe UI" w:hAnsi="Segoe UI" w:cs="Segoe UI"/>
          <w:highlight w:val="red"/>
          <w:rtl/>
          <w:lang w:val="en-US"/>
        </w:rPr>
      </w:pPr>
    </w:p>
    <w:p w14:paraId="61FED0C0" w14:textId="77777777" w:rsidR="00243A07" w:rsidRDefault="000F33A4" w:rsidP="00D95A69">
      <w:pPr>
        <w:pStyle w:val="2"/>
        <w:rPr>
          <w:rtl/>
        </w:rPr>
      </w:pPr>
      <w:bookmarkStart w:id="82" w:name="_Toc108218238"/>
      <w:r w:rsidRPr="00243A07">
        <w:rPr>
          <w:rtl/>
        </w:rPr>
        <w:t>תפקיד ועדת השחרורים</w:t>
      </w:r>
      <w:bookmarkEnd w:id="82"/>
      <w:r w:rsidRPr="00243A07">
        <w:rPr>
          <w:rtl/>
        </w:rPr>
        <w:t xml:space="preserve"> </w:t>
      </w:r>
    </w:p>
    <w:p w14:paraId="087F4480" w14:textId="0915F2E6" w:rsidR="000F33A4" w:rsidRPr="000F33A4" w:rsidRDefault="000F33A4" w:rsidP="00D95A69">
      <w:pPr>
        <w:bidi/>
        <w:spacing w:after="0" w:line="276" w:lineRule="auto"/>
        <w:jc w:val="both"/>
        <w:rPr>
          <w:rFonts w:ascii="Segoe UI" w:hAnsi="Segoe UI" w:cs="Segoe UI"/>
          <w:rtl/>
          <w:lang w:val="en-US"/>
        </w:rPr>
      </w:pPr>
      <w:r w:rsidRPr="00243A07">
        <w:rPr>
          <w:rFonts w:ascii="Segoe UI" w:hAnsi="Segoe UI" w:cs="Segoe UI"/>
          <w:b/>
          <w:bCs/>
          <w:u w:val="single"/>
          <w:rtl/>
          <w:lang w:val="en-US"/>
        </w:rPr>
        <w:t>להחליט האם ראוי האסיר לשחרור על תנאי על פי שיקולים של</w:t>
      </w:r>
      <w:r w:rsidR="00243A07">
        <w:rPr>
          <w:rFonts w:ascii="Segoe UI" w:hAnsi="Segoe UI" w:cs="Segoe UI" w:hint="cs"/>
          <w:rtl/>
          <w:lang w:val="en-US"/>
        </w:rPr>
        <w:t xml:space="preserve">: </w:t>
      </w:r>
      <w:r w:rsidRPr="00243A07">
        <w:rPr>
          <w:rFonts w:ascii="Segoe UI" w:hAnsi="Segoe UI" w:cs="Segoe UI"/>
          <w:rtl/>
          <w:lang w:val="en-US"/>
        </w:rPr>
        <w:t>חומרת העבירה המיוחסת לאסיר ונסיבות ביצועה;</w:t>
      </w:r>
      <w:r w:rsidR="00D20D1C" w:rsidRPr="00243A07">
        <w:rPr>
          <w:rFonts w:ascii="Segoe UI" w:hAnsi="Segoe UI" w:cs="Segoe UI" w:hint="cs"/>
          <w:rtl/>
          <w:lang w:val="en-US"/>
        </w:rPr>
        <w:t xml:space="preserve"> </w:t>
      </w:r>
      <w:r w:rsidRPr="00243A07">
        <w:rPr>
          <w:rFonts w:ascii="Segoe UI" w:hAnsi="Segoe UI" w:cs="Segoe UI"/>
          <w:rtl/>
          <w:lang w:val="en-US"/>
        </w:rPr>
        <w:t>הרשעות קודמות של האסיר;</w:t>
      </w:r>
      <w:r w:rsidR="00D20D1C" w:rsidRPr="00243A07">
        <w:rPr>
          <w:rFonts w:ascii="Segoe UI" w:hAnsi="Segoe UI" w:cs="Segoe UI" w:hint="cs"/>
          <w:rtl/>
          <w:lang w:val="en-US"/>
        </w:rPr>
        <w:t xml:space="preserve"> </w:t>
      </w:r>
      <w:r w:rsidRPr="00243A07">
        <w:rPr>
          <w:rFonts w:ascii="Segoe UI" w:hAnsi="Segoe UI" w:cs="Segoe UI"/>
          <w:rtl/>
          <w:lang w:val="en-US"/>
        </w:rPr>
        <w:t>תקופה המאסר שנגזרה על האסיר, קנס או פיצוי לנפגע העבירה שחויב לשלם והאם שילם או לא;</w:t>
      </w:r>
      <w:r w:rsidR="00D20D1C" w:rsidRPr="00243A07">
        <w:rPr>
          <w:rFonts w:ascii="Segoe UI" w:hAnsi="Segoe UI" w:cs="Segoe UI" w:hint="cs"/>
          <w:rtl/>
          <w:lang w:val="en-US"/>
        </w:rPr>
        <w:t xml:space="preserve"> </w:t>
      </w:r>
      <w:r w:rsidRPr="00243A07">
        <w:rPr>
          <w:rFonts w:ascii="Segoe UI" w:hAnsi="Segoe UI" w:cs="Segoe UI"/>
          <w:rtl/>
          <w:lang w:val="en-US"/>
        </w:rPr>
        <w:t>האם זכה בעבר לשחרור מוקדם וחזר לבצע עבירות;</w:t>
      </w:r>
      <w:r w:rsidR="00D20D1C" w:rsidRPr="00243A07">
        <w:rPr>
          <w:rFonts w:ascii="Segoe UI" w:hAnsi="Segoe UI" w:cs="Segoe UI" w:hint="cs"/>
          <w:rtl/>
          <w:lang w:val="en-US"/>
        </w:rPr>
        <w:t xml:space="preserve"> </w:t>
      </w:r>
      <w:r w:rsidRPr="00243A07">
        <w:rPr>
          <w:rFonts w:ascii="Segoe UI" w:hAnsi="Segoe UI" w:cs="Segoe UI"/>
          <w:rtl/>
          <w:lang w:val="en-US"/>
        </w:rPr>
        <w:t>האם יש לחובת האסיר עבירות משמעת שצבר בזמן המאסר;</w:t>
      </w:r>
      <w:r w:rsidR="00D20D1C" w:rsidRPr="00243A07">
        <w:rPr>
          <w:rFonts w:ascii="Segoe UI" w:hAnsi="Segoe UI" w:cs="Segoe UI" w:hint="cs"/>
          <w:rtl/>
          <w:lang w:val="en-US"/>
        </w:rPr>
        <w:t xml:space="preserve"> </w:t>
      </w:r>
      <w:r w:rsidRPr="00243A07">
        <w:rPr>
          <w:rFonts w:ascii="Segoe UI" w:hAnsi="Segoe UI" w:cs="Segoe UI"/>
          <w:rtl/>
          <w:lang w:val="en-US"/>
        </w:rPr>
        <w:t>האם עבד במסגרת מאסרו;</w:t>
      </w:r>
      <w:r w:rsidR="00D20D1C" w:rsidRPr="00243A07">
        <w:rPr>
          <w:rFonts w:ascii="Segoe UI" w:hAnsi="Segoe UI" w:cs="Segoe UI" w:hint="cs"/>
          <w:rtl/>
          <w:lang w:val="en-US"/>
        </w:rPr>
        <w:t xml:space="preserve"> </w:t>
      </w:r>
      <w:r w:rsidRPr="00243A07">
        <w:rPr>
          <w:rFonts w:ascii="Segoe UI" w:hAnsi="Segoe UI" w:cs="Segoe UI"/>
          <w:rtl/>
          <w:lang w:val="en-US"/>
        </w:rPr>
        <w:t>האם השתמש בסמים;</w:t>
      </w:r>
      <w:r w:rsidR="00D20D1C" w:rsidRPr="00243A07">
        <w:rPr>
          <w:rFonts w:ascii="Segoe UI" w:hAnsi="Segoe UI" w:cs="Segoe UI" w:hint="cs"/>
          <w:rtl/>
          <w:lang w:val="en-US"/>
        </w:rPr>
        <w:t xml:space="preserve"> </w:t>
      </w:r>
      <w:r w:rsidRPr="00243A07">
        <w:rPr>
          <w:rFonts w:ascii="Segoe UI" w:hAnsi="Segoe UI" w:cs="Segoe UI"/>
          <w:rtl/>
          <w:lang w:val="en-US"/>
        </w:rPr>
        <w:t>האם היה מעורב בפעילות עבריינית בתוך הכלא;</w:t>
      </w:r>
      <w:r w:rsidR="00D20D1C" w:rsidRPr="00243A07">
        <w:rPr>
          <w:rFonts w:ascii="Segoe UI" w:hAnsi="Segoe UI" w:cs="Segoe UI" w:hint="cs"/>
          <w:rtl/>
          <w:lang w:val="en-US"/>
        </w:rPr>
        <w:t xml:space="preserve"> </w:t>
      </w:r>
      <w:r w:rsidRPr="00243A07">
        <w:rPr>
          <w:rFonts w:ascii="Segoe UI" w:hAnsi="Segoe UI" w:cs="Segoe UI"/>
          <w:rtl/>
          <w:lang w:val="en-US"/>
        </w:rPr>
        <w:t>האם יש מידע של גורמי מודיעין המצביע על התנהגות שלילית בכלא;</w:t>
      </w:r>
      <w:r w:rsidR="00D20D1C" w:rsidRPr="00243A07">
        <w:rPr>
          <w:rFonts w:ascii="Segoe UI" w:hAnsi="Segoe UI" w:cs="Segoe UI" w:hint="cs"/>
          <w:rtl/>
          <w:lang w:val="en-US"/>
        </w:rPr>
        <w:t xml:space="preserve"> </w:t>
      </w:r>
      <w:r w:rsidRPr="00243A07">
        <w:rPr>
          <w:rFonts w:ascii="Segoe UI" w:hAnsi="Segoe UI" w:cs="Segoe UI"/>
          <w:rtl/>
          <w:lang w:val="en-US"/>
        </w:rPr>
        <w:t>פרמטרים נוספים שיכולים להצביע על התנהגותו במאסר.</w:t>
      </w:r>
    </w:p>
    <w:p w14:paraId="063DB1AA" w14:textId="2CBA9437" w:rsidR="000F33A4" w:rsidRDefault="000F33A4" w:rsidP="00D95A69">
      <w:pPr>
        <w:bidi/>
        <w:spacing w:after="0" w:line="276" w:lineRule="auto"/>
        <w:jc w:val="both"/>
        <w:rPr>
          <w:rFonts w:ascii="Segoe UI" w:hAnsi="Segoe UI" w:cs="Segoe UI"/>
          <w:rtl/>
          <w:lang w:val="en-US"/>
        </w:rPr>
      </w:pPr>
    </w:p>
    <w:p w14:paraId="0601E8B1" w14:textId="77777777" w:rsidR="00D20D1C" w:rsidRPr="00B6235A"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center"/>
        <w:rPr>
          <w:rFonts w:ascii="FrankRuehl" w:hAnsi="FrankRuehl" w:cs="FrankRuehl"/>
          <w:b/>
          <w:bCs/>
          <w:sz w:val="27"/>
          <w:szCs w:val="27"/>
        </w:rPr>
      </w:pPr>
      <w:r w:rsidRPr="00B6235A">
        <w:rPr>
          <w:rFonts w:ascii="FrankRuehl" w:hAnsi="FrankRuehl" w:cs="FrankRuehl"/>
          <w:b/>
          <w:bCs/>
          <w:sz w:val="27"/>
          <w:szCs w:val="27"/>
          <w:rtl/>
        </w:rPr>
        <w:t>סימן ב': שחרור על-תנאי על ידי ועדת שחרורים</w:t>
      </w:r>
    </w:p>
    <w:p w14:paraId="124880BB" w14:textId="77777777" w:rsidR="00D20D1C" w:rsidRPr="00AC395F"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AC395F">
        <w:rPr>
          <w:rFonts w:asciiTheme="majorBidi" w:hAnsiTheme="majorBidi" w:cstheme="majorBidi"/>
          <w:b/>
          <w:bCs/>
          <w:color w:val="008000"/>
          <w:sz w:val="27"/>
          <w:szCs w:val="27"/>
          <w:rtl/>
        </w:rPr>
        <w:t>שיקולי הועדה</w:t>
      </w:r>
    </w:p>
    <w:p w14:paraId="673192A6" w14:textId="733DB9B8"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B6235A">
        <w:rPr>
          <w:rFonts w:ascii="Miriam" w:hAnsi="Miriam" w:cs="Miriam"/>
          <w:sz w:val="32"/>
          <w:szCs w:val="32"/>
          <w:rtl/>
          <w:lang w:val="en-US"/>
        </w:rPr>
        <w:lastRenderedPageBreak/>
        <w:t>9</w:t>
      </w:r>
      <w:r w:rsidRPr="005138C1">
        <w:rPr>
          <w:rFonts w:ascii="FrankRuehl" w:hAnsi="FrankRuehl" w:cs="FrankRuehl" w:hint="cs"/>
          <w:sz w:val="26"/>
          <w:szCs w:val="26"/>
          <w:rtl/>
          <w:lang w:val="en-US"/>
        </w:rPr>
        <w:t xml:space="preserve">. </w:t>
      </w:r>
      <w:r w:rsidRPr="005138C1">
        <w:rPr>
          <w:rFonts w:ascii="FrankRuehl" w:hAnsi="FrankRuehl" w:cs="FrankRuehl"/>
          <w:sz w:val="26"/>
          <w:szCs w:val="26"/>
          <w:rtl/>
        </w:rPr>
        <w:t xml:space="preserve">בבואה להחליט אם ראוי אסיר לשחרור על-תנאי, תשקול הועדה את הסיכון הצפוי משחרורו של האסיר לשלום הציבור, לרבות למשפחתו, לנפגע העבירה ולביטחון המדינה, את סיכויי שיקומו של האסיר ואת התנהגותו בכלא; לשם כך תביא הועדה בחשבון, </w:t>
      </w:r>
      <w:r w:rsidRPr="00B6235A">
        <w:rPr>
          <w:rFonts w:ascii="FrankRuehl" w:hAnsi="FrankRuehl" w:cs="FrankRuehl"/>
          <w:b/>
          <w:bCs/>
          <w:color w:val="FF0000"/>
          <w:sz w:val="26"/>
          <w:szCs w:val="26"/>
          <w:rtl/>
        </w:rPr>
        <w:t>בין השאר, נתונים אלה</w:t>
      </w:r>
      <w:r w:rsidRPr="005138C1">
        <w:rPr>
          <w:rFonts w:ascii="FrankRuehl" w:hAnsi="FrankRuehl" w:cs="FrankRuehl"/>
          <w:sz w:val="26"/>
          <w:szCs w:val="26"/>
        </w:rPr>
        <w:t>:</w:t>
      </w:r>
    </w:p>
    <w:p w14:paraId="1F7ACB19" w14:textId="77777777"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sidRPr="005138C1">
        <w:rPr>
          <w:rFonts w:ascii="FrankRuehl" w:hAnsi="FrankRuehl" w:cs="FrankRuehl"/>
          <w:sz w:val="26"/>
          <w:szCs w:val="26"/>
        </w:rPr>
        <w:t>(1)</w:t>
      </w:r>
      <w:r w:rsidRPr="005138C1">
        <w:rPr>
          <w:rFonts w:ascii="FrankRuehl" w:hAnsi="FrankRuehl" w:cs="FrankRuehl" w:hint="cs"/>
          <w:sz w:val="26"/>
          <w:szCs w:val="26"/>
          <w:rtl/>
        </w:rPr>
        <w:t xml:space="preserve"> </w:t>
      </w:r>
      <w:r w:rsidRPr="005138C1">
        <w:rPr>
          <w:rFonts w:ascii="FrankRuehl" w:hAnsi="FrankRuehl" w:cs="FrankRuehl"/>
          <w:sz w:val="26"/>
          <w:szCs w:val="26"/>
          <w:rtl/>
        </w:rPr>
        <w:t xml:space="preserve">העבירה שבשלה נושא האסיר עונש מאסר, לרבות נסיבות ביצועה, סוגה, חומרתה, היקפה ותוצאותיה, תקופת המאסר שגזר עליו בית המשפט, קנס או פיצוי לפי סעיף 77 לחוק העונשין, שהוא חויב בהם בגזר הדין כאמור, האם </w:t>
      </w:r>
      <w:proofErr w:type="spellStart"/>
      <w:r w:rsidRPr="005138C1">
        <w:rPr>
          <w:rFonts w:ascii="FrankRuehl" w:hAnsi="FrankRuehl" w:cs="FrankRuehl"/>
          <w:sz w:val="26"/>
          <w:szCs w:val="26"/>
          <w:rtl/>
        </w:rPr>
        <w:t>שילמם</w:t>
      </w:r>
      <w:proofErr w:type="spellEnd"/>
      <w:r w:rsidRPr="005138C1">
        <w:rPr>
          <w:rFonts w:ascii="FrankRuehl" w:hAnsi="FrankRuehl" w:cs="FrankRuehl"/>
          <w:sz w:val="26"/>
          <w:szCs w:val="26"/>
          <w:rtl/>
        </w:rPr>
        <w:t xml:space="preserve"> ואם לא </w:t>
      </w:r>
      <w:proofErr w:type="spellStart"/>
      <w:r w:rsidRPr="005138C1">
        <w:rPr>
          <w:rFonts w:ascii="FrankRuehl" w:hAnsi="FrankRuehl" w:cs="FrankRuehl"/>
          <w:sz w:val="26"/>
          <w:szCs w:val="26"/>
          <w:rtl/>
        </w:rPr>
        <w:t>שילמם</w:t>
      </w:r>
      <w:proofErr w:type="spellEnd"/>
      <w:r w:rsidRPr="005138C1">
        <w:rPr>
          <w:rFonts w:ascii="FrankRuehl" w:hAnsi="FrankRuehl" w:cs="FrankRuehl"/>
          <w:sz w:val="26"/>
          <w:szCs w:val="26"/>
        </w:rPr>
        <w:t xml:space="preserve"> – </w:t>
      </w:r>
      <w:r w:rsidRPr="005138C1">
        <w:rPr>
          <w:rFonts w:ascii="FrankRuehl" w:hAnsi="FrankRuehl" w:cs="FrankRuehl"/>
          <w:sz w:val="26"/>
          <w:szCs w:val="26"/>
          <w:rtl/>
        </w:rPr>
        <w:t>הסיבות לכך, וכן הקלה בעונש אם ניתנה לו בידי נשיא המדינה</w:t>
      </w:r>
      <w:r w:rsidRPr="005138C1">
        <w:rPr>
          <w:rFonts w:ascii="FrankRuehl" w:hAnsi="FrankRuehl" w:cs="FrankRuehl" w:hint="cs"/>
          <w:sz w:val="26"/>
          <w:szCs w:val="26"/>
          <w:rtl/>
        </w:rPr>
        <w:t>:</w:t>
      </w:r>
    </w:p>
    <w:p w14:paraId="620ADEF3" w14:textId="61B2E3C1"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(2)</w:t>
      </w:r>
      <w:r w:rsidRPr="005138C1">
        <w:rPr>
          <w:rFonts w:ascii="FrankRuehl" w:hAnsi="FrankRuehl" w:cs="FrankRuehl"/>
          <w:sz w:val="26"/>
          <w:szCs w:val="26"/>
        </w:rPr>
        <w:t xml:space="preserve"> </w:t>
      </w:r>
      <w:r w:rsidRPr="005138C1">
        <w:rPr>
          <w:rFonts w:ascii="FrankRuehl" w:hAnsi="FrankRuehl" w:cs="FrankRuehl" w:hint="cs"/>
          <w:sz w:val="26"/>
          <w:szCs w:val="26"/>
          <w:rtl/>
        </w:rPr>
        <w:t xml:space="preserve"> </w:t>
      </w:r>
      <w:r w:rsidRPr="005138C1">
        <w:rPr>
          <w:rFonts w:ascii="FrankRuehl" w:hAnsi="FrankRuehl" w:cs="FrankRuehl"/>
          <w:sz w:val="26"/>
          <w:szCs w:val="26"/>
          <w:rtl/>
        </w:rPr>
        <w:t>תוכנם של כתבי אישום התלויים ועומדים נגד האסיר; סוגי העבירות שבהן הוא מואשם, נסיבות ביצוען ותוצאותיהן, על פי האישומים</w:t>
      </w:r>
      <w:r w:rsidRPr="005138C1">
        <w:rPr>
          <w:rFonts w:ascii="FrankRuehl" w:hAnsi="FrankRuehl" w:cs="FrankRuehl"/>
          <w:sz w:val="26"/>
          <w:szCs w:val="26"/>
        </w:rPr>
        <w:t>;</w:t>
      </w:r>
    </w:p>
    <w:p w14:paraId="7020FFB0" w14:textId="6C26E16D"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 xml:space="preserve">(3) </w:t>
      </w:r>
      <w:r w:rsidRPr="005138C1">
        <w:rPr>
          <w:rFonts w:ascii="FrankRuehl" w:hAnsi="FrankRuehl" w:cs="FrankRuehl"/>
          <w:sz w:val="26"/>
          <w:szCs w:val="26"/>
          <w:rtl/>
        </w:rPr>
        <w:t>הרשעותיו הקודמות של האסיר, מספרן, תכיפותן, סוגי העבירות שבהן הורשע, חומרתן</w:t>
      </w:r>
      <w:r w:rsidRPr="005138C1">
        <w:rPr>
          <w:rFonts w:ascii="FrankRuehl" w:hAnsi="FrankRuehl" w:cs="FrankRuehl"/>
          <w:sz w:val="26"/>
          <w:szCs w:val="26"/>
        </w:rPr>
        <w:t xml:space="preserve">, </w:t>
      </w:r>
      <w:r w:rsidRPr="005138C1">
        <w:rPr>
          <w:rFonts w:ascii="FrankRuehl" w:hAnsi="FrankRuehl" w:cs="FrankRuehl"/>
          <w:sz w:val="26"/>
          <w:szCs w:val="26"/>
          <w:rtl/>
        </w:rPr>
        <w:t>נסיבות ביצוען, תוצאותיהן, היקפן ותקופות המאסר שנשא בשלהן</w:t>
      </w:r>
      <w:r w:rsidRPr="005138C1">
        <w:rPr>
          <w:rFonts w:ascii="FrankRuehl" w:hAnsi="FrankRuehl" w:cs="FrankRuehl"/>
          <w:sz w:val="26"/>
          <w:szCs w:val="26"/>
        </w:rPr>
        <w:t>;</w:t>
      </w:r>
    </w:p>
    <w:p w14:paraId="73CBFBDD" w14:textId="5E784F59"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 xml:space="preserve">(4) </w:t>
      </w:r>
      <w:r w:rsidRPr="005138C1">
        <w:rPr>
          <w:rFonts w:ascii="FrankRuehl" w:hAnsi="FrankRuehl" w:cs="FrankRuehl"/>
          <w:sz w:val="26"/>
          <w:szCs w:val="26"/>
          <w:rtl/>
        </w:rPr>
        <w:t xml:space="preserve">דיונים קודמים </w:t>
      </w:r>
      <w:proofErr w:type="spellStart"/>
      <w:r w:rsidRPr="005138C1">
        <w:rPr>
          <w:rFonts w:ascii="FrankRuehl" w:hAnsi="FrankRuehl" w:cs="FrankRuehl"/>
          <w:sz w:val="26"/>
          <w:szCs w:val="26"/>
          <w:rtl/>
        </w:rPr>
        <w:t>בועדות</w:t>
      </w:r>
      <w:proofErr w:type="spellEnd"/>
      <w:r w:rsidRPr="005138C1">
        <w:rPr>
          <w:rFonts w:ascii="FrankRuehl" w:hAnsi="FrankRuehl" w:cs="FrankRuehl"/>
          <w:sz w:val="26"/>
          <w:szCs w:val="26"/>
          <w:rtl/>
        </w:rPr>
        <w:t xml:space="preserve"> </w:t>
      </w:r>
      <w:proofErr w:type="spellStart"/>
      <w:r w:rsidRPr="005138C1">
        <w:rPr>
          <w:rFonts w:ascii="FrankRuehl" w:hAnsi="FrankRuehl" w:cs="FrankRuehl"/>
          <w:sz w:val="26"/>
          <w:szCs w:val="26"/>
          <w:rtl/>
        </w:rPr>
        <w:t>בענינו</w:t>
      </w:r>
      <w:proofErr w:type="spellEnd"/>
      <w:r w:rsidRPr="005138C1">
        <w:rPr>
          <w:rFonts w:ascii="FrankRuehl" w:hAnsi="FrankRuehl" w:cs="FrankRuehl"/>
          <w:sz w:val="26"/>
          <w:szCs w:val="26"/>
          <w:rtl/>
        </w:rPr>
        <w:t xml:space="preserve"> של האסיר והחלטות בהם, לרבות </w:t>
      </w:r>
      <w:proofErr w:type="spellStart"/>
      <w:r w:rsidRPr="005138C1">
        <w:rPr>
          <w:rFonts w:ascii="FrankRuehl" w:hAnsi="FrankRuehl" w:cs="FrankRuehl"/>
          <w:sz w:val="26"/>
          <w:szCs w:val="26"/>
          <w:rtl/>
        </w:rPr>
        <w:t>בענין</w:t>
      </w:r>
      <w:proofErr w:type="spellEnd"/>
      <w:r w:rsidRPr="005138C1">
        <w:rPr>
          <w:rFonts w:ascii="FrankRuehl" w:hAnsi="FrankRuehl" w:cs="FrankRuehl"/>
          <w:sz w:val="26"/>
          <w:szCs w:val="26"/>
          <w:rtl/>
        </w:rPr>
        <w:t xml:space="preserve"> ביטול שחרורו על-תנאי</w:t>
      </w:r>
      <w:r w:rsidRPr="005138C1">
        <w:rPr>
          <w:rFonts w:ascii="FrankRuehl" w:hAnsi="FrankRuehl" w:cs="FrankRuehl"/>
          <w:sz w:val="26"/>
          <w:szCs w:val="26"/>
        </w:rPr>
        <w:t>;</w:t>
      </w:r>
    </w:p>
    <w:p w14:paraId="186A4D29" w14:textId="7B5E659E" w:rsidR="00D20D1C" w:rsidRPr="005138C1" w:rsidRDefault="00D20D1C"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 xml:space="preserve">(5) </w:t>
      </w:r>
      <w:r w:rsidRPr="005138C1">
        <w:rPr>
          <w:rFonts w:ascii="FrankRuehl" w:hAnsi="FrankRuehl" w:cs="FrankRuehl"/>
          <w:sz w:val="26"/>
          <w:szCs w:val="26"/>
          <w:rtl/>
        </w:rPr>
        <w:t>הקלות בעונש שנתן לו נשיא המדינה בשל עונשי מאסר קודמים שהוטלו עליו</w:t>
      </w:r>
      <w:r w:rsidRPr="005138C1">
        <w:rPr>
          <w:rFonts w:ascii="FrankRuehl" w:hAnsi="FrankRuehl" w:cs="FrankRuehl"/>
          <w:sz w:val="26"/>
          <w:szCs w:val="26"/>
        </w:rPr>
        <w:t>;</w:t>
      </w:r>
    </w:p>
    <w:p w14:paraId="5A46CDA9" w14:textId="4F26EA79"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 xml:space="preserve">(6) </w:t>
      </w:r>
      <w:r w:rsidRPr="005138C1">
        <w:rPr>
          <w:rFonts w:ascii="FrankRuehl" w:hAnsi="FrankRuehl" w:cs="FrankRuehl"/>
          <w:sz w:val="26"/>
          <w:szCs w:val="26"/>
          <w:rtl/>
        </w:rPr>
        <w:t>התנהגות, חיובית או שלילית, של האסיר בבית הסוהר במהלך תקופת מאסרו, כמפורט להלן</w:t>
      </w:r>
      <w:r w:rsidRPr="005138C1">
        <w:rPr>
          <w:rFonts w:ascii="FrankRuehl" w:hAnsi="FrankRuehl" w:cs="FrankRuehl"/>
          <w:sz w:val="26"/>
          <w:szCs w:val="26"/>
        </w:rPr>
        <w:t>:</w:t>
      </w:r>
    </w:p>
    <w:p w14:paraId="3D94D1D4" w14:textId="517D3670"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(א)</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התנהגות טובה של האסיר במהלך תקופת המאסר</w:t>
      </w:r>
      <w:r w:rsidRPr="005138C1">
        <w:rPr>
          <w:rFonts w:ascii="FrankRuehl" w:hAnsi="FrankRuehl" w:cs="FrankRuehl"/>
          <w:sz w:val="26"/>
          <w:szCs w:val="26"/>
        </w:rPr>
        <w:t>;</w:t>
      </w:r>
    </w:p>
    <w:p w14:paraId="42D38D05" w14:textId="13EA0C84"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(ב)</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גילוי יחס חיובי מצד האסיר לעבודה ולצעדים שננקטו לשם שיקומו</w:t>
      </w:r>
      <w:r w:rsidRPr="005138C1">
        <w:rPr>
          <w:rFonts w:ascii="FrankRuehl" w:hAnsi="FrankRuehl" w:cs="FrankRuehl"/>
          <w:sz w:val="26"/>
          <w:szCs w:val="26"/>
        </w:rPr>
        <w:t>;</w:t>
      </w:r>
    </w:p>
    <w:p w14:paraId="50217021" w14:textId="2B2CF8BA"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(ג)</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שימוש בסם מסוכן, כהגדרתו בפקודת הסמים המסוכנים [נוסח חדש], התשל"ג-1973 (להלן – סם מסוכן)</w:t>
      </w:r>
      <w:r w:rsidRPr="005138C1">
        <w:rPr>
          <w:rFonts w:ascii="FrankRuehl" w:hAnsi="FrankRuehl" w:cs="FrankRuehl"/>
          <w:sz w:val="26"/>
          <w:szCs w:val="26"/>
        </w:rPr>
        <w:t>;</w:t>
      </w:r>
    </w:p>
    <w:p w14:paraId="42091F68" w14:textId="2479E9B1"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(ד)</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גמילה משימוש בסם מסוכן</w:t>
      </w:r>
      <w:r w:rsidRPr="005138C1">
        <w:rPr>
          <w:rFonts w:ascii="FrankRuehl" w:hAnsi="FrankRuehl" w:cs="FrankRuehl"/>
          <w:sz w:val="26"/>
          <w:szCs w:val="26"/>
        </w:rPr>
        <w:t>;</w:t>
      </w:r>
    </w:p>
    <w:p w14:paraId="641902C2" w14:textId="48973334"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(ה)</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עבירה פלילית שעבר האסיר וסוג העבירה</w:t>
      </w:r>
      <w:r w:rsidRPr="005138C1">
        <w:rPr>
          <w:rFonts w:ascii="FrankRuehl" w:hAnsi="FrankRuehl" w:cs="FrankRuehl"/>
          <w:sz w:val="26"/>
          <w:szCs w:val="26"/>
        </w:rPr>
        <w:t>;</w:t>
      </w:r>
    </w:p>
    <w:p w14:paraId="411EA494" w14:textId="2EDCF0EB"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(ו)</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התנהגות שיש בה כדי לפגוע פגיעה של ממש באסירים אחרים או בסוהרים או לשבש את סדריו של בית הסוהר</w:t>
      </w:r>
      <w:r w:rsidRPr="005138C1">
        <w:rPr>
          <w:rFonts w:ascii="FrankRuehl" w:hAnsi="FrankRuehl" w:cs="FrankRuehl"/>
          <w:sz w:val="26"/>
          <w:szCs w:val="26"/>
        </w:rPr>
        <w:t>;</w:t>
      </w:r>
    </w:p>
    <w:p w14:paraId="43F3B309" w14:textId="1280B6EB"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(ז)</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מעורבות בפעילות עבריינית, בין בתוך כותלי בית הסוהר ובין מחוץ להם</w:t>
      </w:r>
      <w:r w:rsidRPr="005138C1">
        <w:rPr>
          <w:rFonts w:ascii="FrankRuehl" w:hAnsi="FrankRuehl" w:cs="FrankRuehl"/>
          <w:sz w:val="26"/>
          <w:szCs w:val="26"/>
        </w:rPr>
        <w:t>;</w:t>
      </w:r>
    </w:p>
    <w:p w14:paraId="5D1C17E9" w14:textId="71F1A527" w:rsidR="00D20D1C" w:rsidRPr="005138C1" w:rsidRDefault="00D20D1C"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(ח)</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בריחה מבית הסוהר או חזרה אליו שלא במועד</w:t>
      </w:r>
      <w:r w:rsidRPr="005138C1">
        <w:rPr>
          <w:rFonts w:ascii="FrankRuehl" w:hAnsi="FrankRuehl" w:cs="FrankRuehl"/>
          <w:sz w:val="26"/>
          <w:szCs w:val="26"/>
        </w:rPr>
        <w:t>;</w:t>
      </w:r>
    </w:p>
    <w:p w14:paraId="17B0FAA6" w14:textId="35331766" w:rsidR="00D20D1C" w:rsidRPr="005138C1" w:rsidRDefault="00D20D1C"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(7)</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חוות דעת על האסיר שנתנו שירות בתי הסוהר, משטרת ישראל או רשויות הביטחון</w:t>
      </w:r>
      <w:r w:rsidRPr="005138C1">
        <w:rPr>
          <w:rFonts w:ascii="FrankRuehl" w:hAnsi="FrankRuehl" w:cs="FrankRuehl"/>
          <w:sz w:val="26"/>
          <w:szCs w:val="26"/>
        </w:rPr>
        <w:t xml:space="preserve">, </w:t>
      </w:r>
      <w:r w:rsidRPr="005138C1">
        <w:rPr>
          <w:rFonts w:ascii="FrankRuehl" w:hAnsi="FrankRuehl" w:cs="FrankRuehl"/>
          <w:sz w:val="26"/>
          <w:szCs w:val="26"/>
          <w:rtl/>
        </w:rPr>
        <w:t>ובמקרים המתאימים גם חוות דעת מקצועיות, בין השאר בנושא גילוי עריות</w:t>
      </w:r>
      <w:r w:rsidRPr="005138C1">
        <w:rPr>
          <w:rFonts w:ascii="FrankRuehl" w:hAnsi="FrankRuehl" w:cs="FrankRuehl"/>
          <w:sz w:val="26"/>
          <w:szCs w:val="26"/>
        </w:rPr>
        <w:t xml:space="preserve">, </w:t>
      </w:r>
      <w:r w:rsidRPr="005138C1">
        <w:rPr>
          <w:rFonts w:ascii="FrankRuehl" w:hAnsi="FrankRuehl" w:cs="FrankRuehl"/>
          <w:sz w:val="26"/>
          <w:szCs w:val="26"/>
          <w:rtl/>
        </w:rPr>
        <w:t>אלימות במשפחה ובריאות הנפש</w:t>
      </w:r>
      <w:r w:rsidRPr="005138C1">
        <w:rPr>
          <w:rFonts w:ascii="FrankRuehl" w:hAnsi="FrankRuehl" w:cs="FrankRuehl"/>
          <w:sz w:val="26"/>
          <w:szCs w:val="26"/>
        </w:rPr>
        <w:t>;</w:t>
      </w:r>
    </w:p>
    <w:p w14:paraId="5382C2D4" w14:textId="4549C5DC"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(8)</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חוות דעת של הרשות לשיקום האסיר, אם ניתנה, לענין שחרורו על-תנאי של האסיר</w:t>
      </w:r>
      <w:r w:rsidRPr="005138C1">
        <w:rPr>
          <w:rFonts w:ascii="FrankRuehl" w:hAnsi="FrankRuehl" w:cs="FrankRuehl"/>
          <w:sz w:val="26"/>
          <w:szCs w:val="26"/>
        </w:rPr>
        <w:t xml:space="preserve">, </w:t>
      </w:r>
      <w:r w:rsidRPr="005138C1">
        <w:rPr>
          <w:rFonts w:ascii="FrankRuehl" w:hAnsi="FrankRuehl" w:cs="FrankRuehl"/>
          <w:sz w:val="26"/>
          <w:szCs w:val="26"/>
          <w:rtl/>
        </w:rPr>
        <w:t>כמפורט להלן, שלה יינתן משקל גדול יותר ככל שהחלק מעונש המאסר שנשא האסיר קטן יותר</w:t>
      </w:r>
      <w:r w:rsidRPr="005138C1">
        <w:rPr>
          <w:rFonts w:ascii="FrankRuehl" w:hAnsi="FrankRuehl" w:cs="FrankRuehl"/>
          <w:sz w:val="26"/>
          <w:szCs w:val="26"/>
        </w:rPr>
        <w:t>:</w:t>
      </w:r>
    </w:p>
    <w:p w14:paraId="73FD4CBE" w14:textId="1DC7A052"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(א)</w:t>
      </w:r>
      <w:r w:rsidR="00990144" w:rsidRPr="005138C1">
        <w:rPr>
          <w:rFonts w:ascii="FrankRuehl" w:hAnsi="FrankRuehl" w:cs="FrankRuehl" w:hint="cs"/>
          <w:sz w:val="26"/>
          <w:szCs w:val="26"/>
          <w:rtl/>
        </w:rPr>
        <w:t xml:space="preserve"> </w:t>
      </w:r>
      <w:r w:rsidRPr="005138C1">
        <w:rPr>
          <w:rFonts w:ascii="FrankRuehl" w:hAnsi="FrankRuehl" w:cs="FrankRuehl"/>
          <w:sz w:val="26"/>
          <w:szCs w:val="26"/>
          <w:rtl/>
        </w:rPr>
        <w:t xml:space="preserve">חוות דעת הכוללת תכנית לשיקומו של האסיר, אפשרויות השתלבותו בעבודה סדירה או </w:t>
      </w:r>
      <w:proofErr w:type="spellStart"/>
      <w:r w:rsidRPr="005138C1">
        <w:rPr>
          <w:rFonts w:ascii="FrankRuehl" w:hAnsi="FrankRuehl" w:cs="FrankRuehl"/>
          <w:sz w:val="26"/>
          <w:szCs w:val="26"/>
          <w:rtl/>
        </w:rPr>
        <w:t>בתכנית</w:t>
      </w:r>
      <w:proofErr w:type="spellEnd"/>
      <w:r w:rsidRPr="005138C1">
        <w:rPr>
          <w:rFonts w:ascii="FrankRuehl" w:hAnsi="FrankRuehl" w:cs="FrankRuehl"/>
          <w:sz w:val="26"/>
          <w:szCs w:val="26"/>
          <w:rtl/>
        </w:rPr>
        <w:t xml:space="preserve"> טיפולית; לענין זה תובא בחשבון גם מידת הפיקוח על </w:t>
      </w:r>
      <w:proofErr w:type="spellStart"/>
      <w:r w:rsidRPr="005138C1">
        <w:rPr>
          <w:rFonts w:ascii="FrankRuehl" w:hAnsi="FrankRuehl" w:cs="FrankRuehl"/>
          <w:sz w:val="26"/>
          <w:szCs w:val="26"/>
          <w:rtl/>
        </w:rPr>
        <w:t>התכנית</w:t>
      </w:r>
      <w:proofErr w:type="spellEnd"/>
      <w:r w:rsidRPr="005138C1">
        <w:rPr>
          <w:rFonts w:ascii="FrankRuehl" w:hAnsi="FrankRuehl" w:cs="FrankRuehl"/>
          <w:sz w:val="26"/>
          <w:szCs w:val="26"/>
          <w:rtl/>
        </w:rPr>
        <w:t xml:space="preserve"> המוצעת על ידי הרשות לשיקום האסיר</w:t>
      </w:r>
      <w:r w:rsidRPr="005138C1">
        <w:rPr>
          <w:rFonts w:ascii="FrankRuehl" w:hAnsi="FrankRuehl" w:cs="FrankRuehl"/>
          <w:sz w:val="26"/>
          <w:szCs w:val="26"/>
        </w:rPr>
        <w:t>;</w:t>
      </w:r>
    </w:p>
    <w:p w14:paraId="737B6FBB" w14:textId="77777777" w:rsidR="005138C1" w:rsidRPr="005138C1" w:rsidRDefault="00990144"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sidRPr="005138C1">
        <w:rPr>
          <w:rFonts w:ascii="FrankRuehl" w:hAnsi="FrankRuehl" w:cs="FrankRuehl" w:hint="cs"/>
          <w:sz w:val="26"/>
          <w:szCs w:val="26"/>
          <w:rtl/>
        </w:rPr>
        <w:t xml:space="preserve">(ב) </w:t>
      </w:r>
      <w:r w:rsidR="00D20D1C" w:rsidRPr="005138C1">
        <w:rPr>
          <w:rFonts w:ascii="FrankRuehl" w:hAnsi="FrankRuehl" w:cs="FrankRuehl"/>
          <w:sz w:val="26"/>
          <w:szCs w:val="26"/>
          <w:rtl/>
        </w:rPr>
        <w:t xml:space="preserve">חוות דעת שלפיה אין האסיר זקוק </w:t>
      </w:r>
      <w:proofErr w:type="spellStart"/>
      <w:r w:rsidR="00D20D1C" w:rsidRPr="005138C1">
        <w:rPr>
          <w:rFonts w:ascii="FrankRuehl" w:hAnsi="FrankRuehl" w:cs="FrankRuehl"/>
          <w:sz w:val="26"/>
          <w:szCs w:val="26"/>
          <w:rtl/>
        </w:rPr>
        <w:t>לתכנית</w:t>
      </w:r>
      <w:proofErr w:type="spellEnd"/>
      <w:r w:rsidR="00D20D1C" w:rsidRPr="005138C1">
        <w:rPr>
          <w:rFonts w:ascii="FrankRuehl" w:hAnsi="FrankRuehl" w:cs="FrankRuehl"/>
          <w:sz w:val="26"/>
          <w:szCs w:val="26"/>
          <w:rtl/>
        </w:rPr>
        <w:t xml:space="preserve"> שיקום ושהוא אינו מגלה דפוסי התנהגות עבריינית</w:t>
      </w:r>
      <w:r w:rsidR="00D20D1C" w:rsidRPr="005138C1">
        <w:rPr>
          <w:rFonts w:ascii="FrankRuehl" w:hAnsi="FrankRuehl" w:cs="FrankRuehl"/>
          <w:sz w:val="26"/>
          <w:szCs w:val="26"/>
        </w:rPr>
        <w:t>;</w:t>
      </w:r>
    </w:p>
    <w:p w14:paraId="28967B2A" w14:textId="47ADD970" w:rsidR="00D20D1C" w:rsidRPr="005138C1" w:rsidRDefault="00990144"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 xml:space="preserve">(ג) </w:t>
      </w:r>
      <w:r w:rsidR="00D20D1C" w:rsidRPr="005138C1">
        <w:rPr>
          <w:rFonts w:ascii="FrankRuehl" w:hAnsi="FrankRuehl" w:cs="FrankRuehl"/>
          <w:sz w:val="26"/>
          <w:szCs w:val="26"/>
          <w:rtl/>
        </w:rPr>
        <w:t>חוות דעת שלפיה אין האסיר מתאים לשיקום</w:t>
      </w:r>
      <w:r w:rsidR="00D20D1C" w:rsidRPr="005138C1">
        <w:rPr>
          <w:rFonts w:ascii="FrankRuehl" w:hAnsi="FrankRuehl" w:cs="FrankRuehl"/>
          <w:sz w:val="26"/>
          <w:szCs w:val="26"/>
        </w:rPr>
        <w:t>;</w:t>
      </w:r>
    </w:p>
    <w:p w14:paraId="02874B22" w14:textId="7931A038" w:rsidR="00D20D1C" w:rsidRPr="005138C1" w:rsidRDefault="005138C1"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 xml:space="preserve">(9) </w:t>
      </w:r>
      <w:r w:rsidR="00D20D1C" w:rsidRPr="005138C1">
        <w:rPr>
          <w:rFonts w:ascii="FrankRuehl" w:hAnsi="FrankRuehl" w:cs="FrankRuehl"/>
          <w:sz w:val="26"/>
          <w:szCs w:val="26"/>
          <w:rtl/>
        </w:rPr>
        <w:t>לענין אסיר שהוטל עליו בצו מבחן לפי פקודת המבחן, לעמוד בפיקוחו של קצין מבחן לאחר שחרורו מהמאסר – חוות דעת של שירות המבחן, אם ניתנה, לענין שחרורו על-תנאי של האסיר</w:t>
      </w:r>
      <w:r w:rsidR="00D20D1C" w:rsidRPr="005138C1">
        <w:rPr>
          <w:rFonts w:ascii="FrankRuehl" w:hAnsi="FrankRuehl" w:cs="FrankRuehl"/>
          <w:sz w:val="26"/>
          <w:szCs w:val="26"/>
        </w:rPr>
        <w:t>;</w:t>
      </w:r>
    </w:p>
    <w:p w14:paraId="3C46E1BD" w14:textId="7A7410E2" w:rsidR="005138C1" w:rsidRPr="003078B6" w:rsidRDefault="005138C1"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5138C1">
        <w:rPr>
          <w:rFonts w:ascii="FrankRuehl" w:hAnsi="FrankRuehl" w:cs="FrankRuehl" w:hint="cs"/>
          <w:sz w:val="26"/>
          <w:szCs w:val="26"/>
          <w:rtl/>
        </w:rPr>
        <w:t xml:space="preserve">(10) </w:t>
      </w:r>
      <w:r w:rsidR="00D20D1C" w:rsidRPr="005138C1">
        <w:rPr>
          <w:rFonts w:ascii="FrankRuehl" w:hAnsi="FrankRuehl" w:cs="FrankRuehl"/>
          <w:sz w:val="26"/>
          <w:szCs w:val="26"/>
          <w:rtl/>
        </w:rPr>
        <w:t>נתונים אישיים של האסיר, לרבות גילו ומצבו המשפחתי</w:t>
      </w:r>
      <w:r w:rsidR="00D20D1C" w:rsidRPr="005138C1">
        <w:rPr>
          <w:rFonts w:ascii="FrankRuehl" w:hAnsi="FrankRuehl" w:cs="FrankRuehl"/>
          <w:sz w:val="26"/>
          <w:szCs w:val="26"/>
        </w:rPr>
        <w:t>.</w:t>
      </w:r>
    </w:p>
    <w:p w14:paraId="7176ED21" w14:textId="77777777" w:rsidR="003078B6" w:rsidRDefault="003078B6" w:rsidP="00D95A69">
      <w:pPr>
        <w:bidi/>
        <w:spacing w:after="0" w:line="276" w:lineRule="auto"/>
        <w:ind w:left="363" w:right="363"/>
        <w:jc w:val="both"/>
        <w:rPr>
          <w:rFonts w:ascii="FrankRuehl" w:hAnsi="FrankRuehl" w:cs="FrankRuehl"/>
          <w:b/>
          <w:bCs/>
          <w:color w:val="008000"/>
          <w:sz w:val="27"/>
          <w:szCs w:val="27"/>
          <w:rtl/>
        </w:rPr>
      </w:pPr>
    </w:p>
    <w:p w14:paraId="2B751247" w14:textId="75665279" w:rsidR="00D20D1C" w:rsidRPr="00AC395F"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AC395F">
        <w:rPr>
          <w:rFonts w:asciiTheme="majorBidi" w:hAnsiTheme="majorBidi" w:cstheme="majorBidi"/>
          <w:b/>
          <w:bCs/>
          <w:color w:val="008000"/>
          <w:sz w:val="27"/>
          <w:szCs w:val="27"/>
          <w:rtl/>
        </w:rPr>
        <w:t>שיקולים נוספים להחלטת הועדה</w:t>
      </w:r>
    </w:p>
    <w:p w14:paraId="668B3066" w14:textId="3749161F" w:rsidR="00D20D1C" w:rsidRPr="005138C1" w:rsidRDefault="005138C1"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B6235A">
        <w:rPr>
          <w:rFonts w:ascii="Miriam" w:hAnsi="Miriam" w:cs="Miriam"/>
          <w:sz w:val="32"/>
          <w:szCs w:val="32"/>
          <w:rtl/>
        </w:rPr>
        <w:t>10</w:t>
      </w:r>
      <w:r w:rsidRPr="005138C1">
        <w:rPr>
          <w:rFonts w:ascii="FrankRuehl" w:hAnsi="FrankRuehl" w:cs="FrankRuehl" w:hint="cs"/>
          <w:sz w:val="26"/>
          <w:szCs w:val="26"/>
          <w:rtl/>
        </w:rPr>
        <w:t xml:space="preserve">. (א) </w:t>
      </w:r>
      <w:r w:rsidR="00D20D1C" w:rsidRPr="007F1B39">
        <w:rPr>
          <w:rFonts w:ascii="FrankRuehl" w:hAnsi="FrankRuehl" w:cs="FrankRuehl"/>
          <w:b/>
          <w:bCs/>
          <w:color w:val="FF0000"/>
          <w:sz w:val="26"/>
          <w:szCs w:val="26"/>
          <w:rtl/>
        </w:rPr>
        <w:t>במקרים בעלי חומרה ובנסיבות מיוחדות</w:t>
      </w:r>
      <w:r w:rsidR="00D20D1C" w:rsidRPr="005138C1">
        <w:rPr>
          <w:rFonts w:ascii="FrankRuehl" w:hAnsi="FrankRuehl" w:cs="FrankRuehl"/>
          <w:sz w:val="26"/>
          <w:szCs w:val="26"/>
          <w:rtl/>
        </w:rPr>
        <w:t xml:space="preserve"> שבהם סברה הועדה כי שחרורו של האסיר על-תנאי יפגע במידה חמורה באמון הציבור במערכת המשפט, אכיפת החוק ובהרתעת הרבים</w:t>
      </w:r>
      <w:r w:rsidR="00D20D1C" w:rsidRPr="005138C1">
        <w:rPr>
          <w:rFonts w:ascii="FrankRuehl" w:hAnsi="FrankRuehl" w:cs="FrankRuehl"/>
          <w:sz w:val="26"/>
          <w:szCs w:val="26"/>
        </w:rPr>
        <w:t xml:space="preserve">, </w:t>
      </w:r>
      <w:r w:rsidR="00D20D1C" w:rsidRPr="005138C1">
        <w:rPr>
          <w:rFonts w:ascii="FrankRuehl" w:hAnsi="FrankRuehl" w:cs="FrankRuehl"/>
          <w:sz w:val="26"/>
          <w:szCs w:val="26"/>
          <w:rtl/>
        </w:rPr>
        <w:t>משנוצר יחס בלתי סביר בין חומרת העבירה, נסיבותיה והעונש שנגזר על האסיר לבין תקופת המאסר שיישא האסיר בפועל אם ישוחרר, ר</w:t>
      </w:r>
      <w:r w:rsidR="00D20D1C" w:rsidRPr="007F1B39">
        <w:rPr>
          <w:rFonts w:ascii="FrankRuehl" w:hAnsi="FrankRuehl" w:cs="FrankRuehl"/>
          <w:b/>
          <w:bCs/>
          <w:color w:val="FF0000"/>
          <w:sz w:val="26"/>
          <w:szCs w:val="26"/>
          <w:rtl/>
        </w:rPr>
        <w:t>שאית הועדה להביא בחשבון גם נתונים אלה בהחלטתה</w:t>
      </w:r>
      <w:r w:rsidR="00D20D1C" w:rsidRPr="005138C1">
        <w:rPr>
          <w:rFonts w:ascii="FrankRuehl" w:hAnsi="FrankRuehl" w:cs="FrankRuehl"/>
          <w:sz w:val="26"/>
          <w:szCs w:val="26"/>
          <w:rtl/>
        </w:rPr>
        <w:t xml:space="preserve">, </w:t>
      </w:r>
      <w:r w:rsidR="00D20D1C" w:rsidRPr="007F1B39">
        <w:rPr>
          <w:rFonts w:ascii="FrankRuehl" w:hAnsi="FrankRuehl" w:cs="FrankRuehl"/>
          <w:b/>
          <w:bCs/>
          <w:color w:val="FF0000"/>
          <w:sz w:val="26"/>
          <w:szCs w:val="26"/>
          <w:rtl/>
        </w:rPr>
        <w:t>נוסף על הנתונים המפורטים בסעיף</w:t>
      </w:r>
      <w:r w:rsidR="00D20D1C" w:rsidRPr="007F1B39">
        <w:rPr>
          <w:rFonts w:ascii="FrankRuehl" w:hAnsi="FrankRuehl" w:cs="FrankRuehl"/>
          <w:color w:val="FF0000"/>
          <w:sz w:val="26"/>
          <w:szCs w:val="26"/>
          <w:rtl/>
        </w:rPr>
        <w:t xml:space="preserve"> </w:t>
      </w:r>
      <w:r w:rsidR="00D20D1C" w:rsidRPr="005138C1">
        <w:rPr>
          <w:rFonts w:ascii="FrankRuehl" w:hAnsi="FrankRuehl" w:cs="FrankRuehl"/>
          <w:sz w:val="26"/>
          <w:szCs w:val="26"/>
          <w:rtl/>
        </w:rPr>
        <w:t>9; משקלם של הנתונים לפי סעיף קטן זה בהחלטת הועדה יפחת ככל שיגדל החלק מעונש המאסר שהאסיר כבר נשא</w:t>
      </w:r>
      <w:r w:rsidR="00D20D1C" w:rsidRPr="005138C1">
        <w:rPr>
          <w:rFonts w:ascii="FrankRuehl" w:hAnsi="FrankRuehl" w:cs="FrankRuehl"/>
          <w:sz w:val="26"/>
          <w:szCs w:val="26"/>
        </w:rPr>
        <w:t>.</w:t>
      </w:r>
    </w:p>
    <w:p w14:paraId="079951D5" w14:textId="1FE5160C" w:rsidR="003078B6" w:rsidRPr="003078B6" w:rsidRDefault="005138C1"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b/>
          <w:bCs/>
          <w:sz w:val="26"/>
          <w:szCs w:val="26"/>
          <w:rtl/>
        </w:rPr>
      </w:pPr>
      <w:r w:rsidRPr="00F2215F">
        <w:rPr>
          <w:rFonts w:ascii="FrankRuehl" w:hAnsi="FrankRuehl" w:cs="FrankRuehl" w:hint="cs"/>
          <w:b/>
          <w:bCs/>
          <w:sz w:val="26"/>
          <w:szCs w:val="26"/>
          <w:rtl/>
        </w:rPr>
        <w:lastRenderedPageBreak/>
        <w:t xml:space="preserve">(ב) </w:t>
      </w:r>
      <w:r w:rsidR="00D20D1C" w:rsidRPr="00F2215F">
        <w:rPr>
          <w:rFonts w:ascii="FrankRuehl" w:hAnsi="FrankRuehl" w:cs="FrankRuehl"/>
          <w:b/>
          <w:bCs/>
          <w:sz w:val="26"/>
          <w:szCs w:val="26"/>
          <w:rtl/>
        </w:rPr>
        <w:t xml:space="preserve">ועדת שחרורים מיוחדת, בבואה להחליט </w:t>
      </w:r>
      <w:proofErr w:type="spellStart"/>
      <w:r w:rsidR="00D20D1C" w:rsidRPr="00F2215F">
        <w:rPr>
          <w:rFonts w:ascii="FrankRuehl" w:hAnsi="FrankRuehl" w:cs="FrankRuehl"/>
          <w:b/>
          <w:bCs/>
          <w:sz w:val="26"/>
          <w:szCs w:val="26"/>
          <w:rtl/>
        </w:rPr>
        <w:t>בענין</w:t>
      </w:r>
      <w:proofErr w:type="spellEnd"/>
      <w:r w:rsidR="00D20D1C" w:rsidRPr="00F2215F">
        <w:rPr>
          <w:rFonts w:ascii="FrankRuehl" w:hAnsi="FrankRuehl" w:cs="FrankRuehl"/>
          <w:b/>
          <w:bCs/>
          <w:sz w:val="26"/>
          <w:szCs w:val="26"/>
          <w:rtl/>
        </w:rPr>
        <w:t xml:space="preserve"> שחרור על-תנאי של אסיר עולם, תשקול</w:t>
      </w:r>
      <w:r w:rsidR="00D20D1C" w:rsidRPr="00F2215F">
        <w:rPr>
          <w:rFonts w:ascii="FrankRuehl" w:hAnsi="FrankRuehl" w:cs="FrankRuehl"/>
          <w:b/>
          <w:bCs/>
          <w:sz w:val="26"/>
          <w:szCs w:val="26"/>
        </w:rPr>
        <w:t xml:space="preserve">, </w:t>
      </w:r>
      <w:r w:rsidR="00D20D1C" w:rsidRPr="00F2215F">
        <w:rPr>
          <w:rFonts w:ascii="FrankRuehl" w:hAnsi="FrankRuehl" w:cs="FrankRuehl"/>
          <w:b/>
          <w:bCs/>
          <w:sz w:val="26"/>
          <w:szCs w:val="26"/>
          <w:rtl/>
        </w:rPr>
        <w:t>נוסף על שיקולים אחרים האמורים בחוק זה, האם חל באסיר שינוי בולט וממשי מבחינת הבנת חומרת מעשיו ומבחינת מוכנותו להשתלב בחברה ולתרום לה</w:t>
      </w:r>
      <w:r w:rsidR="00D20D1C" w:rsidRPr="00F2215F">
        <w:rPr>
          <w:rFonts w:ascii="FrankRuehl" w:hAnsi="FrankRuehl" w:cs="FrankRuehl"/>
          <w:b/>
          <w:bCs/>
          <w:sz w:val="26"/>
          <w:szCs w:val="26"/>
        </w:rPr>
        <w:t>.</w:t>
      </w:r>
    </w:p>
    <w:p w14:paraId="073698EB" w14:textId="77777777" w:rsidR="003078B6" w:rsidRDefault="003078B6" w:rsidP="00D95A69">
      <w:pPr>
        <w:bidi/>
        <w:spacing w:after="0" w:line="276" w:lineRule="auto"/>
        <w:jc w:val="both"/>
        <w:rPr>
          <w:rFonts w:ascii="Segoe UI" w:hAnsi="Segoe UI" w:cs="Segoe UI"/>
          <w:rtl/>
          <w:lang w:val="en-US"/>
        </w:rPr>
      </w:pPr>
    </w:p>
    <w:p w14:paraId="30F52A74" w14:textId="72A035A3" w:rsidR="003078B6" w:rsidRPr="002E039C" w:rsidRDefault="003078B6" w:rsidP="00D95A69">
      <w:pPr>
        <w:bidi/>
        <w:spacing w:after="0" w:line="276" w:lineRule="auto"/>
        <w:jc w:val="both"/>
        <w:rPr>
          <w:rFonts w:ascii="Segoe UI" w:hAnsi="Segoe UI" w:cs="Segoe UI"/>
          <w:lang w:val="en-US"/>
        </w:rPr>
      </w:pPr>
      <w:r w:rsidRPr="002E039C">
        <w:rPr>
          <w:rFonts w:ascii="Segoe UI" w:hAnsi="Segoe UI" w:cs="Segoe UI"/>
          <w:rtl/>
          <w:lang w:val="en-US"/>
        </w:rPr>
        <w:t>סעיף 10א: ועדת שחרורים רשאית  לשקול גם שיקולי הלימה (אם החליטה שמדובר ב"עניין חמור")</w:t>
      </w:r>
    </w:p>
    <w:p w14:paraId="486A83AD" w14:textId="77777777" w:rsidR="003078B6" w:rsidRPr="002E039C" w:rsidRDefault="003078B6" w:rsidP="00D95A69">
      <w:pPr>
        <w:bidi/>
        <w:spacing w:after="0" w:line="276" w:lineRule="auto"/>
        <w:jc w:val="both"/>
        <w:rPr>
          <w:rFonts w:ascii="Segoe UI" w:hAnsi="Segoe UI" w:cs="Segoe UI"/>
          <w:rtl/>
          <w:lang w:val="en-US"/>
        </w:rPr>
      </w:pPr>
      <w:r w:rsidRPr="002E039C">
        <w:rPr>
          <w:rFonts w:ascii="Segoe UI" w:hAnsi="Segoe UI" w:cs="Segoe UI"/>
          <w:rtl/>
          <w:lang w:val="en-US"/>
        </w:rPr>
        <w:t xml:space="preserve">כלומר: תיאורית "ההפרדה </w:t>
      </w:r>
      <w:proofErr w:type="spellStart"/>
      <w:r w:rsidRPr="002E039C">
        <w:rPr>
          <w:rFonts w:ascii="Segoe UI" w:hAnsi="Segoe UI" w:cs="Segoe UI"/>
          <w:rtl/>
          <w:lang w:val="en-US"/>
        </w:rPr>
        <w:t>העונשית</w:t>
      </w:r>
      <w:proofErr w:type="spellEnd"/>
      <w:r w:rsidRPr="002E039C">
        <w:rPr>
          <w:rFonts w:ascii="Segoe UI" w:hAnsi="Segoe UI" w:cs="Segoe UI"/>
          <w:rtl/>
          <w:lang w:val="en-US"/>
        </w:rPr>
        <w:t>" בישראל לא קיימת.</w:t>
      </w:r>
    </w:p>
    <w:p w14:paraId="394A4E07" w14:textId="77777777" w:rsidR="003078B6" w:rsidRPr="002E039C" w:rsidRDefault="003078B6" w:rsidP="00D95A69">
      <w:pPr>
        <w:bidi/>
        <w:spacing w:after="0" w:line="276" w:lineRule="auto"/>
        <w:jc w:val="both"/>
        <w:rPr>
          <w:rFonts w:ascii="Segoe UI" w:hAnsi="Segoe UI" w:cs="Segoe UI"/>
          <w:rtl/>
          <w:lang w:val="en-US"/>
        </w:rPr>
      </w:pPr>
      <w:r w:rsidRPr="002E039C">
        <w:rPr>
          <w:rFonts w:ascii="Segoe UI" w:hAnsi="Segoe UI" w:cs="Segoe UI"/>
          <w:rtl/>
          <w:lang w:val="en-US"/>
        </w:rPr>
        <w:t xml:space="preserve">הן בגז"ד והן בשחרור – </w:t>
      </w:r>
      <w:r w:rsidRPr="002E039C">
        <w:rPr>
          <w:rFonts w:ascii="Segoe UI" w:hAnsi="Segoe UI" w:cs="Segoe UI"/>
          <w:b/>
          <w:bCs/>
          <w:u w:val="single"/>
          <w:rtl/>
          <w:lang w:val="en-US"/>
        </w:rPr>
        <w:t>ניתן לשקול את כלל השיקולים הרלבנטיים.</w:t>
      </w:r>
    </w:p>
    <w:p w14:paraId="487E46ED" w14:textId="77777777" w:rsidR="007C695B" w:rsidRPr="002E039C" w:rsidRDefault="007C695B" w:rsidP="00D95A69">
      <w:pPr>
        <w:bidi/>
        <w:spacing w:after="0" w:line="276" w:lineRule="auto"/>
        <w:jc w:val="both"/>
        <w:rPr>
          <w:rFonts w:ascii="Segoe UI" w:hAnsi="Segoe UI" w:cs="Segoe UI"/>
          <w:lang w:val="en-US"/>
        </w:rPr>
      </w:pPr>
      <w:r w:rsidRPr="002E039C">
        <w:rPr>
          <w:rFonts w:ascii="Segoe UI" w:hAnsi="Segoe UI" w:cs="Segoe UI"/>
          <w:rtl/>
          <w:lang w:val="en-US"/>
        </w:rPr>
        <w:t>סעיף 10א – התחשבות בשיקולי הלימה בעקבות פס"ד שקולניק</w:t>
      </w:r>
    </w:p>
    <w:p w14:paraId="3F03B3A7" w14:textId="77777777" w:rsidR="0056469A" w:rsidRDefault="0056469A" w:rsidP="00D95A69">
      <w:pPr>
        <w:bidi/>
        <w:spacing w:after="0" w:line="276" w:lineRule="auto"/>
        <w:jc w:val="both"/>
        <w:rPr>
          <w:rFonts w:ascii="Segoe UI" w:hAnsi="Segoe UI" w:cs="Segoe UI"/>
          <w:u w:val="single"/>
          <w:rtl/>
          <w:lang w:val="en-US"/>
        </w:rPr>
      </w:pPr>
    </w:p>
    <w:p w14:paraId="11075955" w14:textId="1B84B6AB" w:rsidR="0056469A" w:rsidRPr="0056469A" w:rsidRDefault="0056469A"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u w:val="single"/>
          <w:lang w:val="en-US"/>
        </w:rPr>
      </w:pPr>
      <w:r w:rsidRPr="0056469A">
        <w:rPr>
          <w:rFonts w:ascii="Segoe UI" w:hAnsi="Segoe UI" w:cs="Segoe UI"/>
          <w:highlight w:val="yellow"/>
          <w:u w:val="single"/>
          <w:rtl/>
          <w:lang w:val="en-US"/>
        </w:rPr>
        <w:t xml:space="preserve">בג"ץ 89/01 </w:t>
      </w:r>
      <w:r w:rsidRPr="0056469A">
        <w:rPr>
          <w:rFonts w:ascii="Segoe UI" w:hAnsi="Segoe UI" w:cs="Segoe UI"/>
          <w:b/>
          <w:bCs/>
          <w:highlight w:val="yellow"/>
          <w:u w:val="single"/>
          <w:rtl/>
          <w:lang w:val="en-US"/>
        </w:rPr>
        <w:t>הוועד הציבורי נגד עינויים בישראל נ' ועדת השחרורים בית הסוהר מעשיהו שב"ס</w:t>
      </w:r>
    </w:p>
    <w:p w14:paraId="0577ADA2" w14:textId="032B01A3" w:rsidR="002E039C" w:rsidRPr="002E039C" w:rsidRDefault="002E039C"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2E039C">
        <w:rPr>
          <w:rFonts w:ascii="Segoe UI" w:hAnsi="Segoe UI" w:cs="Segoe UI"/>
          <w:rtl/>
          <w:lang w:val="en-US"/>
        </w:rPr>
        <w:t>הורשע ברצח ונידון למאסר עולם. קצבו אותו ל-11 שנה</w:t>
      </w:r>
      <w:r w:rsidR="00246368">
        <w:rPr>
          <w:rFonts w:ascii="Segoe UI" w:hAnsi="Segoe UI" w:cs="Segoe UI" w:hint="cs"/>
          <w:rtl/>
          <w:lang w:val="en-US"/>
        </w:rPr>
        <w:t xml:space="preserve">; </w:t>
      </w:r>
      <w:r w:rsidRPr="002E039C">
        <w:rPr>
          <w:rFonts w:ascii="Segoe UI" w:hAnsi="Segoe UI" w:cs="Segoe UI"/>
          <w:rtl/>
          <w:lang w:val="en-US"/>
        </w:rPr>
        <w:t xml:space="preserve">ועדת שחרורים </w:t>
      </w:r>
      <w:r w:rsidR="008A0B95" w:rsidRPr="008A0B95">
        <w:rPr>
          <w:rFonts w:ascii="Segoe UI" w:hAnsi="Segoe UI" w:cs="Segoe UI" w:hint="cs"/>
          <w:color w:val="7030A0"/>
          <w:rtl/>
          <w:lang w:val="en-US"/>
        </w:rPr>
        <w:t xml:space="preserve">קיצרה לו 1/3 מהעונש ולכן </w:t>
      </w:r>
      <w:r w:rsidR="008A0B95">
        <w:rPr>
          <w:rFonts w:ascii="Segoe UI" w:hAnsi="Segoe UI" w:cs="Segoe UI" w:hint="cs"/>
          <w:rtl/>
          <w:lang w:val="en-US"/>
        </w:rPr>
        <w:t xml:space="preserve">בעצם </w:t>
      </w:r>
      <w:r w:rsidRPr="002E039C">
        <w:rPr>
          <w:rFonts w:ascii="Segoe UI" w:hAnsi="Segoe UI" w:cs="Segoe UI"/>
          <w:rtl/>
          <w:lang w:val="en-US"/>
        </w:rPr>
        <w:t xml:space="preserve">שחררה אחרי </w:t>
      </w:r>
      <w:r w:rsidR="00A02D53">
        <w:rPr>
          <w:rFonts w:ascii="Segoe UI" w:hAnsi="Segoe UI" w:cs="Segoe UI" w:hint="cs"/>
          <w:rtl/>
          <w:lang w:val="en-US"/>
        </w:rPr>
        <w:t>2/3</w:t>
      </w:r>
      <w:r w:rsidR="00246368">
        <w:rPr>
          <w:rFonts w:ascii="Segoe UI" w:hAnsi="Segoe UI" w:cs="Segoe UI" w:hint="cs"/>
          <w:rtl/>
          <w:lang w:val="en-US"/>
        </w:rPr>
        <w:t xml:space="preserve">; </w:t>
      </w:r>
      <w:r w:rsidR="008A0B95" w:rsidRPr="008A0B95">
        <w:rPr>
          <w:rFonts w:ascii="Segoe UI" w:hAnsi="Segoe UI" w:cs="Segoe UI" w:hint="cs"/>
          <w:color w:val="7030A0"/>
          <w:rtl/>
          <w:lang w:val="en-US"/>
        </w:rPr>
        <w:t xml:space="preserve">התוצאה הסופית היא שמגזר דין של מאסר עולם הוא ישב בפועל 8 שנים בלבד! </w:t>
      </w:r>
      <w:r w:rsidRPr="002E039C">
        <w:rPr>
          <w:rFonts w:ascii="Segoe UI" w:hAnsi="Segoe UI" w:cs="Segoe UI"/>
          <w:rtl/>
          <w:lang w:val="en-US"/>
        </w:rPr>
        <w:t>עתירה לבג"ץ: החלטת ועדת השחרורים היא בלתי סבירה משום ששקולניק מסוכן לציבור. הוועדה לא התחשבה בהיבטים של הרתעה, חומרת העבירה ושיקולים של אמון הציבור</w:t>
      </w:r>
      <w:r w:rsidR="00246368">
        <w:rPr>
          <w:rFonts w:ascii="Segoe UI" w:hAnsi="Segoe UI" w:cs="Segoe UI" w:hint="cs"/>
          <w:rtl/>
          <w:lang w:val="en-US"/>
        </w:rPr>
        <w:t xml:space="preserve">; </w:t>
      </w:r>
      <w:r w:rsidRPr="002E039C">
        <w:rPr>
          <w:rFonts w:ascii="Segoe UI" w:hAnsi="Segoe UI" w:cs="Segoe UI"/>
          <w:b/>
          <w:bCs/>
          <w:u w:val="single"/>
          <w:rtl/>
          <w:lang w:val="en-US"/>
        </w:rPr>
        <w:t>בית המשפט: על הוועדה להתחשב באינטרסים ציבוריים</w:t>
      </w:r>
      <w:r w:rsidR="00A02D53">
        <w:rPr>
          <w:rFonts w:ascii="Segoe UI" w:hAnsi="Segoe UI" w:cs="Segoe UI" w:hint="cs"/>
          <w:rtl/>
          <w:lang w:val="en-US"/>
        </w:rPr>
        <w:t>.</w:t>
      </w:r>
    </w:p>
    <w:p w14:paraId="6D7F521E" w14:textId="77777777" w:rsidR="007C695B" w:rsidRPr="00D20D1C" w:rsidRDefault="007C695B" w:rsidP="00D95A69">
      <w:pPr>
        <w:bidi/>
        <w:spacing w:after="0" w:line="276" w:lineRule="auto"/>
        <w:jc w:val="both"/>
        <w:rPr>
          <w:rFonts w:ascii="FrankRuehl" w:hAnsi="FrankRuehl" w:cs="FrankRuehl"/>
          <w:sz w:val="28"/>
          <w:szCs w:val="28"/>
        </w:rPr>
      </w:pPr>
    </w:p>
    <w:p w14:paraId="5BE3CAEA" w14:textId="77777777" w:rsidR="00D20D1C" w:rsidRPr="00AC395F"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AC395F">
        <w:rPr>
          <w:rFonts w:asciiTheme="majorBidi" w:hAnsiTheme="majorBidi" w:cstheme="majorBidi"/>
          <w:b/>
          <w:bCs/>
          <w:color w:val="008000"/>
          <w:sz w:val="27"/>
          <w:szCs w:val="27"/>
          <w:rtl/>
        </w:rPr>
        <w:t>שחרור אסיר הנושא מאסר בשל עבירת אלימות או מין בתוך המשפחה</w:t>
      </w:r>
    </w:p>
    <w:p w14:paraId="2063F179" w14:textId="3FD2AB1A" w:rsidR="00D20D1C" w:rsidRPr="005138C1"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B6235A">
        <w:rPr>
          <w:rFonts w:ascii="Miriam" w:hAnsi="Miriam" w:cs="Miriam"/>
          <w:sz w:val="32"/>
          <w:szCs w:val="32"/>
          <w:rtl/>
        </w:rPr>
        <w:t>11</w:t>
      </w:r>
      <w:r>
        <w:rPr>
          <w:rFonts w:ascii="FrankRuehl" w:hAnsi="FrankRuehl" w:cs="FrankRuehl" w:hint="cs"/>
          <w:sz w:val="28"/>
          <w:szCs w:val="28"/>
          <w:rtl/>
        </w:rPr>
        <w:t>. (א)</w:t>
      </w:r>
      <w:r>
        <w:rPr>
          <w:rFonts w:ascii="FrankRuehl" w:hAnsi="FrankRuehl" w:cs="FrankRuehl" w:hint="cs"/>
          <w:sz w:val="26"/>
          <w:szCs w:val="26"/>
          <w:rtl/>
        </w:rPr>
        <w:t xml:space="preserve"> </w:t>
      </w:r>
      <w:r w:rsidR="00D20D1C" w:rsidRPr="005138C1">
        <w:rPr>
          <w:rFonts w:ascii="FrankRuehl" w:hAnsi="FrankRuehl" w:cs="FrankRuehl"/>
          <w:sz w:val="26"/>
          <w:szCs w:val="26"/>
          <w:rtl/>
        </w:rPr>
        <w:t xml:space="preserve">הועדה לא תחליט על שחרורו על-תנאי של אסיר הנושא עונש מאסר בשל עבירה מן העבירות המנויות בתוספת, אלא </w:t>
      </w:r>
      <w:r w:rsidR="00D20D1C" w:rsidRPr="00F2215F">
        <w:rPr>
          <w:rFonts w:ascii="FrankRuehl" w:hAnsi="FrankRuehl" w:cs="FrankRuehl"/>
          <w:sz w:val="26"/>
          <w:szCs w:val="26"/>
          <w:rtl/>
        </w:rPr>
        <w:t>לאחר שצוות מקצועי, הכולל נציגים של משרד העבודה והרווחה ושל שירות בתי הסוהר, הגיש לה חוות דעת לענין מידת הסכנה הנשקפת לציבור משחרור האסיר, לרבות הסכנה לנפגע העבירה</w:t>
      </w:r>
      <w:r w:rsidR="00D20D1C" w:rsidRPr="00F2215F">
        <w:rPr>
          <w:rFonts w:ascii="FrankRuehl" w:hAnsi="FrankRuehl" w:cs="FrankRuehl"/>
          <w:sz w:val="26"/>
          <w:szCs w:val="26"/>
        </w:rPr>
        <w:t>.</w:t>
      </w:r>
    </w:p>
    <w:p w14:paraId="1011C577" w14:textId="3234F129" w:rsidR="00D20D1C"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Pr>
          <w:rFonts w:ascii="FrankRuehl" w:hAnsi="FrankRuehl" w:cs="FrankRuehl" w:hint="cs"/>
          <w:sz w:val="26"/>
          <w:szCs w:val="26"/>
          <w:rtl/>
        </w:rPr>
        <w:t xml:space="preserve">(ב) </w:t>
      </w:r>
      <w:r w:rsidR="00D20D1C" w:rsidRPr="005138C1">
        <w:rPr>
          <w:rFonts w:ascii="FrankRuehl" w:hAnsi="FrankRuehl" w:cs="FrankRuehl"/>
          <w:sz w:val="26"/>
          <w:szCs w:val="26"/>
          <w:rtl/>
        </w:rPr>
        <w:t>שר המשפטים רשאי, בצו, באישור שר העבודה והרווחה וועדת החוקה חוק ומשפט של הכנסת, לשנות את התוספת</w:t>
      </w:r>
      <w:r w:rsidR="00D20D1C" w:rsidRPr="005138C1">
        <w:rPr>
          <w:rFonts w:ascii="FrankRuehl" w:hAnsi="FrankRuehl" w:cs="FrankRuehl"/>
          <w:sz w:val="26"/>
          <w:szCs w:val="26"/>
        </w:rPr>
        <w:t>.</w:t>
      </w:r>
    </w:p>
    <w:p w14:paraId="34148118" w14:textId="77777777" w:rsidR="00A9613C" w:rsidRPr="005138C1" w:rsidRDefault="00A9613C" w:rsidP="00D95A69">
      <w:pPr>
        <w:bidi/>
        <w:spacing w:before="72" w:after="0" w:line="276" w:lineRule="auto"/>
        <w:ind w:left="363" w:right="363"/>
        <w:jc w:val="both"/>
        <w:rPr>
          <w:rFonts w:ascii="FrankRuehl" w:hAnsi="FrankRuehl" w:cs="FrankRuehl"/>
          <w:sz w:val="26"/>
          <w:szCs w:val="26"/>
        </w:rPr>
      </w:pPr>
    </w:p>
    <w:p w14:paraId="14D115D0" w14:textId="77777777" w:rsidR="00D20D1C" w:rsidRPr="00AC395F"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AC395F">
        <w:rPr>
          <w:rFonts w:asciiTheme="majorBidi" w:hAnsiTheme="majorBidi" w:cstheme="majorBidi"/>
          <w:b/>
          <w:bCs/>
          <w:color w:val="008000"/>
          <w:sz w:val="27"/>
          <w:szCs w:val="27"/>
          <w:rtl/>
        </w:rPr>
        <w:t>שחרור אסיר הנושא מאסר בשל עבירת מין או הלוקה בנפשו</w:t>
      </w:r>
    </w:p>
    <w:p w14:paraId="5EB9DAAC" w14:textId="56D8B013" w:rsidR="00D20D1C" w:rsidRPr="005138C1"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B6235A">
        <w:rPr>
          <w:rFonts w:ascii="Miriam" w:hAnsi="Miriam" w:cs="Miriam"/>
          <w:sz w:val="32"/>
          <w:szCs w:val="32"/>
          <w:rtl/>
        </w:rPr>
        <w:t>12</w:t>
      </w:r>
      <w:r>
        <w:rPr>
          <w:rFonts w:ascii="FrankRuehl" w:hAnsi="FrankRuehl" w:cs="FrankRuehl" w:hint="cs"/>
          <w:sz w:val="26"/>
          <w:szCs w:val="26"/>
          <w:rtl/>
        </w:rPr>
        <w:t xml:space="preserve">. (א) </w:t>
      </w:r>
      <w:r w:rsidR="00D20D1C" w:rsidRPr="005138C1">
        <w:rPr>
          <w:rFonts w:ascii="FrankRuehl" w:hAnsi="FrankRuehl" w:cs="FrankRuehl"/>
          <w:sz w:val="26"/>
          <w:szCs w:val="26"/>
          <w:rtl/>
        </w:rPr>
        <w:t>הועדה לא תחליט על שחרורו על-תנאי של אסיר הנושא עונש מאסר בשל עבירת מין או החולה במחלת נפש או הסובל מהפרעה נפשית, אלא לאחר שהוגשה לה חוות דעת שלפיה האסיר אינו מסוכן לציבור, מאדם שהוסמך לענין זה על ידי שר הבריאות; בסעיף זה</w:t>
      </w:r>
      <w:r w:rsidR="00D20D1C" w:rsidRPr="005138C1">
        <w:rPr>
          <w:rFonts w:ascii="FrankRuehl" w:hAnsi="FrankRuehl" w:cs="FrankRuehl"/>
          <w:sz w:val="26"/>
          <w:szCs w:val="26"/>
        </w:rPr>
        <w:t>, "</w:t>
      </w:r>
      <w:r w:rsidR="00D20D1C" w:rsidRPr="005138C1">
        <w:rPr>
          <w:rFonts w:ascii="FrankRuehl" w:hAnsi="FrankRuehl" w:cs="FrankRuehl"/>
          <w:sz w:val="26"/>
          <w:szCs w:val="26"/>
          <w:rtl/>
        </w:rPr>
        <w:t>חוות דעת</w:t>
      </w:r>
      <w:r w:rsidR="00D20D1C" w:rsidRPr="005138C1">
        <w:rPr>
          <w:rFonts w:ascii="FrankRuehl" w:hAnsi="FrankRuehl" w:cs="FrankRuehl"/>
          <w:sz w:val="26"/>
          <w:szCs w:val="26"/>
        </w:rPr>
        <w:t xml:space="preserve">", </w:t>
      </w:r>
      <w:r w:rsidR="00D20D1C" w:rsidRPr="005138C1">
        <w:rPr>
          <w:rFonts w:ascii="FrankRuehl" w:hAnsi="FrankRuehl" w:cs="FrankRuehl"/>
          <w:sz w:val="26"/>
          <w:szCs w:val="26"/>
          <w:rtl/>
        </w:rPr>
        <w:t>לענין אסיר הנושא עונש מאסר בשל עבירת מין – הערכת מסוכנות כהגדרתה בחוק הגנה על הציבור מפני ביצוע עבירות מין, התשס"ו-2006 (בחוק זה – חוק הגנה על הציבור מפני ביצוע עבירות מין)</w:t>
      </w:r>
      <w:r w:rsidR="00D20D1C" w:rsidRPr="005138C1">
        <w:rPr>
          <w:rFonts w:ascii="FrankRuehl" w:hAnsi="FrankRuehl" w:cs="FrankRuehl"/>
          <w:sz w:val="26"/>
          <w:szCs w:val="26"/>
        </w:rPr>
        <w:t>.</w:t>
      </w:r>
    </w:p>
    <w:p w14:paraId="70D65F47" w14:textId="3790855A" w:rsidR="00D20D1C"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Pr>
          <w:rFonts w:ascii="FrankRuehl" w:hAnsi="FrankRuehl" w:cs="FrankRuehl" w:hint="cs"/>
          <w:sz w:val="26"/>
          <w:szCs w:val="26"/>
          <w:rtl/>
        </w:rPr>
        <w:t xml:space="preserve">(ב) </w:t>
      </w:r>
      <w:r w:rsidR="00D20D1C" w:rsidRPr="005138C1">
        <w:rPr>
          <w:rFonts w:ascii="FrankRuehl" w:hAnsi="FrankRuehl" w:cs="FrankRuehl"/>
          <w:sz w:val="26"/>
          <w:szCs w:val="26"/>
          <w:rtl/>
        </w:rPr>
        <w:t>לא הוגשה חוות דעת כאמור בסעיף קטן (א), או שהוגשה חוות דעת שקבעה כי האסיר מסוכן לציבור במידה כלשהי אך ניתן לשחררו בתנאי שיקבל טיפול או בתנאי אחר</w:t>
      </w:r>
      <w:r w:rsidR="00D20D1C" w:rsidRPr="005138C1">
        <w:rPr>
          <w:rFonts w:ascii="FrankRuehl" w:hAnsi="FrankRuehl" w:cs="FrankRuehl"/>
          <w:sz w:val="26"/>
          <w:szCs w:val="26"/>
        </w:rPr>
        <w:t xml:space="preserve">, </w:t>
      </w:r>
      <w:r w:rsidR="00D20D1C" w:rsidRPr="005138C1">
        <w:rPr>
          <w:rFonts w:ascii="FrankRuehl" w:hAnsi="FrankRuehl" w:cs="FrankRuehl"/>
          <w:sz w:val="26"/>
          <w:szCs w:val="26"/>
          <w:rtl/>
        </w:rPr>
        <w:t>כפי שהומלץ בה, רשאית הועדה, על אף הוראות סעיף קטן (א), לשחרר אסיר כאמור באותו סעיף קטן, אם סברה, מטעמים מיוחדים שיירשמו, כי ניתן לשחררו בלא שייגרם בכך סיכון לציבור ובכפוף לתנאי שחרור שתקבע, שיבטיחו העדר סיכון כאמור</w:t>
      </w:r>
      <w:r w:rsidR="00D20D1C" w:rsidRPr="005138C1">
        <w:rPr>
          <w:rFonts w:ascii="FrankRuehl" w:hAnsi="FrankRuehl" w:cs="FrankRuehl"/>
          <w:sz w:val="26"/>
          <w:szCs w:val="26"/>
        </w:rPr>
        <w:t>.</w:t>
      </w:r>
    </w:p>
    <w:p w14:paraId="3E588FEF" w14:textId="77777777" w:rsidR="00136075" w:rsidRPr="005138C1" w:rsidRDefault="00136075" w:rsidP="00D95A69">
      <w:pPr>
        <w:bidi/>
        <w:spacing w:before="72" w:after="0" w:line="276" w:lineRule="auto"/>
        <w:ind w:left="363" w:right="363"/>
        <w:jc w:val="both"/>
        <w:rPr>
          <w:rFonts w:ascii="FrankRuehl" w:hAnsi="FrankRuehl" w:cs="FrankRuehl"/>
          <w:sz w:val="26"/>
          <w:szCs w:val="26"/>
        </w:rPr>
      </w:pPr>
    </w:p>
    <w:p w14:paraId="6B12166F" w14:textId="77777777" w:rsidR="00D20D1C" w:rsidRPr="00AC395F"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AC395F">
        <w:rPr>
          <w:rFonts w:asciiTheme="majorBidi" w:hAnsiTheme="majorBidi" w:cstheme="majorBidi"/>
          <w:b/>
          <w:bCs/>
          <w:color w:val="008000"/>
          <w:sz w:val="27"/>
          <w:szCs w:val="27"/>
          <w:rtl/>
        </w:rPr>
        <w:t>תנאי השחרור</w:t>
      </w:r>
    </w:p>
    <w:p w14:paraId="2E5CC412" w14:textId="21227AA6" w:rsidR="00D20D1C" w:rsidRPr="005138C1"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B6235A">
        <w:rPr>
          <w:rFonts w:ascii="Miriam" w:hAnsi="Miriam" w:cs="Miriam"/>
          <w:sz w:val="32"/>
          <w:szCs w:val="32"/>
          <w:rtl/>
        </w:rPr>
        <w:t>13</w:t>
      </w:r>
      <w:r>
        <w:rPr>
          <w:rFonts w:ascii="FrankRuehl" w:hAnsi="FrankRuehl" w:cs="FrankRuehl" w:hint="cs"/>
          <w:sz w:val="26"/>
          <w:szCs w:val="26"/>
          <w:rtl/>
        </w:rPr>
        <w:t xml:space="preserve">. (א) </w:t>
      </w:r>
      <w:r w:rsidR="00D20D1C" w:rsidRPr="005138C1">
        <w:rPr>
          <w:rFonts w:ascii="FrankRuehl" w:hAnsi="FrankRuehl" w:cs="FrankRuehl"/>
          <w:sz w:val="26"/>
          <w:szCs w:val="26"/>
          <w:rtl/>
        </w:rPr>
        <w:t>התנאי שבו מותנה שחרורו של אסיר לפי הוראות פרק זה בידי הוועדה, הוא שהמשוחרר לא יעבור עבירת עוון או פשע נוספת (להלן – עבירה נוספת) במשך תקופת התנאי</w:t>
      </w:r>
      <w:r w:rsidR="00D20D1C" w:rsidRPr="005138C1">
        <w:rPr>
          <w:rFonts w:ascii="FrankRuehl" w:hAnsi="FrankRuehl" w:cs="FrankRuehl"/>
          <w:sz w:val="26"/>
          <w:szCs w:val="26"/>
        </w:rPr>
        <w:t xml:space="preserve">; </w:t>
      </w:r>
      <w:r w:rsidR="00D20D1C" w:rsidRPr="005138C1">
        <w:rPr>
          <w:rFonts w:ascii="FrankRuehl" w:hAnsi="FrankRuehl" w:cs="FrankRuehl"/>
          <w:sz w:val="26"/>
          <w:szCs w:val="26"/>
          <w:rtl/>
        </w:rPr>
        <w:t>בחוק זה</w:t>
      </w:r>
      <w:r w:rsidR="00D20D1C" w:rsidRPr="005138C1">
        <w:rPr>
          <w:rFonts w:ascii="FrankRuehl" w:hAnsi="FrankRuehl" w:cs="FrankRuehl"/>
          <w:sz w:val="26"/>
          <w:szCs w:val="26"/>
        </w:rPr>
        <w:t>, "</w:t>
      </w:r>
      <w:r w:rsidR="00D20D1C" w:rsidRPr="005138C1">
        <w:rPr>
          <w:rFonts w:ascii="FrankRuehl" w:hAnsi="FrankRuehl" w:cs="FrankRuehl"/>
          <w:sz w:val="26"/>
          <w:szCs w:val="26"/>
          <w:rtl/>
        </w:rPr>
        <w:t>תקופת התנאי</w:t>
      </w:r>
      <w:r w:rsidR="00D20D1C" w:rsidRPr="005138C1">
        <w:rPr>
          <w:rFonts w:ascii="FrankRuehl" w:hAnsi="FrankRuehl" w:cs="FrankRuehl"/>
          <w:sz w:val="26"/>
          <w:szCs w:val="26"/>
        </w:rPr>
        <w:t xml:space="preserve">" – </w:t>
      </w:r>
      <w:r w:rsidR="00D20D1C" w:rsidRPr="005138C1">
        <w:rPr>
          <w:rFonts w:ascii="FrankRuehl" w:hAnsi="FrankRuehl" w:cs="FrankRuehl"/>
          <w:sz w:val="26"/>
          <w:szCs w:val="26"/>
          <w:rtl/>
        </w:rPr>
        <w:t xml:space="preserve">התקופה שמיום שחרורו על-תנאי של אסיר עד לסיום תקופת המאסר שהיה נושא לפי גזר הדין אילולא שוחרר, </w:t>
      </w:r>
      <w:proofErr w:type="spellStart"/>
      <w:r w:rsidR="00D20D1C" w:rsidRPr="005138C1">
        <w:rPr>
          <w:rFonts w:ascii="FrankRuehl" w:hAnsi="FrankRuehl" w:cs="FrankRuehl"/>
          <w:sz w:val="26"/>
          <w:szCs w:val="26"/>
          <w:rtl/>
        </w:rPr>
        <w:t>ולענין</w:t>
      </w:r>
      <w:proofErr w:type="spellEnd"/>
      <w:r w:rsidR="00D20D1C" w:rsidRPr="005138C1">
        <w:rPr>
          <w:rFonts w:ascii="FrankRuehl" w:hAnsi="FrankRuehl" w:cs="FrankRuehl"/>
          <w:sz w:val="26"/>
          <w:szCs w:val="26"/>
          <w:rtl/>
        </w:rPr>
        <w:t xml:space="preserve"> אסיר ששוחרר כאמור בסעיף 30(ב) – התקופה הקבועה בסעיף האמור</w:t>
      </w:r>
      <w:r w:rsidR="00D20D1C" w:rsidRPr="005138C1">
        <w:rPr>
          <w:rFonts w:ascii="FrankRuehl" w:hAnsi="FrankRuehl" w:cs="FrankRuehl"/>
          <w:sz w:val="26"/>
          <w:szCs w:val="26"/>
        </w:rPr>
        <w:t xml:space="preserve">, </w:t>
      </w:r>
      <w:r w:rsidR="00D20D1C" w:rsidRPr="005138C1">
        <w:rPr>
          <w:rFonts w:ascii="FrankRuehl" w:hAnsi="FrankRuehl" w:cs="FrankRuehl"/>
          <w:sz w:val="26"/>
          <w:szCs w:val="26"/>
          <w:rtl/>
        </w:rPr>
        <w:t>לפי העניין</w:t>
      </w:r>
      <w:r w:rsidR="00D20D1C" w:rsidRPr="005138C1">
        <w:rPr>
          <w:rFonts w:ascii="FrankRuehl" w:hAnsi="FrankRuehl" w:cs="FrankRuehl"/>
          <w:sz w:val="26"/>
          <w:szCs w:val="26"/>
        </w:rPr>
        <w:t>.</w:t>
      </w:r>
    </w:p>
    <w:p w14:paraId="5B3BDBA1" w14:textId="62DD8DFE" w:rsidR="00D20D1C" w:rsidRPr="005138C1"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(ב) </w:t>
      </w:r>
      <w:r w:rsidR="00D20D1C" w:rsidRPr="005138C1">
        <w:rPr>
          <w:rFonts w:ascii="FrankRuehl" w:hAnsi="FrankRuehl" w:cs="FrankRuehl"/>
          <w:sz w:val="26"/>
          <w:szCs w:val="26"/>
          <w:rtl/>
        </w:rPr>
        <w:t>הועדה רשאית להתנות שחרורו של אסיר בתנאים נוספים, לרבות מתן ערובה על ידו</w:t>
      </w:r>
      <w:r w:rsidR="00D20D1C" w:rsidRPr="005138C1">
        <w:rPr>
          <w:rFonts w:ascii="FrankRuehl" w:hAnsi="FrankRuehl" w:cs="FrankRuehl"/>
          <w:sz w:val="26"/>
          <w:szCs w:val="26"/>
        </w:rPr>
        <w:t>.</w:t>
      </w:r>
    </w:p>
    <w:p w14:paraId="2D468232" w14:textId="6DBBDCDA" w:rsidR="00D20D1C" w:rsidRPr="005138C1" w:rsidRDefault="00A9613C"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Pr>
          <w:rFonts w:ascii="FrankRuehl" w:hAnsi="FrankRuehl" w:cs="FrankRuehl" w:hint="cs"/>
          <w:sz w:val="26"/>
          <w:szCs w:val="26"/>
          <w:rtl/>
        </w:rPr>
        <w:lastRenderedPageBreak/>
        <w:t xml:space="preserve">(ג) </w:t>
      </w:r>
      <w:r w:rsidR="00D20D1C" w:rsidRPr="005138C1">
        <w:rPr>
          <w:rFonts w:ascii="FrankRuehl" w:hAnsi="FrankRuehl" w:cs="FrankRuehl"/>
          <w:sz w:val="26"/>
          <w:szCs w:val="26"/>
          <w:rtl/>
        </w:rPr>
        <w:t xml:space="preserve">הועדה רשאית, לפי המלצת שירות המבחן או הרשות לשיקום האסיר, להתנות את שחרורו על-תנאי של האסיר בהשתתפותו, במהלך תקופת התנאי, </w:t>
      </w:r>
      <w:proofErr w:type="spellStart"/>
      <w:r w:rsidR="00D20D1C" w:rsidRPr="005138C1">
        <w:rPr>
          <w:rFonts w:ascii="FrankRuehl" w:hAnsi="FrankRuehl" w:cs="FrankRuehl"/>
          <w:sz w:val="26"/>
          <w:szCs w:val="26"/>
          <w:rtl/>
        </w:rPr>
        <w:t>בתכנית</w:t>
      </w:r>
      <w:proofErr w:type="spellEnd"/>
      <w:r w:rsidR="00D20D1C" w:rsidRPr="005138C1">
        <w:rPr>
          <w:rFonts w:ascii="FrankRuehl" w:hAnsi="FrankRuehl" w:cs="FrankRuehl"/>
          <w:sz w:val="26"/>
          <w:szCs w:val="26"/>
          <w:rtl/>
        </w:rPr>
        <w:t xml:space="preserve"> טיפולית בפיקוח שירות המבחן, או </w:t>
      </w:r>
      <w:proofErr w:type="spellStart"/>
      <w:r w:rsidR="00D20D1C" w:rsidRPr="005138C1">
        <w:rPr>
          <w:rFonts w:ascii="FrankRuehl" w:hAnsi="FrankRuehl" w:cs="FrankRuehl"/>
          <w:sz w:val="26"/>
          <w:szCs w:val="26"/>
          <w:rtl/>
        </w:rPr>
        <w:t>בתכנית</w:t>
      </w:r>
      <w:proofErr w:type="spellEnd"/>
      <w:r w:rsidR="00D20D1C" w:rsidRPr="005138C1">
        <w:rPr>
          <w:rFonts w:ascii="FrankRuehl" w:hAnsi="FrankRuehl" w:cs="FrankRuehl"/>
          <w:sz w:val="26"/>
          <w:szCs w:val="26"/>
          <w:rtl/>
        </w:rPr>
        <w:t xml:space="preserve"> לשיקומו שהוכנה בידי הרשות לשיקום האסיר; שחרור כאמור יותנה גם בקיום פרטי </w:t>
      </w:r>
      <w:proofErr w:type="spellStart"/>
      <w:r w:rsidR="00D20D1C" w:rsidRPr="005138C1">
        <w:rPr>
          <w:rFonts w:ascii="FrankRuehl" w:hAnsi="FrankRuehl" w:cs="FrankRuehl"/>
          <w:sz w:val="26"/>
          <w:szCs w:val="26"/>
          <w:rtl/>
        </w:rPr>
        <w:t>התכנית</w:t>
      </w:r>
      <w:proofErr w:type="spellEnd"/>
      <w:r w:rsidR="00D20D1C" w:rsidRPr="005138C1">
        <w:rPr>
          <w:rFonts w:ascii="FrankRuehl" w:hAnsi="FrankRuehl" w:cs="FrankRuehl"/>
          <w:sz w:val="26"/>
          <w:szCs w:val="26"/>
          <w:rtl/>
        </w:rPr>
        <w:t xml:space="preserve"> והועדה רשאית להתנותו בתנאים נוספים לענין זה</w:t>
      </w:r>
      <w:r w:rsidR="00D20D1C" w:rsidRPr="005138C1">
        <w:rPr>
          <w:rFonts w:ascii="FrankRuehl" w:hAnsi="FrankRuehl" w:cs="FrankRuehl"/>
          <w:sz w:val="26"/>
          <w:szCs w:val="26"/>
        </w:rPr>
        <w:t>.</w:t>
      </w:r>
    </w:p>
    <w:p w14:paraId="0E052B7B" w14:textId="2C04DB22" w:rsidR="00D20D1C" w:rsidRPr="005138C1"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(ד) </w:t>
      </w:r>
      <w:r w:rsidR="00D20D1C" w:rsidRPr="005138C1">
        <w:rPr>
          <w:rFonts w:ascii="FrankRuehl" w:hAnsi="FrankRuehl" w:cs="FrankRuehl"/>
          <w:sz w:val="26"/>
          <w:szCs w:val="26"/>
          <w:rtl/>
        </w:rPr>
        <w:t>בהעדר קביעה אחרת של הועדה, יותנה שחרורו של אסיר, נוסף על התנאים האמורים בסעיפים קטנים (א) עד (ג), גם באלה</w:t>
      </w:r>
      <w:r w:rsidR="00D20D1C" w:rsidRPr="005138C1">
        <w:rPr>
          <w:rFonts w:ascii="FrankRuehl" w:hAnsi="FrankRuehl" w:cs="FrankRuehl"/>
          <w:sz w:val="26"/>
          <w:szCs w:val="26"/>
        </w:rPr>
        <w:t>:</w:t>
      </w:r>
    </w:p>
    <w:p w14:paraId="7B41FED0" w14:textId="3430168F" w:rsidR="00D20D1C" w:rsidRPr="005138C1"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(1) </w:t>
      </w:r>
      <w:r w:rsidR="00D20D1C" w:rsidRPr="005138C1">
        <w:rPr>
          <w:rFonts w:ascii="FrankRuehl" w:hAnsi="FrankRuehl" w:cs="FrankRuehl"/>
          <w:sz w:val="26"/>
          <w:szCs w:val="26"/>
          <w:rtl/>
        </w:rPr>
        <w:t>האסיר יודיע למנהל בית הסוהר על המקום שבכוונתו לגור בו בתקופת התנאי</w:t>
      </w:r>
      <w:r w:rsidR="00D20D1C" w:rsidRPr="005138C1">
        <w:rPr>
          <w:rFonts w:ascii="FrankRuehl" w:hAnsi="FrankRuehl" w:cs="FrankRuehl"/>
          <w:sz w:val="26"/>
          <w:szCs w:val="26"/>
        </w:rPr>
        <w:t>;</w:t>
      </w:r>
    </w:p>
    <w:p w14:paraId="0BDCA7B6" w14:textId="71DD3FE8" w:rsidR="00D20D1C" w:rsidRPr="005138C1"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(2) </w:t>
      </w:r>
      <w:r w:rsidR="00D20D1C" w:rsidRPr="005138C1">
        <w:rPr>
          <w:rFonts w:ascii="FrankRuehl" w:hAnsi="FrankRuehl" w:cs="FrankRuehl"/>
          <w:sz w:val="26"/>
          <w:szCs w:val="26"/>
          <w:rtl/>
        </w:rPr>
        <w:t xml:space="preserve">בתוך </w:t>
      </w:r>
      <w:r w:rsidR="00D20D1C" w:rsidRPr="005138C1">
        <w:rPr>
          <w:rFonts w:ascii="FrankRuehl" w:hAnsi="FrankRuehl" w:cs="FrankRuehl"/>
          <w:sz w:val="26"/>
          <w:szCs w:val="26"/>
        </w:rPr>
        <w:t xml:space="preserve">48 </w:t>
      </w:r>
      <w:r w:rsidR="00D20D1C" w:rsidRPr="005138C1">
        <w:rPr>
          <w:rFonts w:ascii="FrankRuehl" w:hAnsi="FrankRuehl" w:cs="FrankRuehl"/>
          <w:sz w:val="26"/>
          <w:szCs w:val="26"/>
          <w:rtl/>
        </w:rPr>
        <w:t>שעות מעת שהגיע האסיר למקום מגוריו, יתייצב לפני השוטר הממונה על תחנת המשטרה הקרובה לו ביותר במחוז שבו הוא גר (להלן – השוטר הממונה)</w:t>
      </w:r>
      <w:r w:rsidR="00D20D1C" w:rsidRPr="005138C1">
        <w:rPr>
          <w:rFonts w:ascii="FrankRuehl" w:hAnsi="FrankRuehl" w:cs="FrankRuehl"/>
          <w:sz w:val="26"/>
          <w:szCs w:val="26"/>
        </w:rPr>
        <w:t>;</w:t>
      </w:r>
    </w:p>
    <w:p w14:paraId="3665E132" w14:textId="4D502552" w:rsidR="00D20D1C" w:rsidRPr="005138C1" w:rsidRDefault="00A9613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(3) </w:t>
      </w:r>
      <w:r w:rsidR="00D20D1C" w:rsidRPr="005138C1">
        <w:rPr>
          <w:rFonts w:ascii="FrankRuehl" w:hAnsi="FrankRuehl" w:cs="FrankRuehl"/>
          <w:sz w:val="26"/>
          <w:szCs w:val="26"/>
          <w:rtl/>
        </w:rPr>
        <w:t>האסיר יתייצב אחת לחודש, במהלך תקופת התנאי, לפני השוטר הממונה, ויודיע לו ולמנהל בית הסוהר, בהקדם האפשרי, על כל שינוי שחל במקום מגוריו</w:t>
      </w:r>
      <w:r w:rsidR="00D20D1C" w:rsidRPr="005138C1">
        <w:rPr>
          <w:rFonts w:ascii="FrankRuehl" w:hAnsi="FrankRuehl" w:cs="FrankRuehl"/>
          <w:sz w:val="26"/>
          <w:szCs w:val="26"/>
        </w:rPr>
        <w:t>.</w:t>
      </w:r>
    </w:p>
    <w:p w14:paraId="41C402BC" w14:textId="6818FED5" w:rsidR="00D20D1C" w:rsidRPr="005138C1" w:rsidRDefault="00A9613C"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(4) </w:t>
      </w:r>
      <w:r w:rsidR="00D20D1C" w:rsidRPr="005138C1">
        <w:rPr>
          <w:rFonts w:ascii="FrankRuehl" w:hAnsi="FrankRuehl" w:cs="FrankRuehl"/>
          <w:sz w:val="26"/>
          <w:szCs w:val="26"/>
          <w:rtl/>
        </w:rPr>
        <w:t>איסור יציאתו של האסיר מהארץ</w:t>
      </w:r>
      <w:r w:rsidR="00D20D1C" w:rsidRPr="005138C1">
        <w:rPr>
          <w:rFonts w:ascii="FrankRuehl" w:hAnsi="FrankRuehl" w:cs="FrankRuehl"/>
          <w:sz w:val="26"/>
          <w:szCs w:val="26"/>
        </w:rPr>
        <w:t>.</w:t>
      </w:r>
    </w:p>
    <w:p w14:paraId="6681CD48" w14:textId="26641328" w:rsidR="00D20D1C" w:rsidRDefault="00F363D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Pr>
          <w:rFonts w:ascii="FrankRuehl" w:hAnsi="FrankRuehl" w:cs="FrankRuehl" w:hint="cs"/>
          <w:sz w:val="26"/>
          <w:szCs w:val="26"/>
          <w:rtl/>
        </w:rPr>
        <w:t xml:space="preserve">(ה) </w:t>
      </w:r>
      <w:r w:rsidR="00D20D1C" w:rsidRPr="005138C1">
        <w:rPr>
          <w:rFonts w:ascii="FrankRuehl" w:hAnsi="FrankRuehl" w:cs="FrankRuehl"/>
          <w:sz w:val="26"/>
          <w:szCs w:val="26"/>
          <w:rtl/>
        </w:rPr>
        <w:t>מגבלות על אסיר ששוחרר על-תנאי ממאסר לפי פרק זה בידי הוועדה, אשר הוטלו בצו לפי סעיף 3 לחוק מגבלות על חזרת עבריין מין לסביבת נפגע העבירה, התשס"ה-2004 (בחוק זה – חוק מגבלות על עבריין מין) או בצו לפי חוק הגנה על הציבור מפני ביצוע עבירות מין, הן חלק מתנאי השחרור</w:t>
      </w:r>
      <w:r w:rsidR="00D20D1C" w:rsidRPr="005138C1">
        <w:rPr>
          <w:rFonts w:ascii="FrankRuehl" w:hAnsi="FrankRuehl" w:cs="FrankRuehl"/>
          <w:sz w:val="26"/>
          <w:szCs w:val="26"/>
        </w:rPr>
        <w:t>.</w:t>
      </w:r>
    </w:p>
    <w:p w14:paraId="683FAB4A" w14:textId="77777777" w:rsidR="00F363D9" w:rsidRPr="005138C1" w:rsidRDefault="00F363D9" w:rsidP="00D95A69">
      <w:pPr>
        <w:bidi/>
        <w:spacing w:before="72" w:after="0" w:line="276" w:lineRule="auto"/>
        <w:ind w:left="363" w:right="363"/>
        <w:jc w:val="both"/>
        <w:rPr>
          <w:rFonts w:ascii="FrankRuehl" w:hAnsi="FrankRuehl" w:cs="FrankRuehl"/>
          <w:sz w:val="26"/>
          <w:szCs w:val="26"/>
        </w:rPr>
      </w:pPr>
    </w:p>
    <w:p w14:paraId="1CAD2CBC" w14:textId="77777777" w:rsidR="00D20D1C" w:rsidRPr="005931F9"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5931F9">
        <w:rPr>
          <w:rFonts w:asciiTheme="majorBidi" w:hAnsiTheme="majorBidi" w:cstheme="majorBidi"/>
          <w:b/>
          <w:bCs/>
          <w:color w:val="008000"/>
          <w:sz w:val="27"/>
          <w:szCs w:val="27"/>
          <w:rtl/>
        </w:rPr>
        <w:t>שחרור על-תנאי ממאסר בפיקוח אלקטרוני</w:t>
      </w:r>
    </w:p>
    <w:p w14:paraId="3B2C7121" w14:textId="6D9B13D7" w:rsidR="00D20D1C" w:rsidRPr="005138C1"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671863">
        <w:rPr>
          <w:rFonts w:ascii="Miriam" w:hAnsi="Miriam" w:cs="Miriam"/>
          <w:sz w:val="32"/>
          <w:szCs w:val="32"/>
        </w:rPr>
        <w:t>13</w:t>
      </w:r>
      <w:r w:rsidRPr="00671863">
        <w:rPr>
          <w:rFonts w:ascii="Miriam" w:hAnsi="Miriam" w:cs="Miriam"/>
          <w:sz w:val="32"/>
          <w:szCs w:val="32"/>
          <w:rtl/>
        </w:rPr>
        <w:t>א</w:t>
      </w:r>
      <w:r w:rsidRPr="00784309">
        <w:rPr>
          <w:rFonts w:ascii="Miriam" w:hAnsi="Miriam" w:cs="Miriam"/>
          <w:b/>
          <w:bCs/>
          <w:sz w:val="32"/>
          <w:szCs w:val="32"/>
          <w:rtl/>
        </w:rPr>
        <w:t>.</w:t>
      </w:r>
      <w:r w:rsidRPr="005138C1">
        <w:rPr>
          <w:rFonts w:ascii="FrankRuehl" w:hAnsi="FrankRuehl" w:cs="FrankRuehl"/>
          <w:sz w:val="26"/>
          <w:szCs w:val="26"/>
          <w:rtl/>
        </w:rPr>
        <w:t xml:space="preserve"> (א) בלי לגרוע מהוראות סעיף 13, הוועדה רשאית, מנימוקים שיירשמו, להתנות את שחרורו על-תנאי של האסיר בקיומו של פיקוח אלקטרוני, כהגדרתו בסעיף 22א לחוק המעצרים, על עמידתו בתנאי המגביל את יציאתו ממקום מסוים או את כניסתו למקום מסוים, בהתאם </w:t>
      </w:r>
      <w:proofErr w:type="spellStart"/>
      <w:r w:rsidRPr="005138C1">
        <w:rPr>
          <w:rFonts w:ascii="FrankRuehl" w:hAnsi="FrankRuehl" w:cs="FrankRuehl"/>
          <w:sz w:val="26"/>
          <w:szCs w:val="26"/>
          <w:rtl/>
        </w:rPr>
        <w:t>לתכנית</w:t>
      </w:r>
      <w:proofErr w:type="spellEnd"/>
      <w:r w:rsidRPr="005138C1">
        <w:rPr>
          <w:rFonts w:ascii="FrankRuehl" w:hAnsi="FrankRuehl" w:cs="FrankRuehl"/>
          <w:sz w:val="26"/>
          <w:szCs w:val="26"/>
          <w:rtl/>
        </w:rPr>
        <w:t xml:space="preserve"> הפיקוח שנקבעה לו (בסעיף זה – שחרור על-תנאי בפיקוח אלקטרוני), בכל תקופת התנאי או בחלק ממנה, אם סברה כי תנאי זה מתאים ונדרש בנסיבות העניין</w:t>
      </w:r>
      <w:r w:rsidRPr="005138C1">
        <w:rPr>
          <w:rFonts w:ascii="FrankRuehl" w:hAnsi="FrankRuehl" w:cs="FrankRuehl"/>
          <w:sz w:val="26"/>
          <w:szCs w:val="26"/>
        </w:rPr>
        <w:t>.</w:t>
      </w:r>
    </w:p>
    <w:p w14:paraId="06F1161A" w14:textId="77777777" w:rsidR="00D44C19" w:rsidRDefault="00D20D1C"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tl/>
        </w:rPr>
      </w:pPr>
      <w:r w:rsidRPr="005138C1">
        <w:rPr>
          <w:rFonts w:ascii="FrankRuehl" w:hAnsi="FrankRuehl" w:cs="FrankRuehl"/>
          <w:sz w:val="26"/>
          <w:szCs w:val="26"/>
          <w:rtl/>
        </w:rPr>
        <w:t>(ב)</w:t>
      </w:r>
      <w:r w:rsidRPr="005138C1">
        <w:rPr>
          <w:rFonts w:ascii="FrankRuehl" w:hAnsi="FrankRuehl" w:cs="FrankRuehl"/>
          <w:sz w:val="26"/>
          <w:szCs w:val="26"/>
        </w:rPr>
        <w:t xml:space="preserve"> (1) </w:t>
      </w:r>
      <w:r w:rsidR="00F363D9">
        <w:rPr>
          <w:rFonts w:ascii="FrankRuehl" w:hAnsi="FrankRuehl" w:cs="FrankRuehl" w:hint="cs"/>
          <w:sz w:val="26"/>
          <w:szCs w:val="26"/>
          <w:rtl/>
        </w:rPr>
        <w:t xml:space="preserve"> </w:t>
      </w:r>
      <w:r w:rsidRPr="005138C1">
        <w:rPr>
          <w:rFonts w:ascii="FrankRuehl" w:hAnsi="FrankRuehl" w:cs="FrankRuehl"/>
          <w:sz w:val="26"/>
          <w:szCs w:val="26"/>
          <w:rtl/>
        </w:rPr>
        <w:t>לא תחליט ועדת השחרורים על שחרור על-תנאי בפיקוח אלקטרוני, אלא בהסכמת האסיר</w:t>
      </w:r>
      <w:r w:rsidRPr="005138C1">
        <w:rPr>
          <w:rFonts w:ascii="FrankRuehl" w:hAnsi="FrankRuehl" w:cs="FrankRuehl"/>
          <w:sz w:val="26"/>
          <w:szCs w:val="26"/>
        </w:rPr>
        <w:t xml:space="preserve">, </w:t>
      </w:r>
      <w:r w:rsidRPr="005138C1">
        <w:rPr>
          <w:rFonts w:ascii="FrankRuehl" w:hAnsi="FrankRuehl" w:cs="FrankRuehl"/>
          <w:sz w:val="26"/>
          <w:szCs w:val="26"/>
          <w:rtl/>
        </w:rPr>
        <w:t>ולאחר שקיבלה חוות דעת של הרשות לשיקום האסיר, ולפיה האסיר נמצא מתאים לשחרור על-תנאי בפיקוח אלקטרוני, ומוצעת בה תכנית לשיקומו של האסיר כאמור בסעיף 9(8)(א)</w:t>
      </w:r>
      <w:r w:rsidRPr="005138C1">
        <w:rPr>
          <w:rFonts w:ascii="FrankRuehl" w:hAnsi="FrankRuehl" w:cs="FrankRuehl"/>
          <w:sz w:val="26"/>
          <w:szCs w:val="26"/>
        </w:rPr>
        <w:t>;</w:t>
      </w:r>
    </w:p>
    <w:p w14:paraId="5BCAAD95" w14:textId="1CD67B5D" w:rsidR="00D20D1C" w:rsidRPr="005138C1" w:rsidRDefault="00D44C19"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Pr>
          <w:rFonts w:ascii="FrankRuehl" w:hAnsi="FrankRuehl" w:cs="FrankRuehl" w:hint="cs"/>
          <w:sz w:val="26"/>
          <w:szCs w:val="26"/>
          <w:rtl/>
        </w:rPr>
        <w:t>(2)</w:t>
      </w:r>
      <w:r w:rsidR="00D20D1C" w:rsidRPr="005138C1">
        <w:rPr>
          <w:rFonts w:ascii="FrankRuehl" w:hAnsi="FrankRuehl" w:cs="FrankRuehl"/>
          <w:sz w:val="26"/>
          <w:szCs w:val="26"/>
        </w:rPr>
        <w:t xml:space="preserve"> </w:t>
      </w:r>
      <w:r w:rsidR="00535863">
        <w:rPr>
          <w:rFonts w:ascii="FrankRuehl" w:hAnsi="FrankRuehl" w:cs="FrankRuehl" w:hint="cs"/>
          <w:sz w:val="26"/>
          <w:szCs w:val="26"/>
          <w:rtl/>
        </w:rPr>
        <w:t xml:space="preserve"> </w:t>
      </w:r>
      <w:r w:rsidR="00D20D1C" w:rsidRPr="005138C1">
        <w:rPr>
          <w:rFonts w:ascii="FrankRuehl" w:hAnsi="FrankRuehl" w:cs="FrankRuehl"/>
          <w:sz w:val="26"/>
          <w:szCs w:val="26"/>
          <w:rtl/>
        </w:rPr>
        <w:t>חוות הדעת של הרשות לשיקום האסיר כאמור בפסקה (1) תכלול גם התייחסות לכל אלה</w:t>
      </w:r>
      <w:r w:rsidR="00D20D1C" w:rsidRPr="005138C1">
        <w:rPr>
          <w:rFonts w:ascii="FrankRuehl" w:hAnsi="FrankRuehl" w:cs="FrankRuehl"/>
          <w:sz w:val="26"/>
          <w:szCs w:val="26"/>
        </w:rPr>
        <w:t>:</w:t>
      </w:r>
    </w:p>
    <w:p w14:paraId="793CAA56" w14:textId="07E1AD78" w:rsidR="00D20D1C" w:rsidRPr="005138C1" w:rsidRDefault="00535863"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(א) </w:t>
      </w:r>
      <w:r w:rsidR="00D20D1C" w:rsidRPr="005138C1">
        <w:rPr>
          <w:rFonts w:ascii="FrankRuehl" w:hAnsi="FrankRuehl" w:cs="FrankRuehl"/>
          <w:sz w:val="26"/>
          <w:szCs w:val="26"/>
          <w:rtl/>
        </w:rPr>
        <w:t>התאמת האסיר לשחרור על-תנאי בפיקוח אלקטרוני</w:t>
      </w:r>
      <w:r w:rsidR="00D20D1C" w:rsidRPr="005138C1">
        <w:rPr>
          <w:rFonts w:ascii="FrankRuehl" w:hAnsi="FrankRuehl" w:cs="FrankRuehl"/>
          <w:sz w:val="26"/>
          <w:szCs w:val="26"/>
        </w:rPr>
        <w:t>;</w:t>
      </w:r>
    </w:p>
    <w:p w14:paraId="1AB13FB8" w14:textId="64244BAF" w:rsidR="00D20D1C" w:rsidRPr="005138C1" w:rsidRDefault="00535863"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(ב) </w:t>
      </w:r>
      <w:r w:rsidR="00D20D1C" w:rsidRPr="005138C1">
        <w:rPr>
          <w:rFonts w:ascii="FrankRuehl" w:hAnsi="FrankRuehl" w:cs="FrankRuehl"/>
          <w:sz w:val="26"/>
          <w:szCs w:val="26"/>
          <w:rtl/>
        </w:rPr>
        <w:t>מקום הפיקוח המוצע</w:t>
      </w:r>
      <w:r w:rsidR="00D20D1C" w:rsidRPr="005138C1">
        <w:rPr>
          <w:rFonts w:ascii="FrankRuehl" w:hAnsi="FrankRuehl" w:cs="FrankRuehl"/>
          <w:sz w:val="26"/>
          <w:szCs w:val="26"/>
        </w:rPr>
        <w:t>;</w:t>
      </w:r>
    </w:p>
    <w:p w14:paraId="46AC0ADD" w14:textId="789D52CC" w:rsidR="00D20D1C" w:rsidRPr="005138C1" w:rsidRDefault="00535863"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(ג) </w:t>
      </w:r>
      <w:r w:rsidR="00D20D1C" w:rsidRPr="005138C1">
        <w:rPr>
          <w:rFonts w:ascii="FrankRuehl" w:hAnsi="FrankRuehl" w:cs="FrankRuehl"/>
          <w:sz w:val="26"/>
          <w:szCs w:val="26"/>
          <w:rtl/>
        </w:rPr>
        <w:t>בני משפחה או דיירים נוספים המתגוררים במקום הפיקוח המוצע</w:t>
      </w:r>
      <w:r w:rsidR="00D20D1C" w:rsidRPr="005138C1">
        <w:rPr>
          <w:rFonts w:ascii="FrankRuehl" w:hAnsi="FrankRuehl" w:cs="FrankRuehl"/>
          <w:sz w:val="26"/>
          <w:szCs w:val="26"/>
        </w:rPr>
        <w:t>.</w:t>
      </w:r>
    </w:p>
    <w:p w14:paraId="44526C10" w14:textId="576F9B12" w:rsidR="00D20D1C" w:rsidRPr="005138C1" w:rsidRDefault="00535863"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(ג) </w:t>
      </w:r>
      <w:r w:rsidR="00D20D1C" w:rsidRPr="005138C1">
        <w:rPr>
          <w:rFonts w:ascii="FrankRuehl" w:hAnsi="FrankRuehl" w:cs="FrankRuehl"/>
          <w:sz w:val="26"/>
          <w:szCs w:val="26"/>
          <w:rtl/>
        </w:rPr>
        <w:t>על שחרור על-תנאי בפיקוח אלקטרוני, יחולו הוראות סעיפים 22א, 22ב(ג), 22ד</w:t>
      </w:r>
      <w:r w:rsidR="00D20D1C" w:rsidRPr="005138C1">
        <w:rPr>
          <w:rFonts w:ascii="FrankRuehl" w:hAnsi="FrankRuehl" w:cs="FrankRuehl"/>
          <w:sz w:val="26"/>
          <w:szCs w:val="26"/>
        </w:rPr>
        <w:t>(1), 22</w:t>
      </w:r>
      <w:r w:rsidR="00D20D1C" w:rsidRPr="005138C1">
        <w:rPr>
          <w:rFonts w:ascii="FrankRuehl" w:hAnsi="FrankRuehl" w:cs="FrankRuehl"/>
          <w:sz w:val="26"/>
          <w:szCs w:val="26"/>
          <w:rtl/>
        </w:rPr>
        <w:t>ו ו-22י לחוק המעצרים, בשינויים המחויבים ובשינויים אלה</w:t>
      </w:r>
      <w:r w:rsidR="00D20D1C" w:rsidRPr="005138C1">
        <w:rPr>
          <w:rFonts w:ascii="FrankRuehl" w:hAnsi="FrankRuehl" w:cs="FrankRuehl"/>
          <w:sz w:val="26"/>
          <w:szCs w:val="26"/>
        </w:rPr>
        <w:t>:</w:t>
      </w:r>
    </w:p>
    <w:p w14:paraId="473A134B" w14:textId="49C85BEB" w:rsidR="00D20D1C" w:rsidRPr="005138C1" w:rsidRDefault="00535863"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(1) </w:t>
      </w:r>
      <w:r w:rsidR="00D20D1C" w:rsidRPr="005138C1">
        <w:rPr>
          <w:rFonts w:ascii="FrankRuehl" w:hAnsi="FrankRuehl" w:cs="FrankRuehl"/>
          <w:sz w:val="26"/>
          <w:szCs w:val="26"/>
          <w:rtl/>
        </w:rPr>
        <w:t>בסעיף 22ד(1), במקום פסקאות משנה (ג) ו-(ד) יקראו</w:t>
      </w:r>
      <w:r w:rsidR="00D20D1C" w:rsidRPr="005138C1">
        <w:rPr>
          <w:rFonts w:ascii="FrankRuehl" w:hAnsi="FrankRuehl" w:cs="FrankRuehl"/>
          <w:sz w:val="26"/>
          <w:szCs w:val="26"/>
        </w:rPr>
        <w:t>:</w:t>
      </w:r>
    </w:p>
    <w:p w14:paraId="1A030B0D" w14:textId="15B392C5" w:rsidR="00D20D1C" w:rsidRPr="005138C1" w:rsidRDefault="00535863"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"(ג) </w:t>
      </w:r>
      <w:r w:rsidR="00D20D1C" w:rsidRPr="005138C1">
        <w:rPr>
          <w:rFonts w:ascii="FrankRuehl" w:hAnsi="FrankRuehl" w:cs="FrankRuehl"/>
          <w:sz w:val="26"/>
          <w:szCs w:val="26"/>
          <w:rtl/>
        </w:rPr>
        <w:t>פירוט תכנית הפיקוח לעניין פרקי הזמן שבהם נדרש המפוקח לשהות במקום הפיקוח, וכן קביעת הגבלות לעניין המקומות שהוא רשאי לשהות בהם בזמנים שבהם הוא אינו חייב להיות במקום הפיקוח, ככל שמצאה ועדת השחרורים כי יש מקום לקבוע הגבלות כאמור</w:t>
      </w:r>
      <w:r w:rsidR="00D20D1C" w:rsidRPr="005138C1">
        <w:rPr>
          <w:rFonts w:ascii="FrankRuehl" w:hAnsi="FrankRuehl" w:cs="FrankRuehl"/>
          <w:sz w:val="26"/>
          <w:szCs w:val="26"/>
        </w:rPr>
        <w:t>.</w:t>
      </w:r>
    </w:p>
    <w:p w14:paraId="01CBAD4B" w14:textId="77777777" w:rsidR="00D20D1C" w:rsidRPr="005138C1" w:rsidRDefault="00D20D1C" w:rsidP="00D95A69">
      <w:pPr>
        <w:pBdr>
          <w:top w:val="single" w:sz="4" w:space="1" w:color="auto"/>
          <w:left w:val="single" w:sz="4" w:space="4" w:color="auto"/>
          <w:bottom w:val="single" w:sz="4" w:space="1" w:color="auto"/>
          <w:right w:val="single" w:sz="4" w:space="4" w:color="auto"/>
        </w:pBdr>
        <w:bidi/>
        <w:spacing w:before="72" w:line="276" w:lineRule="auto"/>
        <w:ind w:left="363" w:right="363"/>
        <w:jc w:val="both"/>
        <w:rPr>
          <w:rFonts w:ascii="FrankRuehl" w:hAnsi="FrankRuehl" w:cs="FrankRuehl"/>
          <w:sz w:val="26"/>
          <w:szCs w:val="26"/>
        </w:rPr>
      </w:pPr>
      <w:r w:rsidRPr="005138C1">
        <w:rPr>
          <w:rFonts w:ascii="FrankRuehl" w:hAnsi="FrankRuehl" w:cs="FrankRuehl"/>
          <w:sz w:val="26"/>
          <w:szCs w:val="26"/>
          <w:rtl/>
        </w:rPr>
        <w:t>(ד)   תנאים ומגבלות נוספים שיחולו על המפוקח בתקופת הפיקוח, לפי הוראות סעיף 13</w:t>
      </w:r>
      <w:r w:rsidRPr="005138C1">
        <w:rPr>
          <w:rFonts w:ascii="FrankRuehl" w:hAnsi="FrankRuehl" w:cs="FrankRuehl"/>
          <w:sz w:val="26"/>
          <w:szCs w:val="26"/>
        </w:rPr>
        <w:t>.";</w:t>
      </w:r>
    </w:p>
    <w:p w14:paraId="5D71951C" w14:textId="3F9F322F" w:rsidR="00D20D1C" w:rsidRDefault="00184EBE"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Pr>
          <w:rFonts w:ascii="FrankRuehl" w:hAnsi="FrankRuehl" w:cs="FrankRuehl" w:hint="cs"/>
          <w:sz w:val="26"/>
          <w:szCs w:val="26"/>
          <w:rtl/>
        </w:rPr>
        <w:t xml:space="preserve">(2) </w:t>
      </w:r>
      <w:r w:rsidR="00D20D1C" w:rsidRPr="005138C1">
        <w:rPr>
          <w:rFonts w:ascii="FrankRuehl" w:hAnsi="FrankRuehl" w:cs="FrankRuehl"/>
          <w:sz w:val="26"/>
          <w:szCs w:val="26"/>
          <w:rtl/>
        </w:rPr>
        <w:t>בסעיף 22ו(ג)(2), במקום "ולבית המשפט" יקראו "ולוועדה</w:t>
      </w:r>
      <w:r w:rsidR="00D20D1C" w:rsidRPr="005138C1">
        <w:rPr>
          <w:rFonts w:ascii="FrankRuehl" w:hAnsi="FrankRuehl" w:cs="FrankRuehl"/>
          <w:sz w:val="26"/>
          <w:szCs w:val="26"/>
        </w:rPr>
        <w:t>"."</w:t>
      </w:r>
    </w:p>
    <w:p w14:paraId="59551B0D" w14:textId="77777777" w:rsidR="00184EBE" w:rsidRPr="005138C1" w:rsidRDefault="00184EBE" w:rsidP="00D95A69">
      <w:pPr>
        <w:bidi/>
        <w:spacing w:before="72" w:after="0" w:line="276" w:lineRule="auto"/>
        <w:ind w:left="363" w:right="363"/>
        <w:jc w:val="both"/>
        <w:rPr>
          <w:rFonts w:ascii="FrankRuehl" w:hAnsi="FrankRuehl" w:cs="FrankRuehl"/>
          <w:sz w:val="26"/>
          <w:szCs w:val="26"/>
        </w:rPr>
      </w:pPr>
    </w:p>
    <w:p w14:paraId="69723A7F" w14:textId="77777777" w:rsidR="00D20D1C" w:rsidRPr="00AC395F" w:rsidRDefault="00D20D1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AC395F">
        <w:rPr>
          <w:rFonts w:asciiTheme="majorBidi" w:hAnsiTheme="majorBidi" w:cstheme="majorBidi"/>
          <w:b/>
          <w:bCs/>
          <w:color w:val="008000"/>
          <w:sz w:val="27"/>
          <w:szCs w:val="27"/>
          <w:rtl/>
        </w:rPr>
        <w:t>רישיון למשוחרר על-תנאי</w:t>
      </w:r>
    </w:p>
    <w:p w14:paraId="19748F8D" w14:textId="61627895" w:rsidR="00D20D1C" w:rsidRPr="005138C1" w:rsidRDefault="0078430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671863">
        <w:rPr>
          <w:rFonts w:ascii="Miriam" w:hAnsi="Miriam" w:cs="Miriam"/>
          <w:sz w:val="32"/>
          <w:szCs w:val="32"/>
          <w:rtl/>
        </w:rPr>
        <w:t>14</w:t>
      </w:r>
      <w:r>
        <w:rPr>
          <w:rFonts w:ascii="FrankRuehl" w:hAnsi="FrankRuehl" w:cs="FrankRuehl" w:hint="cs"/>
          <w:sz w:val="26"/>
          <w:szCs w:val="26"/>
          <w:rtl/>
        </w:rPr>
        <w:t xml:space="preserve">. (א) </w:t>
      </w:r>
      <w:r w:rsidR="00D20D1C" w:rsidRPr="005138C1">
        <w:rPr>
          <w:rFonts w:ascii="FrankRuehl" w:hAnsi="FrankRuehl" w:cs="FrankRuehl"/>
          <w:sz w:val="26"/>
          <w:szCs w:val="26"/>
          <w:rtl/>
        </w:rPr>
        <w:t>ועדה שהחליטה לשחרר אסיר על-תנאי, תיתן לאסיר רישיון ובו יפורטו תנאי השחרור</w:t>
      </w:r>
      <w:r w:rsidR="00D20D1C" w:rsidRPr="005138C1">
        <w:rPr>
          <w:rFonts w:ascii="FrankRuehl" w:hAnsi="FrankRuehl" w:cs="FrankRuehl"/>
          <w:sz w:val="26"/>
          <w:szCs w:val="26"/>
        </w:rPr>
        <w:t>.</w:t>
      </w:r>
    </w:p>
    <w:p w14:paraId="1165C46F" w14:textId="4C3B7ABE" w:rsidR="00811709" w:rsidRPr="00726516" w:rsidRDefault="00811709" w:rsidP="00726516">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Pr>
          <w:rFonts w:ascii="FrankRuehl" w:hAnsi="FrankRuehl" w:cs="FrankRuehl" w:hint="cs"/>
          <w:sz w:val="26"/>
          <w:szCs w:val="26"/>
          <w:rtl/>
        </w:rPr>
        <w:t xml:space="preserve">(ב) </w:t>
      </w:r>
      <w:r w:rsidR="00D20D1C" w:rsidRPr="005138C1">
        <w:rPr>
          <w:rFonts w:ascii="FrankRuehl" w:hAnsi="FrankRuehl" w:cs="FrankRuehl"/>
          <w:sz w:val="26"/>
          <w:szCs w:val="26"/>
          <w:rtl/>
        </w:rPr>
        <w:t>אסיר ששוחרר על-תנאי יישא עמו את רישיונו בכל תקופת התנאי, ויציגו בפני שוטר, על פי דרישתו</w:t>
      </w:r>
      <w:r w:rsidR="00D20D1C" w:rsidRPr="005138C1">
        <w:rPr>
          <w:rFonts w:ascii="FrankRuehl" w:hAnsi="FrankRuehl" w:cs="FrankRuehl"/>
          <w:sz w:val="26"/>
          <w:szCs w:val="26"/>
        </w:rPr>
        <w:t>.</w:t>
      </w:r>
    </w:p>
    <w:p w14:paraId="07003EAA" w14:textId="588154CF" w:rsidR="000F33A4" w:rsidRPr="000F33A4" w:rsidRDefault="000F33A4" w:rsidP="00D95A69">
      <w:pPr>
        <w:pStyle w:val="110"/>
        <w:spacing w:line="276" w:lineRule="auto"/>
      </w:pPr>
      <w:r w:rsidRPr="000F33A4">
        <w:rPr>
          <w:rtl/>
        </w:rPr>
        <w:lastRenderedPageBreak/>
        <w:t xml:space="preserve">שיקול נוסף שלא נמנה במפורש בחוק </w:t>
      </w:r>
    </w:p>
    <w:p w14:paraId="2B9ACADB" w14:textId="424C1A9E" w:rsidR="000F33A4" w:rsidRPr="000F33A4" w:rsidRDefault="000F33A4" w:rsidP="00D95A69">
      <w:pPr>
        <w:bidi/>
        <w:spacing w:after="0" w:line="276" w:lineRule="auto"/>
        <w:jc w:val="both"/>
        <w:rPr>
          <w:rFonts w:ascii="Segoe UI" w:hAnsi="Segoe UI" w:cs="Segoe UI"/>
          <w:rtl/>
          <w:lang w:val="en-US"/>
        </w:rPr>
      </w:pPr>
      <w:r w:rsidRPr="000F33A4">
        <w:rPr>
          <w:rFonts w:ascii="Segoe UI" w:hAnsi="Segoe UI" w:cs="Segoe UI"/>
          <w:rtl/>
          <w:lang w:val="en-US"/>
        </w:rPr>
        <w:t>שיקול כלכלי/תועלתני:</w:t>
      </w:r>
      <w:r w:rsidR="00A41E1E">
        <w:rPr>
          <w:rFonts w:ascii="Segoe UI" w:hAnsi="Segoe UI" w:cs="Segoe UI" w:hint="cs"/>
          <w:rtl/>
          <w:lang w:val="en-US"/>
        </w:rPr>
        <w:t xml:space="preserve"> </w:t>
      </w:r>
      <w:r w:rsidRPr="000F33A4">
        <w:rPr>
          <w:rFonts w:ascii="Segoe UI" w:hAnsi="Segoe UI" w:cs="Segoe UI"/>
          <w:rtl/>
          <w:lang w:val="en-US"/>
        </w:rPr>
        <w:t>החזקת אסיר בישראל – כ- 120 אלף שח בשנה</w:t>
      </w:r>
      <w:r w:rsidR="00A41E1E">
        <w:rPr>
          <w:rFonts w:ascii="Segoe UI" w:hAnsi="Segoe UI" w:cs="Segoe UI" w:hint="cs"/>
          <w:rtl/>
          <w:lang w:val="en-US"/>
        </w:rPr>
        <w:t xml:space="preserve">; </w:t>
      </w:r>
      <w:r w:rsidRPr="000F33A4">
        <w:rPr>
          <w:rFonts w:ascii="Segoe UI" w:hAnsi="Segoe UI" w:cs="Segoe UI"/>
          <w:rtl/>
          <w:lang w:val="en-US"/>
        </w:rPr>
        <w:t>החזקת אסיר בפיקוח (שחרור על תנאי)</w:t>
      </w:r>
      <w:r w:rsidR="00963F30">
        <w:rPr>
          <w:rFonts w:ascii="Segoe UI" w:hAnsi="Segoe UI" w:cs="Segoe UI" w:hint="cs"/>
          <w:rtl/>
          <w:lang w:val="en-US"/>
        </w:rPr>
        <w:t xml:space="preserve"> -</w:t>
      </w:r>
      <w:r w:rsidRPr="000F33A4">
        <w:rPr>
          <w:rFonts w:ascii="Segoe UI" w:hAnsi="Segoe UI" w:cs="Segoe UI"/>
          <w:rtl/>
          <w:lang w:val="en-US"/>
        </w:rPr>
        <w:t xml:space="preserve"> כ-28 </w:t>
      </w:r>
      <w:proofErr w:type="spellStart"/>
      <w:r w:rsidRPr="000F33A4">
        <w:rPr>
          <w:rFonts w:ascii="Segoe UI" w:hAnsi="Segoe UI" w:cs="Segoe UI"/>
          <w:rtl/>
          <w:lang w:val="en-US"/>
        </w:rPr>
        <w:t>אש"ח</w:t>
      </w:r>
      <w:proofErr w:type="spellEnd"/>
      <w:r w:rsidR="007A09E4">
        <w:rPr>
          <w:rFonts w:ascii="Segoe UI" w:hAnsi="Segoe UI" w:cs="Segoe UI" w:hint="cs"/>
          <w:rtl/>
          <w:lang w:val="en-US"/>
        </w:rPr>
        <w:t>.</w:t>
      </w:r>
    </w:p>
    <w:p w14:paraId="2191DD54" w14:textId="7A4E70BD" w:rsidR="002E039C" w:rsidRPr="002E039C" w:rsidRDefault="002E039C" w:rsidP="00D95A69">
      <w:pPr>
        <w:bidi/>
        <w:spacing w:after="0" w:line="276" w:lineRule="auto"/>
        <w:jc w:val="both"/>
        <w:rPr>
          <w:rFonts w:ascii="Segoe UI" w:hAnsi="Segoe UI" w:cs="Segoe UI"/>
          <w:rtl/>
          <w:lang w:val="en-US"/>
        </w:rPr>
      </w:pPr>
    </w:p>
    <w:p w14:paraId="0955227D" w14:textId="2218D720" w:rsidR="00B635B3" w:rsidRPr="00B635B3" w:rsidRDefault="002E039C" w:rsidP="00D95A69">
      <w:pPr>
        <w:pStyle w:val="110"/>
        <w:spacing w:line="276" w:lineRule="auto"/>
        <w:rPr>
          <w:rtl/>
        </w:rPr>
      </w:pPr>
      <w:r w:rsidRPr="00B635B3">
        <w:rPr>
          <w:rtl/>
        </w:rPr>
        <w:t xml:space="preserve">פעילות הוועדה </w:t>
      </w:r>
    </w:p>
    <w:p w14:paraId="17CD81B7" w14:textId="07B70F45" w:rsidR="002E039C" w:rsidRPr="00B635B3" w:rsidRDefault="002E039C" w:rsidP="00D95A69">
      <w:pPr>
        <w:numPr>
          <w:ilvl w:val="0"/>
          <w:numId w:val="87"/>
        </w:numPr>
        <w:bidi/>
        <w:spacing w:after="0" w:line="276" w:lineRule="auto"/>
        <w:jc w:val="both"/>
        <w:rPr>
          <w:rFonts w:ascii="Segoe UI" w:hAnsi="Segoe UI" w:cs="Segoe UI"/>
          <w:rtl/>
          <w:lang w:val="en-US"/>
        </w:rPr>
      </w:pPr>
      <w:r w:rsidRPr="00B635B3">
        <w:rPr>
          <w:rFonts w:ascii="Segoe UI" w:hAnsi="Segoe UI" w:cs="Segoe UI"/>
          <w:rtl/>
          <w:lang w:val="en-US"/>
        </w:rPr>
        <w:t xml:space="preserve">שיקום – </w:t>
      </w:r>
      <w:proofErr w:type="spellStart"/>
      <w:r w:rsidRPr="00B635B3">
        <w:rPr>
          <w:rFonts w:ascii="Segoe UI" w:hAnsi="Segoe UI" w:cs="Segoe UI"/>
          <w:rtl/>
          <w:lang w:val="en-US"/>
        </w:rPr>
        <w:t>חוו"ד</w:t>
      </w:r>
      <w:proofErr w:type="spellEnd"/>
      <w:r w:rsidRPr="00B635B3">
        <w:rPr>
          <w:rFonts w:ascii="Segoe UI" w:hAnsi="Segoe UI" w:cs="Segoe UI"/>
          <w:rtl/>
          <w:lang w:val="en-US"/>
        </w:rPr>
        <w:t xml:space="preserve"> על מוטיבציה לשיקום, השתלבות עתידית בחברה, חינוך ושיקום, גמילה מסמים</w:t>
      </w:r>
    </w:p>
    <w:p w14:paraId="41F6025A" w14:textId="665A9C3D" w:rsidR="002E039C" w:rsidRDefault="002E039C" w:rsidP="00D95A69">
      <w:pPr>
        <w:numPr>
          <w:ilvl w:val="0"/>
          <w:numId w:val="87"/>
        </w:numPr>
        <w:bidi/>
        <w:spacing w:after="0" w:line="276" w:lineRule="auto"/>
        <w:jc w:val="both"/>
        <w:rPr>
          <w:rFonts w:ascii="Segoe UI" w:hAnsi="Segoe UI" w:cs="Segoe UI"/>
          <w:lang w:val="en-US"/>
        </w:rPr>
      </w:pPr>
      <w:r w:rsidRPr="00B635B3">
        <w:rPr>
          <w:rFonts w:ascii="Segoe UI" w:hAnsi="Segoe UI" w:cs="Segoe UI"/>
          <w:rtl/>
          <w:lang w:val="en-US"/>
        </w:rPr>
        <w:t>התנהגות טובה במאסר – השחרור המוקדם מתמרץ את האסיר להתנהגות טובה במהלך הכליאה</w:t>
      </w:r>
    </w:p>
    <w:p w14:paraId="3D28CE6A" w14:textId="77777777" w:rsidR="00B635B3" w:rsidRPr="00B635B3" w:rsidRDefault="00B635B3" w:rsidP="00D95A69">
      <w:pPr>
        <w:bidi/>
        <w:spacing w:after="0" w:line="276" w:lineRule="auto"/>
        <w:jc w:val="both"/>
        <w:rPr>
          <w:rFonts w:ascii="Segoe UI" w:hAnsi="Segoe UI" w:cs="Segoe UI"/>
          <w:rtl/>
          <w:lang w:val="en-US"/>
        </w:rPr>
      </w:pPr>
    </w:p>
    <w:p w14:paraId="15C50B5E" w14:textId="195E4041" w:rsidR="002E039C" w:rsidRPr="00B635B3" w:rsidRDefault="002E039C" w:rsidP="00D95A69">
      <w:pPr>
        <w:pStyle w:val="110"/>
        <w:spacing w:line="276" w:lineRule="auto"/>
        <w:rPr>
          <w:rtl/>
        </w:rPr>
      </w:pPr>
      <w:r w:rsidRPr="00B635B3">
        <w:rPr>
          <w:rtl/>
        </w:rPr>
        <w:t>סייגים לשחרור מוקדם</w:t>
      </w:r>
    </w:p>
    <w:p w14:paraId="4351D25D" w14:textId="77777777" w:rsidR="002E039C" w:rsidRPr="00B635B3" w:rsidRDefault="002E039C" w:rsidP="00D95A69">
      <w:pPr>
        <w:numPr>
          <w:ilvl w:val="0"/>
          <w:numId w:val="88"/>
        </w:numPr>
        <w:bidi/>
        <w:spacing w:after="0" w:line="276" w:lineRule="auto"/>
        <w:jc w:val="both"/>
        <w:rPr>
          <w:rFonts w:ascii="Segoe UI" w:hAnsi="Segoe UI" w:cs="Segoe UI"/>
          <w:rtl/>
          <w:lang w:val="en-US"/>
        </w:rPr>
      </w:pPr>
      <w:r w:rsidRPr="00B635B3">
        <w:rPr>
          <w:rFonts w:ascii="Segoe UI" w:hAnsi="Segoe UI" w:cs="Segoe UI"/>
          <w:rtl/>
          <w:lang w:val="en-US"/>
        </w:rPr>
        <w:t>האסיר המשוחרר יסכן את שלום הציבור</w:t>
      </w:r>
    </w:p>
    <w:p w14:paraId="350022FC" w14:textId="77777777" w:rsidR="002E039C" w:rsidRPr="00B635B3" w:rsidRDefault="002E039C" w:rsidP="00D95A69">
      <w:pPr>
        <w:numPr>
          <w:ilvl w:val="0"/>
          <w:numId w:val="88"/>
        </w:numPr>
        <w:bidi/>
        <w:spacing w:after="0" w:line="276" w:lineRule="auto"/>
        <w:jc w:val="both"/>
        <w:rPr>
          <w:rFonts w:ascii="Segoe UI" w:hAnsi="Segoe UI" w:cs="Segoe UI"/>
          <w:rtl/>
          <w:lang w:val="en-US"/>
        </w:rPr>
      </w:pPr>
      <w:r w:rsidRPr="00B635B3">
        <w:rPr>
          <w:rFonts w:ascii="Segoe UI" w:hAnsi="Segoe UI" w:cs="Segoe UI"/>
          <w:rtl/>
          <w:lang w:val="en-US"/>
        </w:rPr>
        <w:t>במקרים בעלי "חומרה מיוחדת" – השחרור יפגע באמון הציבור ובהרתעת הרבים</w:t>
      </w:r>
    </w:p>
    <w:p w14:paraId="1B6E915E" w14:textId="7CF0E302" w:rsidR="002E039C" w:rsidRPr="00B635B3" w:rsidRDefault="002E039C" w:rsidP="00D95A69">
      <w:pPr>
        <w:bidi/>
        <w:spacing w:after="0" w:line="276" w:lineRule="auto"/>
        <w:jc w:val="both"/>
        <w:rPr>
          <w:rFonts w:ascii="Segoe UI" w:hAnsi="Segoe UI" w:cs="Segoe UI"/>
          <w:rtl/>
          <w:lang w:val="en-US"/>
        </w:rPr>
      </w:pPr>
    </w:p>
    <w:p w14:paraId="42C3333C" w14:textId="77777777" w:rsidR="002E039C" w:rsidRPr="00B635B3" w:rsidRDefault="002E039C" w:rsidP="00D95A69">
      <w:pPr>
        <w:pStyle w:val="2"/>
      </w:pPr>
      <w:bookmarkStart w:id="83" w:name="_Toc108218239"/>
      <w:r w:rsidRPr="00B635B3">
        <w:rPr>
          <w:rtl/>
        </w:rPr>
        <w:t>שחרור מוקדם של רוצחים</w:t>
      </w:r>
      <w:bookmarkEnd w:id="83"/>
    </w:p>
    <w:p w14:paraId="105C446D" w14:textId="4F20E6E6" w:rsidR="002E039C" w:rsidRPr="00B635B3" w:rsidRDefault="002E039C" w:rsidP="00D95A69">
      <w:pPr>
        <w:bidi/>
        <w:spacing w:after="0" w:line="276" w:lineRule="auto"/>
        <w:jc w:val="both"/>
        <w:rPr>
          <w:rFonts w:ascii="Segoe UI" w:hAnsi="Segoe UI" w:cs="Segoe UI"/>
          <w:rtl/>
          <w:lang w:val="en-US"/>
        </w:rPr>
      </w:pPr>
      <w:r w:rsidRPr="00B635B3">
        <w:rPr>
          <w:rFonts w:ascii="Segoe UI" w:hAnsi="Segoe UI" w:cs="Segoe UI"/>
          <w:rtl/>
          <w:lang w:val="en-US"/>
        </w:rPr>
        <w:t>מאסר עולם -  כשמו כן הוא</w:t>
      </w:r>
      <w:r w:rsidR="007B31DF">
        <w:rPr>
          <w:rFonts w:ascii="Segoe UI" w:hAnsi="Segoe UI" w:cs="Segoe UI" w:hint="cs"/>
          <w:rtl/>
          <w:lang w:val="en-US"/>
        </w:rPr>
        <w:t xml:space="preserve">; </w:t>
      </w:r>
      <w:r w:rsidRPr="00B635B3">
        <w:rPr>
          <w:rFonts w:ascii="Segoe UI" w:hAnsi="Segoe UI" w:cs="Segoe UI"/>
          <w:rtl/>
          <w:lang w:val="en-US"/>
        </w:rPr>
        <w:t>האסיר אינו יודע כמה שנות מאסר עליו לרצות</w:t>
      </w:r>
      <w:r w:rsidR="007B31DF">
        <w:rPr>
          <w:rFonts w:ascii="Segoe UI" w:hAnsi="Segoe UI" w:cs="Segoe UI" w:hint="cs"/>
          <w:rtl/>
          <w:lang w:val="en-US"/>
        </w:rPr>
        <w:t xml:space="preserve">; </w:t>
      </w:r>
      <w:r w:rsidRPr="00B635B3">
        <w:rPr>
          <w:rFonts w:ascii="Segoe UI" w:hAnsi="Segoe UI" w:cs="Segoe UI"/>
          <w:rtl/>
          <w:lang w:val="en-US"/>
        </w:rPr>
        <w:t>לאחר שבע שנות מאסר יכול האסיר לבקש כי עונשו ייקצב על ידי נשיא המדינה.</w:t>
      </w:r>
    </w:p>
    <w:p w14:paraId="3EB9D487" w14:textId="3FD9D685" w:rsidR="002E039C" w:rsidRDefault="002E039C" w:rsidP="00D95A69">
      <w:pPr>
        <w:bidi/>
        <w:spacing w:after="0" w:line="276" w:lineRule="auto"/>
        <w:jc w:val="both"/>
        <w:rPr>
          <w:rFonts w:ascii="Segoe UI" w:hAnsi="Segoe UI" w:cs="Segoe UI"/>
          <w:b/>
          <w:bCs/>
          <w:rtl/>
          <w:lang w:val="en-US"/>
        </w:rPr>
      </w:pPr>
      <w:r w:rsidRPr="007B31DF">
        <w:rPr>
          <w:rFonts w:ascii="Segoe UI" w:hAnsi="Segoe UI" w:cs="Segoe UI"/>
          <w:b/>
          <w:bCs/>
          <w:u w:val="single"/>
          <w:rtl/>
          <w:lang w:val="en-US"/>
        </w:rPr>
        <w:t>עונש המאסר שייקצב, ככלל, לא יהיה נמוך משלושים שנות מאסר.</w:t>
      </w:r>
    </w:p>
    <w:p w14:paraId="23077A3E" w14:textId="77A2B7F0" w:rsidR="00974F0C" w:rsidRPr="00974F0C" w:rsidRDefault="00974F0C" w:rsidP="00D95A69">
      <w:pPr>
        <w:bidi/>
        <w:spacing w:after="0" w:line="276" w:lineRule="auto"/>
        <w:jc w:val="both"/>
        <w:rPr>
          <w:rFonts w:ascii="Segoe UI" w:hAnsi="Segoe UI" w:cs="Segoe UI"/>
          <w:color w:val="FF0000"/>
          <w:rtl/>
          <w:lang w:val="en-US"/>
        </w:rPr>
      </w:pPr>
      <w:r w:rsidRPr="00974F0C">
        <w:rPr>
          <w:rFonts w:ascii="Segoe UI" w:hAnsi="Segoe UI" w:cs="Segoe UI" w:hint="cs"/>
          <w:b/>
          <w:bCs/>
          <w:color w:val="FF0000"/>
          <w:highlight w:val="cyan"/>
          <w:rtl/>
          <w:lang w:val="en-US"/>
        </w:rPr>
        <w:t xml:space="preserve">לשים לב שבסופו של דבר </w:t>
      </w:r>
      <w:r w:rsidR="00F91F98">
        <w:rPr>
          <w:rFonts w:ascii="Segoe UI" w:hAnsi="Segoe UI" w:cs="Segoe UI" w:hint="cs"/>
          <w:b/>
          <w:bCs/>
          <w:color w:val="FF0000"/>
          <w:highlight w:val="cyan"/>
          <w:rtl/>
          <w:lang w:val="en-US"/>
        </w:rPr>
        <w:t>מי ש</w:t>
      </w:r>
      <w:r w:rsidRPr="00974F0C">
        <w:rPr>
          <w:rFonts w:ascii="Segoe UI" w:hAnsi="Segoe UI" w:cs="Segoe UI" w:hint="cs"/>
          <w:b/>
          <w:bCs/>
          <w:color w:val="FF0000"/>
          <w:highlight w:val="cyan"/>
          <w:rtl/>
          <w:lang w:val="en-US"/>
        </w:rPr>
        <w:t xml:space="preserve">מחליט אם לקצוב את העונש או לא הוא נשיא המדינה! לא הוועדה עצמה. </w:t>
      </w:r>
      <w:r w:rsidRPr="00974F0C">
        <w:rPr>
          <w:rFonts w:ascii="Segoe UI" w:hAnsi="Segoe UI" w:cs="Segoe UI" w:hint="cs"/>
          <w:color w:val="FF0000"/>
          <w:highlight w:val="cyan"/>
          <w:rtl/>
          <w:lang w:val="en-US"/>
        </w:rPr>
        <w:t>(ס' 29 לחוק ועדות שחרורים).</w:t>
      </w:r>
      <w:r>
        <w:rPr>
          <w:rFonts w:ascii="Segoe UI" w:hAnsi="Segoe UI" w:cs="Segoe UI" w:hint="cs"/>
          <w:color w:val="FF0000"/>
          <w:rtl/>
          <w:lang w:val="en-US"/>
        </w:rPr>
        <w:t xml:space="preserve"> </w:t>
      </w:r>
    </w:p>
    <w:p w14:paraId="7A1B0B18" w14:textId="77777777" w:rsidR="002E039C" w:rsidRPr="00B635B3" w:rsidRDefault="002E039C" w:rsidP="00D95A69">
      <w:pPr>
        <w:bidi/>
        <w:spacing w:after="0" w:line="276" w:lineRule="auto"/>
        <w:jc w:val="both"/>
        <w:rPr>
          <w:rFonts w:ascii="Segoe UI" w:hAnsi="Segoe UI" w:cs="Segoe UI"/>
          <w:rtl/>
          <w:lang w:val="en-US"/>
        </w:rPr>
      </w:pPr>
      <w:r w:rsidRPr="00B635B3">
        <w:rPr>
          <w:rFonts w:ascii="Segoe UI" w:hAnsi="Segoe UI" w:cs="Segoe UI"/>
          <w:rtl/>
          <w:lang w:val="en-US"/>
        </w:rPr>
        <w:t xml:space="preserve"> </w:t>
      </w:r>
    </w:p>
    <w:p w14:paraId="7A857F91" w14:textId="77777777" w:rsidR="002E039C" w:rsidRPr="00B635B3" w:rsidRDefault="002E039C" w:rsidP="00D95A69">
      <w:pPr>
        <w:bidi/>
        <w:spacing w:after="0" w:line="276" w:lineRule="auto"/>
        <w:jc w:val="both"/>
        <w:rPr>
          <w:rFonts w:ascii="Segoe UI" w:hAnsi="Segoe UI" w:cs="Segoe UI"/>
          <w:rtl/>
          <w:lang w:val="en-US"/>
        </w:rPr>
      </w:pPr>
      <w:r w:rsidRPr="00B635B3">
        <w:rPr>
          <w:rFonts w:ascii="Segoe UI" w:hAnsi="Segoe UI" w:cs="Segoe UI"/>
          <w:b/>
          <w:bCs/>
          <w:rtl/>
          <w:lang w:val="en-US"/>
        </w:rPr>
        <w:t xml:space="preserve">לאחר שירצה שני שלישים ממאסרו עולה האסיר לוועדת שחרורים מיוחדת אשר בוחנת את אותם שיקולים. </w:t>
      </w:r>
    </w:p>
    <w:p w14:paraId="6E7BD496" w14:textId="77777777" w:rsidR="002E039C" w:rsidRPr="00B635B3" w:rsidRDefault="002E039C" w:rsidP="00D95A69">
      <w:pPr>
        <w:bidi/>
        <w:spacing w:after="0" w:line="276" w:lineRule="auto"/>
        <w:jc w:val="both"/>
        <w:rPr>
          <w:rFonts w:ascii="Segoe UI" w:hAnsi="Segoe UI" w:cs="Segoe UI"/>
          <w:rtl/>
          <w:lang w:val="en-US"/>
        </w:rPr>
      </w:pPr>
      <w:r w:rsidRPr="00B635B3">
        <w:rPr>
          <w:rFonts w:ascii="Segoe UI" w:hAnsi="Segoe UI" w:cs="Segoe UI"/>
          <w:b/>
          <w:bCs/>
          <w:rtl/>
          <w:lang w:val="en-US"/>
        </w:rPr>
        <w:t xml:space="preserve">המלצה </w:t>
      </w:r>
      <w:proofErr w:type="spellStart"/>
      <w:r w:rsidRPr="00B635B3">
        <w:rPr>
          <w:rFonts w:ascii="Segoe UI" w:hAnsi="Segoe UI" w:cs="Segoe UI"/>
          <w:b/>
          <w:bCs/>
          <w:rtl/>
          <w:lang w:val="en-US"/>
        </w:rPr>
        <w:t>בענין</w:t>
      </w:r>
      <w:proofErr w:type="spellEnd"/>
      <w:r w:rsidRPr="00B635B3">
        <w:rPr>
          <w:rFonts w:ascii="Segoe UI" w:hAnsi="Segoe UI" w:cs="Segoe UI"/>
          <w:b/>
          <w:bCs/>
          <w:rtl/>
          <w:lang w:val="en-US"/>
        </w:rPr>
        <w:t xml:space="preserve"> </w:t>
      </w:r>
      <w:proofErr w:type="spellStart"/>
      <w:r w:rsidRPr="00B635B3">
        <w:rPr>
          <w:rFonts w:ascii="Segoe UI" w:hAnsi="Segoe UI" w:cs="Segoe UI"/>
          <w:b/>
          <w:bCs/>
          <w:rtl/>
          <w:lang w:val="en-US"/>
        </w:rPr>
        <w:t>קציבת</w:t>
      </w:r>
      <w:proofErr w:type="spellEnd"/>
      <w:r w:rsidRPr="00B635B3">
        <w:rPr>
          <w:rFonts w:ascii="Segoe UI" w:hAnsi="Segoe UI" w:cs="Segoe UI"/>
          <w:b/>
          <w:bCs/>
          <w:rtl/>
          <w:lang w:val="en-US"/>
        </w:rPr>
        <w:t xml:space="preserve"> עונש מאסר עולם</w:t>
      </w:r>
    </w:p>
    <w:p w14:paraId="75996299" w14:textId="33C1724C" w:rsidR="003C00EC" w:rsidRDefault="003C00EC" w:rsidP="00D95A69">
      <w:pPr>
        <w:bidi/>
        <w:spacing w:after="0" w:line="276" w:lineRule="auto"/>
        <w:jc w:val="both"/>
        <w:rPr>
          <w:rFonts w:ascii="Segoe UI" w:hAnsi="Segoe UI" w:cs="Segoe UI"/>
          <w:rtl/>
          <w:lang w:val="en-US"/>
        </w:rPr>
      </w:pPr>
    </w:p>
    <w:p w14:paraId="05503DED" w14:textId="77777777" w:rsidR="003C00EC" w:rsidRPr="00265C48" w:rsidRDefault="003C00EC"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265C48">
        <w:rPr>
          <w:rFonts w:asciiTheme="majorBidi" w:hAnsiTheme="majorBidi" w:cstheme="majorBidi"/>
          <w:b/>
          <w:bCs/>
          <w:color w:val="008000"/>
          <w:sz w:val="27"/>
          <w:szCs w:val="27"/>
          <w:rtl/>
        </w:rPr>
        <w:t xml:space="preserve">המלצה </w:t>
      </w:r>
      <w:proofErr w:type="spellStart"/>
      <w:r w:rsidRPr="00265C48">
        <w:rPr>
          <w:rFonts w:asciiTheme="majorBidi" w:hAnsiTheme="majorBidi" w:cstheme="majorBidi"/>
          <w:b/>
          <w:bCs/>
          <w:color w:val="008000"/>
          <w:sz w:val="27"/>
          <w:szCs w:val="27"/>
          <w:rtl/>
        </w:rPr>
        <w:t>בענין</w:t>
      </w:r>
      <w:proofErr w:type="spellEnd"/>
      <w:r w:rsidRPr="00265C48">
        <w:rPr>
          <w:rFonts w:asciiTheme="majorBidi" w:hAnsiTheme="majorBidi" w:cstheme="majorBidi"/>
          <w:b/>
          <w:bCs/>
          <w:color w:val="008000"/>
          <w:sz w:val="27"/>
          <w:szCs w:val="27"/>
          <w:rtl/>
        </w:rPr>
        <w:t xml:space="preserve"> </w:t>
      </w:r>
      <w:proofErr w:type="spellStart"/>
      <w:r w:rsidRPr="00265C48">
        <w:rPr>
          <w:rFonts w:asciiTheme="majorBidi" w:hAnsiTheme="majorBidi" w:cstheme="majorBidi"/>
          <w:b/>
          <w:bCs/>
          <w:color w:val="008000"/>
          <w:sz w:val="27"/>
          <w:szCs w:val="27"/>
          <w:rtl/>
        </w:rPr>
        <w:t>קציבת</w:t>
      </w:r>
      <w:proofErr w:type="spellEnd"/>
      <w:r w:rsidRPr="00265C48">
        <w:rPr>
          <w:rFonts w:asciiTheme="majorBidi" w:hAnsiTheme="majorBidi" w:cstheme="majorBidi"/>
          <w:b/>
          <w:bCs/>
          <w:color w:val="008000"/>
          <w:sz w:val="27"/>
          <w:szCs w:val="27"/>
          <w:rtl/>
        </w:rPr>
        <w:t xml:space="preserve"> עונש מאסר עולם</w:t>
      </w:r>
    </w:p>
    <w:p w14:paraId="1060D300" w14:textId="54BEDB9F" w:rsidR="003C00EC" w:rsidRPr="005931F9" w:rsidRDefault="005931F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lang w:val="en-US"/>
        </w:rPr>
      </w:pPr>
      <w:r w:rsidRPr="00910CD4">
        <w:rPr>
          <w:rFonts w:ascii="Miriam" w:hAnsi="Miriam" w:cs="Miriam"/>
          <w:sz w:val="32"/>
          <w:szCs w:val="32"/>
          <w:rtl/>
          <w:lang w:val="en-US"/>
        </w:rPr>
        <w:t>29</w:t>
      </w:r>
      <w:r>
        <w:rPr>
          <w:rFonts w:ascii="FrankRuehl" w:hAnsi="FrankRuehl" w:cs="FrankRuehl" w:hint="cs"/>
          <w:rtl/>
          <w:lang w:val="en-US"/>
        </w:rPr>
        <w:t xml:space="preserve">. </w:t>
      </w:r>
      <w:r w:rsidRPr="00910CD4">
        <w:rPr>
          <w:rFonts w:ascii="FrankRuehl" w:hAnsi="FrankRuehl" w:cs="FrankRuehl" w:hint="cs"/>
          <w:sz w:val="26"/>
          <w:szCs w:val="26"/>
          <w:rtl/>
          <w:lang w:val="en-US"/>
        </w:rPr>
        <w:t xml:space="preserve">(א) </w:t>
      </w:r>
      <w:r w:rsidR="003C00EC" w:rsidRPr="00910CD4">
        <w:rPr>
          <w:rFonts w:ascii="FrankRuehl" w:hAnsi="FrankRuehl" w:cs="FrankRuehl"/>
          <w:sz w:val="26"/>
          <w:szCs w:val="26"/>
          <w:rtl/>
        </w:rPr>
        <w:t xml:space="preserve">ועדת שחרורים מיוחדת רשאית, לבקשתו של אסיר עולם, להמליץ לפני נשיא המדינה להקל בעונשו של האסיר באמצעות המרת עונשו בעונש מאסר קצוב, בהתאם לסמכות הנתונה לו לפי סעיף 11(ב) לחוק-יסוד: נשיא המדינה (בחוק זה – </w:t>
      </w:r>
      <w:proofErr w:type="spellStart"/>
      <w:r w:rsidR="003C00EC" w:rsidRPr="00910CD4">
        <w:rPr>
          <w:rFonts w:ascii="FrankRuehl" w:hAnsi="FrankRuehl" w:cs="FrankRuehl"/>
          <w:sz w:val="26"/>
          <w:szCs w:val="26"/>
          <w:rtl/>
        </w:rPr>
        <w:t>קציבת</w:t>
      </w:r>
      <w:proofErr w:type="spellEnd"/>
      <w:r w:rsidR="003C00EC" w:rsidRPr="00910CD4">
        <w:rPr>
          <w:rFonts w:ascii="FrankRuehl" w:hAnsi="FrankRuehl" w:cs="FrankRuehl"/>
          <w:sz w:val="26"/>
          <w:szCs w:val="26"/>
          <w:rtl/>
        </w:rPr>
        <w:t xml:space="preserve"> עונש) לאחר שחלפו לפחות שבע שנים מהיום שהחל לשאת את מאסרו, ובלבד שהתקופה שתמליץ לקצוב לא תפחת מ-30 שנים</w:t>
      </w:r>
      <w:r w:rsidR="003C00EC" w:rsidRPr="00910CD4">
        <w:rPr>
          <w:rFonts w:ascii="FrankRuehl" w:hAnsi="FrankRuehl" w:cs="FrankRuehl"/>
          <w:sz w:val="26"/>
          <w:szCs w:val="26"/>
        </w:rPr>
        <w:t>.</w:t>
      </w:r>
    </w:p>
    <w:p w14:paraId="3467BA47" w14:textId="76D5AB19" w:rsidR="003C00EC" w:rsidRPr="00910CD4" w:rsidRDefault="005931F9"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sidRPr="00910CD4">
        <w:rPr>
          <w:rFonts w:ascii="FrankRuehl" w:hAnsi="FrankRuehl" w:cs="FrankRuehl" w:hint="cs"/>
          <w:sz w:val="26"/>
          <w:szCs w:val="26"/>
          <w:rtl/>
        </w:rPr>
        <w:t xml:space="preserve">(ב) </w:t>
      </w:r>
      <w:r w:rsidR="003C00EC" w:rsidRPr="00910CD4">
        <w:rPr>
          <w:rFonts w:ascii="FrankRuehl" w:hAnsi="FrankRuehl" w:cs="FrankRuehl"/>
          <w:sz w:val="26"/>
          <w:szCs w:val="26"/>
          <w:rtl/>
        </w:rPr>
        <w:t>אסיר עולם הנושא עונש של שני מאסרי עולם מצטברים או יותר, רשאית ועדת שחרורים מיוחדת, לבקשתו, להמליץ לפני נשיא המדינה לקצוב את עונשו של האסיר לאחר שחלפו לפחות חמש עשרה שנים מהיום הקובע, ובלבד שהתקופה שתמליץ לקצוב לא תפחת מ-30 שנים, שתימנה החל ביום הקובע; בסעיף זה</w:t>
      </w:r>
      <w:r w:rsidR="003C00EC" w:rsidRPr="00910CD4">
        <w:rPr>
          <w:rFonts w:ascii="FrankRuehl" w:hAnsi="FrankRuehl" w:cs="FrankRuehl"/>
          <w:sz w:val="26"/>
          <w:szCs w:val="26"/>
        </w:rPr>
        <w:t>, "</w:t>
      </w:r>
      <w:r w:rsidR="003C00EC" w:rsidRPr="00910CD4">
        <w:rPr>
          <w:rFonts w:ascii="FrankRuehl" w:hAnsi="FrankRuehl" w:cs="FrankRuehl"/>
          <w:sz w:val="26"/>
          <w:szCs w:val="26"/>
          <w:rtl/>
        </w:rPr>
        <w:t>היום הקובע</w:t>
      </w:r>
      <w:r w:rsidR="003C00EC" w:rsidRPr="00910CD4">
        <w:rPr>
          <w:rFonts w:ascii="FrankRuehl" w:hAnsi="FrankRuehl" w:cs="FrankRuehl"/>
          <w:sz w:val="26"/>
          <w:szCs w:val="26"/>
        </w:rPr>
        <w:t xml:space="preserve">" – </w:t>
      </w:r>
      <w:r w:rsidR="003C00EC" w:rsidRPr="00910CD4">
        <w:rPr>
          <w:rFonts w:ascii="FrankRuehl" w:hAnsi="FrankRuehl" w:cs="FrankRuehl"/>
          <w:sz w:val="26"/>
          <w:szCs w:val="26"/>
          <w:rtl/>
        </w:rPr>
        <w:t xml:space="preserve">היום שבו החל אסיר עולם לשאת את מאסרי העולם שנגזרו עליו בגזר דין אחד או היום שבו נגזר עליו בערכאה ראשונה מאסר העולם האחרון, המוקדם </w:t>
      </w:r>
      <w:proofErr w:type="spellStart"/>
      <w:r w:rsidR="003C00EC" w:rsidRPr="00910CD4">
        <w:rPr>
          <w:rFonts w:ascii="FrankRuehl" w:hAnsi="FrankRuehl" w:cs="FrankRuehl"/>
          <w:sz w:val="26"/>
          <w:szCs w:val="26"/>
          <w:rtl/>
        </w:rPr>
        <w:t>מביניהם</w:t>
      </w:r>
      <w:proofErr w:type="spellEnd"/>
      <w:r w:rsidR="003C00EC" w:rsidRPr="00910CD4">
        <w:rPr>
          <w:rFonts w:ascii="FrankRuehl" w:hAnsi="FrankRuehl" w:cs="FrankRuehl"/>
          <w:sz w:val="26"/>
          <w:szCs w:val="26"/>
        </w:rPr>
        <w:t>.</w:t>
      </w:r>
    </w:p>
    <w:p w14:paraId="0BC9C8CF" w14:textId="77777777" w:rsidR="003C00EC" w:rsidRPr="00B635B3" w:rsidRDefault="003C00EC" w:rsidP="00D95A69">
      <w:pPr>
        <w:bidi/>
        <w:spacing w:after="0" w:line="276" w:lineRule="auto"/>
        <w:jc w:val="both"/>
        <w:rPr>
          <w:rFonts w:ascii="Segoe UI" w:hAnsi="Segoe UI" w:cs="Segoe UI"/>
          <w:rtl/>
          <w:lang w:val="en-US"/>
        </w:rPr>
      </w:pPr>
    </w:p>
    <w:p w14:paraId="163D364D" w14:textId="77777777" w:rsidR="002E039C" w:rsidRPr="00B635B3" w:rsidRDefault="002E039C" w:rsidP="00D95A69">
      <w:pPr>
        <w:pStyle w:val="2"/>
      </w:pPr>
      <w:bookmarkStart w:id="84" w:name="_Toc108218240"/>
      <w:r w:rsidRPr="00B635B3">
        <w:rPr>
          <w:rtl/>
        </w:rPr>
        <w:t>המלצה לעניין אסיר עולם שהורשע ברצח חריג בחומרתו</w:t>
      </w:r>
      <w:bookmarkEnd w:id="84"/>
    </w:p>
    <w:p w14:paraId="0D4115EE" w14:textId="77777777" w:rsidR="0031269B" w:rsidRPr="00265C48" w:rsidRDefault="0031269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Theme="majorBidi" w:hAnsiTheme="majorBidi" w:cstheme="majorBidi"/>
          <w:b/>
          <w:bCs/>
          <w:color w:val="008000"/>
          <w:sz w:val="27"/>
          <w:szCs w:val="27"/>
        </w:rPr>
      </w:pPr>
      <w:r w:rsidRPr="00265C48">
        <w:rPr>
          <w:rFonts w:asciiTheme="majorBidi" w:hAnsiTheme="majorBidi" w:cstheme="majorBidi"/>
          <w:b/>
          <w:bCs/>
          <w:color w:val="008000"/>
          <w:sz w:val="27"/>
          <w:szCs w:val="27"/>
          <w:rtl/>
        </w:rPr>
        <w:t>המלצה לעניין אסיר עולם שהורשע ברצח חריג בחומרתו</w:t>
      </w:r>
    </w:p>
    <w:p w14:paraId="4A1C83FF" w14:textId="490FD17E" w:rsidR="0031269B" w:rsidRPr="0031269B" w:rsidRDefault="0031269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31269B">
        <w:rPr>
          <w:rFonts w:ascii="Miriam" w:hAnsi="Miriam" w:cs="Miriam"/>
          <w:sz w:val="32"/>
          <w:szCs w:val="32"/>
        </w:rPr>
        <w:t>30</w:t>
      </w:r>
      <w:r w:rsidRPr="0031269B">
        <w:rPr>
          <w:rFonts w:ascii="Miriam" w:hAnsi="Miriam" w:cs="Miriam"/>
          <w:sz w:val="32"/>
          <w:szCs w:val="32"/>
          <w:rtl/>
        </w:rPr>
        <w:t>ב</w:t>
      </w:r>
      <w:r w:rsidRPr="0031269B">
        <w:rPr>
          <w:rtl/>
        </w:rPr>
        <w:t xml:space="preserve">. </w:t>
      </w:r>
      <w:r w:rsidRPr="0031269B">
        <w:rPr>
          <w:rFonts w:ascii="FrankRuehl" w:hAnsi="FrankRuehl" w:cs="FrankRuehl"/>
          <w:sz w:val="26"/>
          <w:szCs w:val="26"/>
          <w:rtl/>
        </w:rPr>
        <w:t xml:space="preserve">(א) בית משפט שהרשיע אדם ברצח רשאי לקבוע, לעניין המלצה </w:t>
      </w:r>
      <w:proofErr w:type="spellStart"/>
      <w:r w:rsidRPr="0031269B">
        <w:rPr>
          <w:rFonts w:ascii="FrankRuehl" w:hAnsi="FrankRuehl" w:cs="FrankRuehl"/>
          <w:sz w:val="26"/>
          <w:szCs w:val="26"/>
          <w:rtl/>
        </w:rPr>
        <w:t>לקציבת</w:t>
      </w:r>
      <w:proofErr w:type="spellEnd"/>
      <w:r w:rsidRPr="0031269B">
        <w:rPr>
          <w:rFonts w:ascii="FrankRuehl" w:hAnsi="FrankRuehl" w:cs="FrankRuehl"/>
          <w:sz w:val="26"/>
          <w:szCs w:val="26"/>
          <w:rtl/>
        </w:rPr>
        <w:t xml:space="preserve"> עונש מאסר עולם, שאותו אדם ביצע את המעשה בנסיבות חריגות בחומרתן</w:t>
      </w:r>
      <w:r w:rsidRPr="0031269B">
        <w:rPr>
          <w:rFonts w:ascii="FrankRuehl" w:hAnsi="FrankRuehl" w:cs="FrankRuehl"/>
          <w:sz w:val="26"/>
          <w:szCs w:val="26"/>
        </w:rPr>
        <w:t>.</w:t>
      </w:r>
    </w:p>
    <w:p w14:paraId="0AF20753" w14:textId="2E072EFE" w:rsidR="0031269B" w:rsidRPr="0031269B" w:rsidRDefault="0031269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31269B">
        <w:rPr>
          <w:rFonts w:ascii="FrankRuehl" w:hAnsi="FrankRuehl" w:cs="FrankRuehl"/>
          <w:sz w:val="26"/>
          <w:szCs w:val="26"/>
          <w:rtl/>
        </w:rPr>
        <w:t>(ב) קבע בית המשפט כאמור בסעיף קטן (א), יחולו הוראות סעיף 29 בשינויים אלה</w:t>
      </w:r>
      <w:r w:rsidRPr="0031269B">
        <w:rPr>
          <w:rFonts w:ascii="FrankRuehl" w:hAnsi="FrankRuehl" w:cs="FrankRuehl"/>
          <w:sz w:val="26"/>
          <w:szCs w:val="26"/>
        </w:rPr>
        <w:t>:</w:t>
      </w:r>
    </w:p>
    <w:p w14:paraId="2E382D56" w14:textId="54C3426C" w:rsidR="0031269B" w:rsidRPr="0031269B" w:rsidRDefault="0031269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31269B">
        <w:rPr>
          <w:rFonts w:ascii="FrankRuehl" w:hAnsi="FrankRuehl" w:cs="FrankRuehl"/>
          <w:sz w:val="26"/>
          <w:szCs w:val="26"/>
          <w:rtl/>
        </w:rPr>
        <w:t xml:space="preserve">(1) על אף האמור בסעיף קטן (א), ועדת שחרורים מיוחדת לא תמליץ להקל בעונשו של האסיר בטרם חלפו לפחות 15 שנים מהיום שבו החל לשאת את מאסרו, </w:t>
      </w:r>
      <w:r w:rsidRPr="0031269B">
        <w:rPr>
          <w:rFonts w:ascii="FrankRuehl" w:hAnsi="FrankRuehl" w:cs="FrankRuehl"/>
          <w:b/>
          <w:bCs/>
          <w:color w:val="FF0000"/>
          <w:sz w:val="26"/>
          <w:szCs w:val="26"/>
          <w:rtl/>
        </w:rPr>
        <w:t>ובלבד שהתקופה שתמליץ לקצוב לא תפחת מ-40 שנים</w:t>
      </w:r>
      <w:r w:rsidRPr="0031269B">
        <w:rPr>
          <w:rFonts w:ascii="FrankRuehl" w:hAnsi="FrankRuehl" w:cs="FrankRuehl"/>
          <w:b/>
          <w:bCs/>
          <w:color w:val="FF0000"/>
          <w:sz w:val="26"/>
          <w:szCs w:val="26"/>
        </w:rPr>
        <w:t>;</w:t>
      </w:r>
    </w:p>
    <w:p w14:paraId="17AFFBA4" w14:textId="4F391870" w:rsidR="0031269B" w:rsidRPr="0031269B" w:rsidRDefault="0031269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31269B">
        <w:rPr>
          <w:rFonts w:ascii="FrankRuehl" w:hAnsi="FrankRuehl" w:cs="FrankRuehl"/>
          <w:sz w:val="26"/>
          <w:szCs w:val="26"/>
          <w:rtl/>
        </w:rPr>
        <w:t>(2) בסעיפים קטנים (ב) ו-(ה), במקום "מ-30 שנים" יקראו "מ-40 שנים</w:t>
      </w:r>
      <w:r w:rsidRPr="0031269B">
        <w:rPr>
          <w:rFonts w:ascii="FrankRuehl" w:hAnsi="FrankRuehl" w:cs="FrankRuehl"/>
          <w:sz w:val="26"/>
          <w:szCs w:val="26"/>
        </w:rPr>
        <w:t>".</w:t>
      </w:r>
    </w:p>
    <w:p w14:paraId="65C96E8E" w14:textId="77777777" w:rsidR="0031269B" w:rsidRDefault="0031269B" w:rsidP="00D95A69">
      <w:pPr>
        <w:bidi/>
        <w:spacing w:after="0" w:line="276" w:lineRule="auto"/>
        <w:jc w:val="both"/>
        <w:rPr>
          <w:rFonts w:ascii="Segoe UI" w:hAnsi="Segoe UI" w:cs="Segoe UI"/>
          <w:b/>
          <w:bCs/>
          <w:rtl/>
          <w:lang w:val="en-US"/>
        </w:rPr>
      </w:pPr>
    </w:p>
    <w:p w14:paraId="669DDFB8" w14:textId="4965EDDA" w:rsidR="004114A0" w:rsidRDefault="002E039C"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b/>
          <w:bCs/>
          <w:rtl/>
          <w:lang w:val="en-US"/>
        </w:rPr>
      </w:pPr>
      <w:r w:rsidRPr="00F91F98">
        <w:rPr>
          <w:rFonts w:ascii="Segoe UI" w:hAnsi="Segoe UI" w:cs="Segoe UI"/>
          <w:b/>
          <w:bCs/>
          <w:highlight w:val="yellow"/>
          <w:rtl/>
          <w:lang w:val="en-US"/>
        </w:rPr>
        <w:t>עניין אבו רוב</w:t>
      </w:r>
    </w:p>
    <w:p w14:paraId="62A53C8D" w14:textId="5CE817E7" w:rsidR="002E039C" w:rsidRPr="004114A0" w:rsidRDefault="002E039C"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4114A0">
        <w:rPr>
          <w:rFonts w:ascii="Segoe UI" w:hAnsi="Segoe UI" w:cs="Segoe UI"/>
          <w:rtl/>
          <w:lang w:val="en-US"/>
        </w:rPr>
        <w:t xml:space="preserve">רצח במכון גרזן חיילת ב-1994. שוחרר אחרי 17 שנה בעסקת שליט. </w:t>
      </w:r>
      <w:r w:rsidR="00486B40">
        <w:rPr>
          <w:rFonts w:ascii="Segoe UI" w:hAnsi="Segoe UI" w:cs="Segoe UI" w:hint="cs"/>
          <w:color w:val="7030A0"/>
          <w:rtl/>
          <w:lang w:val="en-US"/>
        </w:rPr>
        <w:t xml:space="preserve">חזר לביצוע פעילויות טרור ועל כן </w:t>
      </w:r>
      <w:r w:rsidRPr="004114A0">
        <w:rPr>
          <w:rFonts w:ascii="Segoe UI" w:hAnsi="Segoe UI" w:cs="Segoe UI"/>
          <w:rtl/>
          <w:lang w:val="en-US"/>
        </w:rPr>
        <w:t>החזירו אותו למאסר עולם.</w:t>
      </w:r>
    </w:p>
    <w:p w14:paraId="5693F3E9" w14:textId="77777777" w:rsidR="002E039C" w:rsidRPr="00B635B3" w:rsidRDefault="002E039C" w:rsidP="00D95A69">
      <w:pPr>
        <w:bidi/>
        <w:spacing w:after="0" w:line="276" w:lineRule="auto"/>
        <w:jc w:val="both"/>
        <w:rPr>
          <w:rFonts w:ascii="Segoe UI" w:hAnsi="Segoe UI" w:cs="Segoe UI"/>
          <w:rtl/>
          <w:lang w:val="en-US"/>
        </w:rPr>
      </w:pPr>
    </w:p>
    <w:p w14:paraId="018151BB" w14:textId="77777777" w:rsidR="00A829B0" w:rsidRPr="00B635B3" w:rsidRDefault="00A829B0" w:rsidP="00D95A69">
      <w:pPr>
        <w:bidi/>
        <w:spacing w:line="276" w:lineRule="auto"/>
        <w:jc w:val="both"/>
        <w:rPr>
          <w:rFonts w:ascii="Segoe UI" w:hAnsi="Segoe UI" w:cs="Segoe UI"/>
          <w:lang w:val="en-US"/>
        </w:rPr>
      </w:pPr>
      <w:r w:rsidRPr="00B635B3">
        <w:rPr>
          <w:rFonts w:ascii="Segoe UI" w:hAnsi="Segoe UI" w:cs="Segoe UI"/>
          <w:b/>
          <w:bCs/>
          <w:rtl/>
          <w:lang w:val="en-US"/>
        </w:rPr>
        <w:t>בתיקי רצח - ועדת השחרורים המיוחדת בוחנת תנאי נוסף: האסיר הוכיח שחל בו שינוי בולט וממשי והאסיר שינה התנהגותו מקצה אל קצה.</w:t>
      </w:r>
    </w:p>
    <w:p w14:paraId="592925A9" w14:textId="5A1A3533" w:rsidR="00A829B0" w:rsidRPr="00B635B3" w:rsidRDefault="008575B4" w:rsidP="00D95A69">
      <w:pPr>
        <w:bidi/>
        <w:spacing w:after="0" w:line="276" w:lineRule="auto"/>
        <w:jc w:val="both"/>
        <w:rPr>
          <w:rFonts w:ascii="Segoe UI" w:hAnsi="Segoe UI" w:cs="Segoe UI"/>
          <w:rtl/>
          <w:lang w:val="en-US"/>
        </w:rPr>
      </w:pPr>
      <w:r>
        <w:rPr>
          <w:rFonts w:ascii="Segoe UI" w:hAnsi="Segoe UI" w:cs="Segoe UI" w:hint="cs"/>
          <w:rtl/>
          <w:lang w:val="en-US"/>
        </w:rPr>
        <w:t>סעיף 10 לחוק שחרור על תנאי:</w:t>
      </w:r>
    </w:p>
    <w:p w14:paraId="1A969D1D" w14:textId="7DA2C703" w:rsidR="00A829B0" w:rsidRPr="00B635B3" w:rsidRDefault="00A829B0" w:rsidP="00D95A69">
      <w:pPr>
        <w:bidi/>
        <w:spacing w:after="0" w:line="276" w:lineRule="auto"/>
        <w:jc w:val="both"/>
        <w:rPr>
          <w:rFonts w:ascii="Segoe UI" w:hAnsi="Segoe UI" w:cs="Segoe UI"/>
          <w:rtl/>
          <w:lang w:val="en-US"/>
        </w:rPr>
      </w:pPr>
      <w:r w:rsidRPr="00B635B3">
        <w:rPr>
          <w:rFonts w:ascii="Segoe UI" w:hAnsi="Segoe UI" w:cs="Segoe UI"/>
          <w:rtl/>
          <w:lang w:val="en-US"/>
        </w:rPr>
        <w:t xml:space="preserve">(ב)  ועדת שחרורים מיוחדת, בבואה להחליט </w:t>
      </w:r>
      <w:proofErr w:type="spellStart"/>
      <w:r w:rsidRPr="00B635B3">
        <w:rPr>
          <w:rFonts w:ascii="Segoe UI" w:hAnsi="Segoe UI" w:cs="Segoe UI"/>
          <w:rtl/>
          <w:lang w:val="en-US"/>
        </w:rPr>
        <w:t>בענין</w:t>
      </w:r>
      <w:proofErr w:type="spellEnd"/>
      <w:r w:rsidRPr="00B635B3">
        <w:rPr>
          <w:rFonts w:ascii="Segoe UI" w:hAnsi="Segoe UI" w:cs="Segoe UI"/>
          <w:rtl/>
          <w:lang w:val="en-US"/>
        </w:rPr>
        <w:t xml:space="preserve"> שחרור על-תנאי של אסיר עולם, תשקול, נוסף על שיקולים אחרים האמורים בחוק זה, האם חל באסיר שינוי בולט וממשי מבחינת הבנת חומרת מעשיו ומבחינת מוכנותו להשתלב בחברה ולתרום לה.)</w:t>
      </w:r>
    </w:p>
    <w:p w14:paraId="68B9CABA" w14:textId="77777777" w:rsidR="00A829B0" w:rsidRPr="00B635B3" w:rsidRDefault="00A829B0" w:rsidP="00D95A69">
      <w:pPr>
        <w:bidi/>
        <w:spacing w:after="0" w:line="276" w:lineRule="auto"/>
        <w:jc w:val="both"/>
        <w:rPr>
          <w:rFonts w:ascii="Segoe UI" w:hAnsi="Segoe UI" w:cs="Segoe UI"/>
          <w:lang w:val="en-US"/>
        </w:rPr>
      </w:pPr>
    </w:p>
    <w:p w14:paraId="75E02984" w14:textId="77777777" w:rsidR="00A829B0" w:rsidRPr="00DF3D3B" w:rsidRDefault="00A829B0" w:rsidP="00D95A69">
      <w:pPr>
        <w:pStyle w:val="2"/>
      </w:pPr>
      <w:bookmarkStart w:id="85" w:name="_Toc108218241"/>
      <w:r w:rsidRPr="00DF3D3B">
        <w:rPr>
          <w:rtl/>
        </w:rPr>
        <w:t>שחרור על תנאי מטעמים רפואיים</w:t>
      </w:r>
      <w:bookmarkEnd w:id="85"/>
    </w:p>
    <w:p w14:paraId="03D26602" w14:textId="7C5FBCFC" w:rsidR="00DF3D3B" w:rsidRPr="00DF3D3B" w:rsidRDefault="00DF3D3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lang w:val="en-US"/>
        </w:rPr>
      </w:pPr>
      <w:r w:rsidRPr="00DF3D3B">
        <w:rPr>
          <w:rFonts w:ascii="Miriam" w:hAnsi="Miriam" w:cs="Miriam"/>
          <w:sz w:val="32"/>
          <w:szCs w:val="32"/>
          <w:lang w:val="en-ZW"/>
        </w:rPr>
        <w:t>7</w:t>
      </w:r>
      <w:r>
        <w:rPr>
          <w:rFonts w:ascii="FrankRuehl" w:hAnsi="FrankRuehl" w:cs="FrankRuehl" w:hint="cs"/>
          <w:sz w:val="26"/>
          <w:szCs w:val="26"/>
          <w:rtl/>
          <w:lang w:val="en-US"/>
        </w:rPr>
        <w:t xml:space="preserve">. (א) </w:t>
      </w:r>
      <w:r w:rsidRPr="00DF3D3B">
        <w:rPr>
          <w:rFonts w:ascii="FrankRuehl" w:hAnsi="FrankRuehl" w:cs="FrankRuehl"/>
          <w:sz w:val="26"/>
          <w:szCs w:val="26"/>
          <w:rtl/>
        </w:rPr>
        <w:t>הועדה רשאית, בכל עת, לשחרר על-תנאי אסיר ממאסרו, לאחר ששקלה חוות דעת של רופא, בהתקיים אחד מאלה</w:t>
      </w:r>
      <w:r w:rsidRPr="00DF3D3B">
        <w:rPr>
          <w:rFonts w:ascii="FrankRuehl" w:hAnsi="FrankRuehl" w:cs="FrankRuehl"/>
          <w:sz w:val="26"/>
          <w:szCs w:val="26"/>
        </w:rPr>
        <w:t>:</w:t>
      </w:r>
    </w:p>
    <w:p w14:paraId="4A39EA7D" w14:textId="21310C24" w:rsidR="00DF3D3B" w:rsidRPr="00DF3D3B" w:rsidRDefault="00DF3D3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DF3D3B">
        <w:rPr>
          <w:rFonts w:ascii="FrankRuehl" w:hAnsi="FrankRuehl" w:cs="FrankRuehl"/>
          <w:sz w:val="26"/>
          <w:szCs w:val="26"/>
        </w:rPr>
        <w:t>(1)</w:t>
      </w:r>
      <w:r>
        <w:rPr>
          <w:rFonts w:ascii="FrankRuehl" w:hAnsi="FrankRuehl" w:cs="FrankRuehl" w:hint="cs"/>
          <w:sz w:val="26"/>
          <w:szCs w:val="26"/>
          <w:rtl/>
        </w:rPr>
        <w:t xml:space="preserve"> </w:t>
      </w:r>
      <w:r w:rsidRPr="00DF3D3B">
        <w:rPr>
          <w:rFonts w:ascii="FrankRuehl" w:hAnsi="FrankRuehl" w:cs="FrankRuehl"/>
          <w:sz w:val="26"/>
          <w:szCs w:val="26"/>
          <w:rtl/>
        </w:rPr>
        <w:t xml:space="preserve">ימיו של האסיר ספורים, ובלבד שמצבו הרפואי האמור היה לכזה לאחר שפסק הדין בעניינו היה לחלוט או שהמשך שהותו במאסר יסכן את חייו באופן ממשי, בשל </w:t>
      </w:r>
      <w:proofErr w:type="gramStart"/>
      <w:r w:rsidRPr="00DF3D3B">
        <w:rPr>
          <w:rFonts w:ascii="FrankRuehl" w:hAnsi="FrankRuehl" w:cs="FrankRuehl"/>
          <w:sz w:val="26"/>
          <w:szCs w:val="26"/>
          <w:rtl/>
        </w:rPr>
        <w:t>חולניותו</w:t>
      </w:r>
      <w:r w:rsidRPr="00DF3D3B">
        <w:rPr>
          <w:rFonts w:ascii="FrankRuehl" w:hAnsi="FrankRuehl" w:cs="FrankRuehl"/>
          <w:sz w:val="26"/>
          <w:szCs w:val="26"/>
        </w:rPr>
        <w:t>;</w:t>
      </w:r>
      <w:proofErr w:type="gramEnd"/>
    </w:p>
    <w:p w14:paraId="441C2D1B" w14:textId="71AB8E07" w:rsidR="00DF3D3B" w:rsidRPr="00DF3D3B" w:rsidRDefault="00DF3D3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sidRPr="00DF3D3B">
        <w:rPr>
          <w:rFonts w:ascii="FrankRuehl" w:hAnsi="FrankRuehl" w:cs="FrankRuehl"/>
          <w:sz w:val="26"/>
          <w:szCs w:val="26"/>
        </w:rPr>
        <w:t>(2)</w:t>
      </w:r>
      <w:r>
        <w:rPr>
          <w:rFonts w:ascii="FrankRuehl" w:hAnsi="FrankRuehl" w:cs="FrankRuehl" w:hint="cs"/>
          <w:sz w:val="26"/>
          <w:szCs w:val="26"/>
          <w:rtl/>
        </w:rPr>
        <w:t xml:space="preserve"> </w:t>
      </w:r>
      <w:r w:rsidRPr="00DF3D3B">
        <w:rPr>
          <w:rFonts w:ascii="FrankRuehl" w:hAnsi="FrankRuehl" w:cs="FrankRuehl"/>
          <w:sz w:val="26"/>
          <w:szCs w:val="26"/>
          <w:rtl/>
        </w:rPr>
        <w:t>מצבו הרפואי של האסיר הוא כמפורט בפסקת משנה (א) או (ב), ובלבד שמצבו הרפואי האמור היה לכזה לאחר שפסק הדין בעניינו היה לחלוט</w:t>
      </w:r>
      <w:r w:rsidRPr="00DF3D3B">
        <w:rPr>
          <w:rFonts w:ascii="FrankRuehl" w:hAnsi="FrankRuehl" w:cs="FrankRuehl"/>
          <w:sz w:val="26"/>
          <w:szCs w:val="26"/>
        </w:rPr>
        <w:t>:</w:t>
      </w:r>
    </w:p>
    <w:p w14:paraId="4A68F174" w14:textId="18AC88D9" w:rsidR="00DF3D3B" w:rsidRPr="00DF3D3B" w:rsidRDefault="00DF3D3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Pr>
      </w:pPr>
      <w:r>
        <w:rPr>
          <w:rFonts w:ascii="FrankRuehl" w:hAnsi="FrankRuehl" w:cs="FrankRuehl" w:hint="cs"/>
          <w:sz w:val="26"/>
          <w:szCs w:val="26"/>
          <w:rtl/>
        </w:rPr>
        <w:t xml:space="preserve">(א) </w:t>
      </w:r>
      <w:r w:rsidRPr="00DF3D3B">
        <w:rPr>
          <w:rFonts w:ascii="FrankRuehl" w:hAnsi="FrankRuehl" w:cs="FrankRuehl"/>
          <w:sz w:val="26"/>
          <w:szCs w:val="26"/>
          <w:rtl/>
        </w:rPr>
        <w:t>האסיר זקוק באופן קבוע להנשמה באמצעי מלאכותי, בשל חוסר יכולת לנשום באופן עצמוני</w:t>
      </w:r>
      <w:r w:rsidRPr="00DF3D3B">
        <w:rPr>
          <w:rFonts w:ascii="FrankRuehl" w:hAnsi="FrankRuehl" w:cs="FrankRuehl"/>
          <w:sz w:val="26"/>
          <w:szCs w:val="26"/>
        </w:rPr>
        <w:t>;</w:t>
      </w:r>
    </w:p>
    <w:p w14:paraId="19293069" w14:textId="0AEC3589" w:rsidR="009717DA" w:rsidRDefault="00DF3D3B" w:rsidP="00D95A69">
      <w:pPr>
        <w:pBdr>
          <w:top w:val="single" w:sz="4" w:space="1" w:color="auto"/>
          <w:left w:val="single" w:sz="4" w:space="4" w:color="auto"/>
          <w:bottom w:val="single" w:sz="4" w:space="1" w:color="auto"/>
          <w:right w:val="single" w:sz="4" w:space="4" w:color="auto"/>
        </w:pBdr>
        <w:bidi/>
        <w:spacing w:before="72" w:after="0" w:line="276" w:lineRule="auto"/>
        <w:ind w:left="363" w:right="363"/>
        <w:jc w:val="both"/>
        <w:rPr>
          <w:rFonts w:ascii="FrankRuehl" w:hAnsi="FrankRuehl" w:cs="FrankRuehl"/>
          <w:sz w:val="26"/>
          <w:szCs w:val="26"/>
          <w:rtl/>
        </w:rPr>
      </w:pPr>
      <w:r>
        <w:rPr>
          <w:rFonts w:ascii="FrankRuehl" w:hAnsi="FrankRuehl" w:cs="FrankRuehl" w:hint="cs"/>
          <w:sz w:val="26"/>
          <w:szCs w:val="26"/>
          <w:rtl/>
        </w:rPr>
        <w:t xml:space="preserve">(ב) </w:t>
      </w:r>
      <w:r w:rsidRPr="00DF3D3B">
        <w:rPr>
          <w:rFonts w:ascii="FrankRuehl" w:hAnsi="FrankRuehl" w:cs="FrankRuehl"/>
          <w:sz w:val="26"/>
          <w:szCs w:val="26"/>
          <w:rtl/>
        </w:rPr>
        <w:t>האסיר מחוסר הכרה באופן קבוע או נמצא במצב דמנציה מתקדמת, שבשלהם הוא זקוק להשגחה רצופה במשך 24 שעות ביממה; לעניין זה, "דמנציה מתקדמת" – אי-התמצאות בזמן ובמקום באופן קבוע מפאת מצב גופני או בשל ירידה קוגניטיבית</w:t>
      </w:r>
      <w:r w:rsidRPr="00DF3D3B">
        <w:rPr>
          <w:rFonts w:ascii="FrankRuehl" w:hAnsi="FrankRuehl" w:cs="FrankRuehl"/>
          <w:sz w:val="26"/>
          <w:szCs w:val="26"/>
        </w:rPr>
        <w:t>.</w:t>
      </w:r>
    </w:p>
    <w:p w14:paraId="22CE91AD" w14:textId="77777777" w:rsidR="00DF3D3B" w:rsidRDefault="00DF3D3B" w:rsidP="00D95A69">
      <w:pPr>
        <w:bidi/>
        <w:spacing w:before="72" w:after="0" w:line="276" w:lineRule="auto"/>
        <w:ind w:left="363" w:right="363"/>
        <w:jc w:val="both"/>
        <w:rPr>
          <w:rFonts w:ascii="FrankRuehl" w:hAnsi="FrankRuehl" w:cs="FrankRuehl"/>
          <w:sz w:val="26"/>
          <w:szCs w:val="26"/>
          <w:rtl/>
        </w:rPr>
      </w:pPr>
    </w:p>
    <w:p w14:paraId="31948BFA" w14:textId="3521542D" w:rsidR="001E05AA" w:rsidRPr="001E05AA" w:rsidRDefault="001E05AA"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b/>
          <w:bCs/>
          <w:lang w:val="en-US"/>
        </w:rPr>
      </w:pPr>
      <w:proofErr w:type="spellStart"/>
      <w:r w:rsidRPr="001E05AA">
        <w:rPr>
          <w:rFonts w:ascii="Segoe UI" w:hAnsi="Segoe UI" w:cs="Segoe UI"/>
          <w:highlight w:val="yellow"/>
          <w:rtl/>
          <w:lang w:val="en-US"/>
        </w:rPr>
        <w:t>עע"א</w:t>
      </w:r>
      <w:proofErr w:type="spellEnd"/>
      <w:r w:rsidRPr="001E05AA">
        <w:rPr>
          <w:rFonts w:ascii="Segoe UI" w:hAnsi="Segoe UI" w:cs="Segoe UI"/>
          <w:highlight w:val="yellow"/>
          <w:rtl/>
          <w:lang w:val="en-US"/>
        </w:rPr>
        <w:t xml:space="preserve"> 4730</w:t>
      </w:r>
      <w:r w:rsidRPr="00E2765D">
        <w:rPr>
          <w:rFonts w:ascii="Segoe UI" w:hAnsi="Segoe UI" w:cs="Segoe UI" w:hint="cs"/>
          <w:highlight w:val="yellow"/>
          <w:rtl/>
          <w:lang w:val="en-US"/>
        </w:rPr>
        <w:t>/</w:t>
      </w:r>
      <w:r w:rsidRPr="001E05AA">
        <w:rPr>
          <w:rFonts w:ascii="Segoe UI" w:hAnsi="Segoe UI" w:cs="Segoe UI"/>
          <w:highlight w:val="yellow"/>
          <w:rtl/>
          <w:lang w:val="en-US"/>
        </w:rPr>
        <w:t>95</w:t>
      </w:r>
      <w:r w:rsidRPr="001E05AA">
        <w:rPr>
          <w:rFonts w:ascii="Segoe UI" w:hAnsi="Segoe UI" w:cs="Segoe UI"/>
          <w:b/>
          <w:bCs/>
          <w:highlight w:val="yellow"/>
          <w:rtl/>
          <w:lang w:val="en-US"/>
        </w:rPr>
        <w:t xml:space="preserve"> קלינגברג נ</w:t>
      </w:r>
      <w:r w:rsidRPr="001E05AA">
        <w:rPr>
          <w:rFonts w:ascii="Segoe UI" w:hAnsi="Segoe UI" w:cs="Segoe UI"/>
          <w:b/>
          <w:bCs/>
          <w:highlight w:val="yellow"/>
          <w:lang w:val="en-US"/>
        </w:rPr>
        <w:t xml:space="preserve">' </w:t>
      </w:r>
      <w:r w:rsidRPr="001E05AA">
        <w:rPr>
          <w:rFonts w:ascii="Segoe UI" w:hAnsi="Segoe UI" w:cs="Segoe UI"/>
          <w:b/>
          <w:bCs/>
          <w:highlight w:val="yellow"/>
          <w:rtl/>
          <w:lang w:val="en-US"/>
        </w:rPr>
        <w:t>ועדת השחרורים</w:t>
      </w:r>
    </w:p>
    <w:p w14:paraId="24E4AA0F" w14:textId="77777777" w:rsidR="00A829B0" w:rsidRPr="00B635B3" w:rsidRDefault="00A829B0"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B635B3">
        <w:rPr>
          <w:rFonts w:ascii="Segoe UI" w:hAnsi="Segoe UI" w:cs="Segoe UI"/>
          <w:rtl/>
          <w:lang w:val="en-US"/>
        </w:rPr>
        <w:t>שחרור אסיר מטעמי חולניות.</w:t>
      </w:r>
    </w:p>
    <w:p w14:paraId="49223C6A" w14:textId="30B0974C" w:rsidR="00A829B0" w:rsidRPr="00B635B3" w:rsidRDefault="00A829B0"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B635B3">
        <w:rPr>
          <w:rFonts w:ascii="Segoe UI" w:hAnsi="Segoe UI" w:cs="Segoe UI"/>
          <w:u w:val="single"/>
          <w:rtl/>
          <w:lang w:val="en-US"/>
        </w:rPr>
        <w:t>ברק:</w:t>
      </w:r>
      <w:r w:rsidRPr="009D7BE6">
        <w:rPr>
          <w:rFonts w:ascii="Segoe UI" w:hAnsi="Segoe UI" w:cs="Segoe UI"/>
          <w:rtl/>
          <w:lang w:val="en-US"/>
        </w:rPr>
        <w:t xml:space="preserve"> </w:t>
      </w:r>
      <w:r w:rsidR="009D7BE6" w:rsidRPr="009D7BE6">
        <w:rPr>
          <w:rFonts w:ascii="Segoe UI" w:hAnsi="Segoe UI" w:cs="Segoe UI" w:hint="cs"/>
          <w:rtl/>
          <w:lang w:val="en-US"/>
        </w:rPr>
        <w:t xml:space="preserve"> </w:t>
      </w:r>
      <w:r w:rsidRPr="009D7BE6">
        <w:rPr>
          <w:rFonts w:ascii="Segoe UI" w:hAnsi="Segoe UI" w:cs="Segoe UI"/>
          <w:rtl/>
          <w:lang w:val="en-US"/>
        </w:rPr>
        <w:t>חברה</w:t>
      </w:r>
      <w:r w:rsidRPr="00B635B3">
        <w:rPr>
          <w:rFonts w:ascii="Segoe UI" w:hAnsi="Segoe UI" w:cs="Segoe UI"/>
          <w:rtl/>
          <w:lang w:val="en-US"/>
        </w:rPr>
        <w:t xml:space="preserve"> דמוקרטית, נאורה והומנית, אינה אוחזת בציפורניה באסיר ואינה ממצה עמו את הדין עד תום. היא מתחשבת בנסיבותיו האישיות, אם</w:t>
      </w:r>
      <w:r w:rsidR="009D7BE6">
        <w:rPr>
          <w:rFonts w:ascii="Segoe UI" w:hAnsi="Segoe UI" w:cs="Segoe UI" w:hint="cs"/>
          <w:rtl/>
          <w:lang w:val="en-US"/>
        </w:rPr>
        <w:t xml:space="preserve"> </w:t>
      </w:r>
      <w:r w:rsidRPr="00B635B3">
        <w:rPr>
          <w:rFonts w:ascii="Segoe UI" w:hAnsi="Segoe UI" w:cs="Segoe UI"/>
          <w:rtl/>
          <w:lang w:val="en-US"/>
        </w:rPr>
        <w:t>כשיקול בגזירת הדין ואם כשיקול בשחרור מוקדם, לאחר גזירת הדין. כמובן, משנגזר הדין יש לרצותו, אך תמיד קיים פתח התקווה של השחרור. בסוף המנהרה של כל אסיר מצוי אור השחרור"</w:t>
      </w:r>
    </w:p>
    <w:p w14:paraId="7D999623" w14:textId="4B574E26" w:rsidR="00552A14" w:rsidRPr="006B72F2" w:rsidRDefault="00A829B0"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color w:val="7030A0"/>
          <w:rtl/>
          <w:lang w:val="en-US"/>
        </w:rPr>
      </w:pPr>
      <w:r w:rsidRPr="006B72F2">
        <w:rPr>
          <w:rFonts w:ascii="Segoe UI" w:hAnsi="Segoe UI" w:cs="Segoe UI"/>
          <w:color w:val="7030A0"/>
          <w:rtl/>
          <w:lang w:val="en-US"/>
        </w:rPr>
        <w:t>היה מרגל, היה פרופסור וראש המכון בנס ציונה שלפי פרסומים זרים מפתחים שם נשק ביולוגי. במשך 30 שנה הוא מסר את כל הסודות של הנשק לרוסים. ממש בוגד במובן העמוק של המילה. הוא היה מאוד חולה והוא הגיש בקשה להשתחרר מהכלא, הפרקליטות מתנגדת וביהמ"ש העליון מפי השופט ברק שחברה דמוקרטית לא ממצה את הדין עם אסירים חולים. המצחיק בסיפור שהוא גורש לצרפת וחיי שם עוד 18 שנה מהרגע שבו נטען בוועדה שהוא חולה סופני.</w:t>
      </w:r>
    </w:p>
    <w:p w14:paraId="0DE3FCF4" w14:textId="68E5E090" w:rsidR="00552A14" w:rsidRDefault="00552A14" w:rsidP="00552A14">
      <w:pPr>
        <w:spacing w:after="0"/>
        <w:rPr>
          <w:lang w:val="en-US"/>
        </w:rPr>
      </w:pPr>
    </w:p>
    <w:p w14:paraId="55E4DB7D" w14:textId="48A2719A" w:rsidR="00552A14" w:rsidRDefault="00552A14" w:rsidP="00552A14">
      <w:pPr>
        <w:spacing w:after="0"/>
        <w:rPr>
          <w:lang w:val="en-US"/>
        </w:rPr>
      </w:pPr>
    </w:p>
    <w:p w14:paraId="1AED0DBE" w14:textId="133501FA" w:rsidR="00552A14" w:rsidRDefault="00552A14" w:rsidP="00552A14">
      <w:pPr>
        <w:spacing w:after="0"/>
        <w:rPr>
          <w:lang w:val="en-US"/>
        </w:rPr>
      </w:pPr>
    </w:p>
    <w:p w14:paraId="73998006" w14:textId="62D16CD3" w:rsidR="00552A14" w:rsidRDefault="00552A14" w:rsidP="00552A14">
      <w:pPr>
        <w:spacing w:after="0"/>
        <w:rPr>
          <w:lang w:val="en-US"/>
        </w:rPr>
      </w:pPr>
    </w:p>
    <w:p w14:paraId="1748C43B" w14:textId="5D9CBC49" w:rsidR="00552A14" w:rsidRDefault="00552A14" w:rsidP="00552A14">
      <w:pPr>
        <w:spacing w:after="0"/>
        <w:rPr>
          <w:lang w:val="en-US"/>
        </w:rPr>
      </w:pPr>
    </w:p>
    <w:p w14:paraId="60F026D7" w14:textId="780EFCA4" w:rsidR="00552A14" w:rsidRDefault="00552A14" w:rsidP="00552A14">
      <w:pPr>
        <w:spacing w:after="0"/>
        <w:rPr>
          <w:lang w:val="en-US"/>
        </w:rPr>
      </w:pPr>
    </w:p>
    <w:p w14:paraId="395FAC8F" w14:textId="77777777" w:rsidR="003D19BF" w:rsidRPr="00552A14" w:rsidRDefault="003D19BF" w:rsidP="00DF3D3B">
      <w:pPr>
        <w:spacing w:after="0"/>
        <w:rPr>
          <w:rtl/>
          <w:lang w:val="en-US"/>
        </w:rPr>
      </w:pPr>
    </w:p>
    <w:p w14:paraId="23C8DE7C" w14:textId="0821A5D8" w:rsidR="00A829B0" w:rsidRDefault="001A0119" w:rsidP="009717DA">
      <w:pPr>
        <w:pStyle w:val="1"/>
        <w:rPr>
          <w:rtl/>
        </w:rPr>
      </w:pPr>
      <w:bookmarkStart w:id="86" w:name="_Toc108218242"/>
      <w:r>
        <w:rPr>
          <w:rFonts w:hint="cs"/>
          <w:rtl/>
        </w:rPr>
        <w:lastRenderedPageBreak/>
        <w:t>ענישת עובדי ציבור</w:t>
      </w:r>
      <w:bookmarkEnd w:id="86"/>
    </w:p>
    <w:p w14:paraId="21ECE7F4" w14:textId="76EDA8D2" w:rsidR="001A0119" w:rsidRPr="00EF0F7B" w:rsidRDefault="007235DD" w:rsidP="00D95A69">
      <w:pPr>
        <w:bidi/>
        <w:spacing w:after="0" w:line="276" w:lineRule="auto"/>
        <w:jc w:val="both"/>
        <w:rPr>
          <w:rFonts w:ascii="Segoe UI" w:hAnsi="Segoe UI" w:cs="Segoe UI"/>
          <w:rtl/>
          <w:lang w:val="en-US"/>
        </w:rPr>
      </w:pPr>
      <w:r w:rsidRPr="00EF0F7B">
        <w:rPr>
          <w:rFonts w:ascii="Segoe UI" w:hAnsi="Segoe UI" w:cs="Segoe UI"/>
          <w:rtl/>
          <w:lang w:val="en-US"/>
        </w:rPr>
        <w:t xml:space="preserve">בעבירות שנעשות על ידי עובדי ציבור, נשאלת השאלה האם עובדת היותם עובדי ציבור היא </w:t>
      </w:r>
      <w:proofErr w:type="spellStart"/>
      <w:r w:rsidRPr="00EF0F7B">
        <w:rPr>
          <w:rFonts w:ascii="Segoe UI" w:hAnsi="Segoe UI" w:cs="Segoe UI"/>
          <w:rtl/>
          <w:lang w:val="en-US"/>
        </w:rPr>
        <w:t>לקולא</w:t>
      </w:r>
      <w:proofErr w:type="spellEnd"/>
      <w:r w:rsidRPr="00EF0F7B">
        <w:rPr>
          <w:rFonts w:ascii="Segoe UI" w:hAnsi="Segoe UI" w:cs="Segoe UI"/>
          <w:rtl/>
          <w:lang w:val="en-US"/>
        </w:rPr>
        <w:t xml:space="preserve"> או </w:t>
      </w:r>
      <w:proofErr w:type="spellStart"/>
      <w:r w:rsidRPr="00EF0F7B">
        <w:rPr>
          <w:rFonts w:ascii="Segoe UI" w:hAnsi="Segoe UI" w:cs="Segoe UI"/>
          <w:rtl/>
          <w:lang w:val="en-US"/>
        </w:rPr>
        <w:t>לחומרא</w:t>
      </w:r>
      <w:proofErr w:type="spellEnd"/>
      <w:r w:rsidRPr="00EF0F7B">
        <w:rPr>
          <w:rFonts w:ascii="Segoe UI" w:hAnsi="Segoe UI" w:cs="Segoe UI"/>
          <w:rtl/>
          <w:lang w:val="en-US"/>
        </w:rPr>
        <w:t>? או שבכלל הם בדיוק כמו אדם רגיל?</w:t>
      </w:r>
    </w:p>
    <w:p w14:paraId="53AAC358" w14:textId="318D43F0" w:rsidR="007235DD" w:rsidRPr="00EF0F7B" w:rsidRDefault="007235DD" w:rsidP="00D95A69">
      <w:pPr>
        <w:bidi/>
        <w:spacing w:after="0" w:line="276" w:lineRule="auto"/>
        <w:jc w:val="both"/>
        <w:rPr>
          <w:rFonts w:ascii="Segoe UI" w:hAnsi="Segoe UI" w:cs="Segoe UI"/>
          <w:rtl/>
          <w:lang w:val="en-US"/>
        </w:rPr>
      </w:pPr>
    </w:p>
    <w:p w14:paraId="13742D6D" w14:textId="3FF0EFDC" w:rsidR="003B4C59" w:rsidRPr="00EF0F7B" w:rsidRDefault="003B4C59" w:rsidP="00D95A69">
      <w:pPr>
        <w:bidi/>
        <w:spacing w:after="0" w:line="276" w:lineRule="auto"/>
        <w:jc w:val="both"/>
        <w:rPr>
          <w:rFonts w:ascii="Segoe UI" w:hAnsi="Segoe UI" w:cs="Segoe UI"/>
          <w:rtl/>
          <w:lang w:val="en-US"/>
        </w:rPr>
      </w:pPr>
      <w:r w:rsidRPr="00EF0F7B">
        <w:rPr>
          <w:rFonts w:ascii="Segoe UI" w:hAnsi="Segoe UI" w:cs="Segoe UI"/>
          <w:rtl/>
          <w:lang w:val="en-US"/>
        </w:rPr>
        <w:t xml:space="preserve">כאשר מדברים על עובדי ציבור עולות כל מיני שאלות וביניהן: </w:t>
      </w:r>
    </w:p>
    <w:p w14:paraId="0F63465D" w14:textId="5DFFDC12" w:rsidR="007235DD" w:rsidRPr="00EF0F7B" w:rsidRDefault="007235DD" w:rsidP="00D95A69">
      <w:pPr>
        <w:bidi/>
        <w:spacing w:after="0" w:line="276" w:lineRule="auto"/>
        <w:jc w:val="both"/>
        <w:rPr>
          <w:rFonts w:ascii="Segoe UI" w:hAnsi="Segoe UI" w:cs="Segoe UI"/>
          <w:rtl/>
          <w:lang w:val="en-US"/>
        </w:rPr>
      </w:pPr>
      <w:r w:rsidRPr="00EF0F7B">
        <w:rPr>
          <w:rFonts w:ascii="Segoe UI" w:hAnsi="Segoe UI" w:cs="Segoe UI"/>
          <w:rtl/>
          <w:lang w:val="en-US"/>
        </w:rPr>
        <w:t>מה הם שיקולי הענישה במקרים של אנשי ציבור?</w:t>
      </w:r>
    </w:p>
    <w:p w14:paraId="3BAA82CC" w14:textId="7ACDF9DE" w:rsidR="007235DD" w:rsidRPr="00EF0F7B" w:rsidRDefault="003B4C59" w:rsidP="00D95A69">
      <w:pPr>
        <w:bidi/>
        <w:spacing w:after="0" w:line="276" w:lineRule="auto"/>
        <w:jc w:val="both"/>
        <w:rPr>
          <w:rFonts w:ascii="Segoe UI" w:hAnsi="Segoe UI" w:cs="Segoe UI"/>
          <w:rtl/>
          <w:lang w:val="en-US"/>
        </w:rPr>
      </w:pPr>
      <w:r w:rsidRPr="00EF0F7B">
        <w:rPr>
          <w:rFonts w:ascii="Segoe UI" w:hAnsi="Segoe UI" w:cs="Segoe UI"/>
          <w:rtl/>
          <w:lang w:val="en-US"/>
        </w:rPr>
        <w:t>האם העבירה שבוצעה קשורה במישרין לתפקיד עובד ציבור (פס"ד איציק מרדכי)</w:t>
      </w:r>
    </w:p>
    <w:p w14:paraId="4D17933E" w14:textId="1C1D77E5" w:rsidR="003B4C59" w:rsidRPr="00EF0F7B" w:rsidRDefault="003B4C59" w:rsidP="00D95A69">
      <w:pPr>
        <w:bidi/>
        <w:spacing w:after="0" w:line="276" w:lineRule="auto"/>
        <w:jc w:val="both"/>
        <w:rPr>
          <w:rFonts w:ascii="Segoe UI" w:hAnsi="Segoe UI" w:cs="Segoe UI"/>
          <w:rtl/>
          <w:lang w:val="en-US"/>
        </w:rPr>
      </w:pPr>
      <w:r w:rsidRPr="00EF0F7B">
        <w:rPr>
          <w:rFonts w:ascii="Segoe UI" w:hAnsi="Segoe UI" w:cs="Segoe UI"/>
          <w:rtl/>
          <w:lang w:val="en-US"/>
        </w:rPr>
        <w:t xml:space="preserve">האם ההליך עצמו (החשיפה/הביוש וכו') היא בעצמה סוג של עונש? </w:t>
      </w:r>
    </w:p>
    <w:p w14:paraId="11D3901E" w14:textId="77777777" w:rsidR="003C3CF1" w:rsidRDefault="003C3CF1" w:rsidP="00D95A69">
      <w:pPr>
        <w:bidi/>
        <w:spacing w:after="0" w:line="276" w:lineRule="auto"/>
        <w:jc w:val="both"/>
        <w:rPr>
          <w:rtl/>
          <w:lang w:val="en-US"/>
        </w:rPr>
      </w:pPr>
    </w:p>
    <w:p w14:paraId="715995BB" w14:textId="16D9FEBA" w:rsidR="003C3CF1" w:rsidRDefault="003C3CF1" w:rsidP="00D95A69">
      <w:pPr>
        <w:pStyle w:val="110"/>
        <w:spacing w:line="276" w:lineRule="auto"/>
        <w:rPr>
          <w:rtl/>
        </w:rPr>
      </w:pPr>
      <w:r>
        <w:rPr>
          <w:rFonts w:hint="cs"/>
          <w:rtl/>
        </w:rPr>
        <w:t>פסיקות בנושא</w:t>
      </w:r>
    </w:p>
    <w:p w14:paraId="6BFD6BCE" w14:textId="77777777" w:rsidR="003C3CF1" w:rsidRPr="003C3CF1" w:rsidRDefault="003C3CF1" w:rsidP="00D95A69">
      <w:pPr>
        <w:pStyle w:val="ab"/>
        <w:numPr>
          <w:ilvl w:val="0"/>
          <w:numId w:val="90"/>
        </w:numPr>
        <w:bidi/>
        <w:spacing w:after="0" w:line="276" w:lineRule="auto"/>
        <w:jc w:val="both"/>
        <w:rPr>
          <w:rFonts w:ascii="Segoe UI" w:hAnsi="Segoe UI" w:cs="Segoe UI"/>
          <w:lang w:val="en-US"/>
        </w:rPr>
      </w:pPr>
      <w:r w:rsidRPr="003C3CF1">
        <w:rPr>
          <w:rFonts w:ascii="Segoe UI" w:hAnsi="Segoe UI" w:cs="Segoe UI"/>
          <w:rtl/>
          <w:lang w:val="en-US"/>
        </w:rPr>
        <w:t xml:space="preserve">ע"פ 3575/99 </w:t>
      </w:r>
      <w:r w:rsidRPr="003C3CF1">
        <w:rPr>
          <w:rFonts w:ascii="Segoe UI" w:hAnsi="Segoe UI" w:cs="Segoe UI"/>
          <w:b/>
          <w:bCs/>
          <w:rtl/>
          <w:lang w:val="en-US"/>
        </w:rPr>
        <w:t>אריה דרעי נ' מדינת ישראל</w:t>
      </w:r>
      <w:r w:rsidRPr="003C3CF1">
        <w:rPr>
          <w:rFonts w:ascii="Segoe UI" w:hAnsi="Segoe UI" w:cs="Segoe UI"/>
          <w:rtl/>
          <w:lang w:val="en-US"/>
        </w:rPr>
        <w:t>, פ"ד נד(2) 721</w:t>
      </w:r>
    </w:p>
    <w:p w14:paraId="741DBBDD" w14:textId="77777777" w:rsidR="003C3CF1" w:rsidRPr="003C3CF1" w:rsidRDefault="003C3CF1" w:rsidP="00D95A69">
      <w:pPr>
        <w:pStyle w:val="ab"/>
        <w:numPr>
          <w:ilvl w:val="0"/>
          <w:numId w:val="90"/>
        </w:numPr>
        <w:bidi/>
        <w:spacing w:after="0" w:line="276" w:lineRule="auto"/>
        <w:jc w:val="both"/>
        <w:rPr>
          <w:rFonts w:ascii="Segoe UI" w:hAnsi="Segoe UI" w:cs="Segoe UI"/>
          <w:rtl/>
          <w:lang w:val="en-US"/>
        </w:rPr>
      </w:pPr>
      <w:r w:rsidRPr="003C3CF1">
        <w:rPr>
          <w:rFonts w:ascii="Segoe UI" w:hAnsi="Segoe UI" w:cs="Segoe UI"/>
          <w:rtl/>
          <w:lang w:val="en-US"/>
        </w:rPr>
        <w:t>ע"פ (י-ם) 2206/01 </w:t>
      </w:r>
      <w:r w:rsidRPr="003C3CF1">
        <w:rPr>
          <w:rFonts w:ascii="Segoe UI" w:hAnsi="Segoe UI" w:cs="Segoe UI"/>
          <w:b/>
          <w:bCs/>
          <w:rtl/>
          <w:lang w:val="en-US"/>
        </w:rPr>
        <w:t xml:space="preserve">מדינת ישראל נ' מרדכי </w:t>
      </w:r>
      <w:r w:rsidRPr="003C3CF1">
        <w:rPr>
          <w:rFonts w:ascii="Segoe UI" w:hAnsi="Segoe UI" w:cs="Segoe UI"/>
          <w:rtl/>
          <w:lang w:val="en-US"/>
        </w:rPr>
        <w:t>(פורסם בנבו, 28.11.2011) (פסקאות 83-76 פסק דינה של השופטת צור).</w:t>
      </w:r>
    </w:p>
    <w:p w14:paraId="33BCFB35" w14:textId="77777777" w:rsidR="003C3CF1" w:rsidRPr="003C3CF1" w:rsidRDefault="003C3CF1" w:rsidP="00D95A69">
      <w:pPr>
        <w:pStyle w:val="ab"/>
        <w:numPr>
          <w:ilvl w:val="0"/>
          <w:numId w:val="90"/>
        </w:numPr>
        <w:bidi/>
        <w:spacing w:after="0" w:line="276" w:lineRule="auto"/>
        <w:jc w:val="both"/>
        <w:rPr>
          <w:rFonts w:ascii="Segoe UI" w:hAnsi="Segoe UI" w:cs="Segoe UI"/>
          <w:rtl/>
          <w:lang w:val="en-US"/>
        </w:rPr>
      </w:pPr>
      <w:r w:rsidRPr="003C3CF1">
        <w:rPr>
          <w:rFonts w:ascii="Segoe UI" w:hAnsi="Segoe UI" w:cs="Segoe UI"/>
          <w:rtl/>
          <w:lang w:val="en-US"/>
        </w:rPr>
        <w:t>ע"פ (מחוזי-ת"א) 70569/06 </w:t>
      </w:r>
      <w:r w:rsidRPr="003C3CF1">
        <w:rPr>
          <w:rFonts w:ascii="Segoe UI" w:hAnsi="Segoe UI" w:cs="Segoe UI"/>
          <w:b/>
          <w:bCs/>
          <w:rtl/>
          <w:lang w:val="en-US"/>
        </w:rPr>
        <w:t>עמרי שרון נ' מדינת ישראל</w:t>
      </w:r>
      <w:r w:rsidRPr="003C3CF1">
        <w:rPr>
          <w:rFonts w:ascii="Segoe UI" w:hAnsi="Segoe UI" w:cs="Segoe UI"/>
          <w:rtl/>
          <w:lang w:val="en-US"/>
        </w:rPr>
        <w:t xml:space="preserve"> (פורסם בנבו, 25.6.2007)</w:t>
      </w:r>
    </w:p>
    <w:p w14:paraId="73FDE5B6" w14:textId="77777777" w:rsidR="003C3CF1" w:rsidRPr="003C3CF1" w:rsidRDefault="003C3CF1" w:rsidP="00D95A69">
      <w:pPr>
        <w:pStyle w:val="ab"/>
        <w:numPr>
          <w:ilvl w:val="0"/>
          <w:numId w:val="90"/>
        </w:numPr>
        <w:bidi/>
        <w:spacing w:after="0" w:line="276" w:lineRule="auto"/>
        <w:jc w:val="both"/>
        <w:rPr>
          <w:rFonts w:ascii="Segoe UI" w:hAnsi="Segoe UI" w:cs="Segoe UI"/>
          <w:rtl/>
          <w:lang w:val="en-US"/>
        </w:rPr>
      </w:pPr>
      <w:r w:rsidRPr="003C3CF1">
        <w:rPr>
          <w:rFonts w:ascii="Segoe UI" w:hAnsi="Segoe UI" w:cs="Segoe UI"/>
          <w:rtl/>
          <w:lang w:val="en-US"/>
        </w:rPr>
        <w:t>ע"פ 5083/08 </w:t>
      </w:r>
      <w:r w:rsidRPr="003C3CF1">
        <w:rPr>
          <w:rFonts w:ascii="Segoe UI" w:hAnsi="Segoe UI" w:cs="Segoe UI"/>
          <w:b/>
          <w:bCs/>
          <w:rtl/>
          <w:lang w:val="en-US"/>
        </w:rPr>
        <w:t>שלמה בניזרי נ' מדינת ישראל</w:t>
      </w:r>
      <w:r w:rsidRPr="003C3CF1">
        <w:rPr>
          <w:rFonts w:ascii="Segoe UI" w:hAnsi="Segoe UI" w:cs="Segoe UI"/>
          <w:rtl/>
          <w:lang w:val="en-US"/>
        </w:rPr>
        <w:t xml:space="preserve"> (פורסם בנבו, 24.6.2009)</w:t>
      </w:r>
    </w:p>
    <w:p w14:paraId="6E625F91" w14:textId="77777777" w:rsidR="003C3CF1" w:rsidRPr="003C3CF1" w:rsidRDefault="003C3CF1" w:rsidP="00D95A69">
      <w:pPr>
        <w:pStyle w:val="ab"/>
        <w:numPr>
          <w:ilvl w:val="0"/>
          <w:numId w:val="90"/>
        </w:numPr>
        <w:bidi/>
        <w:spacing w:after="0" w:line="276" w:lineRule="auto"/>
        <w:jc w:val="both"/>
        <w:rPr>
          <w:rFonts w:ascii="Segoe UI" w:hAnsi="Segoe UI" w:cs="Segoe UI"/>
          <w:rtl/>
          <w:lang w:val="en-US"/>
        </w:rPr>
      </w:pPr>
      <w:r w:rsidRPr="003C3CF1">
        <w:rPr>
          <w:rFonts w:ascii="Segoe UI" w:hAnsi="Segoe UI" w:cs="Segoe UI"/>
          <w:rtl/>
          <w:lang w:val="en-US"/>
        </w:rPr>
        <w:t>ת"פ (תל אביב- יפו) 40138/08 </w:t>
      </w:r>
      <w:r w:rsidRPr="003C3CF1">
        <w:rPr>
          <w:rFonts w:ascii="Segoe UI" w:hAnsi="Segoe UI" w:cs="Segoe UI"/>
          <w:b/>
          <w:bCs/>
          <w:rtl/>
          <w:lang w:val="en-US"/>
        </w:rPr>
        <w:t>מדינת ישראל נ' אברהם הירשזון</w:t>
      </w:r>
      <w:r w:rsidRPr="003C3CF1">
        <w:rPr>
          <w:rFonts w:ascii="Segoe UI" w:hAnsi="Segoe UI" w:cs="Segoe UI"/>
          <w:rtl/>
          <w:lang w:val="en-US"/>
        </w:rPr>
        <w:t> (פורסם בנבו, 24.06.2009)</w:t>
      </w:r>
    </w:p>
    <w:p w14:paraId="4EF91F9B" w14:textId="77777777" w:rsidR="003C3CF1" w:rsidRPr="003C3CF1" w:rsidRDefault="003C3CF1" w:rsidP="00D95A69">
      <w:pPr>
        <w:pStyle w:val="ab"/>
        <w:numPr>
          <w:ilvl w:val="0"/>
          <w:numId w:val="90"/>
        </w:numPr>
        <w:bidi/>
        <w:spacing w:after="0" w:line="276" w:lineRule="auto"/>
        <w:jc w:val="both"/>
        <w:rPr>
          <w:rFonts w:ascii="Segoe UI" w:hAnsi="Segoe UI" w:cs="Segoe UI"/>
          <w:rtl/>
          <w:lang w:val="en-US"/>
        </w:rPr>
      </w:pPr>
      <w:r w:rsidRPr="003C3CF1">
        <w:rPr>
          <w:rFonts w:ascii="Segoe UI" w:hAnsi="Segoe UI" w:cs="Segoe UI"/>
          <w:rtl/>
          <w:lang w:val="en-US"/>
        </w:rPr>
        <w:t xml:space="preserve">ע"פ 3372/11 </w:t>
      </w:r>
      <w:r w:rsidRPr="003C3CF1">
        <w:rPr>
          <w:rFonts w:ascii="Segoe UI" w:hAnsi="Segoe UI" w:cs="Segoe UI"/>
          <w:b/>
          <w:bCs/>
          <w:rtl/>
          <w:lang w:val="en-US"/>
        </w:rPr>
        <w:t>משה קצב נ' מדינת ישראל</w:t>
      </w:r>
      <w:r w:rsidRPr="003C3CF1">
        <w:rPr>
          <w:rFonts w:ascii="Segoe UI" w:hAnsi="Segoe UI" w:cs="Segoe UI"/>
          <w:rtl/>
          <w:lang w:val="en-US"/>
        </w:rPr>
        <w:t xml:space="preserve"> (פורסם בנבו, 10.11.2011)</w:t>
      </w:r>
    </w:p>
    <w:p w14:paraId="463E66BC" w14:textId="28E33EB0" w:rsidR="003C3CF1" w:rsidRPr="003C3CF1" w:rsidRDefault="003C3CF1" w:rsidP="00D95A69">
      <w:pPr>
        <w:pStyle w:val="ab"/>
        <w:numPr>
          <w:ilvl w:val="0"/>
          <w:numId w:val="90"/>
        </w:numPr>
        <w:bidi/>
        <w:spacing w:after="0" w:line="276" w:lineRule="auto"/>
        <w:jc w:val="both"/>
        <w:rPr>
          <w:rFonts w:ascii="Segoe UI" w:hAnsi="Segoe UI" w:cs="Segoe UI"/>
          <w:rtl/>
          <w:lang w:val="en-US"/>
        </w:rPr>
      </w:pPr>
      <w:r w:rsidRPr="003C3CF1">
        <w:rPr>
          <w:rFonts w:ascii="Segoe UI" w:hAnsi="Segoe UI" w:cs="Segoe UI"/>
          <w:rtl/>
          <w:lang w:val="en-US"/>
        </w:rPr>
        <w:t xml:space="preserve">ע"פ 4456/14 </w:t>
      </w:r>
      <w:r w:rsidRPr="003C3CF1">
        <w:rPr>
          <w:rFonts w:ascii="Segoe UI" w:hAnsi="Segoe UI" w:cs="Segoe UI"/>
          <w:b/>
          <w:bCs/>
          <w:rtl/>
          <w:lang w:val="en-US"/>
        </w:rPr>
        <w:t xml:space="preserve">אביגדור </w:t>
      </w:r>
      <w:proofErr w:type="spellStart"/>
      <w:r w:rsidRPr="003C3CF1">
        <w:rPr>
          <w:rFonts w:ascii="Segoe UI" w:hAnsi="Segoe UI" w:cs="Segoe UI"/>
          <w:b/>
          <w:bCs/>
          <w:rtl/>
          <w:lang w:val="en-US"/>
        </w:rPr>
        <w:t>קלנר</w:t>
      </w:r>
      <w:proofErr w:type="spellEnd"/>
      <w:r w:rsidRPr="003C3CF1">
        <w:rPr>
          <w:rFonts w:ascii="Segoe UI" w:hAnsi="Segoe UI" w:cs="Segoe UI"/>
          <w:b/>
          <w:bCs/>
          <w:rtl/>
          <w:lang w:val="en-US"/>
        </w:rPr>
        <w:t xml:space="preserve"> נ' מדינת ישראל</w:t>
      </w:r>
      <w:r w:rsidRPr="003C3CF1">
        <w:rPr>
          <w:rFonts w:ascii="Segoe UI" w:hAnsi="Segoe UI" w:cs="Segoe UI"/>
          <w:rtl/>
          <w:lang w:val="en-US"/>
        </w:rPr>
        <w:t xml:space="preserve"> (פורסם בנבו, 29.12.15) (משפטו של רה"מ לשעבר אולמרט</w:t>
      </w:r>
      <w:r w:rsidRPr="003C3CF1">
        <w:rPr>
          <w:rFonts w:ascii="Segoe UI" w:hAnsi="Segoe UI" w:cs="Segoe UI"/>
          <w:rtl/>
          <w:lang w:val="en-US"/>
        </w:rPr>
        <w:tab/>
      </w:r>
    </w:p>
    <w:p w14:paraId="62F80393" w14:textId="77777777" w:rsidR="003C3CF1" w:rsidRPr="003C3CF1" w:rsidRDefault="003C3CF1" w:rsidP="00D95A69">
      <w:pPr>
        <w:pStyle w:val="ab"/>
        <w:numPr>
          <w:ilvl w:val="0"/>
          <w:numId w:val="90"/>
        </w:numPr>
        <w:bidi/>
        <w:spacing w:after="0" w:line="276" w:lineRule="auto"/>
        <w:jc w:val="both"/>
        <w:rPr>
          <w:rFonts w:ascii="Segoe UI" w:hAnsi="Segoe UI" w:cs="Segoe UI"/>
          <w:rtl/>
          <w:lang w:val="en-US"/>
        </w:rPr>
      </w:pPr>
      <w:r w:rsidRPr="003C3CF1">
        <w:rPr>
          <w:rFonts w:ascii="Segoe UI" w:hAnsi="Segoe UI" w:cs="Segoe UI"/>
          <w:rtl/>
          <w:lang w:val="en-US"/>
        </w:rPr>
        <w:t xml:space="preserve">ת"פ (י-ם) 21629-10-15 </w:t>
      </w:r>
      <w:r w:rsidRPr="003C3CF1">
        <w:rPr>
          <w:rFonts w:ascii="Segoe UI" w:hAnsi="Segoe UI" w:cs="Segoe UI"/>
          <w:b/>
          <w:bCs/>
          <w:rtl/>
          <w:lang w:val="en-US"/>
        </w:rPr>
        <w:t>מדינת ישראל נ' יונה יחיאל מצגר</w:t>
      </w:r>
      <w:r w:rsidRPr="003C3CF1">
        <w:rPr>
          <w:rFonts w:ascii="Segoe UI" w:hAnsi="Segoe UI" w:cs="Segoe UI"/>
          <w:rtl/>
          <w:lang w:val="en-US"/>
        </w:rPr>
        <w:t xml:space="preserve"> (פורסם בנבו, 23.2.2017)</w:t>
      </w:r>
    </w:p>
    <w:p w14:paraId="440DDB4B" w14:textId="5D53ECE9" w:rsidR="003C3CF1" w:rsidRDefault="003C3CF1" w:rsidP="00D95A69">
      <w:pPr>
        <w:bidi/>
        <w:spacing w:after="0" w:line="276" w:lineRule="auto"/>
        <w:jc w:val="both"/>
        <w:rPr>
          <w:lang w:val="en-US"/>
        </w:rPr>
      </w:pPr>
    </w:p>
    <w:p w14:paraId="77B4825B" w14:textId="187C52B4" w:rsidR="00A54A41" w:rsidRPr="00552A14" w:rsidRDefault="00A54A41" w:rsidP="00D95A69">
      <w:pPr>
        <w:pStyle w:val="110"/>
        <w:spacing w:line="276" w:lineRule="auto"/>
        <w:rPr>
          <w:rtl/>
        </w:rPr>
      </w:pPr>
      <w:r w:rsidRPr="00552A14">
        <w:rPr>
          <w:rtl/>
        </w:rPr>
        <w:t>נהוג לחלק בין 3 קטגוריות</w:t>
      </w:r>
      <w:r w:rsidR="008D5C5B" w:rsidRPr="00552A14">
        <w:rPr>
          <w:rtl/>
        </w:rPr>
        <w:t xml:space="preserve"> בנוגע לאנשי ציבור</w:t>
      </w:r>
    </w:p>
    <w:p w14:paraId="747D7DC2" w14:textId="41887D71" w:rsidR="008D5C5B" w:rsidRPr="00552A14" w:rsidRDefault="008D5C5B" w:rsidP="00D95A69">
      <w:pPr>
        <w:bidi/>
        <w:spacing w:after="0" w:line="276" w:lineRule="auto"/>
        <w:jc w:val="both"/>
        <w:rPr>
          <w:rFonts w:ascii="Segoe UI" w:hAnsi="Segoe UI" w:cs="Segoe UI"/>
          <w:rtl/>
          <w:lang w:val="en-US"/>
        </w:rPr>
      </w:pPr>
      <w:r w:rsidRPr="00552A14">
        <w:rPr>
          <w:rFonts w:ascii="Segoe UI" w:hAnsi="Segoe UI" w:cs="Segoe UI"/>
          <w:rtl/>
          <w:lang w:val="en-US"/>
        </w:rPr>
        <w:t>1. אנשי ציבור בעלי תפקידים ממלכתיים – נבחרי ציבור או פקידים בכירים בשירות הציבורי</w:t>
      </w:r>
    </w:p>
    <w:p w14:paraId="2C412886" w14:textId="3573467D" w:rsidR="008D5C5B" w:rsidRPr="00552A14" w:rsidRDefault="008D5C5B" w:rsidP="00D95A69">
      <w:pPr>
        <w:bidi/>
        <w:spacing w:after="0" w:line="276" w:lineRule="auto"/>
        <w:jc w:val="both"/>
        <w:rPr>
          <w:rFonts w:ascii="Segoe UI" w:hAnsi="Segoe UI" w:cs="Segoe UI"/>
          <w:rtl/>
          <w:lang w:val="en-US"/>
        </w:rPr>
      </w:pPr>
      <w:r w:rsidRPr="00552A14">
        <w:rPr>
          <w:rFonts w:ascii="Segoe UI" w:hAnsi="Segoe UI" w:cs="Segoe UI"/>
          <w:rtl/>
          <w:lang w:val="en-US"/>
        </w:rPr>
        <w:t>2. נושאי תפקיד בעל אופי ציבורי – רבנים, מחנכים, מנהלים בכירים. הם לא עובדי ציבור אבל תפקידם נמצא במרחב הציבור (לדוג' הרב מוטי אלון).</w:t>
      </w:r>
    </w:p>
    <w:p w14:paraId="2263F53D" w14:textId="7C504280" w:rsidR="008D5C5B" w:rsidRPr="00552A14" w:rsidRDefault="008D5C5B" w:rsidP="00D95A69">
      <w:pPr>
        <w:bidi/>
        <w:spacing w:after="0" w:line="276" w:lineRule="auto"/>
        <w:jc w:val="both"/>
        <w:rPr>
          <w:rFonts w:ascii="Segoe UI" w:hAnsi="Segoe UI" w:cs="Segoe UI"/>
          <w:rtl/>
          <w:lang w:val="en-US"/>
        </w:rPr>
      </w:pPr>
      <w:r w:rsidRPr="00552A14">
        <w:rPr>
          <w:rFonts w:ascii="Segoe UI" w:hAnsi="Segoe UI" w:cs="Segoe UI"/>
          <w:rtl/>
          <w:lang w:val="en-US"/>
        </w:rPr>
        <w:t xml:space="preserve">3. ידוענים/סלבס – אנשים פרטיים בעלי חשיפה רבה לתקשורת (לדוג' אייל גולן). </w:t>
      </w:r>
    </w:p>
    <w:p w14:paraId="2E142DCD" w14:textId="572DCA58" w:rsidR="008D5C5B" w:rsidRPr="00552A14" w:rsidRDefault="008D5C5B" w:rsidP="00D95A69">
      <w:pPr>
        <w:bidi/>
        <w:spacing w:after="0" w:line="276" w:lineRule="auto"/>
        <w:jc w:val="both"/>
        <w:rPr>
          <w:rFonts w:ascii="Segoe UI" w:hAnsi="Segoe UI" w:cs="Segoe UI"/>
          <w:rtl/>
          <w:lang w:val="en-US"/>
        </w:rPr>
      </w:pPr>
    </w:p>
    <w:p w14:paraId="7BDC9CD0" w14:textId="72FC73FC" w:rsidR="00EF4735" w:rsidRPr="00552A14" w:rsidRDefault="00EF4735" w:rsidP="00D95A69">
      <w:pPr>
        <w:pStyle w:val="110"/>
        <w:spacing w:line="276" w:lineRule="auto"/>
        <w:rPr>
          <w:rtl/>
        </w:rPr>
      </w:pPr>
      <w:r w:rsidRPr="00552A14">
        <w:rPr>
          <w:rtl/>
        </w:rPr>
        <w:t>מה קורה בתיקים של "אנשי ציבור" למיניהן?</w:t>
      </w:r>
    </w:p>
    <w:p w14:paraId="59FA8DE5" w14:textId="5954D6B0" w:rsidR="00EF4735" w:rsidRPr="00552A14" w:rsidRDefault="00EF4735" w:rsidP="00D95A69">
      <w:pPr>
        <w:bidi/>
        <w:spacing w:after="0" w:line="276" w:lineRule="auto"/>
        <w:jc w:val="both"/>
        <w:rPr>
          <w:rFonts w:ascii="Segoe UI" w:hAnsi="Segoe UI" w:cs="Segoe UI"/>
          <w:rtl/>
          <w:lang w:val="en-ZW"/>
        </w:rPr>
      </w:pPr>
      <w:r w:rsidRPr="00552A14">
        <w:rPr>
          <w:rFonts w:ascii="Segoe UI" w:hAnsi="Segoe UI" w:cs="Segoe UI"/>
          <w:rtl/>
          <w:lang w:val="en-ZW"/>
        </w:rPr>
        <w:t xml:space="preserve">בשלב החקירה – פרופ' </w:t>
      </w:r>
      <w:proofErr w:type="spellStart"/>
      <w:r w:rsidRPr="00552A14">
        <w:rPr>
          <w:rFonts w:ascii="Segoe UI" w:hAnsi="Segoe UI" w:cs="Segoe UI"/>
          <w:rtl/>
          <w:lang w:val="en-ZW"/>
        </w:rPr>
        <w:t>קרמניצר</w:t>
      </w:r>
      <w:proofErr w:type="spellEnd"/>
      <w:r w:rsidRPr="00552A14">
        <w:rPr>
          <w:rFonts w:ascii="Segoe UI" w:hAnsi="Segoe UI" w:cs="Segoe UI"/>
          <w:rtl/>
          <w:lang w:val="en-ZW"/>
        </w:rPr>
        <w:t xml:space="preserve"> טוען שלחוקרים יש "נטייה" לחקור גורמים בעלי פרופיל גבוה כדי לייקר את מעמד הגוף החוקר (חקירות של </w:t>
      </w:r>
      <w:proofErr w:type="spellStart"/>
      <w:r w:rsidRPr="00552A14">
        <w:rPr>
          <w:rFonts w:ascii="Segoe UI" w:hAnsi="Segoe UI" w:cs="Segoe UI"/>
          <w:rtl/>
          <w:lang w:val="en-ZW"/>
        </w:rPr>
        <w:t>יאח"ה</w:t>
      </w:r>
      <w:proofErr w:type="spellEnd"/>
      <w:r w:rsidRPr="00552A14">
        <w:rPr>
          <w:rFonts w:ascii="Segoe UI" w:hAnsi="Segoe UI" w:cs="Segoe UI"/>
          <w:rtl/>
          <w:lang w:val="en-ZW"/>
        </w:rPr>
        <w:t xml:space="preserve">, </w:t>
      </w:r>
      <w:proofErr w:type="spellStart"/>
      <w:r w:rsidRPr="00552A14">
        <w:rPr>
          <w:rFonts w:ascii="Segoe UI" w:hAnsi="Segoe UI" w:cs="Segoe UI"/>
          <w:color w:val="7030A0"/>
          <w:rtl/>
          <w:lang w:val="en-ZW"/>
        </w:rPr>
        <w:t>ימ"ר</w:t>
      </w:r>
      <w:r w:rsidR="00906E36" w:rsidRPr="00552A14">
        <w:rPr>
          <w:rFonts w:ascii="Segoe UI" w:hAnsi="Segoe UI" w:cs="Segoe UI"/>
          <w:color w:val="7030A0"/>
          <w:rtl/>
          <w:lang w:val="en-ZW"/>
        </w:rPr>
        <w:t>ים</w:t>
      </w:r>
      <w:proofErr w:type="spellEnd"/>
      <w:r w:rsidR="00906E36" w:rsidRPr="00552A14">
        <w:rPr>
          <w:rFonts w:ascii="Segoe UI" w:hAnsi="Segoe UI" w:cs="Segoe UI"/>
          <w:color w:val="7030A0"/>
          <w:rtl/>
          <w:lang w:val="en-ZW"/>
        </w:rPr>
        <w:t xml:space="preserve"> למיניהם</w:t>
      </w:r>
      <w:r w:rsidRPr="00552A14">
        <w:rPr>
          <w:rFonts w:ascii="Segoe UI" w:hAnsi="Segoe UI" w:cs="Segoe UI"/>
          <w:color w:val="7030A0"/>
          <w:rtl/>
          <w:lang w:val="en-ZW"/>
        </w:rPr>
        <w:t>, להב 433</w:t>
      </w:r>
      <w:r w:rsidR="00906E36" w:rsidRPr="00552A14">
        <w:rPr>
          <w:rFonts w:ascii="Segoe UI" w:hAnsi="Segoe UI" w:cs="Segoe UI"/>
          <w:color w:val="7030A0"/>
          <w:rtl/>
          <w:lang w:val="en-ZW"/>
        </w:rPr>
        <w:t>, רשויות המיסים, רשות ני"ע וכו'</w:t>
      </w:r>
      <w:r w:rsidR="00906E36" w:rsidRPr="00552A14">
        <w:rPr>
          <w:rFonts w:ascii="Segoe UI" w:hAnsi="Segoe UI" w:cs="Segoe UI"/>
          <w:rtl/>
          <w:lang w:val="en-ZW"/>
        </w:rPr>
        <w:t>).</w:t>
      </w:r>
    </w:p>
    <w:p w14:paraId="26BD1513" w14:textId="1064885E" w:rsidR="00F703CF" w:rsidRPr="00552A14" w:rsidRDefault="00F703CF" w:rsidP="00D95A69">
      <w:pPr>
        <w:bidi/>
        <w:spacing w:after="0" w:line="276" w:lineRule="auto"/>
        <w:jc w:val="both"/>
        <w:rPr>
          <w:rFonts w:ascii="Segoe UI" w:hAnsi="Segoe UI" w:cs="Segoe UI"/>
          <w:color w:val="7030A0"/>
          <w:rtl/>
          <w:lang w:val="en-ZW"/>
        </w:rPr>
      </w:pPr>
      <w:r w:rsidRPr="00552A14">
        <w:rPr>
          <w:rFonts w:ascii="Segoe UI" w:hAnsi="Segoe UI" w:cs="Segoe UI"/>
          <w:rtl/>
          <w:lang w:val="en-ZW"/>
        </w:rPr>
        <w:t xml:space="preserve">בשלב המשפט – התקשורת פוגעת בעדויות ("זיהום עדויות") וגם עשויה להשפיע על השופטים. </w:t>
      </w:r>
    </w:p>
    <w:p w14:paraId="7BD03884" w14:textId="77777777" w:rsidR="006A3BD6" w:rsidRDefault="006A3BD6" w:rsidP="00D95A69">
      <w:pPr>
        <w:bidi/>
        <w:spacing w:after="0" w:line="276" w:lineRule="auto"/>
        <w:jc w:val="both"/>
        <w:rPr>
          <w:color w:val="7030A0"/>
          <w:rtl/>
          <w:lang w:val="en-ZW"/>
        </w:rPr>
      </w:pPr>
    </w:p>
    <w:p w14:paraId="2235C018" w14:textId="3BA14BEC" w:rsidR="006A3BD6" w:rsidRPr="00A76EDF" w:rsidRDefault="006A3BD6"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lang w:val="en-US"/>
        </w:rPr>
      </w:pPr>
      <w:r w:rsidRPr="006A3BD6">
        <w:rPr>
          <w:rFonts w:ascii="Segoe UI" w:hAnsi="Segoe UI" w:cs="Segoe UI"/>
          <w:highlight w:val="yellow"/>
          <w:rtl/>
          <w:lang w:val="en-US"/>
        </w:rPr>
        <w:t xml:space="preserve">ת"פ 5461/06 </w:t>
      </w:r>
      <w:r w:rsidRPr="006A3BD6">
        <w:rPr>
          <w:rFonts w:ascii="Segoe UI" w:hAnsi="Segoe UI" w:cs="Segoe UI"/>
          <w:b/>
          <w:bCs/>
          <w:highlight w:val="yellow"/>
          <w:rtl/>
          <w:lang w:val="en-US"/>
        </w:rPr>
        <w:t>מדינת ישראל נ' רמון</w:t>
      </w:r>
      <w:r w:rsidRPr="006A3BD6">
        <w:rPr>
          <w:rFonts w:ascii="Segoe UI" w:hAnsi="Segoe UI" w:cs="Segoe UI"/>
          <w:rtl/>
          <w:lang w:val="en-US"/>
        </w:rPr>
        <w:t xml:space="preserve"> </w:t>
      </w:r>
    </w:p>
    <w:p w14:paraId="61E6454A" w14:textId="1D4952CD" w:rsidR="006A3BD6" w:rsidRPr="00A76EDF" w:rsidRDefault="006A3BD6"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6A3BD6">
        <w:rPr>
          <w:rFonts w:ascii="Segoe UI" w:hAnsi="Segoe UI" w:cs="Segoe UI"/>
          <w:rtl/>
        </w:rPr>
        <w:t>הנאשם הועמד לדין בעבירה של מעשה מגונה ללא הסכמה לפי ס' 348(ג) ל</w:t>
      </w:r>
      <w:hyperlink r:id="rId46" w:tgtFrame="blank" w:history="1">
        <w:r w:rsidRPr="006A3BD6">
          <w:rPr>
            <w:rStyle w:val="Hyperlink"/>
            <w:rFonts w:ascii="Segoe UI" w:hAnsi="Segoe UI" w:cs="Segoe UI"/>
            <w:color w:val="auto"/>
            <w:rtl/>
          </w:rPr>
          <w:t>חוק העונשין</w:t>
        </w:r>
      </w:hyperlink>
      <w:r w:rsidRPr="006A3BD6">
        <w:rPr>
          <w:rFonts w:ascii="Segoe UI" w:hAnsi="Segoe UI" w:cs="Segoe UI"/>
          <w:rtl/>
        </w:rPr>
        <w:t xml:space="preserve">, התשל"ז-1977. הנאשם, בהיותו ח"כ ושר המשפטים, הואשם בכך שנשק והחדיר את לשונו לפיה של המתלוננת, קצינה בצה"ל, </w:t>
      </w:r>
      <w:proofErr w:type="spellStart"/>
      <w:r w:rsidRPr="006A3BD6">
        <w:rPr>
          <w:rFonts w:ascii="Segoe UI" w:hAnsi="Segoe UI" w:cs="Segoe UI"/>
          <w:rtl/>
        </w:rPr>
        <w:t>שהיתה</w:t>
      </w:r>
      <w:proofErr w:type="spellEnd"/>
      <w:r w:rsidRPr="006A3BD6">
        <w:rPr>
          <w:rFonts w:ascii="Segoe UI" w:hAnsi="Segoe UI" w:cs="Segoe UI"/>
          <w:rtl/>
        </w:rPr>
        <w:t xml:space="preserve"> בתפקיד. הנאשם הודה בקיומה של הנשיקה, ואולם תהום פעורה בין גרסת המתלוננת לגרסת הנאשם בשאלות מתי, איפה ואיך היתה הנשיקה והן אם היתה או לא היתה הסכמה מצד המתלוננת. </w:t>
      </w:r>
    </w:p>
    <w:p w14:paraId="1FB75FF6" w14:textId="0FD24FB4" w:rsidR="00900FE4" w:rsidRPr="00900FE4" w:rsidRDefault="00900FE4"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A76EDF">
        <w:rPr>
          <w:rFonts w:ascii="Segoe UI" w:hAnsi="Segoe UI" w:cs="Segoe UI"/>
          <w:rtl/>
          <w:lang w:val="en-ZW"/>
        </w:rPr>
        <w:t xml:space="preserve">96. </w:t>
      </w:r>
      <w:r w:rsidRPr="00900FE4">
        <w:rPr>
          <w:rFonts w:ascii="Segoe UI" w:hAnsi="Segoe UI" w:cs="Segoe UI"/>
          <w:b/>
          <w:bCs/>
          <w:rtl/>
          <w:lang w:val="en-ZW"/>
        </w:rPr>
        <w:t>לא נוכל לסיים משפט זה בלי התייחסות לתקשורת. לטעמנו, בתיק זה נחצו כל הקווים האדומים, המושג סוביודיצה דורדר לתהומות שלא הכרנו. תוכן עדויות פורסם באמצעי התקשורת, טרם עדים השמיעו את עדותם וכך התוודענו, במספר מקרים, ל"זיהום" עדויות</w:t>
      </w:r>
      <w:r w:rsidRPr="00900FE4">
        <w:rPr>
          <w:rFonts w:ascii="Segoe UI" w:hAnsi="Segoe UI" w:cs="Segoe UI"/>
          <w:rtl/>
          <w:lang w:val="en-ZW"/>
        </w:rPr>
        <w:t xml:space="preserve">. האיסור שלא לפרסם את עדות המתלוננת הופר ברגל גסה ע"י פרסום מילולי של העימות, שהיווה חלק אינטגרלי של העדות. ראיות מתיק המוצגים, לרבות צילומים, פורסמו ברבים, טרם ביהמ"ש אמר את דברו. אמצעי התקשורת עשו שימוש נלוז בבדיקות פוליגרף לשלוש עדות ההגנה האחרונות, </w:t>
      </w:r>
      <w:proofErr w:type="spellStart"/>
      <w:r w:rsidRPr="00900FE4">
        <w:rPr>
          <w:rFonts w:ascii="Segoe UI" w:hAnsi="Segoe UI" w:cs="Segoe UI"/>
          <w:rtl/>
          <w:lang w:val="en-ZW"/>
        </w:rPr>
        <w:t>בנסיון</w:t>
      </w:r>
      <w:proofErr w:type="spellEnd"/>
      <w:r w:rsidRPr="00900FE4">
        <w:rPr>
          <w:rFonts w:ascii="Segoe UI" w:hAnsi="Segoe UI" w:cs="Segoe UI"/>
          <w:rtl/>
          <w:lang w:val="en-ZW"/>
        </w:rPr>
        <w:t xml:space="preserve"> ליצור בציבור את התחושה שהמשפט מתנהל </w:t>
      </w:r>
      <w:r w:rsidRPr="00900FE4">
        <w:rPr>
          <w:rFonts w:ascii="Segoe UI" w:hAnsi="Segoe UI" w:cs="Segoe UI"/>
          <w:rtl/>
          <w:lang w:val="en-ZW"/>
        </w:rPr>
        <w:lastRenderedPageBreak/>
        <w:t xml:space="preserve">בתקשורת ולא בבית משפט. תחושתנו היתה שנעשים ניסיונות, לעתים ע"י מסרים מוסווים, לעיתים בבוטות, להטות משפט. ליבנו היה גס בנאמר. לנו השופטים אין אלא את צו מצפוננו והוא הוא בלבד שמנחה אותנו. </w:t>
      </w:r>
    </w:p>
    <w:p w14:paraId="401ADFB0" w14:textId="22D33FF5" w:rsidR="00900FE4" w:rsidRPr="00900FE4" w:rsidRDefault="00900FE4"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sidRPr="00A76EDF">
        <w:rPr>
          <w:rFonts w:ascii="Segoe UI" w:hAnsi="Segoe UI" w:cs="Segoe UI"/>
          <w:rtl/>
          <w:lang w:val="en-ZW"/>
        </w:rPr>
        <w:t xml:space="preserve">97. </w:t>
      </w:r>
      <w:r w:rsidRPr="00900FE4">
        <w:rPr>
          <w:rFonts w:ascii="Segoe UI" w:hAnsi="Segoe UI" w:cs="Segoe UI"/>
          <w:rtl/>
          <w:lang w:val="en-ZW"/>
        </w:rPr>
        <w:t>התופעות החמורות שנתגלו במהלך ניהול משפט זה אינן יכולות להישאר ללא מענה. ראוי שהאחראים על מערכת אכיפת החוק יתנו דעתם לאותן תופעות פסולות וינקטו בצעדים הנדרשים.</w:t>
      </w:r>
    </w:p>
    <w:p w14:paraId="28F9A7E0" w14:textId="6D39FC9F" w:rsidR="00A76EDF" w:rsidRDefault="00A76EDF" w:rsidP="00D95A69">
      <w:pPr>
        <w:bidi/>
        <w:spacing w:after="0" w:line="276" w:lineRule="auto"/>
        <w:jc w:val="both"/>
        <w:rPr>
          <w:rFonts w:ascii="Segoe UI" w:hAnsi="Segoe UI" w:cs="Segoe UI"/>
          <w:rtl/>
          <w:lang w:val="en-ZW"/>
        </w:rPr>
      </w:pPr>
    </w:p>
    <w:p w14:paraId="649D4B5B" w14:textId="2143C40D" w:rsidR="0097053F" w:rsidRDefault="0097053F" w:rsidP="00D95A69">
      <w:pPr>
        <w:pStyle w:val="2"/>
        <w:rPr>
          <w:rtl/>
        </w:rPr>
      </w:pPr>
      <w:bookmarkStart w:id="87" w:name="_Toc108218243"/>
      <w:r>
        <w:rPr>
          <w:rFonts w:hint="cs"/>
          <w:rtl/>
        </w:rPr>
        <w:t xml:space="preserve">טענות </w:t>
      </w:r>
      <w:proofErr w:type="spellStart"/>
      <w:r>
        <w:rPr>
          <w:rFonts w:hint="cs"/>
          <w:rtl/>
        </w:rPr>
        <w:t>לחומרא</w:t>
      </w:r>
      <w:proofErr w:type="spellEnd"/>
      <w:r>
        <w:rPr>
          <w:rFonts w:hint="cs"/>
          <w:rtl/>
        </w:rPr>
        <w:t xml:space="preserve"> בעניינם של אנשי ציבור</w:t>
      </w:r>
      <w:bookmarkEnd w:id="87"/>
      <w:r>
        <w:rPr>
          <w:rFonts w:hint="cs"/>
          <w:rtl/>
        </w:rPr>
        <w:t xml:space="preserve"> </w:t>
      </w:r>
    </w:p>
    <w:p w14:paraId="139A5BFE" w14:textId="15AF85EE" w:rsidR="00906E36" w:rsidRPr="00963D4D" w:rsidRDefault="00963D4D" w:rsidP="00D95A69">
      <w:pPr>
        <w:bidi/>
        <w:spacing w:after="0" w:line="276" w:lineRule="auto"/>
        <w:jc w:val="both"/>
        <w:rPr>
          <w:rFonts w:ascii="Segoe UI" w:hAnsi="Segoe UI" w:cs="Segoe UI"/>
          <w:rtl/>
          <w:lang w:val="en-ZW"/>
        </w:rPr>
      </w:pPr>
      <w:r w:rsidRPr="00963D4D">
        <w:rPr>
          <w:rFonts w:ascii="Segoe UI" w:hAnsi="Segoe UI" w:cs="Segoe UI"/>
          <w:rtl/>
          <w:lang w:val="en-ZW"/>
        </w:rPr>
        <w:t xml:space="preserve">בשלב גזירת הדין: טענת חומרה: התקשורת מאפשרת לביהמ"ש לייצר </w:t>
      </w:r>
      <w:r w:rsidRPr="00963D4D">
        <w:rPr>
          <w:rFonts w:ascii="Segoe UI" w:hAnsi="Segoe UI" w:cs="Segoe UI"/>
          <w:u w:val="single"/>
          <w:rtl/>
          <w:lang w:val="en-ZW"/>
        </w:rPr>
        <w:t>הרתעה ממשית</w:t>
      </w:r>
      <w:r w:rsidRPr="00963D4D">
        <w:rPr>
          <w:rFonts w:ascii="Segoe UI" w:hAnsi="Segoe UI" w:cs="Segoe UI"/>
          <w:rtl/>
          <w:lang w:val="en-ZW"/>
        </w:rPr>
        <w:t xml:space="preserve">. ניצול הפלטפורמה בשביל העברת מסר. </w:t>
      </w:r>
      <w:r w:rsidRPr="00963D4D">
        <w:rPr>
          <w:rFonts w:ascii="Segoe UI" w:hAnsi="Segoe UI" w:cs="Segoe UI"/>
          <w:u w:val="single"/>
          <w:rtl/>
          <w:lang w:val="en-ZW"/>
        </w:rPr>
        <w:t>הציבור לא מכיר פסיקה של אנשים מהיישוב. זו הזדמנות של ביהמ"ש להעביר מסר</w:t>
      </w:r>
      <w:r w:rsidRPr="00963D4D">
        <w:rPr>
          <w:rFonts w:ascii="Segoe UI" w:hAnsi="Segoe UI" w:cs="Segoe UI"/>
          <w:rtl/>
          <w:lang w:val="en-ZW"/>
        </w:rPr>
        <w:t xml:space="preserve">. </w:t>
      </w:r>
    </w:p>
    <w:p w14:paraId="1F19C362" w14:textId="74977C80" w:rsidR="00963D4D" w:rsidRDefault="00963D4D" w:rsidP="00D95A69">
      <w:pPr>
        <w:bidi/>
        <w:spacing w:after="0" w:line="276" w:lineRule="auto"/>
        <w:jc w:val="both"/>
        <w:rPr>
          <w:rFonts w:ascii="Segoe UI" w:hAnsi="Segoe UI" w:cs="Segoe UI"/>
          <w:rtl/>
          <w:lang w:val="en-ZW"/>
        </w:rPr>
      </w:pPr>
      <w:r w:rsidRPr="00963D4D">
        <w:rPr>
          <w:rFonts w:ascii="Segoe UI" w:hAnsi="Segoe UI" w:cs="Segoe UI"/>
          <w:rtl/>
          <w:lang w:val="en-ZW"/>
        </w:rPr>
        <w:t xml:space="preserve">מצד שני, הנאשם הופך להיות כלי שרת למטרה "על חשבונו. </w:t>
      </w:r>
    </w:p>
    <w:p w14:paraId="72904171" w14:textId="232B9180" w:rsidR="009647CE" w:rsidRDefault="009647CE" w:rsidP="00D95A69">
      <w:pPr>
        <w:bidi/>
        <w:spacing w:after="0" w:line="276" w:lineRule="auto"/>
        <w:jc w:val="both"/>
        <w:rPr>
          <w:rFonts w:ascii="Segoe UI" w:hAnsi="Segoe UI" w:cs="Segoe UI"/>
          <w:rtl/>
          <w:lang w:val="en-ZW"/>
        </w:rPr>
      </w:pPr>
    </w:p>
    <w:p w14:paraId="39376B19" w14:textId="1171F3D4" w:rsidR="009647CE" w:rsidRPr="009647CE" w:rsidRDefault="009647CE"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lang w:val="en-US"/>
        </w:rPr>
      </w:pPr>
      <w:r w:rsidRPr="009647CE">
        <w:rPr>
          <w:rFonts w:ascii="Segoe UI" w:hAnsi="Segoe UI" w:cs="Segoe UI"/>
          <w:highlight w:val="yellow"/>
          <w:rtl/>
          <w:lang w:val="en-ZW"/>
        </w:rPr>
        <w:t>ת</w:t>
      </w:r>
      <w:r w:rsidRPr="00E2765D">
        <w:rPr>
          <w:rFonts w:ascii="Segoe UI" w:hAnsi="Segoe UI" w:cs="Segoe UI" w:hint="cs"/>
          <w:highlight w:val="yellow"/>
          <w:rtl/>
          <w:lang w:val="en-ZW"/>
        </w:rPr>
        <w:t>"</w:t>
      </w:r>
      <w:r w:rsidRPr="009647CE">
        <w:rPr>
          <w:rFonts w:ascii="Segoe UI" w:hAnsi="Segoe UI" w:cs="Segoe UI"/>
          <w:highlight w:val="yellow"/>
          <w:rtl/>
          <w:lang w:val="en-ZW"/>
        </w:rPr>
        <w:t>פ  3185/00</w:t>
      </w:r>
      <w:r w:rsidRPr="00E2765D">
        <w:rPr>
          <w:rFonts w:ascii="Segoe UI" w:hAnsi="Segoe UI" w:cs="Segoe UI" w:hint="cs"/>
          <w:highlight w:val="yellow"/>
          <w:rtl/>
          <w:lang w:val="en-US"/>
        </w:rPr>
        <w:t xml:space="preserve"> </w:t>
      </w:r>
      <w:r w:rsidRPr="00E2765D">
        <w:rPr>
          <w:rFonts w:ascii="Segoe UI" w:hAnsi="Segoe UI" w:cs="Segoe UI" w:hint="cs"/>
          <w:b/>
          <w:bCs/>
          <w:highlight w:val="yellow"/>
          <w:rtl/>
          <w:lang w:val="en-US"/>
        </w:rPr>
        <w:t>מדינת ישראל נ' מרדכי</w:t>
      </w:r>
    </w:p>
    <w:p w14:paraId="4D0639E7" w14:textId="7A1E7A1F" w:rsidR="00B60D5F" w:rsidRDefault="00E456E9"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E456E9">
        <w:rPr>
          <w:rFonts w:ascii="Segoe UI" w:hAnsi="Segoe UI" w:cs="Segoe UI"/>
          <w:rtl/>
          <w:lang w:val="en-ZW"/>
        </w:rPr>
        <w:t>הנאשם מואשם בשלושה אישומים בעבירות מין שהתרחשו, על-פי הנטען בכתב האישום, בשנים 1992, 1996, 1999-2000.</w:t>
      </w:r>
      <w:r>
        <w:rPr>
          <w:rFonts w:ascii="Segoe UI" w:hAnsi="Segoe UI" w:cs="Segoe UI" w:hint="cs"/>
          <w:rtl/>
          <w:lang w:val="en-US"/>
        </w:rPr>
        <w:t xml:space="preserve"> </w:t>
      </w:r>
      <w:r w:rsidRPr="00E456E9">
        <w:rPr>
          <w:rFonts w:ascii="Segoe UI" w:hAnsi="Segoe UI" w:cs="Segoe UI"/>
          <w:b/>
          <w:bCs/>
          <w:rtl/>
          <w:lang w:val="en-ZW"/>
        </w:rPr>
        <w:t xml:space="preserve">באישום הראשון </w:t>
      </w:r>
      <w:r w:rsidRPr="00E456E9">
        <w:rPr>
          <w:rFonts w:ascii="Segoe UI" w:hAnsi="Segoe UI" w:cs="Segoe UI"/>
          <w:rtl/>
          <w:lang w:val="en-ZW"/>
        </w:rPr>
        <w:t>נטען כי בשנת 1992 שירתה המתלוננת א' בלשכת הנאשם, שהיה אלוף פיקוד צפון, וכי הנאשם ליטף את רגליה ופשקן בכוח, תוך כדי נסיעות ברכב, חיבקה ונישקה בכוח בבת-יער וביצע בה מעשה מגונה בכוח בדירתו בנתניה.</w:t>
      </w:r>
      <w:r>
        <w:rPr>
          <w:rFonts w:ascii="Segoe UI" w:hAnsi="Segoe UI" w:cs="Segoe UI" w:hint="cs"/>
          <w:rtl/>
          <w:lang w:val="en-US"/>
        </w:rPr>
        <w:t xml:space="preserve"> </w:t>
      </w:r>
      <w:r w:rsidRPr="00E456E9">
        <w:rPr>
          <w:rFonts w:ascii="Segoe UI" w:hAnsi="Segoe UI" w:cs="Segoe UI"/>
          <w:b/>
          <w:bCs/>
          <w:rtl/>
          <w:lang w:val="en-ZW"/>
        </w:rPr>
        <w:t xml:space="preserve">באישום השני </w:t>
      </w:r>
      <w:r w:rsidRPr="00E456E9">
        <w:rPr>
          <w:rFonts w:ascii="Segoe UI" w:hAnsi="Segoe UI" w:cs="Segoe UI"/>
          <w:rtl/>
          <w:lang w:val="en-ZW"/>
        </w:rPr>
        <w:t>נטען כי ביום 13.11.96, בדירתו במוצא, רכן ונשכב הנאשם על המתלוננת נ' והחדיר ידו לחזה בניגוד לרצונה.</w:t>
      </w:r>
      <w:r>
        <w:rPr>
          <w:rFonts w:ascii="Segoe UI" w:hAnsi="Segoe UI" w:cs="Segoe UI" w:hint="cs"/>
          <w:rtl/>
          <w:lang w:val="en-US"/>
        </w:rPr>
        <w:t xml:space="preserve"> </w:t>
      </w:r>
      <w:r w:rsidRPr="00E456E9">
        <w:rPr>
          <w:rFonts w:ascii="Segoe UI" w:hAnsi="Segoe UI" w:cs="Segoe UI"/>
          <w:b/>
          <w:bCs/>
          <w:rtl/>
          <w:lang w:val="en-ZW"/>
        </w:rPr>
        <w:t xml:space="preserve">באישום השלישי </w:t>
      </w:r>
      <w:r w:rsidRPr="00E456E9">
        <w:rPr>
          <w:rFonts w:ascii="Segoe UI" w:hAnsi="Segoe UI" w:cs="Segoe UI"/>
          <w:rtl/>
          <w:lang w:val="en-ZW"/>
        </w:rPr>
        <w:t>נטען כי בחודשים נובמבר 1999 - פברואר 2000 הטריד הנאשם מינית ועשה מעשים מגונים במתלוננת ש', בכך שהביכה בשאלות אינטימיות, נגע בבטנה, חיבקה, השכיבה על ספה וליטף את גופה בניגוד לרצונה.</w:t>
      </w:r>
      <w:r>
        <w:rPr>
          <w:rFonts w:ascii="Segoe UI" w:hAnsi="Segoe UI" w:cs="Segoe UI" w:hint="cs"/>
          <w:rtl/>
          <w:lang w:val="en-US"/>
        </w:rPr>
        <w:t xml:space="preserve"> </w:t>
      </w:r>
      <w:r w:rsidRPr="00E456E9">
        <w:rPr>
          <w:rFonts w:ascii="Segoe UI" w:hAnsi="Segoe UI" w:cs="Segoe UI"/>
          <w:b/>
          <w:bCs/>
          <w:u w:val="single"/>
          <w:rtl/>
          <w:lang w:val="en-ZW"/>
        </w:rPr>
        <w:t>בתשובתו כפר הנאשם בחלק מהעובדות ובהאשמות שיוחסו לו.</w:t>
      </w:r>
    </w:p>
    <w:p w14:paraId="1B02D094" w14:textId="6AA762EB" w:rsidR="00F84CD2" w:rsidRDefault="00F84CD2"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Pr>
          <w:rFonts w:ascii="Segoe UI" w:hAnsi="Segoe UI" w:cs="Segoe UI" w:hint="cs"/>
          <w:rtl/>
          <w:lang w:val="en-US"/>
        </w:rPr>
        <w:t>---</w:t>
      </w:r>
    </w:p>
    <w:p w14:paraId="3ACCF359" w14:textId="3217E0C1" w:rsidR="00B60D5F" w:rsidRDefault="00B60D5F"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B60D5F">
        <w:rPr>
          <w:rFonts w:ascii="Segoe UI" w:eastAsia="Times New Roman" w:hAnsi="Segoe UI" w:cs="Segoe UI"/>
          <w:rtl/>
          <w:lang w:val="en-US"/>
        </w:rPr>
        <w:t xml:space="preserve">כאשר איש ציבור מורשע מתנגשים שני עקרונות </w:t>
      </w:r>
      <w:proofErr w:type="spellStart"/>
      <w:r w:rsidRPr="00B60D5F">
        <w:rPr>
          <w:rFonts w:ascii="Segoe UI" w:eastAsia="Times New Roman" w:hAnsi="Segoe UI" w:cs="Segoe UI"/>
          <w:rtl/>
          <w:lang w:val="en-US"/>
        </w:rPr>
        <w:t>עונשיים</w:t>
      </w:r>
      <w:proofErr w:type="spellEnd"/>
      <w:r w:rsidRPr="00B60D5F">
        <w:rPr>
          <w:rFonts w:ascii="Segoe UI" w:eastAsia="Times New Roman" w:hAnsi="Segoe UI" w:cs="Segoe UI"/>
          <w:rtl/>
          <w:lang w:val="en-US"/>
        </w:rPr>
        <w:t xml:space="preserve">: </w:t>
      </w:r>
      <w:r w:rsidRPr="00B60D5F">
        <w:rPr>
          <w:rFonts w:ascii="Segoe UI" w:eastAsia="Times New Roman" w:hAnsi="Segoe UI" w:cs="Segoe UI"/>
          <w:b/>
          <w:bCs/>
          <w:rtl/>
          <w:lang w:val="en-US"/>
        </w:rPr>
        <w:t>מחד</w:t>
      </w:r>
      <w:r w:rsidRPr="00B60D5F">
        <w:rPr>
          <w:rFonts w:ascii="Segoe UI" w:eastAsia="Times New Roman" w:hAnsi="Segoe UI" w:cs="Segoe UI"/>
          <w:rtl/>
          <w:lang w:val="en-US"/>
        </w:rPr>
        <w:t xml:space="preserve">, ההליך הפלילי, ההרשעה והפרסום הכרוך, בכך מהווים, ככאלה, חלק מגמול על המעשים ויש בהם כדי להרתיע אחרים. </w:t>
      </w:r>
      <w:r w:rsidRPr="00B60D5F">
        <w:rPr>
          <w:rFonts w:ascii="Segoe UI" w:eastAsia="Times New Roman" w:hAnsi="Segoe UI" w:cs="Segoe UI"/>
          <w:b/>
          <w:bCs/>
          <w:rtl/>
          <w:lang w:val="en-US"/>
        </w:rPr>
        <w:t>מאידך</w:t>
      </w:r>
      <w:r w:rsidRPr="00B60D5F">
        <w:rPr>
          <w:rFonts w:ascii="Segoe UI" w:eastAsia="Times New Roman" w:hAnsi="Segoe UI" w:cs="Segoe UI"/>
          <w:rtl/>
          <w:lang w:val="en-US"/>
        </w:rPr>
        <w:t xml:space="preserve">, איש ציבור מהווה דוגמא לכלל ובשל מעמדו נוטים ליחס לדרגת ענישתו משמעות רבה יותר, על מנת שיראו ויראו. </w:t>
      </w:r>
    </w:p>
    <w:p w14:paraId="282E8C30" w14:textId="4257AF3D" w:rsidR="00F84CD2" w:rsidRDefault="00F84CD2"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Pr>
          <w:rFonts w:ascii="Segoe UI" w:hAnsi="Segoe UI" w:cs="Segoe UI" w:hint="cs"/>
          <w:rtl/>
          <w:lang w:val="en-US"/>
        </w:rPr>
        <w:t>---</w:t>
      </w:r>
    </w:p>
    <w:p w14:paraId="625AB952" w14:textId="47C3E1F9" w:rsidR="00F84CD2" w:rsidRDefault="00F84CD2"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sidRPr="00F84CD2">
        <w:rPr>
          <w:rFonts w:ascii="Segoe UI" w:hAnsi="Segoe UI" w:cs="Segoe UI"/>
          <w:rtl/>
        </w:rPr>
        <w:t>הרשעה בעבירת מין הינה מכה אנושה לאיש ציבור ולקריירה ציבורית. מרבית הנאשמים מרצים עונש, משלמים חוב לחברה, וחוזרים למסגרת חייהם, בדרך כלל אותה מסגרת בה חיו קודם. אולם, כאשר בעצם ההרשעה יש שינוי מסלול חיים או סיכוי רב לכך</w:t>
      </w:r>
      <w:r w:rsidRPr="00F84CD2">
        <w:rPr>
          <w:rFonts w:ascii="Segoe UI" w:hAnsi="Segoe UI" w:cs="Segoe UI"/>
        </w:rPr>
        <w:t xml:space="preserve">, </w:t>
      </w:r>
      <w:r w:rsidRPr="00F84CD2">
        <w:rPr>
          <w:rFonts w:ascii="Segoe UI" w:hAnsi="Segoe UI" w:cs="Segoe UI"/>
          <w:rtl/>
        </w:rPr>
        <w:t>כאשר עצם ההרשעה גורמת או תגרום לדחייתו של הנאשם מתוך המערכת הציבורית</w:t>
      </w:r>
      <w:r w:rsidRPr="00F84CD2">
        <w:rPr>
          <w:rFonts w:ascii="Segoe UI" w:hAnsi="Segoe UI" w:cs="Segoe UI"/>
        </w:rPr>
        <w:t xml:space="preserve">, </w:t>
      </w:r>
      <w:r w:rsidRPr="00F84CD2">
        <w:rPr>
          <w:rFonts w:ascii="Segoe UI" w:hAnsi="Segoe UI" w:cs="Segoe UI"/>
          <w:rtl/>
        </w:rPr>
        <w:t xml:space="preserve">הרי בהרשעה עצמה </w:t>
      </w:r>
      <w:r w:rsidRPr="00F84CD2">
        <w:rPr>
          <w:rFonts w:ascii="Segoe UI" w:hAnsi="Segoe UI" w:cs="Segoe UI"/>
          <w:b/>
          <w:bCs/>
          <w:rtl/>
        </w:rPr>
        <w:t>טבועה</w:t>
      </w:r>
      <w:r w:rsidRPr="00F84CD2">
        <w:rPr>
          <w:rFonts w:ascii="Segoe UI" w:hAnsi="Segoe UI" w:cs="Segoe UI"/>
          <w:rtl/>
        </w:rPr>
        <w:t xml:space="preserve"> עוצמה רבה והשפעה מרחיקת לכת על עתיד הנאשם, טבוע אלמנט עונשי</w:t>
      </w:r>
      <w:r w:rsidRPr="00F84CD2">
        <w:rPr>
          <w:rFonts w:ascii="Segoe UI" w:hAnsi="Segoe UI" w:cs="Segoe UI"/>
        </w:rPr>
        <w:t>.</w:t>
      </w:r>
    </w:p>
    <w:p w14:paraId="4CF882A8" w14:textId="20B36C56" w:rsidR="00192DE1" w:rsidRDefault="00192DE1"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rPr>
      </w:pPr>
      <w:r>
        <w:rPr>
          <w:rFonts w:ascii="Segoe UI" w:hAnsi="Segoe UI" w:cs="Segoe UI" w:hint="cs"/>
          <w:rtl/>
        </w:rPr>
        <w:t>---</w:t>
      </w:r>
    </w:p>
    <w:p w14:paraId="1E4FE2D4" w14:textId="798A00ED" w:rsidR="00192DE1" w:rsidRPr="00B60D5F" w:rsidRDefault="00192DE1"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Pr>
      </w:pPr>
      <w:r w:rsidRPr="00192DE1">
        <w:rPr>
          <w:rFonts w:ascii="Segoe UI" w:hAnsi="Segoe UI" w:cs="Segoe UI"/>
          <w:rtl/>
        </w:rPr>
        <w:t xml:space="preserve">שירות צבאי מפואר אינו מהווה חסינות מפני עונש, אולם ביום בו השם הטוב נפגע והמוניטין הציבורי מתרסק, השירות המפואר נשקל לכף זכות, </w:t>
      </w:r>
      <w:r w:rsidRPr="003C3972">
        <w:rPr>
          <w:rFonts w:ascii="Segoe UI" w:hAnsi="Segoe UI" w:cs="Segoe UI"/>
          <w:b/>
          <w:bCs/>
          <w:u w:val="single"/>
          <w:rtl/>
        </w:rPr>
        <w:t>וביום פקודה חברה אינה צריכה להשליך את גיבור האתמול אשר למרבית הצער הוא העבריין היום</w:t>
      </w:r>
      <w:r>
        <w:rPr>
          <w:rFonts w:ascii="Segoe UI" w:hAnsi="Segoe UI" w:cs="Segoe UI" w:hint="cs"/>
          <w:rtl/>
        </w:rPr>
        <w:t>.</w:t>
      </w:r>
    </w:p>
    <w:p w14:paraId="7AB063C2" w14:textId="7BF7AA1C" w:rsidR="003C3972" w:rsidRDefault="003C3972" w:rsidP="00D95A69">
      <w:pPr>
        <w:bidi/>
        <w:spacing w:after="0" w:line="276" w:lineRule="auto"/>
        <w:jc w:val="both"/>
        <w:rPr>
          <w:rFonts w:ascii="Segoe UI" w:hAnsi="Segoe UI" w:cs="Segoe UI"/>
          <w:rtl/>
        </w:rPr>
      </w:pPr>
    </w:p>
    <w:p w14:paraId="53D33BB7" w14:textId="01E80B34" w:rsidR="003C3972" w:rsidRDefault="00C13CBC" w:rsidP="00D95A69">
      <w:pPr>
        <w:bidi/>
        <w:spacing w:after="0" w:line="276" w:lineRule="auto"/>
        <w:jc w:val="both"/>
        <w:rPr>
          <w:rFonts w:ascii="Segoe UI" w:hAnsi="Segoe UI" w:cs="Segoe UI"/>
          <w:rtl/>
          <w:lang w:val="en-US"/>
        </w:rPr>
      </w:pPr>
      <w:r w:rsidRPr="00C13CBC">
        <w:rPr>
          <w:rFonts w:ascii="Segoe UI" w:hAnsi="Segoe UI" w:cs="Segoe UI" w:hint="cs"/>
          <w:color w:val="7030A0"/>
          <w:rtl/>
          <w:lang w:val="en-US"/>
        </w:rPr>
        <w:t xml:space="preserve">מתוך המאמר "השפעת המעורבות התקשורתית על גזר הדין של נאשמים מפורסמים" שנכתב על ידי עו"ד חיים </w:t>
      </w:r>
      <w:proofErr w:type="spellStart"/>
      <w:r w:rsidRPr="00C13CBC">
        <w:rPr>
          <w:rFonts w:ascii="Segoe UI" w:hAnsi="Segoe UI" w:cs="Segoe UI" w:hint="cs"/>
          <w:color w:val="7030A0"/>
          <w:rtl/>
          <w:lang w:val="en-US"/>
        </w:rPr>
        <w:t>זיכרמן</w:t>
      </w:r>
      <w:proofErr w:type="spellEnd"/>
      <w:r w:rsidRPr="00C13CBC">
        <w:rPr>
          <w:rFonts w:ascii="Segoe UI" w:hAnsi="Segoe UI" w:cs="Segoe UI" w:hint="cs"/>
          <w:color w:val="7030A0"/>
          <w:rtl/>
          <w:lang w:val="en-US"/>
        </w:rPr>
        <w:t xml:space="preserve"> לסנגור</w:t>
      </w:r>
      <w:r>
        <w:rPr>
          <w:rFonts w:ascii="Segoe UI" w:hAnsi="Segoe UI" w:cs="Segoe UI" w:hint="cs"/>
          <w:rtl/>
          <w:lang w:val="en-US"/>
        </w:rPr>
        <w:t>:</w:t>
      </w:r>
      <w:r w:rsidR="00E35113">
        <w:rPr>
          <w:rFonts w:ascii="Segoe UI" w:hAnsi="Segoe UI" w:cs="Segoe UI" w:hint="cs"/>
          <w:rtl/>
          <w:lang w:val="en-US"/>
        </w:rPr>
        <w:t xml:space="preserve"> </w:t>
      </w:r>
    </w:p>
    <w:p w14:paraId="54D130E6" w14:textId="3210CF59" w:rsidR="00C13CBC" w:rsidRDefault="00D95A69" w:rsidP="00D95A69">
      <w:pPr>
        <w:bidi/>
        <w:spacing w:after="0" w:line="276" w:lineRule="auto"/>
        <w:jc w:val="both"/>
        <w:rPr>
          <w:rFonts w:ascii="Segoe UI" w:hAnsi="Segoe UI" w:cs="Segoe UI"/>
          <w:rtl/>
          <w:lang w:val="en-US"/>
        </w:rPr>
      </w:pPr>
      <w:r w:rsidRPr="00117E8E">
        <w:rPr>
          <w:rFonts w:ascii="Segoe UI" w:hAnsi="Segoe UI" w:cs="Segoe UI"/>
          <w:noProof/>
          <w:rtl/>
          <w:lang w:val="en-US"/>
        </w:rPr>
        <w:lastRenderedPageBreak/>
        <w:drawing>
          <wp:anchor distT="0" distB="0" distL="114300" distR="114300" simplePos="0" relativeHeight="251670528" behindDoc="1" locked="0" layoutInCell="1" allowOverlap="1" wp14:anchorId="2041771E" wp14:editId="70427CC9">
            <wp:simplePos x="0" y="0"/>
            <wp:positionH relativeFrom="column">
              <wp:posOffset>38804</wp:posOffset>
            </wp:positionH>
            <wp:positionV relativeFrom="page">
              <wp:posOffset>1001496</wp:posOffset>
            </wp:positionV>
            <wp:extent cx="3292475" cy="1546860"/>
            <wp:effectExtent l="19050" t="19050" r="22225" b="15240"/>
            <wp:wrapTight wrapText="bothSides">
              <wp:wrapPolygon edited="0">
                <wp:start x="-125" y="-266"/>
                <wp:lineTo x="-125" y="21547"/>
                <wp:lineTo x="21621" y="21547"/>
                <wp:lineTo x="21621" y="-266"/>
                <wp:lineTo x="-125" y="-266"/>
              </wp:wrapPolygon>
            </wp:wrapTight>
            <wp:docPr id="14" name="תמונה 1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טקסט&#10;&#10;התיאור נוצר באופן אוטומטי"/>
                    <pic:cNvPicPr/>
                  </pic:nvPicPr>
                  <pic:blipFill>
                    <a:blip r:embed="rId47">
                      <a:extLst>
                        <a:ext uri="{28A0092B-C50C-407E-A947-70E740481C1C}">
                          <a14:useLocalDpi xmlns:a14="http://schemas.microsoft.com/office/drawing/2010/main" val="0"/>
                        </a:ext>
                      </a:extLst>
                    </a:blip>
                    <a:stretch>
                      <a:fillRect/>
                    </a:stretch>
                  </pic:blipFill>
                  <pic:spPr>
                    <a:xfrm>
                      <a:off x="0" y="0"/>
                      <a:ext cx="3292475" cy="1546860"/>
                    </a:xfrm>
                    <a:prstGeom prst="rect">
                      <a:avLst/>
                    </a:prstGeom>
                    <a:ln w="12700">
                      <a:solidFill>
                        <a:schemeClr val="tx1"/>
                      </a:solidFill>
                    </a:ln>
                  </pic:spPr>
                </pic:pic>
              </a:graphicData>
            </a:graphic>
          </wp:anchor>
        </w:drawing>
      </w:r>
      <w:r w:rsidR="00CA14D6" w:rsidRPr="00FA41D5">
        <w:rPr>
          <w:rFonts w:ascii="Segoe UI" w:hAnsi="Segoe UI" w:cs="Segoe UI"/>
          <w:noProof/>
          <w:rtl/>
          <w:lang w:val="en-US"/>
        </w:rPr>
        <w:drawing>
          <wp:anchor distT="0" distB="0" distL="114300" distR="114300" simplePos="0" relativeHeight="251669504" behindDoc="1" locked="0" layoutInCell="1" allowOverlap="1" wp14:anchorId="22754D5F" wp14:editId="5A996DF1">
            <wp:simplePos x="0" y="0"/>
            <wp:positionH relativeFrom="column">
              <wp:posOffset>3419475</wp:posOffset>
            </wp:positionH>
            <wp:positionV relativeFrom="paragraph">
              <wp:posOffset>227330</wp:posOffset>
            </wp:positionV>
            <wp:extent cx="3060700" cy="1627505"/>
            <wp:effectExtent l="19050" t="19050" r="25400" b="10795"/>
            <wp:wrapTight wrapText="bothSides">
              <wp:wrapPolygon edited="0">
                <wp:start x="-134" y="-253"/>
                <wp:lineTo x="-134" y="21490"/>
                <wp:lineTo x="21645" y="21490"/>
                <wp:lineTo x="21645" y="-253"/>
                <wp:lineTo x="-134" y="-253"/>
              </wp:wrapPolygon>
            </wp:wrapTight>
            <wp:docPr id="13" name="תמונה 1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descr="תמונה שמכילה טקסט&#10;&#10;התיאור נוצר באופן אוטומטי"/>
                    <pic:cNvPicPr/>
                  </pic:nvPicPr>
                  <pic:blipFill rotWithShape="1">
                    <a:blip r:embed="rId48">
                      <a:extLst>
                        <a:ext uri="{28A0092B-C50C-407E-A947-70E740481C1C}">
                          <a14:useLocalDpi xmlns:a14="http://schemas.microsoft.com/office/drawing/2010/main" val="0"/>
                        </a:ext>
                      </a:extLst>
                    </a:blip>
                    <a:srcRect b="47164"/>
                    <a:stretch/>
                  </pic:blipFill>
                  <pic:spPr bwMode="auto">
                    <a:xfrm>
                      <a:off x="0" y="0"/>
                      <a:ext cx="3060700" cy="162750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113">
        <w:rPr>
          <w:rFonts w:ascii="Segoe UI" w:hAnsi="Segoe UI" w:cs="Segoe UI" w:hint="cs"/>
          <w:rtl/>
          <w:lang w:val="en-US"/>
        </w:rPr>
        <w:t>הקטע בצהוב מופיע בשקופיות המצגת של ד"ר שי פרבר.</w:t>
      </w:r>
    </w:p>
    <w:p w14:paraId="21A90B35" w14:textId="77777777" w:rsidR="00073BC8" w:rsidRDefault="008D42D9" w:rsidP="00D95A69">
      <w:pPr>
        <w:pStyle w:val="2"/>
        <w:rPr>
          <w:rtl/>
        </w:rPr>
      </w:pPr>
      <w:bookmarkStart w:id="88" w:name="_Toc108218244"/>
      <w:r>
        <w:rPr>
          <w:rFonts w:hint="cs"/>
          <w:rtl/>
        </w:rPr>
        <w:t xml:space="preserve">טענות </w:t>
      </w:r>
      <w:proofErr w:type="spellStart"/>
      <w:r>
        <w:rPr>
          <w:rFonts w:hint="cs"/>
          <w:rtl/>
        </w:rPr>
        <w:t>לקולא</w:t>
      </w:r>
      <w:proofErr w:type="spellEnd"/>
      <w:r>
        <w:rPr>
          <w:rFonts w:hint="cs"/>
          <w:rtl/>
        </w:rPr>
        <w:t xml:space="preserve"> בעניינם של אנשי ציבור</w:t>
      </w:r>
      <w:bookmarkEnd w:id="88"/>
      <w:r>
        <w:rPr>
          <w:rFonts w:hint="cs"/>
          <w:rtl/>
        </w:rPr>
        <w:t xml:space="preserve"> </w:t>
      </w:r>
    </w:p>
    <w:p w14:paraId="3D9D2A94" w14:textId="3F99BF55" w:rsidR="00D34418" w:rsidRDefault="00073BC8" w:rsidP="00D95A69">
      <w:pPr>
        <w:bidi/>
        <w:spacing w:after="0" w:line="276" w:lineRule="auto"/>
        <w:rPr>
          <w:rFonts w:ascii="Segoe UI" w:hAnsi="Segoe UI" w:cs="Segoe UI"/>
          <w:color w:val="7030A0"/>
          <w:rtl/>
          <w:lang w:val="en-US"/>
        </w:rPr>
      </w:pPr>
      <w:r w:rsidRPr="00073BC8">
        <w:rPr>
          <w:rFonts w:ascii="Segoe UI" w:hAnsi="Segoe UI" w:cs="Segoe UI" w:hint="cs"/>
          <w:color w:val="7030A0"/>
          <w:highlight w:val="yellow"/>
          <w:rtl/>
          <w:lang w:val="en-US"/>
        </w:rPr>
        <w:t xml:space="preserve">(שי לקח את כל הדברים מתוך המאמר של עו"ד חיים </w:t>
      </w:r>
      <w:proofErr w:type="spellStart"/>
      <w:r w:rsidRPr="00073BC8">
        <w:rPr>
          <w:rFonts w:ascii="Segoe UI" w:hAnsi="Segoe UI" w:cs="Segoe UI" w:hint="cs"/>
          <w:color w:val="7030A0"/>
          <w:highlight w:val="yellow"/>
          <w:rtl/>
          <w:lang w:val="en-US"/>
        </w:rPr>
        <w:t>זיברמן</w:t>
      </w:r>
      <w:proofErr w:type="spellEnd"/>
      <w:r w:rsidRPr="00073BC8">
        <w:rPr>
          <w:rFonts w:ascii="Segoe UI" w:hAnsi="Segoe UI" w:cs="Segoe UI" w:hint="cs"/>
          <w:color w:val="7030A0"/>
          <w:highlight w:val="yellow"/>
          <w:rtl/>
          <w:lang w:val="en-US"/>
        </w:rPr>
        <w:t xml:space="preserve"> ל</w:t>
      </w:r>
      <w:r w:rsidR="00C12F8E">
        <w:rPr>
          <w:rFonts w:ascii="Segoe UI" w:hAnsi="Segoe UI" w:cs="Segoe UI" w:hint="cs"/>
          <w:color w:val="7030A0"/>
          <w:highlight w:val="yellow"/>
          <w:rtl/>
          <w:lang w:val="en-US"/>
        </w:rPr>
        <w:t>מגזין ה</w:t>
      </w:r>
      <w:r w:rsidRPr="00073BC8">
        <w:rPr>
          <w:rFonts w:ascii="Segoe UI" w:hAnsi="Segoe UI" w:cs="Segoe UI" w:hint="cs"/>
          <w:color w:val="7030A0"/>
          <w:highlight w:val="yellow"/>
          <w:rtl/>
          <w:lang w:val="en-US"/>
        </w:rPr>
        <w:t>סנגור ולכן כדאי לקרוא את כל המאמר)</w:t>
      </w:r>
    </w:p>
    <w:p w14:paraId="084E0782" w14:textId="77777777" w:rsidR="006E69B3" w:rsidRDefault="006E69B3" w:rsidP="00D95A69">
      <w:pPr>
        <w:bidi/>
        <w:spacing w:after="0" w:line="276" w:lineRule="auto"/>
        <w:rPr>
          <w:rFonts w:ascii="Segoe UI" w:hAnsi="Segoe UI" w:cs="Segoe UI"/>
          <w:color w:val="7030A0"/>
          <w:rtl/>
          <w:lang w:val="en-US"/>
        </w:rPr>
      </w:pPr>
    </w:p>
    <w:p w14:paraId="658C70CB" w14:textId="091CD47F" w:rsidR="00D34418" w:rsidRPr="006F2025" w:rsidRDefault="00D34418" w:rsidP="00D95A69">
      <w:pPr>
        <w:pStyle w:val="2"/>
        <w:rPr>
          <w:rtl/>
        </w:rPr>
      </w:pPr>
      <w:bookmarkStart w:id="89" w:name="_Toc108218245"/>
      <w:r w:rsidRPr="006F2025">
        <w:rPr>
          <w:rFonts w:hint="cs"/>
          <w:rtl/>
        </w:rPr>
        <w:t xml:space="preserve">טענות </w:t>
      </w:r>
      <w:proofErr w:type="spellStart"/>
      <w:r w:rsidRPr="006F2025">
        <w:rPr>
          <w:rFonts w:hint="cs"/>
          <w:rtl/>
        </w:rPr>
        <w:t>לחומרא</w:t>
      </w:r>
      <w:proofErr w:type="spellEnd"/>
      <w:r w:rsidRPr="006F2025">
        <w:rPr>
          <w:rFonts w:hint="cs"/>
          <w:rtl/>
        </w:rPr>
        <w:t xml:space="preserve"> בעניינם של אנשי ציבור</w:t>
      </w:r>
      <w:bookmarkEnd w:id="89"/>
      <w:r w:rsidRPr="006F2025">
        <w:rPr>
          <w:rFonts w:hint="cs"/>
          <w:rtl/>
        </w:rPr>
        <w:t xml:space="preserve"> </w:t>
      </w:r>
    </w:p>
    <w:p w14:paraId="56BE49D9" w14:textId="7DEC430E" w:rsidR="00005C31" w:rsidRDefault="00D34418"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lang w:val="en-US"/>
        </w:rPr>
      </w:pPr>
      <w:r w:rsidRPr="00E2765D">
        <w:rPr>
          <w:rFonts w:ascii="Segoe UI" w:hAnsi="Segoe UI" w:cs="Segoe UI"/>
          <w:highlight w:val="yellow"/>
          <w:rtl/>
          <w:lang w:val="en-US"/>
        </w:rPr>
        <w:t>ע"פ (מחוזי-ת"א) 70569/06 </w:t>
      </w:r>
      <w:r w:rsidRPr="00E2765D">
        <w:rPr>
          <w:rFonts w:ascii="Segoe UI" w:hAnsi="Segoe UI" w:cs="Segoe UI"/>
          <w:b/>
          <w:bCs/>
          <w:highlight w:val="yellow"/>
          <w:rtl/>
          <w:lang w:val="en-US"/>
        </w:rPr>
        <w:t xml:space="preserve"> שרון נ' מדינת ישראל</w:t>
      </w:r>
      <w:r w:rsidRPr="00D34418">
        <w:rPr>
          <w:rFonts w:ascii="Segoe UI" w:hAnsi="Segoe UI" w:cs="Segoe UI"/>
          <w:rtl/>
          <w:lang w:val="en-US"/>
        </w:rPr>
        <w:t xml:space="preserve"> </w:t>
      </w:r>
    </w:p>
    <w:p w14:paraId="53FFB384" w14:textId="68E80642" w:rsidR="00005C31" w:rsidRDefault="00005C31" w:rsidP="00D95A69">
      <w:pPr>
        <w:pBdr>
          <w:top w:val="single" w:sz="4" w:space="1" w:color="auto"/>
          <w:left w:val="single" w:sz="4" w:space="4" w:color="auto"/>
          <w:bottom w:val="single" w:sz="4" w:space="1" w:color="auto"/>
          <w:right w:val="single" w:sz="4" w:space="4" w:color="auto"/>
        </w:pBdr>
        <w:bidi/>
        <w:spacing w:after="0" w:line="276" w:lineRule="auto"/>
        <w:ind w:left="363" w:right="363"/>
        <w:rPr>
          <w:rFonts w:ascii="Segoe UI" w:hAnsi="Segoe UI" w:cs="Segoe UI"/>
          <w:rtl/>
          <w:lang w:val="en-US"/>
        </w:rPr>
      </w:pPr>
      <w:r w:rsidRPr="00005C31">
        <w:rPr>
          <w:rFonts w:ascii="Segoe UI" w:hAnsi="Segoe UI" w:cs="Segoe UI"/>
          <w:rtl/>
          <w:lang w:val="en-US"/>
        </w:rPr>
        <w:t xml:space="preserve">בגזר דין מפורט ומנומק, מנה ושקל בית משפט קמא את כל הנסיבות לחומרה </w:t>
      </w:r>
      <w:proofErr w:type="spellStart"/>
      <w:r w:rsidRPr="00005C31">
        <w:rPr>
          <w:rFonts w:ascii="Segoe UI" w:hAnsi="Segoe UI" w:cs="Segoe UI"/>
          <w:rtl/>
          <w:lang w:val="en-US"/>
        </w:rPr>
        <w:t>ולקולא</w:t>
      </w:r>
      <w:proofErr w:type="spellEnd"/>
      <w:r w:rsidRPr="00005C31">
        <w:rPr>
          <w:rFonts w:ascii="Segoe UI" w:hAnsi="Segoe UI" w:cs="Segoe UI"/>
          <w:rtl/>
          <w:lang w:val="en-US"/>
        </w:rPr>
        <w:t xml:space="preserve"> שהועלו בפניו. הוא הגיע למסקנה כי בשל האינטרס הציבורי, חומרת העבירות בהן הורשע המערער, </w:t>
      </w:r>
      <w:proofErr w:type="spellStart"/>
      <w:r w:rsidRPr="00005C31">
        <w:rPr>
          <w:rFonts w:ascii="Segoe UI" w:hAnsi="Segoe UI" w:cs="Segoe UI"/>
          <w:rtl/>
          <w:lang w:val="en-US"/>
        </w:rPr>
        <w:t>ריבויין</w:t>
      </w:r>
      <w:proofErr w:type="spellEnd"/>
      <w:r w:rsidRPr="00005C31">
        <w:rPr>
          <w:rFonts w:ascii="Segoe UI" w:hAnsi="Segoe UI" w:cs="Segoe UI"/>
          <w:rtl/>
          <w:lang w:val="en-US"/>
        </w:rPr>
        <w:t xml:space="preserve">, משך תקופת ביצוען, השלכותיהן הקשות והפגיעה בציבור ובמרקם הדמוקרטי, נוטה הכף לענישה </w:t>
      </w:r>
      <w:r w:rsidRPr="00005C31">
        <w:rPr>
          <w:rFonts w:ascii="Segoe UI" w:hAnsi="Segoe UI" w:cs="Segoe UI"/>
          <w:b/>
          <w:bCs/>
          <w:u w:val="single"/>
          <w:rtl/>
          <w:lang w:val="en-US"/>
        </w:rPr>
        <w:t>מחמירה ומוחשית</w:t>
      </w:r>
      <w:r>
        <w:rPr>
          <w:rFonts w:ascii="Segoe UI" w:hAnsi="Segoe UI" w:cs="Segoe UI" w:hint="cs"/>
          <w:rtl/>
          <w:lang w:val="en-US"/>
        </w:rPr>
        <w:t>.</w:t>
      </w:r>
    </w:p>
    <w:p w14:paraId="1C3A6D73" w14:textId="77777777" w:rsidR="006F2025" w:rsidRDefault="006F2025" w:rsidP="00D95A69">
      <w:pPr>
        <w:bidi/>
        <w:spacing w:after="0" w:line="276" w:lineRule="auto"/>
        <w:rPr>
          <w:rFonts w:ascii="Segoe UI" w:hAnsi="Segoe UI" w:cs="Segoe UI"/>
          <w:rtl/>
          <w:lang w:val="en-US"/>
        </w:rPr>
      </w:pPr>
    </w:p>
    <w:p w14:paraId="6846F348" w14:textId="37BBD4C4" w:rsidR="006F2025" w:rsidRDefault="006F2025" w:rsidP="00D95A69">
      <w:pPr>
        <w:pStyle w:val="2"/>
        <w:rPr>
          <w:rtl/>
        </w:rPr>
      </w:pPr>
      <w:bookmarkStart w:id="90" w:name="_Toc108218246"/>
      <w:r w:rsidRPr="006F2025">
        <w:rPr>
          <w:rFonts w:hint="cs"/>
          <w:rtl/>
        </w:rPr>
        <w:t>טענות לאחידות בעניינם של אנשי ציבור</w:t>
      </w:r>
      <w:bookmarkEnd w:id="90"/>
    </w:p>
    <w:p w14:paraId="3BDE47E8" w14:textId="4BA5FA96" w:rsidR="00CF04A9" w:rsidRDefault="00CF04A9" w:rsidP="00D95A69">
      <w:pPr>
        <w:pBdr>
          <w:top w:val="single" w:sz="4" w:space="1" w:color="auto"/>
          <w:left w:val="single" w:sz="4" w:space="4" w:color="auto"/>
          <w:bottom w:val="single" w:sz="4" w:space="1" w:color="auto"/>
          <w:right w:val="single" w:sz="4" w:space="4" w:color="auto"/>
        </w:pBdr>
        <w:shd w:val="clear" w:color="auto" w:fill="E7E6E6" w:themeFill="background2"/>
        <w:spacing w:after="0" w:line="276" w:lineRule="auto"/>
        <w:ind w:left="363" w:right="363"/>
        <w:jc w:val="center"/>
        <w:rPr>
          <w:rFonts w:ascii="Segoe UI" w:hAnsi="Segoe UI" w:cs="Segoe UI"/>
          <w:rtl/>
          <w:lang w:val="en-US"/>
        </w:rPr>
      </w:pPr>
      <w:r w:rsidRPr="00E2765D">
        <w:rPr>
          <w:rFonts w:ascii="Segoe UI" w:hAnsi="Segoe UI" w:cs="Segoe UI"/>
          <w:highlight w:val="yellow"/>
          <w:rtl/>
          <w:lang w:val="en-US"/>
        </w:rPr>
        <w:t>ת"פ (תל אביב- יפו) 40138/08 </w:t>
      </w:r>
      <w:r w:rsidRPr="00E2765D">
        <w:rPr>
          <w:rFonts w:ascii="Segoe UI" w:hAnsi="Segoe UI" w:cs="Segoe UI"/>
          <w:b/>
          <w:bCs/>
          <w:highlight w:val="yellow"/>
          <w:rtl/>
          <w:lang w:val="en-US"/>
        </w:rPr>
        <w:t>מדינת ישראל נ' הירשזון</w:t>
      </w:r>
    </w:p>
    <w:p w14:paraId="794377FB" w14:textId="32EDA39C" w:rsidR="00386B94" w:rsidRPr="00386B94" w:rsidRDefault="00386B94"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lang w:val="en-US"/>
        </w:rPr>
      </w:pPr>
      <w:r w:rsidRPr="00386B94">
        <w:rPr>
          <w:rFonts w:ascii="Segoe UI" w:hAnsi="Segoe UI" w:cs="Segoe UI"/>
          <w:rtl/>
          <w:lang w:val="en-US"/>
        </w:rPr>
        <w:t xml:space="preserve">המסר החייב לצאת מבית המשפט בנסיבות עבריינות של אנשי ציבור צריך שיהיה חד ובהיר, ויודיע לכולי עלמא, כי גם איש ציבור רם דרג, המנצל לרעה את מעמדו ואת האמון שניתן בו, צפוי לגינוי והוקעה, לצד עונש מהותי, </w:t>
      </w:r>
      <w:r w:rsidRPr="00386B94">
        <w:rPr>
          <w:rFonts w:ascii="Segoe UI" w:hAnsi="Segoe UI" w:cs="Segoe UI"/>
          <w:b/>
          <w:bCs/>
          <w:u w:val="single"/>
          <w:rtl/>
          <w:lang w:val="en-US"/>
        </w:rPr>
        <w:t>שאיננו שונה מעונשו של עבריין מן השורה</w:t>
      </w:r>
      <w:r w:rsidRPr="00386B94">
        <w:rPr>
          <w:rFonts w:ascii="Segoe UI" w:hAnsi="Segoe UI" w:cs="Segoe UI"/>
          <w:u w:val="single"/>
          <w:rtl/>
          <w:lang w:val="en-US"/>
        </w:rPr>
        <w:t>.</w:t>
      </w:r>
    </w:p>
    <w:p w14:paraId="398B183F" w14:textId="6C6F3B1F" w:rsidR="00386B94" w:rsidRDefault="00386B94" w:rsidP="00D95A69">
      <w:pPr>
        <w:spacing w:after="0" w:line="276" w:lineRule="auto"/>
        <w:jc w:val="right"/>
        <w:rPr>
          <w:lang w:val="en-US"/>
        </w:rPr>
      </w:pPr>
    </w:p>
    <w:p w14:paraId="15A07756" w14:textId="2DE90A3D" w:rsidR="00FE1B02" w:rsidRDefault="00FE1B02" w:rsidP="00D95A69">
      <w:pPr>
        <w:pStyle w:val="2"/>
        <w:rPr>
          <w:rtl/>
        </w:rPr>
      </w:pPr>
      <w:bookmarkStart w:id="91" w:name="_Toc108218247"/>
      <w:r>
        <w:rPr>
          <w:rFonts w:hint="cs"/>
          <w:rtl/>
        </w:rPr>
        <w:t>השפעות התקשורת על העונש</w:t>
      </w:r>
      <w:bookmarkEnd w:id="91"/>
    </w:p>
    <w:p w14:paraId="000E4F74" w14:textId="7A64A2A1" w:rsidR="004449B2" w:rsidRPr="004449B2" w:rsidRDefault="004449B2" w:rsidP="00D95A69">
      <w:pPr>
        <w:bidi/>
        <w:spacing w:line="276" w:lineRule="auto"/>
        <w:jc w:val="both"/>
        <w:rPr>
          <w:rFonts w:ascii="Segoe UI" w:hAnsi="Segoe UI" w:cs="Segoe UI"/>
          <w:lang w:val="en-US"/>
        </w:rPr>
      </w:pPr>
      <w:r w:rsidRPr="004449B2">
        <w:rPr>
          <w:rFonts w:ascii="Segoe UI" w:hAnsi="Segoe UI" w:cs="Segoe UI"/>
          <w:b/>
          <w:bCs/>
          <w:rtl/>
          <w:lang w:val="en-ZW"/>
        </w:rPr>
        <w:t xml:space="preserve">פס"ד הירשזון </w:t>
      </w:r>
      <w:r w:rsidRPr="004449B2">
        <w:rPr>
          <w:rFonts w:ascii="Segoe UI" w:hAnsi="Segoe UI" w:cs="Segoe UI"/>
          <w:rtl/>
          <w:lang w:val="en-ZW"/>
        </w:rPr>
        <w:t xml:space="preserve">– "ממילא ברור, כי מי שניצב בצריח, ומי שעומד במוקד </w:t>
      </w:r>
      <w:proofErr w:type="spellStart"/>
      <w:r w:rsidRPr="004449B2">
        <w:rPr>
          <w:rFonts w:ascii="Segoe UI" w:hAnsi="Segoe UI" w:cs="Segoe UI"/>
          <w:rtl/>
          <w:lang w:val="en-ZW"/>
        </w:rPr>
        <w:t>הענין</w:t>
      </w:r>
      <w:proofErr w:type="spellEnd"/>
      <w:r w:rsidRPr="004449B2">
        <w:rPr>
          <w:rFonts w:ascii="Segoe UI" w:hAnsi="Segoe UI" w:cs="Segoe UI"/>
          <w:rtl/>
          <w:lang w:val="en-ZW"/>
        </w:rPr>
        <w:t xml:space="preserve"> הציבורי, חייב להביא בחשבון שכל חריגה שלו מנורמת התנהלות מקובלת וראויה, דינה להישפט, גם היא, לאור הזרקורים, לטוב ולרע."</w:t>
      </w:r>
    </w:p>
    <w:p w14:paraId="603A8373" w14:textId="54982767" w:rsidR="00FE1B02" w:rsidRDefault="004449B2" w:rsidP="00D95A69">
      <w:pPr>
        <w:bidi/>
        <w:spacing w:after="0" w:line="276" w:lineRule="auto"/>
        <w:jc w:val="both"/>
        <w:rPr>
          <w:rFonts w:ascii="Segoe UI" w:hAnsi="Segoe UI" w:cs="Segoe UI"/>
          <w:rtl/>
          <w:lang w:val="en-ZW"/>
        </w:rPr>
      </w:pPr>
      <w:r w:rsidRPr="004449B2">
        <w:rPr>
          <w:rFonts w:ascii="Segoe UI" w:hAnsi="Segoe UI" w:cs="Segoe UI"/>
          <w:b/>
          <w:bCs/>
          <w:rtl/>
          <w:lang w:val="en-ZW"/>
        </w:rPr>
        <w:t xml:space="preserve">פרשת ידלין </w:t>
      </w:r>
      <w:r w:rsidRPr="004449B2">
        <w:rPr>
          <w:rFonts w:ascii="Segoe UI" w:hAnsi="Segoe UI" w:cs="Segoe UI"/>
          <w:rtl/>
          <w:lang w:val="en-ZW"/>
        </w:rPr>
        <w:t xml:space="preserve">– אכן מצער אך "השאלה המרכזית שניצבת בפנינו בכל מקרה כגון זה היא, אם אכן היה בפרסומים כדי לשלול מן המערער משפט הוגן או אם היה בכך כדי להשפיע על התוצאה </w:t>
      </w:r>
      <w:proofErr w:type="spellStart"/>
      <w:r w:rsidRPr="004449B2">
        <w:rPr>
          <w:rFonts w:ascii="Segoe UI" w:hAnsi="Segoe UI" w:cs="Segoe UI"/>
          <w:rtl/>
          <w:lang w:val="en-ZW"/>
        </w:rPr>
        <w:t>הענשית</w:t>
      </w:r>
      <w:proofErr w:type="spellEnd"/>
      <w:r w:rsidRPr="004449B2">
        <w:rPr>
          <w:rFonts w:ascii="Segoe UI" w:hAnsi="Segoe UI" w:cs="Segoe UI"/>
          <w:rtl/>
          <w:lang w:val="en-ZW"/>
        </w:rPr>
        <w:t>...." (שם, עמ' 37).</w:t>
      </w:r>
    </w:p>
    <w:p w14:paraId="6C2C8616" w14:textId="4A34F311" w:rsidR="004449B2" w:rsidRDefault="004449B2" w:rsidP="00D95A69">
      <w:pPr>
        <w:bidi/>
        <w:spacing w:after="0" w:line="276" w:lineRule="auto"/>
        <w:jc w:val="both"/>
        <w:rPr>
          <w:rFonts w:ascii="Segoe UI" w:hAnsi="Segoe UI" w:cs="Segoe UI"/>
          <w:rtl/>
          <w:lang w:val="en-ZW"/>
        </w:rPr>
      </w:pPr>
    </w:p>
    <w:p w14:paraId="234500AD" w14:textId="6A525C55" w:rsidR="004449B2" w:rsidRDefault="004449B2" w:rsidP="00D95A69">
      <w:pPr>
        <w:pStyle w:val="2"/>
        <w:rPr>
          <w:rtl/>
        </w:rPr>
      </w:pPr>
      <w:bookmarkStart w:id="92" w:name="_Toc108218248"/>
      <w:r>
        <w:rPr>
          <w:rFonts w:hint="cs"/>
          <w:rtl/>
        </w:rPr>
        <w:t>שורה תחתונה: אין אחידות בפסיקה</w:t>
      </w:r>
      <w:bookmarkEnd w:id="92"/>
    </w:p>
    <w:p w14:paraId="61DA412B" w14:textId="1B8F5AC0" w:rsidR="004449B2" w:rsidRPr="004449B2" w:rsidRDefault="004449B2" w:rsidP="00D95A69">
      <w:pPr>
        <w:bidi/>
        <w:spacing w:after="0" w:line="276" w:lineRule="auto"/>
        <w:jc w:val="both"/>
        <w:rPr>
          <w:rFonts w:ascii="Segoe UI" w:hAnsi="Segoe UI" w:cs="Segoe UI"/>
          <w:lang w:val="en-US"/>
        </w:rPr>
      </w:pPr>
      <w:r w:rsidRPr="004449B2">
        <w:rPr>
          <w:rFonts w:ascii="Segoe UI" w:hAnsi="Segoe UI" w:cs="Segoe UI"/>
          <w:b/>
          <w:bCs/>
          <w:u w:val="single"/>
          <w:rtl/>
          <w:lang w:val="en-ZW"/>
        </w:rPr>
        <w:t xml:space="preserve">שלושה מצבים קטגוריאליים: </w:t>
      </w:r>
    </w:p>
    <w:p w14:paraId="0D02F6ED" w14:textId="673506A3" w:rsidR="004449B2" w:rsidRPr="00575885" w:rsidRDefault="004449B2" w:rsidP="00D95A69">
      <w:pPr>
        <w:pStyle w:val="ab"/>
        <w:numPr>
          <w:ilvl w:val="0"/>
          <w:numId w:val="91"/>
        </w:numPr>
        <w:bidi/>
        <w:spacing w:after="0" w:line="276" w:lineRule="auto"/>
        <w:jc w:val="both"/>
        <w:rPr>
          <w:rFonts w:ascii="Segoe UI" w:hAnsi="Segoe UI" w:cs="Segoe UI"/>
          <w:rtl/>
          <w:lang w:val="en-ZW"/>
        </w:rPr>
      </w:pPr>
      <w:r w:rsidRPr="00575885">
        <w:rPr>
          <w:rFonts w:ascii="Segoe UI" w:hAnsi="Segoe UI" w:cs="Segoe UI"/>
          <w:rtl/>
          <w:lang w:val="en-ZW"/>
        </w:rPr>
        <w:t>מצב</w:t>
      </w:r>
      <w:r w:rsidR="000F0C22" w:rsidRPr="00575885">
        <w:rPr>
          <w:rFonts w:ascii="Segoe UI" w:hAnsi="Segoe UI" w:cs="Segoe UI" w:hint="cs"/>
          <w:rtl/>
          <w:lang w:val="en-ZW"/>
        </w:rPr>
        <w:t xml:space="preserve"> 1- </w:t>
      </w:r>
      <w:r w:rsidRPr="00575885">
        <w:rPr>
          <w:rFonts w:ascii="Segoe UI" w:hAnsi="Segoe UI" w:cs="Segoe UI"/>
          <w:rtl/>
          <w:lang w:val="en-ZW"/>
        </w:rPr>
        <w:t>בו בית המשפט ישתמש בטיעון שמדובר באיש ציבור על מנת להחמיר עם הנאשם, בהתאם לשיקולי ההרתעה והגמול המוזכרים. העברת מסר/שימוש במפורסמות לשם ביצוע העבירה.</w:t>
      </w:r>
    </w:p>
    <w:p w14:paraId="45C78F94" w14:textId="35CC8648" w:rsidR="004449B2" w:rsidRPr="00575885" w:rsidRDefault="004449B2" w:rsidP="00D95A69">
      <w:pPr>
        <w:pStyle w:val="ab"/>
        <w:numPr>
          <w:ilvl w:val="0"/>
          <w:numId w:val="91"/>
        </w:numPr>
        <w:bidi/>
        <w:spacing w:after="0" w:line="276" w:lineRule="auto"/>
        <w:jc w:val="both"/>
        <w:rPr>
          <w:rFonts w:ascii="Segoe UI" w:hAnsi="Segoe UI" w:cs="Segoe UI"/>
          <w:rtl/>
          <w:lang w:val="en-ZW"/>
        </w:rPr>
      </w:pPr>
      <w:r w:rsidRPr="00575885">
        <w:rPr>
          <w:rFonts w:ascii="Segoe UI" w:hAnsi="Segoe UI" w:cs="Segoe UI"/>
          <w:rtl/>
          <w:lang w:val="en-ZW"/>
        </w:rPr>
        <w:t xml:space="preserve">מצב </w:t>
      </w:r>
      <w:r w:rsidR="000F0C22" w:rsidRPr="00575885">
        <w:rPr>
          <w:rFonts w:ascii="Segoe UI" w:hAnsi="Segoe UI" w:cs="Segoe UI" w:hint="cs"/>
          <w:rtl/>
          <w:lang w:val="en-ZW"/>
        </w:rPr>
        <w:t xml:space="preserve">2 </w:t>
      </w:r>
      <w:r w:rsidR="000F0C22" w:rsidRPr="00575885">
        <w:rPr>
          <w:rFonts w:ascii="Segoe UI" w:hAnsi="Segoe UI" w:cs="Segoe UI"/>
          <w:rtl/>
          <w:lang w:val="en-ZW"/>
        </w:rPr>
        <w:t>–</w:t>
      </w:r>
      <w:r w:rsidR="000F0C22" w:rsidRPr="00575885">
        <w:rPr>
          <w:rFonts w:ascii="Segoe UI" w:hAnsi="Segoe UI" w:cs="Segoe UI" w:hint="cs"/>
          <w:rtl/>
          <w:lang w:val="en-ZW"/>
        </w:rPr>
        <w:t xml:space="preserve"> מצב הפוך  -</w:t>
      </w:r>
      <w:r w:rsidRPr="00575885">
        <w:rPr>
          <w:rFonts w:ascii="Segoe UI" w:hAnsi="Segoe UI" w:cs="Segoe UI"/>
          <w:rtl/>
          <w:lang w:val="en-ZW"/>
        </w:rPr>
        <w:t xml:space="preserve"> לפיו בית המשפט ישתמש בטיעון זה כשיקול </w:t>
      </w:r>
      <w:proofErr w:type="spellStart"/>
      <w:r w:rsidRPr="00575885">
        <w:rPr>
          <w:rFonts w:ascii="Segoe UI" w:hAnsi="Segoe UI" w:cs="Segoe UI"/>
          <w:rtl/>
          <w:lang w:val="en-ZW"/>
        </w:rPr>
        <w:t>לקולא</w:t>
      </w:r>
      <w:proofErr w:type="spellEnd"/>
      <w:r w:rsidRPr="00575885">
        <w:rPr>
          <w:rFonts w:ascii="Segoe UI" w:hAnsi="Segoe UI" w:cs="Segoe UI"/>
          <w:rtl/>
          <w:lang w:val="en-ZW"/>
        </w:rPr>
        <w:t xml:space="preserve">, בשל הסבל שנגרם לנאשם; </w:t>
      </w:r>
    </w:p>
    <w:p w14:paraId="13DC046C" w14:textId="185732AE" w:rsidR="004449B2" w:rsidRPr="00575885" w:rsidRDefault="004449B2" w:rsidP="00D95A69">
      <w:pPr>
        <w:pStyle w:val="ab"/>
        <w:numPr>
          <w:ilvl w:val="0"/>
          <w:numId w:val="91"/>
        </w:numPr>
        <w:bidi/>
        <w:spacing w:after="0" w:line="276" w:lineRule="auto"/>
        <w:jc w:val="both"/>
        <w:rPr>
          <w:rFonts w:ascii="Segoe UI" w:hAnsi="Segoe UI" w:cs="Segoe UI"/>
          <w:rtl/>
          <w:lang w:val="en-ZW"/>
        </w:rPr>
      </w:pPr>
      <w:r w:rsidRPr="00575885">
        <w:rPr>
          <w:rFonts w:ascii="Segoe UI" w:hAnsi="Segoe UI" w:cs="Segoe UI"/>
          <w:rtl/>
          <w:lang w:val="en-ZW"/>
        </w:rPr>
        <w:t xml:space="preserve">מצב </w:t>
      </w:r>
      <w:r w:rsidR="00575885" w:rsidRPr="00575885">
        <w:rPr>
          <w:rFonts w:ascii="Segoe UI" w:hAnsi="Segoe UI" w:cs="Segoe UI" w:hint="cs"/>
          <w:rtl/>
          <w:lang w:val="en-ZW"/>
        </w:rPr>
        <w:t>3</w:t>
      </w:r>
      <w:r w:rsidRPr="00575885">
        <w:rPr>
          <w:rFonts w:ascii="Segoe UI" w:hAnsi="Segoe UI" w:cs="Segoe UI"/>
          <w:rtl/>
          <w:lang w:val="en-ZW"/>
        </w:rPr>
        <w:t xml:space="preserve"> - בית המשפט אינו מתייחס כלל לסוגית מפורסמתו </w:t>
      </w:r>
    </w:p>
    <w:p w14:paraId="54D0A2D5" w14:textId="7BE3A80E" w:rsidR="004449B2" w:rsidRDefault="004449B2" w:rsidP="004449B2">
      <w:pPr>
        <w:bidi/>
        <w:rPr>
          <w:rtl/>
          <w:lang w:val="en-ZW"/>
        </w:rPr>
      </w:pPr>
    </w:p>
    <w:p w14:paraId="67B31DEA" w14:textId="5D8F8B86" w:rsidR="00BF4F4D" w:rsidRDefault="00BF4F4D" w:rsidP="00BF4F4D">
      <w:pPr>
        <w:bidi/>
        <w:rPr>
          <w:rtl/>
          <w:lang w:val="en-ZW"/>
        </w:rPr>
      </w:pPr>
    </w:p>
    <w:p w14:paraId="66E874A3" w14:textId="7ECF6CB3" w:rsidR="00BF4F4D" w:rsidRDefault="00BF4F4D" w:rsidP="00BF4F4D">
      <w:pPr>
        <w:bidi/>
        <w:rPr>
          <w:rtl/>
          <w:lang w:val="en-ZW"/>
        </w:rPr>
      </w:pPr>
    </w:p>
    <w:p w14:paraId="768A06E9" w14:textId="28380A76" w:rsidR="00BF4F4D" w:rsidRDefault="00BF4F4D" w:rsidP="00BF4F4D">
      <w:pPr>
        <w:bidi/>
        <w:rPr>
          <w:rtl/>
          <w:lang w:val="en-ZW"/>
        </w:rPr>
      </w:pPr>
    </w:p>
    <w:p w14:paraId="08F6276A" w14:textId="6652B91D" w:rsidR="00BF4F4D" w:rsidRDefault="00BF4F4D" w:rsidP="00BF4F4D">
      <w:pPr>
        <w:bidi/>
        <w:rPr>
          <w:rtl/>
          <w:lang w:val="en-ZW"/>
        </w:rPr>
      </w:pPr>
    </w:p>
    <w:p w14:paraId="68655AE8" w14:textId="4DB26EB5" w:rsidR="00BF4F4D" w:rsidRDefault="00BF4F4D" w:rsidP="003429F1">
      <w:pPr>
        <w:pStyle w:val="1"/>
        <w:rPr>
          <w:rtl/>
        </w:rPr>
      </w:pPr>
      <w:bookmarkStart w:id="93" w:name="_Toc108218249"/>
      <w:r>
        <w:rPr>
          <w:rFonts w:hint="cs"/>
          <w:rtl/>
        </w:rPr>
        <w:t>הסדרי טיעון</w:t>
      </w:r>
      <w:bookmarkEnd w:id="93"/>
    </w:p>
    <w:p w14:paraId="7A348705" w14:textId="60BC3A76" w:rsidR="0081380C" w:rsidRDefault="0081380C" w:rsidP="00D95A69">
      <w:pPr>
        <w:pStyle w:val="110"/>
        <w:spacing w:line="276" w:lineRule="auto"/>
        <w:rPr>
          <w:rtl/>
        </w:rPr>
      </w:pPr>
      <w:r>
        <w:rPr>
          <w:rFonts w:hint="cs"/>
          <w:rtl/>
        </w:rPr>
        <w:t>כללי</w:t>
      </w:r>
    </w:p>
    <w:p w14:paraId="1AA76F23" w14:textId="51425E9D" w:rsidR="000D5A9E" w:rsidRPr="000D5A9E" w:rsidRDefault="000D5A9E" w:rsidP="00D95A69">
      <w:pPr>
        <w:bidi/>
        <w:spacing w:after="0" w:line="276" w:lineRule="auto"/>
        <w:jc w:val="both"/>
        <w:rPr>
          <w:rFonts w:ascii="Segoe UI" w:hAnsi="Segoe UI" w:cs="Segoe UI"/>
          <w:lang w:val="en-US"/>
        </w:rPr>
      </w:pPr>
      <w:r w:rsidRPr="000D5A9E">
        <w:rPr>
          <w:rFonts w:ascii="Segoe UI" w:hAnsi="Segoe UI" w:cs="Segoe UI"/>
          <w:rtl/>
          <w:lang w:val="en-ZW"/>
        </w:rPr>
        <w:t>הסדר טיעון הינו הסכם בין תובע לנאשם, בו התביעה מתחייבת לוותר על חלק מהאישומים המיוחסים לנאשם, להמיר אישום חמור באישום קל או לוותר לנאשם ויתור אחר המעניק לו הקלה בקשר לתוצאות המשפט בתמורה להודאת הנאשם בעובדות שיש בהן כדי להרשיעו.</w:t>
      </w:r>
    </w:p>
    <w:p w14:paraId="245F5048" w14:textId="77777777" w:rsidR="000D5A9E" w:rsidRPr="000D5A9E" w:rsidRDefault="000D5A9E" w:rsidP="00D95A69">
      <w:pPr>
        <w:bidi/>
        <w:spacing w:after="0" w:line="276" w:lineRule="auto"/>
        <w:jc w:val="both"/>
        <w:rPr>
          <w:rFonts w:ascii="Segoe UI" w:hAnsi="Segoe UI" w:cs="Segoe UI"/>
          <w:color w:val="7030A0"/>
          <w:rtl/>
          <w:lang w:val="en-ZW"/>
        </w:rPr>
      </w:pPr>
      <w:r w:rsidRPr="000D5A9E">
        <w:rPr>
          <w:rFonts w:ascii="Segoe UI" w:hAnsi="Segoe UI" w:cs="Segoe UI"/>
          <w:color w:val="7030A0"/>
          <w:rtl/>
          <w:lang w:val="en-ZW"/>
        </w:rPr>
        <w:t>התביעה היא לא בהכרח הפרקליטות אלא יכולה להיות גם התביעה המשטרתית, הסדרי מע"מ וכו'.</w:t>
      </w:r>
    </w:p>
    <w:p w14:paraId="7797A754" w14:textId="77777777" w:rsidR="000D5A9E" w:rsidRPr="000D5A9E" w:rsidRDefault="000D5A9E" w:rsidP="00D95A69">
      <w:pPr>
        <w:bidi/>
        <w:spacing w:after="0" w:line="276" w:lineRule="auto"/>
        <w:jc w:val="both"/>
        <w:rPr>
          <w:rFonts w:ascii="Segoe UI" w:hAnsi="Segoe UI" w:cs="Segoe UI"/>
          <w:color w:val="7030A0"/>
          <w:rtl/>
          <w:lang w:val="en-ZW"/>
        </w:rPr>
      </w:pPr>
      <w:r w:rsidRPr="000D5A9E">
        <w:rPr>
          <w:rFonts w:ascii="Segoe UI" w:hAnsi="Segoe UI" w:cs="Segoe UI"/>
          <w:color w:val="7030A0"/>
          <w:rtl/>
          <w:lang w:val="en-ZW"/>
        </w:rPr>
        <w:t xml:space="preserve">לרוב הסדרי טיעון זה אנחנו נוריד לך משהו בעונש כנאשם, אתה תודה </w:t>
      </w:r>
      <w:proofErr w:type="spellStart"/>
      <w:r w:rsidRPr="000D5A9E">
        <w:rPr>
          <w:rFonts w:ascii="Segoe UI" w:hAnsi="Segoe UI" w:cs="Segoe UI"/>
          <w:color w:val="7030A0"/>
          <w:rtl/>
          <w:lang w:val="en-ZW"/>
        </w:rPr>
        <w:t>בכת"א</w:t>
      </w:r>
      <w:proofErr w:type="spellEnd"/>
      <w:r w:rsidRPr="000D5A9E">
        <w:rPr>
          <w:rFonts w:ascii="Segoe UI" w:hAnsi="Segoe UI" w:cs="Segoe UI"/>
          <w:color w:val="7030A0"/>
          <w:rtl/>
          <w:lang w:val="en-ZW"/>
        </w:rPr>
        <w:t xml:space="preserve"> וזה יהיה העונש הסופי שאנחנו נעתור אליו.</w:t>
      </w:r>
    </w:p>
    <w:p w14:paraId="0FFB452B" w14:textId="21AE83C6" w:rsidR="000D5A9E" w:rsidRPr="000D5A9E" w:rsidRDefault="000D5A9E" w:rsidP="00D95A69">
      <w:pPr>
        <w:bidi/>
        <w:spacing w:after="0" w:line="276" w:lineRule="auto"/>
        <w:jc w:val="both"/>
        <w:rPr>
          <w:rFonts w:ascii="Segoe UI" w:hAnsi="Segoe UI" w:cs="Segoe UI"/>
          <w:color w:val="7030A0"/>
          <w:rtl/>
          <w:lang w:val="en-ZW"/>
        </w:rPr>
      </w:pPr>
      <w:r w:rsidRPr="000D5A9E">
        <w:rPr>
          <w:rFonts w:ascii="Segoe UI" w:hAnsi="Segoe UI" w:cs="Segoe UI"/>
          <w:color w:val="7030A0"/>
          <w:rtl/>
          <w:lang w:val="en-ZW"/>
        </w:rPr>
        <w:t xml:space="preserve">שי מעיר כי הדבר החשוב ביותר עבור </w:t>
      </w:r>
      <w:proofErr w:type="spellStart"/>
      <w:r w:rsidRPr="000D5A9E">
        <w:rPr>
          <w:rFonts w:ascii="Segoe UI" w:hAnsi="Segoe UI" w:cs="Segoe UI"/>
          <w:color w:val="7030A0"/>
          <w:rtl/>
          <w:lang w:val="en-ZW"/>
        </w:rPr>
        <w:t>הפליליסטים</w:t>
      </w:r>
      <w:proofErr w:type="spellEnd"/>
      <w:r w:rsidRPr="000D5A9E">
        <w:rPr>
          <w:rFonts w:ascii="Segoe UI" w:hAnsi="Segoe UI" w:cs="Segoe UI"/>
          <w:color w:val="7030A0"/>
          <w:rtl/>
          <w:lang w:val="en-ZW"/>
        </w:rPr>
        <w:t xml:space="preserve"> זה לדעת לנהל משא ומתן – לא מספיק לדעת את ההליך הפלילי על בוריו אלא צריך לדעת איך "להזיז" את מי שרוצים להזיז לנקודה שאתה יכול לקבל את התוצאה שלה.</w:t>
      </w:r>
    </w:p>
    <w:p w14:paraId="35993BA4" w14:textId="77777777" w:rsidR="000D5A9E" w:rsidRPr="000D5A9E" w:rsidRDefault="000D5A9E" w:rsidP="00D95A69">
      <w:pPr>
        <w:bidi/>
        <w:spacing w:after="0" w:line="276" w:lineRule="auto"/>
        <w:jc w:val="both"/>
        <w:rPr>
          <w:rFonts w:ascii="Segoe UI" w:hAnsi="Segoe UI" w:cs="Segoe UI"/>
          <w:rtl/>
          <w:lang w:val="en-ZW"/>
        </w:rPr>
      </w:pPr>
      <w:r w:rsidRPr="000D5A9E">
        <w:rPr>
          <w:rFonts w:ascii="Segoe UI" w:hAnsi="Segoe UI" w:cs="Segoe UI"/>
          <w:rtl/>
          <w:lang w:val="en-ZW"/>
        </w:rPr>
        <w:t>(</w:t>
      </w:r>
      <w:r w:rsidRPr="000D5A9E">
        <w:rPr>
          <w:rFonts w:ascii="Segoe UI" w:hAnsi="Segoe UI" w:cs="Segoe UI"/>
          <w:b/>
          <w:bCs/>
          <w:highlight w:val="yellow"/>
          <w:rtl/>
          <w:lang w:val="en-ZW"/>
        </w:rPr>
        <w:t>הנחיית פרקליט המדינה הנחייה מס' 8.1 – הנחיות לעריכת הסדר טיעון</w:t>
      </w:r>
      <w:r w:rsidRPr="000D5A9E">
        <w:rPr>
          <w:rFonts w:ascii="Segoe UI" w:hAnsi="Segoe UI" w:cs="Segoe UI"/>
          <w:rtl/>
          <w:lang w:val="en-ZW"/>
        </w:rPr>
        <w:t xml:space="preserve">). </w:t>
      </w:r>
      <w:r w:rsidRPr="000D5A9E">
        <w:rPr>
          <w:rFonts w:ascii="Segoe UI" w:hAnsi="Segoe UI" w:cs="Segoe UI"/>
          <w:color w:val="7030A0"/>
          <w:rtl/>
          <w:lang w:val="en-ZW"/>
        </w:rPr>
        <w:t>נשלח בקבוצה ענישה פלילית.</w:t>
      </w:r>
    </w:p>
    <w:p w14:paraId="514DF224" w14:textId="0FC66CB2" w:rsidR="00BF4F4D" w:rsidRDefault="00BF4F4D" w:rsidP="00D95A69">
      <w:pPr>
        <w:bidi/>
        <w:spacing w:after="0" w:line="276" w:lineRule="auto"/>
        <w:jc w:val="both"/>
        <w:rPr>
          <w:rtl/>
          <w:lang w:val="en-ZW"/>
        </w:rPr>
      </w:pPr>
    </w:p>
    <w:p w14:paraId="3ED42225" w14:textId="45F3A508" w:rsidR="001958B3" w:rsidRDefault="001958B3" w:rsidP="00D95A69">
      <w:pPr>
        <w:bidi/>
        <w:spacing w:after="0" w:line="276" w:lineRule="auto"/>
        <w:jc w:val="both"/>
        <w:rPr>
          <w:rFonts w:ascii="Segoe UI" w:hAnsi="Segoe UI" w:cs="Segoe UI"/>
          <w:rtl/>
          <w:lang w:val="en-US"/>
        </w:rPr>
      </w:pPr>
      <w:r w:rsidRPr="001958B3">
        <w:rPr>
          <w:rFonts w:ascii="Segoe UI" w:hAnsi="Segoe UI" w:cs="Segoe UI"/>
          <w:rtl/>
          <w:lang w:val="en-US"/>
        </w:rPr>
        <w:t>מתוך כלל התיקים בניהול הפרקליטות שההליכים בהם הסתיימו בשנת 2014-2016 – 70-80 % מהם הסתיימו בהרשעה במסגרת הסדרי טיעון</w:t>
      </w:r>
      <w:r w:rsidR="0081380C">
        <w:rPr>
          <w:rFonts w:ascii="Segoe UI" w:hAnsi="Segoe UI" w:cs="Segoe UI" w:hint="cs"/>
          <w:rtl/>
          <w:lang w:val="en-US"/>
        </w:rPr>
        <w:t xml:space="preserve">; </w:t>
      </w:r>
      <w:r w:rsidRPr="001958B3">
        <w:rPr>
          <w:rFonts w:ascii="Segoe UI" w:hAnsi="Segoe UI" w:cs="Segoe UI"/>
          <w:rtl/>
          <w:lang w:val="en-US"/>
        </w:rPr>
        <w:t>תיקי תעבורה – 92 אחוזים</w:t>
      </w:r>
      <w:r w:rsidR="0081380C">
        <w:rPr>
          <w:rFonts w:ascii="Segoe UI" w:hAnsi="Segoe UI" w:cs="Segoe UI" w:hint="cs"/>
          <w:rtl/>
          <w:lang w:val="en-US"/>
        </w:rPr>
        <w:t xml:space="preserve">;  </w:t>
      </w:r>
      <w:r w:rsidR="0081380C">
        <w:rPr>
          <w:rFonts w:ascii="Segoe UI" w:hAnsi="Segoe UI" w:cs="Segoe UI" w:hint="cs"/>
          <w:color w:val="7030A0"/>
          <w:rtl/>
          <w:lang w:val="en-US"/>
        </w:rPr>
        <w:t xml:space="preserve">הנתונים מעידים כי אחוז התיקים </w:t>
      </w:r>
      <w:r w:rsidR="0081380C" w:rsidRPr="009B6F4F">
        <w:rPr>
          <w:rFonts w:ascii="Segoe UI" w:hAnsi="Segoe UI" w:cs="Segoe UI" w:hint="cs"/>
          <w:rtl/>
          <w:lang w:val="en-US"/>
        </w:rPr>
        <w:t xml:space="preserve">תלוי בסוג העבירה, ביהמ"ש וכו'. </w:t>
      </w:r>
    </w:p>
    <w:p w14:paraId="2F0EEEC3" w14:textId="77777777" w:rsidR="00BF7F1D" w:rsidRPr="001958B3" w:rsidRDefault="00BF7F1D" w:rsidP="00D95A69">
      <w:pPr>
        <w:bidi/>
        <w:spacing w:after="0" w:line="276" w:lineRule="auto"/>
        <w:jc w:val="both"/>
        <w:rPr>
          <w:rFonts w:ascii="Segoe UI" w:hAnsi="Segoe UI" w:cs="Segoe UI"/>
          <w:rtl/>
          <w:lang w:val="en-US"/>
        </w:rPr>
      </w:pPr>
    </w:p>
    <w:p w14:paraId="2F952A60" w14:textId="77777777" w:rsidR="00DC5BD6" w:rsidRDefault="00DC5BD6" w:rsidP="00D95A69">
      <w:pPr>
        <w:pStyle w:val="110"/>
        <w:spacing w:line="276" w:lineRule="auto"/>
        <w:rPr>
          <w:rtl/>
        </w:rPr>
      </w:pPr>
      <w:r>
        <w:rPr>
          <w:rFonts w:hint="cs"/>
          <w:rtl/>
        </w:rPr>
        <w:t>הסדרי טיעון בארה"ב</w:t>
      </w:r>
    </w:p>
    <w:p w14:paraId="6B2EB8FC" w14:textId="0887828A" w:rsidR="001958B3" w:rsidRPr="001958B3" w:rsidRDefault="001958B3" w:rsidP="00D95A69">
      <w:pPr>
        <w:bidi/>
        <w:spacing w:after="0" w:line="276" w:lineRule="auto"/>
        <w:jc w:val="both"/>
        <w:rPr>
          <w:rFonts w:ascii="Segoe UI" w:hAnsi="Segoe UI" w:cs="Segoe UI"/>
          <w:rtl/>
          <w:lang w:val="en-US"/>
        </w:rPr>
      </w:pPr>
      <w:r w:rsidRPr="001958B3">
        <w:rPr>
          <w:rFonts w:ascii="Segoe UI" w:hAnsi="Segoe UI" w:cs="Segoe UI"/>
          <w:rtl/>
          <w:lang w:val="en-US"/>
        </w:rPr>
        <w:t xml:space="preserve">בשנים מסוימות – כ- 95 אחוז מהתיקים במערכת הפדראלית. </w:t>
      </w:r>
      <w:r w:rsidR="004F03F6" w:rsidRPr="001958B3">
        <w:rPr>
          <w:rFonts w:ascii="Segoe UI" w:hAnsi="Segoe UI" w:cs="Segoe UI"/>
          <w:lang w:val="en-US"/>
        </w:rPr>
        <w:t xml:space="preserve">(Statistical Tables </w:t>
      </w:r>
      <w:proofErr w:type="gramStart"/>
      <w:r w:rsidR="004F03F6" w:rsidRPr="001958B3">
        <w:rPr>
          <w:rFonts w:ascii="Segoe UI" w:hAnsi="Segoe UI" w:cs="Segoe UI"/>
          <w:lang w:val="en-US"/>
        </w:rPr>
        <w:t>For</w:t>
      </w:r>
      <w:proofErr w:type="gramEnd"/>
      <w:r w:rsidR="004F03F6" w:rsidRPr="001958B3">
        <w:rPr>
          <w:rFonts w:ascii="Segoe UI" w:hAnsi="Segoe UI" w:cs="Segoe UI"/>
          <w:lang w:val="en-US"/>
        </w:rPr>
        <w:t xml:space="preserve"> The Federal Judiciary)</w:t>
      </w:r>
    </w:p>
    <w:p w14:paraId="66DAA6CA" w14:textId="274F7232" w:rsidR="001958B3" w:rsidRPr="001958B3" w:rsidRDefault="004F03F6" w:rsidP="00D95A69">
      <w:pPr>
        <w:bidi/>
        <w:spacing w:after="0" w:line="276" w:lineRule="auto"/>
        <w:jc w:val="both"/>
        <w:rPr>
          <w:rFonts w:ascii="Segoe UI" w:hAnsi="Segoe UI" w:cs="Segoe UI"/>
          <w:rtl/>
          <w:lang w:val="en-US"/>
        </w:rPr>
      </w:pPr>
      <w:r>
        <w:rPr>
          <w:rFonts w:ascii="Segoe UI" w:hAnsi="Segoe UI" w:cs="Segoe UI"/>
          <w:lang w:val="en-US"/>
        </w:rPr>
        <w:t xml:space="preserve"> </w:t>
      </w:r>
      <w:r w:rsidR="001958B3" w:rsidRPr="001958B3">
        <w:rPr>
          <w:rFonts w:ascii="Segoe UI" w:hAnsi="Segoe UI" w:cs="Segoe UI"/>
          <w:lang w:val="en-US"/>
        </w:rPr>
        <w:t>United States v. Jackson, 390 U.S. 570 (196</w:t>
      </w:r>
      <w:r>
        <w:rPr>
          <w:rFonts w:ascii="Segoe UI" w:hAnsi="Segoe UI" w:cs="Segoe UI"/>
          <w:lang w:val="en-US"/>
        </w:rPr>
        <w:t>8)</w:t>
      </w:r>
      <w:r>
        <w:rPr>
          <w:rFonts w:ascii="Segoe UI" w:hAnsi="Segoe UI" w:cs="Segoe UI" w:hint="cs"/>
          <w:rtl/>
          <w:lang w:val="en-US"/>
        </w:rPr>
        <w:t xml:space="preserve">- פס"ד בארה"ב שקבע כי אין מניעה משימוש בהסדרי טיעון בארה"ב. </w:t>
      </w:r>
      <w:r w:rsidR="001958B3" w:rsidRPr="001958B3">
        <w:rPr>
          <w:rFonts w:ascii="Segoe UI" w:hAnsi="Segoe UI" w:cs="Segoe UI"/>
          <w:lang w:val="en-US"/>
        </w:rPr>
        <w:t xml:space="preserve"> </w:t>
      </w:r>
    </w:p>
    <w:p w14:paraId="0E7CC5D3" w14:textId="61524BD4" w:rsidR="00DC5BD6" w:rsidRDefault="00DC5BD6" w:rsidP="00D95A69">
      <w:pPr>
        <w:bidi/>
        <w:spacing w:after="0" w:line="276" w:lineRule="auto"/>
        <w:jc w:val="both"/>
        <w:rPr>
          <w:rFonts w:ascii="Segoe UI" w:hAnsi="Segoe UI" w:cs="Segoe UI"/>
          <w:rtl/>
          <w:lang w:val="en-US"/>
        </w:rPr>
      </w:pPr>
      <w:r w:rsidRPr="00DC5BD6">
        <w:rPr>
          <w:rFonts w:ascii="Segoe UI" w:hAnsi="Segoe UI" w:cs="Segoe UI"/>
          <w:u w:val="single"/>
          <w:rtl/>
          <w:lang w:val="en-US"/>
        </w:rPr>
        <w:t>בארה"ב הסדר הטיעון מעוגן בכללי סדר הדין הפלילי שקובעים:</w:t>
      </w:r>
      <w:r>
        <w:rPr>
          <w:rFonts w:ascii="Segoe UI" w:hAnsi="Segoe UI" w:cs="Segoe UI" w:hint="cs"/>
          <w:rtl/>
          <w:lang w:val="en-US"/>
        </w:rPr>
        <w:t xml:space="preserve"> </w:t>
      </w:r>
      <w:r w:rsidRPr="00DC5BD6">
        <w:rPr>
          <w:rFonts w:ascii="Segoe UI" w:hAnsi="Segoe UI" w:cs="Segoe UI"/>
          <w:rtl/>
          <w:lang w:val="en-US"/>
        </w:rPr>
        <w:t>הצדדים עושים את ההסכם. לבית המשפט, ככלל, אסור להתערב בו. ("חופש החוזים")</w:t>
      </w:r>
      <w:r>
        <w:rPr>
          <w:rFonts w:ascii="Segoe UI" w:hAnsi="Segoe UI" w:cs="Segoe UI" w:hint="cs"/>
          <w:rtl/>
          <w:lang w:val="en-US"/>
        </w:rPr>
        <w:t xml:space="preserve">; </w:t>
      </w:r>
      <w:r w:rsidRPr="00DC5BD6">
        <w:rPr>
          <w:rFonts w:ascii="Segoe UI" w:hAnsi="Segoe UI" w:cs="Segoe UI"/>
          <w:rtl/>
          <w:lang w:val="en-US"/>
        </w:rPr>
        <w:t>על הצדדים לחשוף את ההסכם בפומבי אלא אם יש סיבה טובה להציג את ההסכם בדלתיים סגורות. (זכות הציבור לדעת)</w:t>
      </w:r>
      <w:r>
        <w:rPr>
          <w:rFonts w:ascii="Segoe UI" w:hAnsi="Segoe UI" w:cs="Segoe UI" w:hint="cs"/>
          <w:rtl/>
          <w:lang w:val="en-US"/>
        </w:rPr>
        <w:t xml:space="preserve">; </w:t>
      </w:r>
      <w:r w:rsidRPr="00DC5BD6">
        <w:rPr>
          <w:rFonts w:ascii="Segoe UI" w:hAnsi="Segoe UI" w:cs="Segoe UI"/>
          <w:rtl/>
          <w:lang w:val="en-US"/>
        </w:rPr>
        <w:t>ככלל, הנאשם מוותר על זכות הערעור אם הוא חתם על הסדר טיעון (גם אם העונש לא כובד על ידי בית משפט).</w:t>
      </w:r>
    </w:p>
    <w:p w14:paraId="2D33DC49" w14:textId="39969A69" w:rsidR="00DC5BD6" w:rsidRDefault="00DC5BD6" w:rsidP="00D95A69">
      <w:pPr>
        <w:bidi/>
        <w:spacing w:after="0" w:line="276" w:lineRule="auto"/>
        <w:jc w:val="both"/>
        <w:rPr>
          <w:rFonts w:ascii="Segoe UI" w:hAnsi="Segoe UI" w:cs="Segoe UI"/>
          <w:rtl/>
          <w:lang w:val="en-US"/>
        </w:rPr>
      </w:pPr>
    </w:p>
    <w:p w14:paraId="61AE8955" w14:textId="4500903D" w:rsidR="00DC5BD6" w:rsidRPr="00DC5BD6" w:rsidRDefault="00DC5BD6" w:rsidP="00D95A69">
      <w:pPr>
        <w:pStyle w:val="110"/>
        <w:spacing w:line="276" w:lineRule="auto"/>
        <w:rPr>
          <w:rtl/>
        </w:rPr>
      </w:pPr>
      <w:r>
        <w:rPr>
          <w:rFonts w:hint="cs"/>
          <w:rtl/>
        </w:rPr>
        <w:t xml:space="preserve">השיטה האדברסרית והסדרי הטיעון </w:t>
      </w:r>
    </w:p>
    <w:p w14:paraId="50CA2F1B" w14:textId="77777777" w:rsidR="005974A8" w:rsidRPr="005974A8" w:rsidRDefault="008A7C36" w:rsidP="00D95A69">
      <w:pPr>
        <w:bidi/>
        <w:spacing w:after="0" w:line="276" w:lineRule="auto"/>
        <w:jc w:val="both"/>
        <w:rPr>
          <w:rFonts w:ascii="Segoe UI" w:hAnsi="Segoe UI" w:cs="Segoe UI"/>
          <w:color w:val="7030A0"/>
          <w:rtl/>
          <w:lang w:val="en-US"/>
        </w:rPr>
      </w:pPr>
      <w:r>
        <w:rPr>
          <w:rFonts w:ascii="Segoe UI" w:hAnsi="Segoe UI" w:cs="Segoe UI" w:hint="cs"/>
          <w:rtl/>
          <w:lang w:val="en-US"/>
        </w:rPr>
        <w:t xml:space="preserve">הסדר טיעון הוא מושג שקיים אך ורק בשיטה האדברסרית. </w:t>
      </w:r>
      <w:r w:rsidR="005974A8" w:rsidRPr="005974A8">
        <w:rPr>
          <w:rFonts w:ascii="Segoe UI" w:hAnsi="Segoe UI" w:cs="Segoe UI"/>
          <w:color w:val="7030A0"/>
          <w:rtl/>
          <w:lang w:val="en-US"/>
        </w:rPr>
        <w:t xml:space="preserve">המשפט </w:t>
      </w:r>
      <w:r w:rsidR="005974A8">
        <w:rPr>
          <w:rFonts w:ascii="Segoe UI" w:hAnsi="Segoe UI" w:cs="Segoe UI" w:hint="cs"/>
          <w:color w:val="7030A0"/>
          <w:rtl/>
          <w:lang w:val="en-US"/>
        </w:rPr>
        <w:t xml:space="preserve">האדברסרי </w:t>
      </w:r>
      <w:r w:rsidR="005974A8" w:rsidRPr="005974A8">
        <w:rPr>
          <w:rFonts w:ascii="Segoe UI" w:hAnsi="Segoe UI" w:cs="Segoe UI"/>
          <w:color w:val="7030A0"/>
          <w:rtl/>
          <w:lang w:val="en-US"/>
        </w:rPr>
        <w:t xml:space="preserve">מבוסס על 2 אבירים – השופט יושב ורק קובע מי ניצח והוא לא מתערב בריב ביניהם. אחד יהרוג את השני והשופט לא יתערב כי השופט תפקידו רק להכריע מי ניצח ולא להתערב. מכאן מגיע המשפט האדברסרי – השופט מקשיב לתביעה ולסנגוריה ואז מכריע מי ניצח. </w:t>
      </w:r>
    </w:p>
    <w:p w14:paraId="4A449B2A" w14:textId="680436EE" w:rsidR="001958B3" w:rsidRPr="005974A8" w:rsidRDefault="005974A8" w:rsidP="00D95A69">
      <w:pPr>
        <w:bidi/>
        <w:spacing w:after="0" w:line="276" w:lineRule="auto"/>
        <w:jc w:val="both"/>
        <w:rPr>
          <w:rFonts w:ascii="Segoe UI" w:hAnsi="Segoe UI" w:cs="Segoe UI"/>
          <w:color w:val="7030A0"/>
          <w:rtl/>
          <w:lang w:val="en-US"/>
        </w:rPr>
      </w:pPr>
      <w:r w:rsidRPr="005974A8">
        <w:rPr>
          <w:rFonts w:ascii="Segoe UI" w:hAnsi="Segoe UI" w:cs="Segoe UI"/>
          <w:color w:val="7030A0"/>
          <w:rtl/>
          <w:lang w:val="en-US"/>
        </w:rPr>
        <w:t xml:space="preserve">רוב העולם הוא לא אדברסרי ומיעוטו כן. </w:t>
      </w:r>
    </w:p>
    <w:p w14:paraId="5CB54351" w14:textId="21B68B5D" w:rsidR="008A7C36" w:rsidRDefault="008A7C36" w:rsidP="00D95A69">
      <w:pPr>
        <w:bidi/>
        <w:spacing w:after="0" w:line="276" w:lineRule="auto"/>
        <w:jc w:val="both"/>
        <w:rPr>
          <w:rFonts w:ascii="Segoe UI" w:hAnsi="Segoe UI" w:cs="Segoe UI"/>
          <w:rtl/>
          <w:lang w:val="en-US"/>
        </w:rPr>
      </w:pPr>
      <w:r w:rsidRPr="00D97F95">
        <w:rPr>
          <w:rFonts w:ascii="Segoe UI" w:hAnsi="Segoe UI" w:cs="Segoe UI" w:hint="cs"/>
          <w:u w:val="single"/>
          <w:rtl/>
          <w:lang w:val="en-US"/>
        </w:rPr>
        <w:t>בשיטה האדברסרית</w:t>
      </w:r>
      <w:r>
        <w:rPr>
          <w:rFonts w:ascii="Segoe UI" w:hAnsi="Segoe UI" w:cs="Segoe UI" w:hint="cs"/>
          <w:rtl/>
          <w:lang w:val="en-US"/>
        </w:rPr>
        <w:t xml:space="preserve"> הצדדים מתגוששים ביניהם. הם מנהלים את הסכסוך וזכאים גם לסיים את הסכסוך ביניהם. </w:t>
      </w:r>
    </w:p>
    <w:p w14:paraId="563E63D4" w14:textId="7D02AC1F" w:rsidR="00D97F95" w:rsidRDefault="008A7C36" w:rsidP="00D95A69">
      <w:pPr>
        <w:bidi/>
        <w:spacing w:after="0" w:line="276" w:lineRule="auto"/>
        <w:jc w:val="both"/>
        <w:rPr>
          <w:rFonts w:ascii="Segoe UI" w:hAnsi="Segoe UI" w:cs="Segoe UI"/>
          <w:rtl/>
          <w:lang w:val="en-US"/>
        </w:rPr>
      </w:pPr>
      <w:r w:rsidRPr="00D97F95">
        <w:rPr>
          <w:rFonts w:ascii="Segoe UI" w:hAnsi="Segoe UI" w:cs="Segoe UI" w:hint="cs"/>
          <w:u w:val="single"/>
          <w:rtl/>
          <w:lang w:val="en-US"/>
        </w:rPr>
        <w:t>בשיטה של המשפט הקונטיננטלי</w:t>
      </w:r>
      <w:r>
        <w:rPr>
          <w:rFonts w:ascii="Segoe UI" w:hAnsi="Segoe UI" w:cs="Segoe UI" w:hint="cs"/>
          <w:rtl/>
          <w:lang w:val="en-US"/>
        </w:rPr>
        <w:t xml:space="preserve"> מתנגדים לכך מאחר שהערך החשוב הוא </w:t>
      </w:r>
      <w:r>
        <w:rPr>
          <w:rFonts w:ascii="Segoe UI" w:hAnsi="Segoe UI" w:cs="Segoe UI" w:hint="cs"/>
          <w:b/>
          <w:bCs/>
          <w:rtl/>
          <w:lang w:val="en-US"/>
        </w:rPr>
        <w:t>גילוי האמת. לא מנהלים מו"מ על האמת.</w:t>
      </w:r>
      <w:r w:rsidR="00D97F95">
        <w:rPr>
          <w:rFonts w:ascii="Segoe UI" w:hAnsi="Segoe UI" w:cs="Segoe UI" w:hint="cs"/>
          <w:rtl/>
          <w:lang w:val="en-US"/>
        </w:rPr>
        <w:t xml:space="preserve"> גם אם הנאשם מודה בשיטה זו, עדיין ממשיכים עם כל הראיות שקיימות.</w:t>
      </w:r>
    </w:p>
    <w:p w14:paraId="409899D0" w14:textId="26288B3F" w:rsidR="00D97F95" w:rsidRDefault="00D97F95" w:rsidP="00D95A69">
      <w:pPr>
        <w:bidi/>
        <w:spacing w:after="0" w:line="276" w:lineRule="auto"/>
        <w:jc w:val="both"/>
        <w:rPr>
          <w:rFonts w:ascii="Segoe UI" w:hAnsi="Segoe UI" w:cs="Segoe UI"/>
          <w:color w:val="7030A0"/>
          <w:rtl/>
          <w:lang w:val="en-US"/>
        </w:rPr>
      </w:pPr>
      <w:r>
        <w:rPr>
          <w:rFonts w:ascii="Segoe UI" w:hAnsi="Segoe UI" w:cs="Segoe UI" w:hint="cs"/>
          <w:rtl/>
          <w:lang w:val="en-US"/>
        </w:rPr>
        <w:t xml:space="preserve">מגמת ריכוך </w:t>
      </w:r>
      <w:r>
        <w:rPr>
          <w:rFonts w:ascii="Segoe UI" w:hAnsi="Segoe UI" w:cs="Segoe UI"/>
          <w:rtl/>
          <w:lang w:val="en-US"/>
        </w:rPr>
        <w:t>–</w:t>
      </w:r>
      <w:r>
        <w:rPr>
          <w:rFonts w:ascii="Segoe UI" w:hAnsi="Segoe UI" w:cs="Segoe UI" w:hint="cs"/>
          <w:rtl/>
          <w:lang w:val="en-US"/>
        </w:rPr>
        <w:t xml:space="preserve"> בצרפת ובגרמניה [</w:t>
      </w:r>
      <w:r>
        <w:rPr>
          <w:rFonts w:ascii="Segoe UI" w:hAnsi="Segoe UI" w:cs="Segoe UI" w:hint="cs"/>
          <w:color w:val="7030A0"/>
          <w:rtl/>
          <w:lang w:val="en-US"/>
        </w:rPr>
        <w:t>מדינות של המשפט הקונטיננטלי שבהן כל תיק מתנהל עד הסוף כולל עדי תביעה, עדי הגנה, הוכחות, ראיות וכו']</w:t>
      </w:r>
      <w:r>
        <w:rPr>
          <w:rFonts w:ascii="Segoe UI" w:hAnsi="Segoe UI" w:cs="Segoe UI" w:hint="cs"/>
          <w:rtl/>
          <w:lang w:val="en-US"/>
        </w:rPr>
        <w:t xml:space="preserve"> הכניסו מנגנונים שדומים להסדרי טיעון. </w:t>
      </w:r>
    </w:p>
    <w:p w14:paraId="3C93D25D" w14:textId="2E0215BF" w:rsidR="005974A8" w:rsidRDefault="005974A8" w:rsidP="00D95A69">
      <w:pPr>
        <w:bidi/>
        <w:spacing w:after="0" w:line="276" w:lineRule="auto"/>
        <w:rPr>
          <w:rFonts w:ascii="Segoe UI" w:hAnsi="Segoe UI" w:cs="Segoe UI"/>
          <w:color w:val="7030A0"/>
          <w:rtl/>
          <w:lang w:val="en-US"/>
        </w:rPr>
      </w:pPr>
    </w:p>
    <w:p w14:paraId="2108FCB5" w14:textId="70D367B2" w:rsidR="00DA46FD" w:rsidRDefault="00DA46FD" w:rsidP="00D95A69">
      <w:pPr>
        <w:bidi/>
        <w:spacing w:after="0" w:line="276" w:lineRule="auto"/>
        <w:rPr>
          <w:rFonts w:ascii="Segoe UI" w:hAnsi="Segoe UI" w:cs="Segoe UI"/>
          <w:color w:val="7030A0"/>
          <w:rtl/>
          <w:lang w:val="en-US"/>
        </w:rPr>
      </w:pPr>
    </w:p>
    <w:p w14:paraId="793DFD7D" w14:textId="5A329EEB" w:rsidR="00DA46FD" w:rsidRDefault="00DA46FD" w:rsidP="00D95A69">
      <w:pPr>
        <w:bidi/>
        <w:spacing w:after="0" w:line="276" w:lineRule="auto"/>
        <w:rPr>
          <w:rFonts w:ascii="Segoe UI" w:hAnsi="Segoe UI" w:cs="Segoe UI"/>
          <w:color w:val="7030A0"/>
          <w:rtl/>
          <w:lang w:val="en-US"/>
        </w:rPr>
      </w:pPr>
    </w:p>
    <w:p w14:paraId="3B312D61" w14:textId="77777777" w:rsidR="00DA46FD" w:rsidRDefault="00DA46FD" w:rsidP="00D95A69">
      <w:pPr>
        <w:bidi/>
        <w:spacing w:after="0" w:line="276" w:lineRule="auto"/>
        <w:rPr>
          <w:rFonts w:ascii="Segoe UI" w:hAnsi="Segoe UI" w:cs="Segoe UI"/>
          <w:color w:val="7030A0"/>
          <w:rtl/>
          <w:lang w:val="en-US"/>
        </w:rPr>
      </w:pPr>
    </w:p>
    <w:p w14:paraId="420713A9" w14:textId="12A062FC" w:rsidR="00DA46FD" w:rsidRDefault="00DA46FD" w:rsidP="00D95A69">
      <w:pPr>
        <w:bidi/>
        <w:spacing w:after="0" w:line="276" w:lineRule="auto"/>
        <w:rPr>
          <w:rFonts w:ascii="Segoe UI" w:hAnsi="Segoe UI" w:cs="Segoe UI"/>
          <w:color w:val="7030A0"/>
          <w:rtl/>
          <w:lang w:val="en-US"/>
        </w:rPr>
      </w:pPr>
      <w:r>
        <w:rPr>
          <w:rFonts w:ascii="Segoe UI" w:hAnsi="Segoe UI" w:cs="Segoe UI" w:hint="cs"/>
          <w:color w:val="7030A0"/>
          <w:rtl/>
          <w:lang w:val="en-US"/>
        </w:rPr>
        <w:lastRenderedPageBreak/>
        <w:t xml:space="preserve">[תוספת] </w:t>
      </w:r>
      <w:r>
        <w:rPr>
          <w:rFonts w:ascii="Segoe UI" w:hAnsi="Segoe UI" w:cs="Segoe UI"/>
          <w:color w:val="7030A0"/>
          <w:rtl/>
          <w:lang w:val="en-US"/>
        </w:rPr>
        <w:t>–</w:t>
      </w:r>
      <w:r>
        <w:rPr>
          <w:rFonts w:ascii="Segoe UI" w:hAnsi="Segoe UI" w:cs="Segoe UI" w:hint="cs"/>
          <w:color w:val="7030A0"/>
          <w:rtl/>
          <w:lang w:val="en-US"/>
        </w:rPr>
        <w:t xml:space="preserve"> טבלת השוואה בין שיטות המשפט השונות וההבדל בפרקליטות, השופטים ועסקאות טיעון [הסדר טיעון]. </w:t>
      </w:r>
    </w:p>
    <w:p w14:paraId="3E24139C" w14:textId="5106ADB8" w:rsidR="005974A8" w:rsidRDefault="003C4DB9" w:rsidP="00D95A69">
      <w:pPr>
        <w:bidi/>
        <w:spacing w:after="0" w:line="276" w:lineRule="auto"/>
        <w:rPr>
          <w:rFonts w:ascii="Segoe UI" w:hAnsi="Segoe UI" w:cs="Segoe UI"/>
          <w:rtl/>
          <w:lang w:val="en-US"/>
        </w:rPr>
      </w:pPr>
      <w:r w:rsidRPr="003C4DB9">
        <w:rPr>
          <w:rFonts w:ascii="Segoe UI" w:hAnsi="Segoe UI" w:cs="Segoe UI"/>
          <w:noProof/>
          <w:rtl/>
          <w:lang w:val="en-US"/>
        </w:rPr>
        <w:drawing>
          <wp:inline distT="0" distB="0" distL="0" distR="0" wp14:anchorId="08783823" wp14:editId="3CC5B6C3">
            <wp:extent cx="6683036" cy="4320000"/>
            <wp:effectExtent l="19050" t="19050" r="22860" b="23495"/>
            <wp:docPr id="15" name="תמונה 15"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שולחן&#10;&#10;התיאור נוצר באופן אוטומטי"/>
                    <pic:cNvPicPr/>
                  </pic:nvPicPr>
                  <pic:blipFill>
                    <a:blip r:embed="rId49"/>
                    <a:stretch>
                      <a:fillRect/>
                    </a:stretch>
                  </pic:blipFill>
                  <pic:spPr>
                    <a:xfrm>
                      <a:off x="0" y="0"/>
                      <a:ext cx="6683036" cy="4320000"/>
                    </a:xfrm>
                    <a:prstGeom prst="rect">
                      <a:avLst/>
                    </a:prstGeom>
                    <a:ln w="12700">
                      <a:solidFill>
                        <a:schemeClr val="tx1"/>
                      </a:solidFill>
                    </a:ln>
                  </pic:spPr>
                </pic:pic>
              </a:graphicData>
            </a:graphic>
          </wp:inline>
        </w:drawing>
      </w:r>
    </w:p>
    <w:p w14:paraId="08433F3E" w14:textId="2A33DAD9" w:rsidR="003C4DB9" w:rsidRDefault="003C4DB9" w:rsidP="00D95A69">
      <w:pPr>
        <w:bidi/>
        <w:spacing w:after="0" w:line="276" w:lineRule="auto"/>
        <w:rPr>
          <w:rFonts w:ascii="Segoe UI" w:hAnsi="Segoe UI" w:cs="Segoe UI"/>
          <w:rtl/>
          <w:lang w:val="en-US"/>
        </w:rPr>
      </w:pPr>
      <w:r w:rsidRPr="003C4DB9">
        <w:rPr>
          <w:rFonts w:ascii="Segoe UI" w:hAnsi="Segoe UI" w:cs="Segoe UI"/>
          <w:noProof/>
          <w:rtl/>
          <w:lang w:val="en-US"/>
        </w:rPr>
        <w:drawing>
          <wp:inline distT="0" distB="0" distL="0" distR="0" wp14:anchorId="4597C9BD" wp14:editId="5D6FCE32">
            <wp:extent cx="6681600" cy="2821542"/>
            <wp:effectExtent l="19050" t="19050" r="24130" b="17145"/>
            <wp:docPr id="16" name="תמונה 16" descr="תמונה שמכילה טקסט, קבלה, צילום מסך,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תמונה שמכילה טקסט, קבלה, צילום מסך, מסמך&#10;&#10;התיאור נוצר באופן אוטומטי"/>
                    <pic:cNvPicPr/>
                  </pic:nvPicPr>
                  <pic:blipFill>
                    <a:blip r:embed="rId50"/>
                    <a:stretch>
                      <a:fillRect/>
                    </a:stretch>
                  </pic:blipFill>
                  <pic:spPr>
                    <a:xfrm>
                      <a:off x="0" y="0"/>
                      <a:ext cx="6681600" cy="2821542"/>
                    </a:xfrm>
                    <a:prstGeom prst="rect">
                      <a:avLst/>
                    </a:prstGeom>
                    <a:ln w="12700">
                      <a:solidFill>
                        <a:schemeClr val="tx1"/>
                      </a:solidFill>
                    </a:ln>
                  </pic:spPr>
                </pic:pic>
              </a:graphicData>
            </a:graphic>
          </wp:inline>
        </w:drawing>
      </w:r>
    </w:p>
    <w:p w14:paraId="225F74E0" w14:textId="15019C0D" w:rsidR="00734229" w:rsidRDefault="0030528E" w:rsidP="00D95A69">
      <w:pPr>
        <w:pStyle w:val="2"/>
        <w:rPr>
          <w:rtl/>
        </w:rPr>
      </w:pPr>
      <w:bookmarkStart w:id="94" w:name="_Toc108218250"/>
      <w:r>
        <w:rPr>
          <w:rFonts w:hint="cs"/>
          <w:rtl/>
        </w:rPr>
        <w:t>סוגי הסדרי טיעון</w:t>
      </w:r>
      <w:bookmarkEnd w:id="94"/>
    </w:p>
    <w:p w14:paraId="79CC6C58" w14:textId="010AE708" w:rsidR="0030528E" w:rsidRDefault="00FD7AB9" w:rsidP="00D95A69">
      <w:pPr>
        <w:pStyle w:val="ab"/>
        <w:numPr>
          <w:ilvl w:val="0"/>
          <w:numId w:val="92"/>
        </w:numPr>
        <w:bidi/>
        <w:spacing w:after="0" w:line="276" w:lineRule="auto"/>
        <w:jc w:val="both"/>
        <w:rPr>
          <w:rFonts w:ascii="Segoe UI" w:hAnsi="Segoe UI" w:cs="Segoe UI"/>
          <w:color w:val="7030A0"/>
          <w:lang w:val="en-ZW"/>
        </w:rPr>
      </w:pPr>
      <w:r w:rsidRPr="00C031D6">
        <w:rPr>
          <w:rFonts w:ascii="Segoe UI" w:hAnsi="Segoe UI" w:cs="Segoe UI" w:hint="cs"/>
          <w:b/>
          <w:bCs/>
          <w:rtl/>
          <w:lang w:val="en-ZW"/>
        </w:rPr>
        <w:t>הסדר טיעון "פתוח"</w:t>
      </w:r>
      <w:r w:rsidRPr="00C031D6">
        <w:rPr>
          <w:rFonts w:ascii="Segoe UI" w:hAnsi="Segoe UI" w:cs="Segoe UI" w:hint="cs"/>
          <w:rtl/>
          <w:lang w:val="en-ZW"/>
        </w:rPr>
        <w:t xml:space="preserve"> </w:t>
      </w:r>
      <w:r w:rsidRPr="00C031D6">
        <w:rPr>
          <w:rFonts w:ascii="Segoe UI" w:hAnsi="Segoe UI" w:cs="Segoe UI"/>
          <w:rtl/>
          <w:lang w:val="en-ZW"/>
        </w:rPr>
        <w:t>–</w:t>
      </w:r>
      <w:r w:rsidRPr="00C031D6">
        <w:rPr>
          <w:rFonts w:ascii="Segoe UI" w:hAnsi="Segoe UI" w:cs="Segoe UI" w:hint="cs"/>
          <w:rtl/>
          <w:lang w:val="en-ZW"/>
        </w:rPr>
        <w:t xml:space="preserve"> התובע והנאשם מגיעים להסכם לפיו התביעה מתחייבת לוותר על חלק מהאישומים המיוחסים לנאשם או להמיר אישום חמור באישום קל, בתמורה להודאת הנאשם בעובדות שיש בהן כדי להרשיעו, </w:t>
      </w:r>
      <w:r w:rsidRPr="00C031D6">
        <w:rPr>
          <w:rFonts w:ascii="Segoe UI" w:hAnsi="Segoe UI" w:cs="Segoe UI" w:hint="cs"/>
          <w:u w:val="single"/>
          <w:rtl/>
          <w:lang w:val="en-ZW"/>
        </w:rPr>
        <w:t>מבלי להגיע להס</w:t>
      </w:r>
      <w:r w:rsidR="005D0384" w:rsidRPr="00C031D6">
        <w:rPr>
          <w:rFonts w:ascii="Segoe UI" w:hAnsi="Segoe UI" w:cs="Segoe UI" w:hint="cs"/>
          <w:u w:val="single"/>
          <w:rtl/>
          <w:lang w:val="en-ZW"/>
        </w:rPr>
        <w:t>כמות אודות העונש</w:t>
      </w:r>
      <w:r w:rsidR="005D0384" w:rsidRPr="00C031D6">
        <w:rPr>
          <w:rFonts w:ascii="Segoe UI" w:hAnsi="Segoe UI" w:cs="Segoe UI" w:hint="cs"/>
          <w:rtl/>
          <w:lang w:val="en-ZW"/>
        </w:rPr>
        <w:t xml:space="preserve">. במצב כזה, כל צד ינסה לשכנע את בית המשפט לגזור את העונש הראוי בעיניו, בהתאם לכתב האישום אשר סוכם והוגש לביהמ"ש כאשר הנאשם הודה בו. </w:t>
      </w:r>
      <w:r w:rsidR="005D0384" w:rsidRPr="00C031D6">
        <w:rPr>
          <w:rFonts w:ascii="Segoe UI" w:hAnsi="Segoe UI" w:cs="Segoe UI" w:hint="cs"/>
          <w:color w:val="7030A0"/>
          <w:rtl/>
          <w:lang w:val="en-ZW"/>
        </w:rPr>
        <w:t xml:space="preserve">בעצם, מגיעים ביום הדיון לביהמ"ש והמאשימה מודיעה שהצדדים הגיעו להסדר טיעון, מגישה את כתב האישום </w:t>
      </w:r>
      <w:r w:rsidR="005D0384" w:rsidRPr="00C031D6">
        <w:rPr>
          <w:rFonts w:ascii="Segoe UI" w:hAnsi="Segoe UI" w:cs="Segoe UI" w:hint="cs"/>
          <w:color w:val="7030A0"/>
          <w:rtl/>
          <w:lang w:val="en-ZW"/>
        </w:rPr>
        <w:lastRenderedPageBreak/>
        <w:t xml:space="preserve">המתוקן כנספח לתיק המתנהל ומודיעה שהצדדים הגיעו להסדר טיעון אך לא הגיעו להסדר בעניין העונש. במצב כזה, ביהמ"ש קובע מועדים לטיעונים לעונש [כל צד טוען לפיו ראות עיניו כי מדובר בהסדר פתוח]. </w:t>
      </w:r>
    </w:p>
    <w:p w14:paraId="1A4DCB2A" w14:textId="4828E735" w:rsidR="00C031D6" w:rsidRDefault="00E20879" w:rsidP="00D95A69">
      <w:pPr>
        <w:pStyle w:val="ab"/>
        <w:numPr>
          <w:ilvl w:val="0"/>
          <w:numId w:val="92"/>
        </w:numPr>
        <w:bidi/>
        <w:spacing w:after="0" w:line="276" w:lineRule="auto"/>
        <w:jc w:val="both"/>
        <w:rPr>
          <w:rFonts w:ascii="Segoe UI" w:hAnsi="Segoe UI" w:cs="Segoe UI"/>
          <w:lang w:val="en-ZW"/>
        </w:rPr>
      </w:pPr>
      <w:r w:rsidRPr="00E20879">
        <w:rPr>
          <w:rFonts w:ascii="Segoe UI" w:hAnsi="Segoe UI" w:cs="Segoe UI"/>
          <w:b/>
          <w:bCs/>
          <w:rtl/>
          <w:lang w:val="en-ZW"/>
        </w:rPr>
        <w:t>הסדר טיעון "סגור</w:t>
      </w:r>
      <w:r w:rsidRPr="00E20879">
        <w:rPr>
          <w:rFonts w:ascii="Segoe UI" w:hAnsi="Segoe UI" w:cs="Segoe UI"/>
          <w:b/>
          <w:bCs/>
        </w:rPr>
        <w:t>": </w:t>
      </w:r>
      <w:r w:rsidRPr="00E20879">
        <w:rPr>
          <w:rFonts w:ascii="Segoe UI" w:hAnsi="Segoe UI" w:cs="Segoe UI"/>
          <w:rtl/>
          <w:lang w:val="en-ZW"/>
        </w:rPr>
        <w:t xml:space="preserve">התובע והנאשם מגיעים להסכם לפיו העובדות וסעיפי העבירה אינם במחלוקת. לצד זאת, </w:t>
      </w:r>
      <w:r w:rsidRPr="00E20879">
        <w:rPr>
          <w:rFonts w:ascii="Segoe UI" w:hAnsi="Segoe UI" w:cs="Segoe UI"/>
          <w:b/>
          <w:bCs/>
          <w:rtl/>
          <w:lang w:val="en-ZW"/>
        </w:rPr>
        <w:t>מסכימים גם על רכיבי הענישה</w:t>
      </w:r>
      <w:r w:rsidR="00983623">
        <w:rPr>
          <w:rFonts w:ascii="Segoe UI" w:hAnsi="Segoe UI" w:cs="Segoe UI" w:hint="cs"/>
          <w:b/>
          <w:bCs/>
          <w:rtl/>
        </w:rPr>
        <w:t xml:space="preserve">: </w:t>
      </w:r>
      <w:r w:rsidR="00983623">
        <w:rPr>
          <w:rFonts w:ascii="Segoe UI" w:hAnsi="Segoe UI" w:cs="Segoe UI" w:hint="cs"/>
          <w:rtl/>
        </w:rPr>
        <w:t>א</w:t>
      </w:r>
      <w:r w:rsidRPr="00E20879">
        <w:rPr>
          <w:rFonts w:ascii="Segoe UI" w:hAnsi="Segoe UI" w:cs="Segoe UI"/>
          <w:rtl/>
          <w:lang w:val="en-ZW"/>
        </w:rPr>
        <w:t xml:space="preserve">ורך מאסר, אופן ריצוי מאסר (בכלא או בעבודות שירות), רכיבים כספיים - קנס לאוצר המדינה או פיצוי לנפגע העבירה וכל אמצעי ענישה אחר. בהסדרי טיעון בהם פיצוי לנפגע העבירה מוסכם מראש, </w:t>
      </w:r>
      <w:r w:rsidRPr="00983623">
        <w:rPr>
          <w:rFonts w:ascii="Segoe UI" w:hAnsi="Segoe UI" w:cs="Segoe UI"/>
          <w:u w:val="single"/>
          <w:rtl/>
          <w:lang w:val="en-ZW"/>
        </w:rPr>
        <w:t>טמון יתרון עבור נפגע העבירה כאשר התביעה יכולה להתנות את הפקדת הפיצוי בקופת בית המשפט כתנאי מבחינתה לקיום הסדר הטיעון</w:t>
      </w:r>
      <w:r w:rsidRPr="00E20879">
        <w:rPr>
          <w:rFonts w:ascii="Segoe UI" w:hAnsi="Segoe UI" w:cs="Segoe UI"/>
          <w:rtl/>
          <w:lang w:val="en-ZW"/>
        </w:rPr>
        <w:t>, ונפגע העבירה זוכה לקבלת הפיצוי בהקדם וללא תלות ביכולת התשלום של הנאשם בעתיד</w:t>
      </w:r>
      <w:r w:rsidRPr="00E20879">
        <w:rPr>
          <w:rFonts w:ascii="Segoe UI" w:hAnsi="Segoe UI" w:cs="Segoe UI"/>
        </w:rPr>
        <w:t>.</w:t>
      </w:r>
    </w:p>
    <w:p w14:paraId="67DD4FCF" w14:textId="297021AA" w:rsidR="00983623" w:rsidRDefault="00983623" w:rsidP="00D95A69">
      <w:pPr>
        <w:pStyle w:val="ab"/>
        <w:bidi/>
        <w:spacing w:after="0" w:line="276" w:lineRule="auto"/>
        <w:ind w:left="360"/>
        <w:jc w:val="both"/>
        <w:rPr>
          <w:rFonts w:ascii="Segoe UI" w:hAnsi="Segoe UI" w:cs="Segoe UI"/>
          <w:rtl/>
          <w:lang w:val="en-ZW"/>
        </w:rPr>
      </w:pPr>
      <w:r>
        <w:rPr>
          <w:rFonts w:ascii="Segoe UI" w:hAnsi="Segoe UI" w:cs="Segoe UI" w:hint="cs"/>
          <w:rtl/>
          <w:lang w:val="en-ZW"/>
        </w:rPr>
        <w:t xml:space="preserve">יש מדינות (לדוג' אנגליה ואוסטריה) שבהן העונש נקבע על ידי בית המשפט ואין לצדדים אפשרות להסכים עליו ביניהם. </w:t>
      </w:r>
    </w:p>
    <w:p w14:paraId="4DC8401D" w14:textId="19603981" w:rsidR="00983623" w:rsidRDefault="00371043" w:rsidP="00D95A69">
      <w:pPr>
        <w:pStyle w:val="ab"/>
        <w:numPr>
          <w:ilvl w:val="0"/>
          <w:numId w:val="92"/>
        </w:numPr>
        <w:bidi/>
        <w:spacing w:after="0" w:line="276" w:lineRule="auto"/>
        <w:jc w:val="both"/>
        <w:rPr>
          <w:rFonts w:ascii="Segoe UI" w:hAnsi="Segoe UI" w:cs="Segoe UI"/>
          <w:color w:val="7030A0"/>
          <w:lang w:val="en-US"/>
        </w:rPr>
      </w:pPr>
      <w:r w:rsidRPr="00371043">
        <w:rPr>
          <w:rStyle w:val="af2"/>
          <w:rFonts w:ascii="Segoe UI" w:hAnsi="Segoe UI" w:cs="Segoe UI"/>
          <w:rtl/>
        </w:rPr>
        <w:t>הסדר טיעון "טווח ענישה</w:t>
      </w:r>
      <w:r w:rsidRPr="00371043">
        <w:rPr>
          <w:rStyle w:val="af2"/>
          <w:rFonts w:ascii="Segoe UI" w:hAnsi="Segoe UI" w:cs="Segoe UI"/>
        </w:rPr>
        <w:t>":</w:t>
      </w:r>
      <w:r w:rsidRPr="00371043">
        <w:rPr>
          <w:rFonts w:ascii="Segoe UI" w:hAnsi="Segoe UI" w:cs="Segoe UI"/>
        </w:rPr>
        <w:t> </w:t>
      </w:r>
      <w:r w:rsidRPr="00371043">
        <w:rPr>
          <w:rFonts w:ascii="Segoe UI" w:hAnsi="Segoe UI" w:cs="Segoe UI"/>
          <w:rtl/>
        </w:rPr>
        <w:t xml:space="preserve">התובע והנאשם מגיעים להסכם לפיו עובדות וסעיפי העבירה אינם במחלוקת. עם זאת, </w:t>
      </w:r>
      <w:r w:rsidRPr="000B3B64">
        <w:rPr>
          <w:rFonts w:ascii="Segoe UI" w:hAnsi="Segoe UI" w:cs="Segoe UI"/>
          <w:b/>
          <w:bCs/>
          <w:rtl/>
        </w:rPr>
        <w:t>רכיבי הענישה אינם מוסכמים</w:t>
      </w:r>
      <w:r w:rsidRPr="00371043">
        <w:rPr>
          <w:rFonts w:ascii="Segoe UI" w:hAnsi="Segoe UI" w:cs="Segoe UI"/>
        </w:rPr>
        <w:t xml:space="preserve">, </w:t>
      </w:r>
      <w:r w:rsidRPr="00371043">
        <w:rPr>
          <w:rFonts w:ascii="Segoe UI" w:hAnsi="Segoe UI" w:cs="Segoe UI"/>
          <w:rtl/>
        </w:rPr>
        <w:t xml:space="preserve">אלא לכל צד יש אפשרות במסגרת הסדר הטיעון להציג את עמדתו לעונש, </w:t>
      </w:r>
      <w:r w:rsidRPr="000B3B64">
        <w:rPr>
          <w:rFonts w:ascii="Segoe UI" w:hAnsi="Segoe UI" w:cs="Segoe UI"/>
          <w:b/>
          <w:bCs/>
          <w:rtl/>
        </w:rPr>
        <w:t>בכפוף לגבולות אותם הגדירו הצדדים</w:t>
      </w:r>
      <w:r w:rsidRPr="00371043">
        <w:rPr>
          <w:rFonts w:ascii="Segoe UI" w:hAnsi="Segoe UI" w:cs="Segoe UI"/>
          <w:rtl/>
        </w:rPr>
        <w:t xml:space="preserve">. למשל: התביעה תטען לשנתיים מאסר, לצד רכיבי ענישה אחרים והנאשם יטען למאסר קצר שירוצה בעבודות שירות, </w:t>
      </w:r>
      <w:r w:rsidRPr="000B3B64">
        <w:rPr>
          <w:rFonts w:ascii="Segoe UI" w:hAnsi="Segoe UI" w:cs="Segoe UI"/>
          <w:u w:val="single"/>
          <w:rtl/>
        </w:rPr>
        <w:t>כאשר בית המשפט יתבקש לגזור עונש בטווח שבין עמדת התביעה לעמדת הנאשם, אך יכול גם להכריע כעמדת התביעה או כעמדת הנאשם בדיוק</w:t>
      </w:r>
      <w:r w:rsidRPr="00371043">
        <w:rPr>
          <w:rFonts w:ascii="Segoe UI" w:hAnsi="Segoe UI" w:cs="Segoe UI"/>
        </w:rPr>
        <w:t>.</w:t>
      </w:r>
    </w:p>
    <w:p w14:paraId="1B8AD59E" w14:textId="77777777" w:rsidR="008422E8" w:rsidRPr="00B47298" w:rsidRDefault="008422E8" w:rsidP="00D95A69">
      <w:pPr>
        <w:pStyle w:val="ab"/>
        <w:bidi/>
        <w:spacing w:after="0" w:line="276" w:lineRule="auto"/>
        <w:ind w:left="360"/>
        <w:jc w:val="both"/>
        <w:rPr>
          <w:rFonts w:ascii="Segoe UI" w:hAnsi="Segoe UI" w:cs="Segoe UI"/>
          <w:color w:val="7030A0"/>
          <w:rtl/>
          <w:lang w:val="en-US"/>
        </w:rPr>
      </w:pPr>
    </w:p>
    <w:p w14:paraId="4565E898" w14:textId="77777777" w:rsidR="00B47298" w:rsidRPr="00B47298" w:rsidRDefault="00B47298" w:rsidP="00D95A69">
      <w:pPr>
        <w:pBdr>
          <w:top w:val="single" w:sz="4" w:space="1" w:color="auto"/>
          <w:left w:val="single" w:sz="4" w:space="4" w:color="auto"/>
          <w:bottom w:val="single" w:sz="4" w:space="1" w:color="auto"/>
          <w:right w:val="single" w:sz="4" w:space="4" w:color="auto"/>
        </w:pBdr>
        <w:bidi/>
        <w:spacing w:after="0" w:line="276" w:lineRule="auto"/>
        <w:ind w:left="363" w:right="363"/>
        <w:jc w:val="center"/>
        <w:rPr>
          <w:rFonts w:ascii="Segoe UI" w:hAnsi="Segoe UI" w:cs="Segoe UI"/>
          <w:color w:val="FF0000"/>
          <w:sz w:val="28"/>
          <w:szCs w:val="28"/>
          <w:lang w:val="en-US"/>
        </w:rPr>
      </w:pPr>
      <w:r w:rsidRPr="00B47298">
        <w:rPr>
          <w:rFonts w:ascii="Segoe UI" w:hAnsi="Segoe UI" w:cs="Segoe UI"/>
          <w:b/>
          <w:bCs/>
          <w:color w:val="FF0000"/>
          <w:sz w:val="28"/>
          <w:szCs w:val="28"/>
          <w:rtl/>
          <w:lang w:val="en-US"/>
        </w:rPr>
        <w:t>חשוב לדעת: בית המשפט אינו מחויב לקבל הסדר טיעון בין תובע לנאשם</w:t>
      </w:r>
      <w:r w:rsidRPr="00B47298">
        <w:rPr>
          <w:rFonts w:ascii="Segoe UI" w:hAnsi="Segoe UI" w:cs="Segoe UI"/>
          <w:b/>
          <w:bCs/>
          <w:color w:val="FF0000"/>
          <w:sz w:val="28"/>
          <w:szCs w:val="28"/>
          <w:lang w:val="en-US"/>
        </w:rPr>
        <w:t>.</w:t>
      </w:r>
    </w:p>
    <w:p w14:paraId="6B9375C1" w14:textId="77777777" w:rsidR="008422E8" w:rsidRDefault="008422E8" w:rsidP="00D95A69">
      <w:pPr>
        <w:bidi/>
        <w:spacing w:after="0" w:line="276" w:lineRule="auto"/>
        <w:jc w:val="both"/>
        <w:rPr>
          <w:rFonts w:ascii="Segoe UI" w:hAnsi="Segoe UI" w:cs="Segoe UI"/>
          <w:color w:val="7030A0"/>
          <w:rtl/>
          <w:lang w:val="en-ZW"/>
        </w:rPr>
      </w:pPr>
    </w:p>
    <w:p w14:paraId="0844CA23" w14:textId="3831DA60" w:rsidR="00E63729" w:rsidRDefault="00E63729" w:rsidP="00D95A69">
      <w:pPr>
        <w:bidi/>
        <w:spacing w:after="0" w:line="276" w:lineRule="auto"/>
        <w:jc w:val="both"/>
        <w:rPr>
          <w:rFonts w:ascii="Segoe UI" w:hAnsi="Segoe UI" w:cs="Segoe UI"/>
          <w:color w:val="7030A0"/>
          <w:rtl/>
          <w:lang w:val="en-US"/>
        </w:rPr>
      </w:pPr>
      <w:r w:rsidRPr="00E63729">
        <w:rPr>
          <w:rFonts w:ascii="Segoe UI" w:hAnsi="Segoe UI" w:cs="Segoe UI" w:hint="cs"/>
          <w:color w:val="7030A0"/>
          <w:rtl/>
          <w:lang w:val="en-ZW"/>
        </w:rPr>
        <w:t xml:space="preserve">הערה של שי: </w:t>
      </w:r>
      <w:r w:rsidRPr="00E63729">
        <w:rPr>
          <w:rFonts w:ascii="Segoe UI" w:hAnsi="Segoe UI" w:cs="Segoe UI"/>
          <w:color w:val="7030A0"/>
          <w:rtl/>
          <w:lang w:val="en-ZW"/>
        </w:rPr>
        <w:t xml:space="preserve">מה שלא טוב </w:t>
      </w:r>
      <w:r>
        <w:rPr>
          <w:rFonts w:ascii="Segoe UI" w:hAnsi="Segoe UI" w:cs="Segoe UI" w:hint="cs"/>
          <w:color w:val="7030A0"/>
          <w:rtl/>
          <w:lang w:val="en-ZW"/>
        </w:rPr>
        <w:t>בהסדרי טיעון</w:t>
      </w:r>
      <w:r w:rsidRPr="00E63729">
        <w:rPr>
          <w:rFonts w:ascii="Segoe UI" w:hAnsi="Segoe UI" w:cs="Segoe UI"/>
          <w:color w:val="7030A0"/>
          <w:rtl/>
          <w:lang w:val="en-ZW"/>
        </w:rPr>
        <w:t xml:space="preserve"> זה שהתביעה פשוט מוסיפה סעיפים לכתב האישום של עבירות שלא בהכרח מחזיקות מים ואין מאחוריהן בסיס וזאת רק כדי לנהל משא ומתן שבו הם כביכול מראים שהם מורידים משהו ונותנים לנאשם "הטבה". מה שבפועל לא נכון כי הסעיפים לפעמים "סתם" הוכנסו.</w:t>
      </w:r>
      <w:r w:rsidRPr="00E63729">
        <w:rPr>
          <w:rFonts w:ascii="Segoe UI" w:hAnsi="Segoe UI" w:cs="Segoe UI" w:hint="cs"/>
          <w:color w:val="7030A0"/>
          <w:rtl/>
          <w:lang w:val="en-US"/>
        </w:rPr>
        <w:t xml:space="preserve"> </w:t>
      </w:r>
    </w:p>
    <w:p w14:paraId="606093D9" w14:textId="31182A83" w:rsidR="00E63729" w:rsidRPr="00E63729" w:rsidRDefault="00E63729" w:rsidP="00D95A69">
      <w:pPr>
        <w:bidi/>
        <w:spacing w:after="0" w:line="276" w:lineRule="auto"/>
        <w:jc w:val="both"/>
        <w:rPr>
          <w:rFonts w:ascii="Segoe UI" w:hAnsi="Segoe UI" w:cs="Segoe UI"/>
          <w:color w:val="7030A0"/>
          <w:rtl/>
          <w:lang w:val="en-US"/>
        </w:rPr>
      </w:pPr>
      <w:r w:rsidRPr="00E63729">
        <w:rPr>
          <w:rFonts w:ascii="Segoe UI" w:hAnsi="Segoe UI" w:cs="Segoe UI" w:hint="cs"/>
          <w:color w:val="7030A0"/>
          <w:rtl/>
          <w:lang w:val="en-US"/>
        </w:rPr>
        <w:t xml:space="preserve">תוספת שלי: לדוג' ניתן להגיש כתב אישום על איומים ותקיפה כשבפועל האיומים היו ביחד עם התקיפה והפרקליטות יכולה "לנהל מו"מ" ולהגיד טוב.. נוריד את הסעיף של האיומים ונשאיר את התקיפה כי היא קרתה. הנאשם חושב שבאמת מורידים לו משהו אבל זה </w:t>
      </w:r>
      <w:r w:rsidR="00D207C0">
        <w:rPr>
          <w:rFonts w:ascii="Segoe UI" w:hAnsi="Segoe UI" w:cs="Segoe UI" w:hint="cs"/>
          <w:color w:val="7030A0"/>
          <w:rtl/>
          <w:lang w:val="en-US"/>
        </w:rPr>
        <w:t>לא</w:t>
      </w:r>
      <w:r w:rsidRPr="00E63729">
        <w:rPr>
          <w:rFonts w:ascii="Segoe UI" w:hAnsi="Segoe UI" w:cs="Segoe UI" w:hint="cs"/>
          <w:color w:val="7030A0"/>
          <w:rtl/>
          <w:lang w:val="en-US"/>
        </w:rPr>
        <w:t xml:space="preserve"> בהכרח נכון כי יכול להיות שאין בכלל אחיזה לעבירת האיומים והדבר היחידי שמבחינה משפטית הוא ביצע זאת עבירת התקיפה ולכן בניהול מו"מ אמיתי אם לא היו מכניסים סתם עבירות "סרק" כקישוט לכתב האישום המו"מ היה מתנהל על עצם העבירה של התקיפה והנסיבות שלה וכו'. </w:t>
      </w:r>
    </w:p>
    <w:p w14:paraId="3F8B4313" w14:textId="2ABF3E6E" w:rsidR="00E63729" w:rsidRDefault="00E63729" w:rsidP="00D95A69">
      <w:pPr>
        <w:bidi/>
        <w:spacing w:after="0" w:line="276" w:lineRule="auto"/>
        <w:jc w:val="both"/>
        <w:rPr>
          <w:rFonts w:ascii="Segoe UI" w:hAnsi="Segoe UI" w:cs="Segoe UI"/>
          <w:color w:val="7030A0"/>
          <w:rtl/>
          <w:lang w:val="en-US"/>
        </w:rPr>
      </w:pPr>
      <w:r w:rsidRPr="00E63729">
        <w:rPr>
          <w:rFonts w:ascii="Segoe UI" w:hAnsi="Segoe UI" w:cs="Segoe UI" w:hint="cs"/>
          <w:color w:val="7030A0"/>
          <w:rtl/>
          <w:lang w:val="en-US"/>
        </w:rPr>
        <w:t xml:space="preserve">הטקטיקה הזאת נפוצה גם בתיקי "ארגוני פשיעה" </w:t>
      </w:r>
      <w:r w:rsidRPr="00E63729">
        <w:rPr>
          <w:rFonts w:ascii="Segoe UI" w:hAnsi="Segoe UI" w:cs="Segoe UI"/>
          <w:color w:val="7030A0"/>
          <w:rtl/>
          <w:lang w:val="en-US"/>
        </w:rPr>
        <w:t>–</w:t>
      </w:r>
      <w:r w:rsidRPr="00E63729">
        <w:rPr>
          <w:rFonts w:ascii="Segoe UI" w:hAnsi="Segoe UI" w:cs="Segoe UI" w:hint="cs"/>
          <w:color w:val="7030A0"/>
          <w:rtl/>
          <w:lang w:val="en-US"/>
        </w:rPr>
        <w:t xml:space="preserve"> הפרקליטות מעמידה לדין עבריינים עם "מגה תיק" ומאשימה אותם בסעיפים מתוך חוק ארגוני פשיעה וזאת כדי לנפח את התיק ואת האישומים כנגדם וליצור לעצמה מרווח תמרון במו"מ מול הסנגוריה. בסופו של דבר, אין אחיזה לסעיפים האלה והם כמעט תמיד נשמטים מכתבי האישום המתוקנים. מלבד 2 עבריינים מוכרים [אברג'יל ואסי אבוטבול] בישראל שהורשעו בניהול ארגון פשיעה בתיקים המוכרים שניהלה הפרקליטות לאורך השנים הסעיפים של ארגון פשיעה נמחקו כלא היו. </w:t>
      </w:r>
    </w:p>
    <w:p w14:paraId="05CAD5E3" w14:textId="77777777" w:rsidR="000A7EB8" w:rsidRPr="00E63729" w:rsidRDefault="000A7EB8" w:rsidP="00D95A69">
      <w:pPr>
        <w:bidi/>
        <w:spacing w:after="0" w:line="276" w:lineRule="auto"/>
        <w:jc w:val="both"/>
        <w:rPr>
          <w:rFonts w:ascii="Segoe UI" w:hAnsi="Segoe UI" w:cs="Segoe UI"/>
          <w:color w:val="7030A0"/>
          <w:rtl/>
          <w:lang w:val="en-US"/>
        </w:rPr>
      </w:pPr>
    </w:p>
    <w:p w14:paraId="08C1DA25" w14:textId="6B87EE01" w:rsidR="005D0384" w:rsidRDefault="000A7EB8" w:rsidP="00D95A69">
      <w:pPr>
        <w:pStyle w:val="2"/>
        <w:rPr>
          <w:rtl/>
        </w:rPr>
      </w:pPr>
      <w:bookmarkStart w:id="95" w:name="_Toc108218251"/>
      <w:r>
        <w:rPr>
          <w:rFonts w:hint="cs"/>
          <w:rtl/>
        </w:rPr>
        <w:t>יתרונות בהסדר טיעון</w:t>
      </w:r>
      <w:bookmarkEnd w:id="95"/>
    </w:p>
    <w:p w14:paraId="1AD0EDE5" w14:textId="7144CA4D" w:rsidR="00A1547B" w:rsidRPr="00A1547B" w:rsidRDefault="00A1547B" w:rsidP="00D95A69">
      <w:pPr>
        <w:pStyle w:val="110"/>
        <w:spacing w:line="276" w:lineRule="auto"/>
      </w:pPr>
      <w:r w:rsidRPr="00A1547B">
        <w:rPr>
          <w:rtl/>
        </w:rPr>
        <w:t>יתרונות בהסדר טיעון עבור הנאשם</w:t>
      </w:r>
    </w:p>
    <w:p w14:paraId="5C43303F" w14:textId="77777777" w:rsidR="00A1547B" w:rsidRPr="00A1547B" w:rsidRDefault="00A1547B" w:rsidP="00D95A69">
      <w:pPr>
        <w:numPr>
          <w:ilvl w:val="0"/>
          <w:numId w:val="93"/>
        </w:numPr>
        <w:bidi/>
        <w:spacing w:after="0" w:line="276" w:lineRule="auto"/>
        <w:jc w:val="both"/>
        <w:rPr>
          <w:rFonts w:ascii="Segoe UI" w:hAnsi="Segoe UI" w:cs="Segoe UI"/>
          <w:lang w:val="en-US"/>
        </w:rPr>
      </w:pPr>
      <w:r w:rsidRPr="00A1547B">
        <w:rPr>
          <w:rFonts w:ascii="Segoe UI" w:hAnsi="Segoe UI" w:cs="Segoe UI"/>
          <w:rtl/>
        </w:rPr>
        <w:t>הנאשם זוכה לסיום מהיר של המשפט, תוך קיצור עינוי הדין והקלת המתח הנפשי הנלווה למשפט</w:t>
      </w:r>
      <w:r w:rsidRPr="00A1547B">
        <w:rPr>
          <w:rFonts w:ascii="Segoe UI" w:hAnsi="Segoe UI" w:cs="Segoe UI"/>
          <w:lang w:val="en-US"/>
        </w:rPr>
        <w:t>.</w:t>
      </w:r>
    </w:p>
    <w:p w14:paraId="189EDAB9" w14:textId="77777777" w:rsidR="00A1547B" w:rsidRPr="00A1547B" w:rsidRDefault="00A1547B" w:rsidP="00D95A69">
      <w:pPr>
        <w:numPr>
          <w:ilvl w:val="0"/>
          <w:numId w:val="93"/>
        </w:numPr>
        <w:bidi/>
        <w:spacing w:after="0" w:line="276" w:lineRule="auto"/>
        <w:jc w:val="both"/>
        <w:rPr>
          <w:rFonts w:ascii="Segoe UI" w:hAnsi="Segoe UI" w:cs="Segoe UI"/>
          <w:lang w:val="en-US"/>
        </w:rPr>
      </w:pPr>
      <w:r w:rsidRPr="00A1547B">
        <w:rPr>
          <w:rFonts w:ascii="Segoe UI" w:hAnsi="Segoe UI" w:cs="Segoe UI"/>
          <w:rtl/>
        </w:rPr>
        <w:t>הנאשם זוכה לוודאות בתוצאת סיום המשפט</w:t>
      </w:r>
      <w:r w:rsidRPr="00A1547B">
        <w:rPr>
          <w:rFonts w:ascii="Segoe UI" w:hAnsi="Segoe UI" w:cs="Segoe UI"/>
          <w:lang w:val="en-US"/>
        </w:rPr>
        <w:t>.</w:t>
      </w:r>
    </w:p>
    <w:p w14:paraId="2139AC06" w14:textId="77777777" w:rsidR="00A1547B" w:rsidRPr="00A1547B" w:rsidRDefault="00A1547B" w:rsidP="00D95A69">
      <w:pPr>
        <w:numPr>
          <w:ilvl w:val="0"/>
          <w:numId w:val="93"/>
        </w:numPr>
        <w:bidi/>
        <w:spacing w:after="0" w:line="276" w:lineRule="auto"/>
        <w:jc w:val="both"/>
        <w:rPr>
          <w:rFonts w:ascii="Segoe UI" w:hAnsi="Segoe UI" w:cs="Segoe UI"/>
          <w:lang w:val="en-US"/>
        </w:rPr>
      </w:pPr>
      <w:r w:rsidRPr="00A1547B">
        <w:rPr>
          <w:rFonts w:ascii="Segoe UI" w:hAnsi="Segoe UI" w:cs="Segoe UI"/>
          <w:rtl/>
        </w:rPr>
        <w:t>הנאשם זוכה להקלה בעונש, או בעבירה המיוחסת לו או בעובדות המיוחסות לו בכתב האישום</w:t>
      </w:r>
      <w:r w:rsidRPr="00A1547B">
        <w:rPr>
          <w:rFonts w:ascii="Segoe UI" w:hAnsi="Segoe UI" w:cs="Segoe UI"/>
          <w:lang w:val="en-US"/>
        </w:rPr>
        <w:t>.</w:t>
      </w:r>
    </w:p>
    <w:p w14:paraId="3C891A3A" w14:textId="77777777" w:rsidR="00A1547B" w:rsidRPr="00A1547B" w:rsidRDefault="00A1547B" w:rsidP="00D95A69">
      <w:pPr>
        <w:numPr>
          <w:ilvl w:val="0"/>
          <w:numId w:val="93"/>
        </w:numPr>
        <w:bidi/>
        <w:spacing w:after="0" w:line="276" w:lineRule="auto"/>
        <w:jc w:val="both"/>
        <w:rPr>
          <w:rFonts w:ascii="Segoe UI" w:hAnsi="Segoe UI" w:cs="Segoe UI"/>
          <w:lang w:val="en-US"/>
        </w:rPr>
      </w:pPr>
      <w:r w:rsidRPr="00A1547B">
        <w:rPr>
          <w:rFonts w:ascii="Segoe UI" w:hAnsi="Segoe UI" w:cs="Segoe UI"/>
          <w:rtl/>
        </w:rPr>
        <w:t>הנאשם חוסך בעלויות המשפט</w:t>
      </w:r>
      <w:r w:rsidRPr="00A1547B">
        <w:rPr>
          <w:rFonts w:ascii="Segoe UI" w:hAnsi="Segoe UI" w:cs="Segoe UI"/>
          <w:lang w:val="en-US"/>
        </w:rPr>
        <w:t>.</w:t>
      </w:r>
    </w:p>
    <w:p w14:paraId="72BFF7D0" w14:textId="571DAC29" w:rsidR="00A1547B" w:rsidRDefault="00A1547B" w:rsidP="00D95A69">
      <w:pPr>
        <w:numPr>
          <w:ilvl w:val="0"/>
          <w:numId w:val="93"/>
        </w:numPr>
        <w:bidi/>
        <w:spacing w:after="0" w:line="276" w:lineRule="auto"/>
        <w:jc w:val="both"/>
        <w:rPr>
          <w:rFonts w:ascii="Segoe UI" w:hAnsi="Segoe UI" w:cs="Segoe UI"/>
          <w:lang w:val="en-US"/>
        </w:rPr>
      </w:pPr>
      <w:r w:rsidRPr="00A1547B">
        <w:rPr>
          <w:rFonts w:ascii="Segoe UI" w:hAnsi="Segoe UI" w:cs="Segoe UI"/>
          <w:b/>
          <w:bCs/>
          <w:rtl/>
        </w:rPr>
        <w:t>הסנגור</w:t>
      </w:r>
      <w:r w:rsidRPr="00A1547B">
        <w:rPr>
          <w:rFonts w:ascii="Segoe UI" w:hAnsi="Segoe UI" w:cs="Segoe UI"/>
          <w:rtl/>
        </w:rPr>
        <w:t>, שהינו שלוח של הנאשם, חוסך בזמן ומתפנה לטיפול בתיקים אחרים</w:t>
      </w:r>
      <w:r w:rsidRPr="00A1547B">
        <w:rPr>
          <w:rFonts w:ascii="Segoe UI" w:hAnsi="Segoe UI" w:cs="Segoe UI"/>
          <w:lang w:val="en-US"/>
        </w:rPr>
        <w:t>.</w:t>
      </w:r>
      <w:r>
        <w:rPr>
          <w:rFonts w:ascii="Segoe UI" w:hAnsi="Segoe UI" w:cs="Segoe UI" w:hint="cs"/>
          <w:rtl/>
          <w:lang w:val="en-US"/>
        </w:rPr>
        <w:t xml:space="preserve"> </w:t>
      </w:r>
      <w:r>
        <w:rPr>
          <w:rFonts w:ascii="Segoe UI" w:hAnsi="Segoe UI" w:cs="Segoe UI" w:hint="cs"/>
          <w:color w:val="7030A0"/>
          <w:rtl/>
          <w:lang w:val="en-US"/>
        </w:rPr>
        <w:t xml:space="preserve">שי מסביר שבסופו של דבר ולמרות שעו"ד פרטיים מחויבים לטובת הלקוח, כסף הוא שם המשחק. אם הלקוח לא שילם מספיק כסף לעו"ד יכול להיות שעו"ד ידפוק אותו בכך שילך לסגור את התיק כמה שיותר מהר בהסדר טיעון ויסביר ללקוח שזאת </w:t>
      </w:r>
      <w:r>
        <w:rPr>
          <w:rFonts w:ascii="Segoe UI" w:hAnsi="Segoe UI" w:cs="Segoe UI" w:hint="cs"/>
          <w:color w:val="7030A0"/>
          <w:rtl/>
          <w:lang w:val="en-US"/>
        </w:rPr>
        <w:lastRenderedPageBreak/>
        <w:t xml:space="preserve">התוצאה הטובה ביותר. שי מעיר כי הדבר הזה לא קורה בסנגוריה הציבורית כי בסנגוריה הציבורית יש תשלומים קבועים ולא הלקוח הוא שמשלם אלא הכסף מגיע מתקציב של הסנגוריה שניתן על ידי משרד המשפטים. </w:t>
      </w:r>
      <w:r w:rsidR="00FE438F">
        <w:rPr>
          <w:rFonts w:ascii="Segoe UI" w:hAnsi="Segoe UI" w:cs="Segoe UI" w:hint="cs"/>
          <w:color w:val="7030A0"/>
          <w:rtl/>
          <w:lang w:val="en-US"/>
        </w:rPr>
        <w:t xml:space="preserve">בסוגייה הזאת, רואים עדיפות לסנגוריה הציבורית מאשר לעו"ד פרטי שאם לא תשלם לו מספיק או תשלם לו והוא יחשוב שזה לא מספיק אז הוא יכול לדפוק אותך בהסדר טיעון שלא בהכרח מיטבי עבורך. </w:t>
      </w:r>
    </w:p>
    <w:p w14:paraId="01750728" w14:textId="77777777" w:rsidR="00A1547B" w:rsidRPr="00A1547B" w:rsidRDefault="00A1547B" w:rsidP="00D95A69">
      <w:pPr>
        <w:bidi/>
        <w:spacing w:after="0" w:line="276" w:lineRule="auto"/>
        <w:jc w:val="both"/>
        <w:rPr>
          <w:rFonts w:ascii="Segoe UI" w:hAnsi="Segoe UI" w:cs="Segoe UI"/>
          <w:lang w:val="en-US"/>
        </w:rPr>
      </w:pPr>
    </w:p>
    <w:p w14:paraId="4992D11C" w14:textId="51058834" w:rsidR="00A1547B" w:rsidRPr="00A1547B" w:rsidRDefault="00A1547B" w:rsidP="00D95A69">
      <w:pPr>
        <w:pStyle w:val="110"/>
        <w:spacing w:line="276" w:lineRule="auto"/>
      </w:pPr>
      <w:r w:rsidRPr="00A1547B">
        <w:rPr>
          <w:rtl/>
        </w:rPr>
        <w:t>יתרונות בהסדר טיעון עבור הציבור</w:t>
      </w:r>
    </w:p>
    <w:p w14:paraId="206D0467" w14:textId="77777777" w:rsidR="00A1547B" w:rsidRPr="00A1547B" w:rsidRDefault="00A1547B" w:rsidP="00D95A69">
      <w:pPr>
        <w:numPr>
          <w:ilvl w:val="0"/>
          <w:numId w:val="94"/>
        </w:numPr>
        <w:bidi/>
        <w:spacing w:after="0" w:line="276" w:lineRule="auto"/>
        <w:jc w:val="both"/>
        <w:rPr>
          <w:rFonts w:ascii="Segoe UI" w:hAnsi="Segoe UI" w:cs="Segoe UI"/>
          <w:lang w:val="en-US"/>
        </w:rPr>
      </w:pPr>
      <w:r w:rsidRPr="00A1547B">
        <w:rPr>
          <w:rFonts w:ascii="Segoe UI" w:hAnsi="Segoe UI" w:cs="Segoe UI"/>
          <w:rtl/>
        </w:rPr>
        <w:t>קיימת חשיבות חינוכית ושיקומית בכך שנאשם יודה בביצוע עבירה</w:t>
      </w:r>
      <w:r w:rsidRPr="00A1547B">
        <w:rPr>
          <w:rFonts w:ascii="Segoe UI" w:hAnsi="Segoe UI" w:cs="Segoe UI"/>
          <w:lang w:val="en-US"/>
        </w:rPr>
        <w:t>.</w:t>
      </w:r>
    </w:p>
    <w:p w14:paraId="114EA61B" w14:textId="77777777" w:rsidR="00A1547B" w:rsidRPr="00A1547B" w:rsidRDefault="00A1547B" w:rsidP="00D95A69">
      <w:pPr>
        <w:numPr>
          <w:ilvl w:val="0"/>
          <w:numId w:val="94"/>
        </w:numPr>
        <w:bidi/>
        <w:spacing w:after="0" w:line="276" w:lineRule="auto"/>
        <w:jc w:val="both"/>
        <w:rPr>
          <w:rFonts w:ascii="Segoe UI" w:hAnsi="Segoe UI" w:cs="Segoe UI"/>
          <w:lang w:val="en-US"/>
        </w:rPr>
      </w:pPr>
      <w:r w:rsidRPr="00A1547B">
        <w:rPr>
          <w:rFonts w:ascii="Segoe UI" w:hAnsi="Segoe UI" w:cs="Segoe UI"/>
          <w:rtl/>
        </w:rPr>
        <w:t>הציבור זוכה לוודאות בתוצאת המשפט</w:t>
      </w:r>
      <w:r w:rsidRPr="00A1547B">
        <w:rPr>
          <w:rFonts w:ascii="Segoe UI" w:hAnsi="Segoe UI" w:cs="Segoe UI"/>
          <w:lang w:val="en-US"/>
        </w:rPr>
        <w:t>.</w:t>
      </w:r>
    </w:p>
    <w:p w14:paraId="1147269D" w14:textId="033D237C" w:rsidR="00A1547B" w:rsidRPr="00A1547B" w:rsidRDefault="00A1547B" w:rsidP="00D95A69">
      <w:pPr>
        <w:numPr>
          <w:ilvl w:val="0"/>
          <w:numId w:val="94"/>
        </w:numPr>
        <w:bidi/>
        <w:spacing w:after="0" w:line="276" w:lineRule="auto"/>
        <w:jc w:val="both"/>
        <w:rPr>
          <w:rFonts w:ascii="Segoe UI" w:hAnsi="Segoe UI" w:cs="Segoe UI"/>
          <w:lang w:val="en-US"/>
        </w:rPr>
      </w:pPr>
      <w:r w:rsidRPr="00A1547B">
        <w:rPr>
          <w:rFonts w:ascii="Segoe UI" w:hAnsi="Segoe UI" w:cs="Segoe UI"/>
          <w:rtl/>
        </w:rPr>
        <w:t xml:space="preserve">התגובה </w:t>
      </w:r>
      <w:proofErr w:type="spellStart"/>
      <w:r w:rsidRPr="00A1547B">
        <w:rPr>
          <w:rFonts w:ascii="Segoe UI" w:hAnsi="Segoe UI" w:cs="Segoe UI"/>
          <w:rtl/>
        </w:rPr>
        <w:t>העונשית</w:t>
      </w:r>
      <w:proofErr w:type="spellEnd"/>
      <w:r w:rsidRPr="00A1547B">
        <w:rPr>
          <w:rFonts w:ascii="Segoe UI" w:hAnsi="Segoe UI" w:cs="Segoe UI"/>
          <w:rtl/>
        </w:rPr>
        <w:t xml:space="preserve"> בדרך כלל מהירה יותר מאשר במשפט הכולל שמיעת הוכחות</w:t>
      </w:r>
      <w:r w:rsidRPr="00A1547B">
        <w:rPr>
          <w:rFonts w:ascii="Segoe UI" w:hAnsi="Segoe UI" w:cs="Segoe UI"/>
          <w:lang w:val="en-US"/>
        </w:rPr>
        <w:t>.</w:t>
      </w:r>
      <w:r w:rsidR="00F47138">
        <w:rPr>
          <w:rFonts w:ascii="Segoe UI" w:hAnsi="Segoe UI" w:cs="Segoe UI" w:hint="cs"/>
          <w:rtl/>
          <w:lang w:val="en-US"/>
        </w:rPr>
        <w:t xml:space="preserve"> </w:t>
      </w:r>
      <w:r w:rsidR="00F47138">
        <w:rPr>
          <w:rFonts w:ascii="Segoe UI" w:hAnsi="Segoe UI" w:cs="Segoe UI" w:hint="cs"/>
          <w:color w:val="7030A0"/>
          <w:rtl/>
          <w:lang w:val="en-US"/>
        </w:rPr>
        <w:t xml:space="preserve">השאלה פה היא מה כל כך "מעניש" אם תיקים יתנהלו במשך שנים ארוכות </w:t>
      </w:r>
      <w:r w:rsidR="00F47138">
        <w:rPr>
          <w:rFonts w:ascii="Segoe UI" w:hAnsi="Segoe UI" w:cs="Segoe UI"/>
          <w:color w:val="7030A0"/>
          <w:rtl/>
          <w:lang w:val="en-US"/>
        </w:rPr>
        <w:t>–</w:t>
      </w:r>
      <w:r w:rsidR="00F47138">
        <w:rPr>
          <w:rFonts w:ascii="Segoe UI" w:hAnsi="Segoe UI" w:cs="Segoe UI" w:hint="cs"/>
          <w:color w:val="7030A0"/>
          <w:rtl/>
          <w:lang w:val="en-US"/>
        </w:rPr>
        <w:t xml:space="preserve"> נניח יש תיקים שמתנהלים אפילו 7-5 שנים ורק בסופם יש עונש והבן אדם שנשפט הוא כבר במקום אחר ופתאום מה נשים אותו בכלא? </w:t>
      </w:r>
    </w:p>
    <w:p w14:paraId="71A10F7A" w14:textId="77777777" w:rsidR="00A1547B" w:rsidRPr="00A1547B" w:rsidRDefault="00A1547B" w:rsidP="00D95A69">
      <w:pPr>
        <w:numPr>
          <w:ilvl w:val="0"/>
          <w:numId w:val="94"/>
        </w:numPr>
        <w:bidi/>
        <w:spacing w:after="0" w:line="276" w:lineRule="auto"/>
        <w:jc w:val="both"/>
        <w:rPr>
          <w:rFonts w:ascii="Segoe UI" w:hAnsi="Segoe UI" w:cs="Segoe UI"/>
          <w:lang w:val="en-US"/>
        </w:rPr>
      </w:pPr>
      <w:r w:rsidRPr="00A1547B">
        <w:rPr>
          <w:rFonts w:ascii="Segoe UI" w:hAnsi="Segoe UI" w:cs="Segoe UI"/>
          <w:rtl/>
        </w:rPr>
        <w:t>התביעה חוסכת בזמן משפט, בכוח אדם ובמשאבים, תוך אפשרות לנהל תיקים רבים בכוח אדם ובמשאבים מוגבלים</w:t>
      </w:r>
      <w:r w:rsidRPr="00A1547B">
        <w:rPr>
          <w:rFonts w:ascii="Segoe UI" w:hAnsi="Segoe UI" w:cs="Segoe UI"/>
          <w:lang w:val="en-US"/>
        </w:rPr>
        <w:t>.</w:t>
      </w:r>
    </w:p>
    <w:p w14:paraId="7CBCF222" w14:textId="77777777" w:rsidR="00A1547B" w:rsidRDefault="00A1547B" w:rsidP="00D95A69">
      <w:pPr>
        <w:numPr>
          <w:ilvl w:val="0"/>
          <w:numId w:val="94"/>
        </w:numPr>
        <w:bidi/>
        <w:spacing w:after="0" w:line="276" w:lineRule="auto"/>
        <w:jc w:val="both"/>
        <w:rPr>
          <w:rFonts w:ascii="Segoe UI" w:hAnsi="Segoe UI" w:cs="Segoe UI"/>
          <w:lang w:val="en-US"/>
        </w:rPr>
      </w:pPr>
      <w:r w:rsidRPr="00A1547B">
        <w:rPr>
          <w:rFonts w:ascii="Segoe UI" w:hAnsi="Segoe UI" w:cs="Segoe UI"/>
          <w:rtl/>
        </w:rPr>
        <w:t>חיסכון בזמן שמיעת עדים - אזרחים שוטרים ומומחים - הנדרשים להתייצב בבית המשפט לצורך עדותם</w:t>
      </w:r>
    </w:p>
    <w:p w14:paraId="1BCB7DCB" w14:textId="77777777" w:rsidR="00A1547B" w:rsidRDefault="00A1547B" w:rsidP="00D95A69">
      <w:pPr>
        <w:bidi/>
        <w:spacing w:after="0" w:line="276" w:lineRule="auto"/>
        <w:jc w:val="both"/>
        <w:rPr>
          <w:rFonts w:ascii="Segoe UI" w:hAnsi="Segoe UI" w:cs="Segoe UI"/>
          <w:rtl/>
          <w:lang w:val="en-US"/>
        </w:rPr>
      </w:pPr>
    </w:p>
    <w:p w14:paraId="68DE6AA2" w14:textId="2C87D00A" w:rsidR="00A1547B" w:rsidRPr="00A1547B" w:rsidRDefault="00A1547B" w:rsidP="00D95A69">
      <w:pPr>
        <w:pStyle w:val="110"/>
        <w:spacing w:line="276" w:lineRule="auto"/>
      </w:pPr>
      <w:r w:rsidRPr="00A1547B">
        <w:rPr>
          <w:rtl/>
        </w:rPr>
        <w:t>יתרונות בהסדר טיעון עבור בתי המשפט</w:t>
      </w:r>
    </w:p>
    <w:p w14:paraId="37ADC0E3" w14:textId="77777777" w:rsidR="00A1547B" w:rsidRPr="00A1547B" w:rsidRDefault="00A1547B" w:rsidP="00D95A69">
      <w:pPr>
        <w:numPr>
          <w:ilvl w:val="0"/>
          <w:numId w:val="95"/>
        </w:numPr>
        <w:bidi/>
        <w:spacing w:after="0" w:line="276" w:lineRule="auto"/>
        <w:jc w:val="both"/>
        <w:rPr>
          <w:rFonts w:ascii="Segoe UI" w:hAnsi="Segoe UI" w:cs="Segoe UI"/>
          <w:lang w:val="en-US"/>
        </w:rPr>
      </w:pPr>
      <w:r w:rsidRPr="00A1547B">
        <w:rPr>
          <w:rFonts w:ascii="Segoe UI" w:hAnsi="Segoe UI" w:cs="Segoe UI"/>
          <w:rtl/>
        </w:rPr>
        <w:t>בית המשפט חוסך בזמן שיפוטי יקר של שמיעת ראיות ומייעל את עבודתו</w:t>
      </w:r>
      <w:r w:rsidRPr="00A1547B">
        <w:rPr>
          <w:rFonts w:ascii="Segoe UI" w:hAnsi="Segoe UI" w:cs="Segoe UI"/>
          <w:lang w:val="en-US"/>
        </w:rPr>
        <w:t>.</w:t>
      </w:r>
    </w:p>
    <w:p w14:paraId="1FCD9DDB" w14:textId="77777777" w:rsidR="00A1547B" w:rsidRPr="00A1547B" w:rsidRDefault="00A1547B" w:rsidP="00D95A69">
      <w:pPr>
        <w:numPr>
          <w:ilvl w:val="0"/>
          <w:numId w:val="95"/>
        </w:numPr>
        <w:bidi/>
        <w:spacing w:after="0" w:line="276" w:lineRule="auto"/>
        <w:jc w:val="both"/>
        <w:rPr>
          <w:rFonts w:ascii="Segoe UI" w:hAnsi="Segoe UI" w:cs="Segoe UI"/>
          <w:lang w:val="en-US"/>
        </w:rPr>
      </w:pPr>
      <w:r w:rsidRPr="00A1547B">
        <w:rPr>
          <w:rFonts w:ascii="Segoe UI" w:hAnsi="Segoe UI" w:cs="Segoe UI"/>
          <w:rtl/>
        </w:rPr>
        <w:t>בית המשפט מתמקד בתיקים בהם קיימת מחלוקת שאינה ניתנת לגישור בין הצדדים</w:t>
      </w:r>
      <w:r w:rsidRPr="00A1547B">
        <w:rPr>
          <w:rFonts w:ascii="Segoe UI" w:hAnsi="Segoe UI" w:cs="Segoe UI"/>
          <w:lang w:val="en-US"/>
        </w:rPr>
        <w:t>.</w:t>
      </w:r>
    </w:p>
    <w:p w14:paraId="33F44706" w14:textId="77777777" w:rsidR="00A1547B" w:rsidRDefault="00A1547B" w:rsidP="00D95A69">
      <w:pPr>
        <w:bidi/>
        <w:spacing w:after="0" w:line="276" w:lineRule="auto"/>
        <w:jc w:val="both"/>
        <w:rPr>
          <w:rFonts w:ascii="Segoe UI" w:hAnsi="Segoe UI" w:cs="Segoe UI"/>
          <w:b/>
          <w:bCs/>
          <w:rtl/>
        </w:rPr>
      </w:pPr>
    </w:p>
    <w:p w14:paraId="2E2DA8C9" w14:textId="02C886A5" w:rsidR="00A1547B" w:rsidRPr="00A1547B" w:rsidRDefault="00A1547B" w:rsidP="00D95A69">
      <w:pPr>
        <w:pStyle w:val="110"/>
        <w:spacing w:line="276" w:lineRule="auto"/>
      </w:pPr>
      <w:r w:rsidRPr="00A1547B">
        <w:rPr>
          <w:rtl/>
        </w:rPr>
        <w:t>יתרונות בהסדר טיעון עבור נפגע עבירה</w:t>
      </w:r>
    </w:p>
    <w:p w14:paraId="28B0F2C6" w14:textId="3B3E06FD" w:rsidR="00A1547B" w:rsidRPr="00A1547B" w:rsidRDefault="00A1547B" w:rsidP="00D95A69">
      <w:pPr>
        <w:numPr>
          <w:ilvl w:val="0"/>
          <w:numId w:val="96"/>
        </w:numPr>
        <w:bidi/>
        <w:spacing w:after="0" w:line="276" w:lineRule="auto"/>
        <w:jc w:val="both"/>
        <w:rPr>
          <w:rFonts w:ascii="Segoe UI" w:hAnsi="Segoe UI" w:cs="Segoe UI"/>
          <w:lang w:val="en-US"/>
        </w:rPr>
      </w:pPr>
      <w:r w:rsidRPr="00A1547B">
        <w:rPr>
          <w:rFonts w:ascii="Segoe UI" w:hAnsi="Segoe UI" w:cs="Segoe UI"/>
          <w:rtl/>
        </w:rPr>
        <w:t>נפגע העבירה נמנע מהצורך במתן עדותו בבית המשפט, שלעיתים אינה מהווה חוויה נעימה</w:t>
      </w:r>
      <w:r w:rsidRPr="00A1547B">
        <w:rPr>
          <w:rFonts w:ascii="Segoe UI" w:hAnsi="Segoe UI" w:cs="Segoe UI"/>
          <w:lang w:val="en-US"/>
        </w:rPr>
        <w:t>.</w:t>
      </w:r>
      <w:r w:rsidR="002D1B3C">
        <w:rPr>
          <w:rFonts w:ascii="Segoe UI" w:hAnsi="Segoe UI" w:cs="Segoe UI" w:hint="cs"/>
          <w:color w:val="7030A0"/>
          <w:rtl/>
          <w:lang w:val="en-US"/>
        </w:rPr>
        <w:t xml:space="preserve"> נניח העדת ילדה שנאנסה, זה דבר מאוד טראומתי עבורה ויכול אפילו לפגוע בהליך השיקום שלה כי היא צריכה לראות את הפוגע ולהעיד על מה שהוא לכאורה עשה לה ויכול להיות שהיא גם תשאל שאלות לא נעימות על ידי הסנגור שלו ויחטטו בפצעים שלה. ברגע שיש הסדר טיעון זה בעצם חוסך את החוויה הזו לקורבן של העבירה. </w:t>
      </w:r>
    </w:p>
    <w:p w14:paraId="275E61E9" w14:textId="77777777" w:rsidR="00A1547B" w:rsidRPr="00A1547B" w:rsidRDefault="00A1547B" w:rsidP="00D95A69">
      <w:pPr>
        <w:numPr>
          <w:ilvl w:val="0"/>
          <w:numId w:val="96"/>
        </w:numPr>
        <w:bidi/>
        <w:spacing w:after="0" w:line="276" w:lineRule="auto"/>
        <w:jc w:val="both"/>
        <w:rPr>
          <w:rFonts w:ascii="Segoe UI" w:hAnsi="Segoe UI" w:cs="Segoe UI"/>
          <w:lang w:val="en-US"/>
        </w:rPr>
      </w:pPr>
      <w:r w:rsidRPr="00A1547B">
        <w:rPr>
          <w:rFonts w:ascii="Segoe UI" w:hAnsi="Segoe UI" w:cs="Segoe UI"/>
          <w:rtl/>
        </w:rPr>
        <w:t>הנאשם מאשר בהודאתו את נכונות תלונתו של נפגע העבירה ובכך מעניק לתלונה גושפנקא רשמית</w:t>
      </w:r>
      <w:r w:rsidRPr="00A1547B">
        <w:rPr>
          <w:rFonts w:ascii="Segoe UI" w:hAnsi="Segoe UI" w:cs="Segoe UI"/>
          <w:lang w:val="en-US"/>
        </w:rPr>
        <w:t>.</w:t>
      </w:r>
    </w:p>
    <w:p w14:paraId="6ADEE229" w14:textId="77777777" w:rsidR="00A1547B" w:rsidRPr="00A1547B" w:rsidRDefault="00A1547B" w:rsidP="00D95A69">
      <w:pPr>
        <w:numPr>
          <w:ilvl w:val="0"/>
          <w:numId w:val="96"/>
        </w:numPr>
        <w:bidi/>
        <w:spacing w:after="0" w:line="276" w:lineRule="auto"/>
        <w:jc w:val="both"/>
        <w:rPr>
          <w:rFonts w:ascii="Segoe UI" w:hAnsi="Segoe UI" w:cs="Segoe UI"/>
          <w:lang w:val="en-US"/>
        </w:rPr>
      </w:pPr>
      <w:r w:rsidRPr="00A1547B">
        <w:rPr>
          <w:rFonts w:ascii="Segoe UI" w:hAnsi="Segoe UI" w:cs="Segoe UI"/>
          <w:rtl/>
        </w:rPr>
        <w:t>ההליך המשפטי מתקצר ומאפשר לנפגע העבירה להתמקד בשיקומו</w:t>
      </w:r>
      <w:r w:rsidRPr="00A1547B">
        <w:rPr>
          <w:rFonts w:ascii="Segoe UI" w:hAnsi="Segoe UI" w:cs="Segoe UI"/>
          <w:lang w:val="en-US"/>
        </w:rPr>
        <w:t>.</w:t>
      </w:r>
    </w:p>
    <w:p w14:paraId="58C28616" w14:textId="4247BFAD" w:rsidR="000A7EB8" w:rsidRDefault="000A7EB8" w:rsidP="00D95A69">
      <w:pPr>
        <w:bidi/>
        <w:spacing w:after="0" w:line="276" w:lineRule="auto"/>
        <w:jc w:val="both"/>
        <w:rPr>
          <w:rFonts w:ascii="Segoe UI" w:hAnsi="Segoe UI" w:cs="Segoe UI"/>
          <w:rtl/>
          <w:lang w:val="en-US"/>
        </w:rPr>
      </w:pPr>
    </w:p>
    <w:p w14:paraId="3E634651" w14:textId="2BB2D5C4" w:rsidR="00413E5F" w:rsidRDefault="00413E5F" w:rsidP="00D95A69">
      <w:pPr>
        <w:pStyle w:val="2"/>
        <w:rPr>
          <w:rtl/>
        </w:rPr>
      </w:pPr>
      <w:bookmarkStart w:id="96" w:name="_Toc108218252"/>
      <w:r>
        <w:rPr>
          <w:rFonts w:hint="cs"/>
          <w:rtl/>
        </w:rPr>
        <w:t>חסרונות בהסדר טיעון</w:t>
      </w:r>
      <w:bookmarkEnd w:id="96"/>
    </w:p>
    <w:p w14:paraId="39157621" w14:textId="73CE507C" w:rsidR="008E6BC0" w:rsidRPr="008E6BC0" w:rsidRDefault="008E6BC0" w:rsidP="00D95A69">
      <w:pPr>
        <w:pStyle w:val="ab"/>
        <w:numPr>
          <w:ilvl w:val="0"/>
          <w:numId w:val="97"/>
        </w:numPr>
        <w:bidi/>
        <w:spacing w:after="0" w:line="276" w:lineRule="auto"/>
        <w:jc w:val="both"/>
        <w:rPr>
          <w:rFonts w:ascii="Segoe UI" w:hAnsi="Segoe UI" w:cs="Segoe UI"/>
          <w:rtl/>
          <w:lang w:val="en-US"/>
        </w:rPr>
      </w:pPr>
      <w:r w:rsidRPr="008E6BC0">
        <w:rPr>
          <w:rFonts w:ascii="Segoe UI" w:hAnsi="Segoe UI" w:cs="Segoe UI"/>
          <w:rtl/>
          <w:lang w:val="en-US"/>
        </w:rPr>
        <w:t>חשש לפגיעה בזכויות נאשמים – אין דבר כזה "התיק הוא חסר ערך ואין צורך לבזבז עליו זמן שיפוטי". כל תיק שקשור לחיי אדם צריך להתברר</w:t>
      </w:r>
    </w:p>
    <w:p w14:paraId="076193CD" w14:textId="5D071570" w:rsidR="008E6BC0" w:rsidRPr="008E6BC0" w:rsidRDefault="008E6BC0" w:rsidP="00D95A69">
      <w:pPr>
        <w:pStyle w:val="ab"/>
        <w:numPr>
          <w:ilvl w:val="0"/>
          <w:numId w:val="97"/>
        </w:numPr>
        <w:bidi/>
        <w:spacing w:after="0" w:line="276" w:lineRule="auto"/>
        <w:jc w:val="both"/>
        <w:rPr>
          <w:rFonts w:ascii="Segoe UI" w:hAnsi="Segoe UI" w:cs="Segoe UI"/>
          <w:rtl/>
          <w:lang w:val="en-US"/>
        </w:rPr>
      </w:pPr>
      <w:r w:rsidRPr="008E6BC0">
        <w:rPr>
          <w:rFonts w:ascii="Segoe UI" w:hAnsi="Segoe UI" w:cs="Segoe UI"/>
          <w:rtl/>
          <w:lang w:val="en-US"/>
        </w:rPr>
        <w:t>הנאשם מוותר על זכויות חשובות שלו –</w:t>
      </w:r>
      <w:r w:rsidRPr="008E6BC0">
        <w:rPr>
          <w:rFonts w:ascii="Segoe UI" w:hAnsi="Segoe UI" w:cs="Segoe UI" w:hint="cs"/>
          <w:rtl/>
          <w:lang w:val="en-US"/>
        </w:rPr>
        <w:t xml:space="preserve"> </w:t>
      </w:r>
      <w:r w:rsidRPr="008E6BC0">
        <w:rPr>
          <w:rFonts w:ascii="Segoe UI" w:hAnsi="Segoe UI" w:cs="Segoe UI"/>
          <w:rtl/>
          <w:lang w:val="en-US"/>
        </w:rPr>
        <w:t>חיסיון מפני הפללה עצמית, הזכות לחקירה נגדית, הזכות להתעמת עם הטענות נגדו (ובארה"ב  - הזכות למושבעים)</w:t>
      </w:r>
    </w:p>
    <w:p w14:paraId="456FE1B6" w14:textId="7DA78A3B" w:rsidR="008E6BC0" w:rsidRDefault="008E6BC0" w:rsidP="00D95A69">
      <w:pPr>
        <w:pStyle w:val="ab"/>
        <w:numPr>
          <w:ilvl w:val="0"/>
          <w:numId w:val="97"/>
        </w:numPr>
        <w:bidi/>
        <w:spacing w:after="0" w:line="276" w:lineRule="auto"/>
        <w:jc w:val="both"/>
        <w:rPr>
          <w:rFonts w:ascii="Segoe UI" w:hAnsi="Segoe UI" w:cs="Segoe UI"/>
          <w:lang w:val="en-US"/>
        </w:rPr>
      </w:pPr>
      <w:r w:rsidRPr="008E6BC0">
        <w:rPr>
          <w:rFonts w:ascii="Segoe UI" w:hAnsi="Segoe UI" w:cs="Segoe UI"/>
          <w:rtl/>
          <w:lang w:val="en-US"/>
        </w:rPr>
        <w:t>חשש להרשעת חפים מפשע – אנשים יודו בעבירות שלא ביצעו כדי לחמוק מהליך ארוך, מייגע, משפיל</w:t>
      </w:r>
      <w:r w:rsidRPr="008E6BC0">
        <w:rPr>
          <w:rFonts w:ascii="Segoe UI" w:hAnsi="Segoe UI" w:cs="Segoe UI" w:hint="cs"/>
          <w:rtl/>
          <w:lang w:val="en-US"/>
        </w:rPr>
        <w:t xml:space="preserve">. </w:t>
      </w:r>
    </w:p>
    <w:p w14:paraId="37B3E601" w14:textId="2546F220" w:rsidR="008E6BC0" w:rsidRDefault="008E6BC0" w:rsidP="00D95A69">
      <w:pPr>
        <w:pStyle w:val="ab"/>
        <w:numPr>
          <w:ilvl w:val="0"/>
          <w:numId w:val="97"/>
        </w:numPr>
        <w:bidi/>
        <w:spacing w:after="0" w:line="276" w:lineRule="auto"/>
        <w:jc w:val="both"/>
        <w:rPr>
          <w:rFonts w:ascii="Segoe UI" w:hAnsi="Segoe UI" w:cs="Segoe UI"/>
          <w:lang w:val="en-US"/>
        </w:rPr>
      </w:pPr>
      <w:r>
        <w:rPr>
          <w:rFonts w:ascii="Segoe UI" w:hAnsi="Segoe UI" w:cs="Segoe UI" w:hint="cs"/>
          <w:rtl/>
          <w:lang w:val="en-US"/>
        </w:rPr>
        <w:t>קיימת טענה לפיה לא ניתן לוותר על זכויות של מעורבים בפלילים [גם אם הם רוצים, כך למשל במשפט הקונטיננטלי]</w:t>
      </w:r>
    </w:p>
    <w:p w14:paraId="2DC375FD" w14:textId="2595BB47" w:rsidR="008E6BC0" w:rsidRDefault="008E6BC0" w:rsidP="00D95A69">
      <w:pPr>
        <w:pStyle w:val="ab"/>
        <w:numPr>
          <w:ilvl w:val="0"/>
          <w:numId w:val="97"/>
        </w:numPr>
        <w:bidi/>
        <w:spacing w:after="0" w:line="276" w:lineRule="auto"/>
        <w:jc w:val="both"/>
        <w:rPr>
          <w:rFonts w:ascii="Segoe UI" w:hAnsi="Segoe UI" w:cs="Segoe UI"/>
          <w:lang w:val="en-US"/>
        </w:rPr>
      </w:pPr>
      <w:r>
        <w:rPr>
          <w:rFonts w:ascii="Segoe UI" w:hAnsi="Segoe UI" w:cs="Segoe UI" w:hint="cs"/>
          <w:rtl/>
          <w:lang w:val="en-US"/>
        </w:rPr>
        <w:t>לחץ של סנגורים על נאשמים לסגור עסקאות (טענות על שכר הטרחה; "נמאס מהלקוח")</w:t>
      </w:r>
    </w:p>
    <w:p w14:paraId="7C3E680F" w14:textId="322875B4" w:rsidR="008E6BC0" w:rsidRDefault="008E6BC0" w:rsidP="00D95A69">
      <w:pPr>
        <w:pStyle w:val="ab"/>
        <w:numPr>
          <w:ilvl w:val="0"/>
          <w:numId w:val="97"/>
        </w:numPr>
        <w:bidi/>
        <w:spacing w:after="0" w:line="276" w:lineRule="auto"/>
        <w:jc w:val="both"/>
        <w:rPr>
          <w:rFonts w:ascii="Segoe UI" w:hAnsi="Segoe UI" w:cs="Segoe UI"/>
          <w:lang w:val="en-US"/>
        </w:rPr>
      </w:pPr>
      <w:r>
        <w:rPr>
          <w:rFonts w:ascii="Segoe UI" w:hAnsi="Segoe UI" w:cs="Segoe UI" w:hint="cs"/>
          <w:rtl/>
          <w:lang w:val="en-US"/>
        </w:rPr>
        <w:t xml:space="preserve">פגיעה בתחושת הצדק של הנאשמים </w:t>
      </w:r>
      <w:r>
        <w:rPr>
          <w:rFonts w:ascii="Segoe UI" w:hAnsi="Segoe UI" w:cs="Segoe UI"/>
          <w:rtl/>
          <w:lang w:val="en-US"/>
        </w:rPr>
        <w:t>–</w:t>
      </w:r>
      <w:r>
        <w:rPr>
          <w:rFonts w:ascii="Segoe UI" w:hAnsi="Segoe UI" w:cs="Segoe UI" w:hint="cs"/>
          <w:rtl/>
          <w:lang w:val="en-US"/>
        </w:rPr>
        <w:t xml:space="preserve"> ההרשעה והעונש הם פרי מו"מ מוצלח של הסנגור מול התובע ולאו דווקא משקף את האמת</w:t>
      </w:r>
    </w:p>
    <w:p w14:paraId="553851E8" w14:textId="22E109FE" w:rsidR="008E6BC0" w:rsidRDefault="008E6BC0" w:rsidP="00D95A69">
      <w:pPr>
        <w:pStyle w:val="ab"/>
        <w:numPr>
          <w:ilvl w:val="0"/>
          <w:numId w:val="97"/>
        </w:numPr>
        <w:bidi/>
        <w:spacing w:after="0" w:line="276" w:lineRule="auto"/>
        <w:jc w:val="both"/>
        <w:rPr>
          <w:rFonts w:ascii="Segoe UI" w:hAnsi="Segoe UI" w:cs="Segoe UI"/>
          <w:lang w:val="en-US"/>
        </w:rPr>
      </w:pPr>
      <w:r>
        <w:rPr>
          <w:rFonts w:ascii="Segoe UI" w:hAnsi="Segoe UI" w:cs="Segoe UI" w:hint="cs"/>
          <w:rtl/>
          <w:lang w:val="en-US"/>
        </w:rPr>
        <w:t>תחושת האמון של הציבור בהסדרי טיעון נחלשת מאחר שההנחה היא שהצדק הוא דבר שניתן למיקוח</w:t>
      </w:r>
    </w:p>
    <w:p w14:paraId="2E491ABC" w14:textId="50EC40E3" w:rsidR="008E6BC0" w:rsidRDefault="008E6BC0" w:rsidP="00D95A69">
      <w:pPr>
        <w:pStyle w:val="ab"/>
        <w:numPr>
          <w:ilvl w:val="0"/>
          <w:numId w:val="97"/>
        </w:numPr>
        <w:bidi/>
        <w:spacing w:after="0" w:line="276" w:lineRule="auto"/>
        <w:jc w:val="both"/>
        <w:rPr>
          <w:rFonts w:ascii="Segoe UI" w:hAnsi="Segoe UI" w:cs="Segoe UI"/>
          <w:lang w:val="en-US"/>
        </w:rPr>
      </w:pPr>
      <w:r>
        <w:rPr>
          <w:rFonts w:ascii="Segoe UI" w:hAnsi="Segoe UI" w:cs="Segoe UI" w:hint="cs"/>
          <w:rtl/>
          <w:lang w:val="en-US"/>
        </w:rPr>
        <w:t>פגיעה ממשית בעקרון ההלימה</w:t>
      </w:r>
      <w:r w:rsidR="00692475">
        <w:rPr>
          <w:rFonts w:ascii="Segoe UI" w:hAnsi="Segoe UI" w:cs="Segoe UI" w:hint="cs"/>
          <w:rtl/>
          <w:lang w:val="en-US"/>
        </w:rPr>
        <w:t xml:space="preserve">, לרוב </w:t>
      </w:r>
      <w:r w:rsidR="00692475">
        <w:rPr>
          <w:rFonts w:ascii="Segoe UI" w:hAnsi="Segoe UI" w:cs="Segoe UI"/>
          <w:rtl/>
          <w:lang w:val="en-US"/>
        </w:rPr>
        <w:t>–</w:t>
      </w:r>
      <w:r w:rsidR="00692475">
        <w:rPr>
          <w:rFonts w:ascii="Segoe UI" w:hAnsi="Segoe UI" w:cs="Segoe UI" w:hint="cs"/>
          <w:rtl/>
          <w:lang w:val="en-US"/>
        </w:rPr>
        <w:t xml:space="preserve"> הסדר טיעון= עונש מופחת, בכך נפגע גם יסוד ההרתעה</w:t>
      </w:r>
    </w:p>
    <w:p w14:paraId="3228F448" w14:textId="2E2A4B11" w:rsidR="00A33D73" w:rsidRPr="008422E8" w:rsidRDefault="00692475" w:rsidP="00D95A69">
      <w:pPr>
        <w:pStyle w:val="ab"/>
        <w:numPr>
          <w:ilvl w:val="0"/>
          <w:numId w:val="97"/>
        </w:numPr>
        <w:bidi/>
        <w:spacing w:after="0" w:line="276" w:lineRule="auto"/>
        <w:jc w:val="both"/>
        <w:rPr>
          <w:rFonts w:ascii="Segoe UI" w:hAnsi="Segoe UI" w:cs="Segoe UI"/>
          <w:lang w:val="en-US"/>
        </w:rPr>
      </w:pPr>
      <w:r>
        <w:rPr>
          <w:rFonts w:ascii="Segoe UI" w:hAnsi="Segoe UI" w:cs="Segoe UI" w:hint="cs"/>
          <w:color w:val="7030A0"/>
          <w:rtl/>
          <w:lang w:val="en-US"/>
        </w:rPr>
        <w:lastRenderedPageBreak/>
        <w:t xml:space="preserve">אפשר לומר גם כחסרון את העניין שרוב הסדרי הטיעון נחתמים בגלל קשיים ראייתיים שמעלה הסנגוריה בפני הפרקליטות או התביעה המשטרתית </w:t>
      </w:r>
      <w:r>
        <w:rPr>
          <w:rFonts w:ascii="Segoe UI" w:hAnsi="Segoe UI" w:cs="Segoe UI"/>
          <w:color w:val="7030A0"/>
          <w:rtl/>
          <w:lang w:val="en-US"/>
        </w:rPr>
        <w:t>–</w:t>
      </w:r>
      <w:r>
        <w:rPr>
          <w:rFonts w:ascii="Segoe UI" w:hAnsi="Segoe UI" w:cs="Segoe UI" w:hint="cs"/>
          <w:color w:val="7030A0"/>
          <w:rtl/>
          <w:lang w:val="en-US"/>
        </w:rPr>
        <w:t xml:space="preserve"> ככל שימשיכו לסגור הסדרי טיעון המשטרה והפרקליטות לא ילמדו לנהל תיקים חקירה בצורה יותר יעילה וכו' ומחדלי חקירות, מחדלי איסוף ראיות ופגמים בראיות ימשיכו להיות</w:t>
      </w:r>
    </w:p>
    <w:p w14:paraId="7EBC2360" w14:textId="6F4A4708" w:rsidR="00B84B7F" w:rsidRPr="00B84B7F" w:rsidRDefault="00B84B7F" w:rsidP="00D95A69">
      <w:pPr>
        <w:pStyle w:val="2"/>
        <w:rPr>
          <w:rtl/>
        </w:rPr>
      </w:pPr>
      <w:bookmarkStart w:id="97" w:name="_Toc108218253"/>
      <w:r w:rsidRPr="00B84B7F">
        <w:rPr>
          <w:rFonts w:hint="cs"/>
          <w:rtl/>
        </w:rPr>
        <w:t>הסדרי טיעון בפועל</w:t>
      </w:r>
      <w:bookmarkEnd w:id="97"/>
    </w:p>
    <w:p w14:paraId="177D759F" w14:textId="0FBADEA1" w:rsidR="00AC764B" w:rsidRDefault="00B84B7F" w:rsidP="00D95A69">
      <w:pPr>
        <w:bidi/>
        <w:spacing w:after="0" w:line="276" w:lineRule="auto"/>
        <w:jc w:val="both"/>
        <w:rPr>
          <w:rFonts w:ascii="Segoe UI" w:hAnsi="Segoe UI" w:cs="Segoe UI"/>
          <w:color w:val="7030A0"/>
          <w:rtl/>
          <w:lang w:val="en-ZW"/>
        </w:rPr>
      </w:pPr>
      <w:r>
        <w:rPr>
          <w:rFonts w:ascii="Segoe UI" w:hAnsi="Segoe UI" w:cs="Segoe UI" w:hint="cs"/>
          <w:rtl/>
          <w:lang w:val="en-ZW"/>
        </w:rPr>
        <w:t xml:space="preserve">בפועל הסדרי טיעון הם "הכרח שלא יגונה" (פס"ד </w:t>
      </w:r>
      <w:proofErr w:type="spellStart"/>
      <w:r>
        <w:rPr>
          <w:rFonts w:ascii="Segoe UI" w:hAnsi="Segoe UI" w:cs="Segoe UI" w:hint="cs"/>
          <w:rtl/>
          <w:lang w:val="en-ZW"/>
        </w:rPr>
        <w:t>חומצקי</w:t>
      </w:r>
      <w:proofErr w:type="spellEnd"/>
      <w:r>
        <w:rPr>
          <w:rFonts w:ascii="Segoe UI" w:hAnsi="Segoe UI" w:cs="Segoe UI" w:hint="cs"/>
          <w:rtl/>
          <w:lang w:val="en-ZW"/>
        </w:rPr>
        <w:t xml:space="preserve">); ללא הסדרי טיעון מערכת המשפט הפלילי הייתה קורסת. </w:t>
      </w:r>
      <w:r w:rsidR="00AC764B">
        <w:rPr>
          <w:rFonts w:ascii="Segoe UI" w:hAnsi="Segoe UI" w:cs="Segoe UI" w:hint="cs"/>
          <w:color w:val="7030A0"/>
          <w:rtl/>
          <w:lang w:val="en-ZW"/>
        </w:rPr>
        <w:t xml:space="preserve">שי מעיר כי אם היו אומרים שאין יותר הסדרי טיעון אז מערכת המשפט הפלילי הייתה קורסת עוד היום ולא בעוד שבוע או חודש. אין מספיק כוח אדם לנהל כל כך הרבה תיקים, אין מספיק סנגורים לנהל כל כך הרבה תיקים, אין מספיק שופטים שינהלו כל כך הרבה הליכים וכו'. </w:t>
      </w:r>
    </w:p>
    <w:p w14:paraId="758374F7" w14:textId="77777777" w:rsidR="00AC764B" w:rsidRDefault="00AC764B" w:rsidP="003429F1">
      <w:pPr>
        <w:bidi/>
        <w:spacing w:after="0" w:line="276" w:lineRule="auto"/>
        <w:jc w:val="both"/>
        <w:rPr>
          <w:rFonts w:ascii="Segoe UI" w:hAnsi="Segoe UI" w:cs="Segoe UI"/>
          <w:color w:val="7030A0"/>
          <w:rtl/>
          <w:lang w:val="en-ZW"/>
        </w:rPr>
      </w:pPr>
    </w:p>
    <w:p w14:paraId="42859875" w14:textId="13F0D244" w:rsidR="00AC764B" w:rsidRDefault="00AC764B" w:rsidP="003429F1">
      <w:pPr>
        <w:pStyle w:val="2"/>
        <w:rPr>
          <w:rtl/>
        </w:rPr>
      </w:pPr>
      <w:bookmarkStart w:id="98" w:name="_Toc108218254"/>
      <w:r>
        <w:rPr>
          <w:rFonts w:hint="cs"/>
          <w:rtl/>
        </w:rPr>
        <w:t xml:space="preserve">שיקולים של תובע בהגעה להסדר טיעון </w:t>
      </w:r>
      <w:r>
        <w:rPr>
          <w:rtl/>
        </w:rPr>
        <w:t>–</w:t>
      </w:r>
      <w:r>
        <w:rPr>
          <w:rFonts w:hint="cs"/>
          <w:rtl/>
        </w:rPr>
        <w:t xml:space="preserve"> הנחיות פרקליט המדינה</w:t>
      </w:r>
      <w:bookmarkEnd w:id="98"/>
    </w:p>
    <w:p w14:paraId="18BF3B38" w14:textId="0953AF26" w:rsidR="00AC764B" w:rsidRPr="00EE4F3E" w:rsidRDefault="00EE4F3E" w:rsidP="003429F1">
      <w:pPr>
        <w:bidi/>
        <w:spacing w:after="0"/>
        <w:jc w:val="both"/>
        <w:rPr>
          <w:rFonts w:ascii="Segoe UI" w:hAnsi="Segoe UI" w:cs="Segoe UI"/>
          <w:color w:val="7030A0"/>
          <w:rtl/>
          <w:lang w:val="en-ZW"/>
        </w:rPr>
      </w:pPr>
      <w:r w:rsidRPr="000D5A9E">
        <w:rPr>
          <w:rFonts w:ascii="Segoe UI" w:hAnsi="Segoe UI" w:cs="Segoe UI"/>
          <w:color w:val="7030A0"/>
          <w:rtl/>
          <w:lang w:val="en-ZW"/>
        </w:rPr>
        <w:t>(</w:t>
      </w:r>
      <w:r w:rsidRPr="000D5A9E">
        <w:rPr>
          <w:rFonts w:ascii="Segoe UI" w:hAnsi="Segoe UI" w:cs="Segoe UI"/>
          <w:b/>
          <w:bCs/>
          <w:color w:val="7030A0"/>
          <w:highlight w:val="yellow"/>
          <w:rtl/>
          <w:lang w:val="en-ZW"/>
        </w:rPr>
        <w:t>הנחיית פרקליט המדינה הנחייה מס' 8.1 – הנחיות לעריכת הסדר טיעון</w:t>
      </w:r>
      <w:r w:rsidRPr="000D5A9E">
        <w:rPr>
          <w:rFonts w:ascii="Segoe UI" w:hAnsi="Segoe UI" w:cs="Segoe UI"/>
          <w:color w:val="7030A0"/>
          <w:rtl/>
          <w:lang w:val="en-ZW"/>
        </w:rPr>
        <w:t>)</w:t>
      </w:r>
    </w:p>
    <w:p w14:paraId="6A72F189" w14:textId="4ACBC257" w:rsidR="00EE4F3E" w:rsidRPr="00AC764B" w:rsidRDefault="00377239" w:rsidP="003429F1">
      <w:pPr>
        <w:bidi/>
        <w:spacing w:after="0"/>
        <w:jc w:val="center"/>
        <w:rPr>
          <w:rFonts w:ascii="Segoe UI" w:hAnsi="Segoe UI" w:cs="Segoe UI"/>
          <w:rtl/>
          <w:lang w:val="en-ZW"/>
        </w:rPr>
      </w:pPr>
      <w:r w:rsidRPr="00377239">
        <w:rPr>
          <w:rFonts w:ascii="Segoe UI" w:hAnsi="Segoe UI" w:cs="Segoe UI"/>
          <w:noProof/>
          <w:rtl/>
          <w:lang w:val="en-ZW"/>
        </w:rPr>
        <w:drawing>
          <wp:inline distT="0" distB="0" distL="0" distR="0" wp14:anchorId="05EB55F5" wp14:editId="38AA2C2B">
            <wp:extent cx="3396533" cy="3263756"/>
            <wp:effectExtent l="19050" t="19050" r="13970" b="13335"/>
            <wp:docPr id="18" name="תמונה 1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טקסט&#10;&#10;התיאור נוצר באופן אוטומטי"/>
                    <pic:cNvPicPr/>
                  </pic:nvPicPr>
                  <pic:blipFill>
                    <a:blip r:embed="rId51"/>
                    <a:stretch>
                      <a:fillRect/>
                    </a:stretch>
                  </pic:blipFill>
                  <pic:spPr>
                    <a:xfrm>
                      <a:off x="0" y="0"/>
                      <a:ext cx="3410937" cy="3277597"/>
                    </a:xfrm>
                    <a:prstGeom prst="rect">
                      <a:avLst/>
                    </a:prstGeom>
                    <a:ln w="12700">
                      <a:solidFill>
                        <a:schemeClr val="tx1"/>
                      </a:solidFill>
                    </a:ln>
                  </pic:spPr>
                </pic:pic>
              </a:graphicData>
            </a:graphic>
          </wp:inline>
        </w:drawing>
      </w:r>
    </w:p>
    <w:p w14:paraId="5D31E783" w14:textId="4EA51C1B" w:rsidR="00734229" w:rsidRDefault="00734229" w:rsidP="003429F1">
      <w:pPr>
        <w:bidi/>
        <w:spacing w:after="0"/>
        <w:jc w:val="both"/>
        <w:rPr>
          <w:rFonts w:ascii="Segoe UI" w:hAnsi="Segoe UI" w:cs="Segoe UI"/>
          <w:rtl/>
          <w:lang w:val="en-US"/>
        </w:rPr>
      </w:pPr>
    </w:p>
    <w:p w14:paraId="2F340762" w14:textId="1C07F77B" w:rsidR="009B4319" w:rsidRDefault="009B4319" w:rsidP="00D95A69">
      <w:pPr>
        <w:pStyle w:val="2"/>
        <w:rPr>
          <w:rtl/>
        </w:rPr>
      </w:pPr>
      <w:bookmarkStart w:id="99" w:name="_Toc108218255"/>
      <w:r>
        <w:rPr>
          <w:rFonts w:hint="cs"/>
          <w:rtl/>
        </w:rPr>
        <w:t>פס"ד מרכזיים</w:t>
      </w:r>
      <w:bookmarkEnd w:id="99"/>
    </w:p>
    <w:p w14:paraId="25F8FF46" w14:textId="684993AB" w:rsidR="000C5A33" w:rsidRDefault="000C5A33" w:rsidP="00D95A69">
      <w:pPr>
        <w:bidi/>
        <w:spacing w:after="0" w:line="276" w:lineRule="auto"/>
        <w:jc w:val="both"/>
        <w:rPr>
          <w:rFonts w:ascii="Segoe UI" w:hAnsi="Segoe UI" w:cs="Segoe UI"/>
          <w:rtl/>
          <w:lang w:val="en-US"/>
        </w:rPr>
      </w:pPr>
      <w:r w:rsidRPr="000C5A33">
        <w:rPr>
          <w:rFonts w:ascii="Segoe UI" w:hAnsi="Segoe UI" w:cs="Segoe UI"/>
          <w:rtl/>
          <w:lang w:val="en-ZW"/>
        </w:rPr>
        <w:t xml:space="preserve">כל עוד לא מילא הנאשם את חלקו בהסדר טיעון ולא מסר בבית המשפט הודאה בהתאם  להתחייבותו  - הוא רשאי לחזור בו מההסדר ולעמוד על זכותו לקיום משפט </w:t>
      </w:r>
      <w:r w:rsidRPr="000C5A33">
        <w:rPr>
          <w:rFonts w:ascii="Segoe UI" w:hAnsi="Segoe UI" w:cs="Segoe UI"/>
          <w:highlight w:val="yellow"/>
          <w:shd w:val="clear" w:color="auto" w:fill="ED7D31" w:themeFill="accent2"/>
          <w:rtl/>
          <w:lang w:val="en-ZW"/>
        </w:rPr>
        <w:t xml:space="preserve">(פס"ד </w:t>
      </w:r>
      <w:r w:rsidRPr="000C5A33">
        <w:rPr>
          <w:rFonts w:ascii="Segoe UI" w:hAnsi="Segoe UI" w:cs="Segoe UI"/>
          <w:b/>
          <w:bCs/>
          <w:highlight w:val="yellow"/>
          <w:shd w:val="clear" w:color="auto" w:fill="ED7D31" w:themeFill="accent2"/>
          <w:rtl/>
          <w:lang w:val="en-ZW"/>
        </w:rPr>
        <w:t>ארביב)</w:t>
      </w:r>
      <w:r w:rsidR="00217A86" w:rsidRPr="00FF08B7">
        <w:rPr>
          <w:rFonts w:ascii="Segoe UI" w:hAnsi="Segoe UI" w:cs="Segoe UI" w:hint="cs"/>
          <w:highlight w:val="yellow"/>
          <w:shd w:val="clear" w:color="auto" w:fill="ED7D31" w:themeFill="accent2"/>
          <w:rtl/>
          <w:lang w:val="en-US"/>
        </w:rPr>
        <w:t>.</w:t>
      </w:r>
    </w:p>
    <w:p w14:paraId="368D55DC" w14:textId="77777777" w:rsidR="00217A86" w:rsidRPr="000C5A33" w:rsidRDefault="00217A86" w:rsidP="00D95A69">
      <w:pPr>
        <w:bidi/>
        <w:spacing w:after="0" w:line="276" w:lineRule="auto"/>
        <w:jc w:val="both"/>
        <w:rPr>
          <w:rFonts w:ascii="Segoe UI" w:hAnsi="Segoe UI" w:cs="Segoe UI"/>
          <w:rtl/>
          <w:lang w:val="en-ZW"/>
        </w:rPr>
      </w:pPr>
      <w:r w:rsidRPr="000C5A33">
        <w:rPr>
          <w:rFonts w:ascii="Segoe UI" w:hAnsi="Segoe UI" w:cs="Segoe UI"/>
          <w:rtl/>
          <w:lang w:val="en-ZW"/>
        </w:rPr>
        <w:t>הנאשם רשאי לחזור בו מההודאה, בכל שלב משלבי המשפט אם בית המשפט הרשה זאת מנימוקים שיירשמו.</w:t>
      </w:r>
    </w:p>
    <w:p w14:paraId="6723ACC4" w14:textId="77777777" w:rsidR="00217A86" w:rsidRPr="000C5A33" w:rsidRDefault="00217A86" w:rsidP="00D95A69">
      <w:pPr>
        <w:bidi/>
        <w:spacing w:after="0" w:line="276" w:lineRule="auto"/>
        <w:jc w:val="both"/>
        <w:rPr>
          <w:rFonts w:ascii="Segoe UI" w:hAnsi="Segoe UI" w:cs="Segoe UI"/>
          <w:rtl/>
          <w:lang w:val="en-ZW"/>
        </w:rPr>
      </w:pPr>
      <w:r w:rsidRPr="000C5A33">
        <w:rPr>
          <w:rFonts w:ascii="Segoe UI" w:hAnsi="Segoe UI" w:cs="Segoe UI"/>
          <w:rtl/>
          <w:lang w:val="en-ZW"/>
        </w:rPr>
        <w:t>הפסיקה קבעה כי מדובר ב:</w:t>
      </w:r>
    </w:p>
    <w:p w14:paraId="5EA7BEDB" w14:textId="77777777" w:rsidR="00217A86" w:rsidRPr="000C5A33" w:rsidRDefault="00217A86" w:rsidP="00D95A69">
      <w:pPr>
        <w:bidi/>
        <w:spacing w:after="0" w:line="276" w:lineRule="auto"/>
        <w:jc w:val="both"/>
        <w:rPr>
          <w:rFonts w:ascii="Segoe UI" w:hAnsi="Segoe UI" w:cs="Segoe UI"/>
          <w:rtl/>
          <w:lang w:val="en-ZW"/>
        </w:rPr>
      </w:pPr>
      <w:r w:rsidRPr="000C5A33">
        <w:rPr>
          <w:rFonts w:ascii="Segoe UI" w:hAnsi="Segoe UI" w:cs="Segoe UI"/>
          <w:rtl/>
          <w:lang w:val="en-ZW"/>
        </w:rPr>
        <w:t>א. לא ניתנה חופשי ומרצון</w:t>
      </w:r>
    </w:p>
    <w:p w14:paraId="6451C7B9" w14:textId="77777777" w:rsidR="00217A86" w:rsidRPr="000C5A33" w:rsidRDefault="00217A86" w:rsidP="00D95A69">
      <w:pPr>
        <w:bidi/>
        <w:spacing w:after="0" w:line="276" w:lineRule="auto"/>
        <w:jc w:val="both"/>
        <w:rPr>
          <w:rFonts w:ascii="Segoe UI" w:hAnsi="Segoe UI" w:cs="Segoe UI"/>
          <w:rtl/>
          <w:lang w:val="en-ZW"/>
        </w:rPr>
      </w:pPr>
      <w:r w:rsidRPr="000C5A33">
        <w:rPr>
          <w:rFonts w:ascii="Segoe UI" w:hAnsi="Segoe UI" w:cs="Segoe UI"/>
          <w:rtl/>
          <w:lang w:val="en-ZW"/>
        </w:rPr>
        <w:t>ב. ההודאה נעשתה בטעות</w:t>
      </w:r>
    </w:p>
    <w:p w14:paraId="30680130" w14:textId="77777777" w:rsidR="00217A86" w:rsidRPr="000C5A33" w:rsidRDefault="00217A86" w:rsidP="00D95A69">
      <w:pPr>
        <w:bidi/>
        <w:spacing w:after="0" w:line="276" w:lineRule="auto"/>
        <w:jc w:val="both"/>
        <w:rPr>
          <w:rFonts w:ascii="Segoe UI" w:hAnsi="Segoe UI" w:cs="Segoe UI"/>
          <w:rtl/>
          <w:lang w:val="en-ZW"/>
        </w:rPr>
      </w:pPr>
      <w:r w:rsidRPr="000C5A33">
        <w:rPr>
          <w:rFonts w:ascii="Segoe UI" w:hAnsi="Segoe UI" w:cs="Segoe UI"/>
          <w:rtl/>
          <w:lang w:val="en-ZW"/>
        </w:rPr>
        <w:t>ג. הנאשם לא הבין את משמעות ההודאה.</w:t>
      </w:r>
    </w:p>
    <w:p w14:paraId="21026761" w14:textId="77777777" w:rsidR="00217A86" w:rsidRPr="000C5A33" w:rsidRDefault="00217A86" w:rsidP="00D95A69">
      <w:pPr>
        <w:bidi/>
        <w:spacing w:after="0" w:line="276" w:lineRule="auto"/>
        <w:jc w:val="both"/>
        <w:rPr>
          <w:rFonts w:ascii="Segoe UI" w:hAnsi="Segoe UI" w:cs="Segoe UI"/>
          <w:rtl/>
          <w:lang w:val="en-ZW"/>
        </w:rPr>
      </w:pPr>
      <w:r w:rsidRPr="000C5A33">
        <w:rPr>
          <w:rFonts w:ascii="Segoe UI" w:hAnsi="Segoe UI" w:cs="Segoe UI"/>
          <w:highlight w:val="yellow"/>
          <w:rtl/>
          <w:lang w:val="en-ZW"/>
        </w:rPr>
        <w:t>(</w:t>
      </w:r>
      <w:r w:rsidRPr="000C5A33">
        <w:rPr>
          <w:rFonts w:ascii="Segoe UI" w:hAnsi="Segoe UI" w:cs="Segoe UI"/>
          <w:highlight w:val="yellow"/>
          <w:shd w:val="clear" w:color="auto" w:fill="ED7D31" w:themeFill="accent2"/>
          <w:rtl/>
          <w:lang w:val="en-ZW"/>
        </w:rPr>
        <w:t xml:space="preserve">פס"ד </w:t>
      </w:r>
      <w:proofErr w:type="spellStart"/>
      <w:r w:rsidRPr="000C5A33">
        <w:rPr>
          <w:rFonts w:ascii="Segoe UI" w:hAnsi="Segoe UI" w:cs="Segoe UI"/>
          <w:b/>
          <w:bCs/>
          <w:highlight w:val="yellow"/>
          <w:shd w:val="clear" w:color="auto" w:fill="ED7D31" w:themeFill="accent2"/>
          <w:rtl/>
          <w:lang w:val="en-ZW"/>
        </w:rPr>
        <w:t>בחומצקי</w:t>
      </w:r>
      <w:proofErr w:type="spellEnd"/>
      <w:r w:rsidRPr="000C5A33">
        <w:rPr>
          <w:rFonts w:ascii="Segoe UI" w:hAnsi="Segoe UI" w:cs="Segoe UI"/>
          <w:b/>
          <w:bCs/>
          <w:highlight w:val="yellow"/>
          <w:shd w:val="clear" w:color="auto" w:fill="ED7D31" w:themeFill="accent2"/>
          <w:rtl/>
          <w:lang w:val="en-ZW"/>
        </w:rPr>
        <w:t>; פס"ד שניידר</w:t>
      </w:r>
      <w:r w:rsidRPr="000C5A33">
        <w:rPr>
          <w:rFonts w:ascii="Segoe UI" w:hAnsi="Segoe UI" w:cs="Segoe UI"/>
          <w:b/>
          <w:bCs/>
          <w:rtl/>
          <w:lang w:val="en-ZW"/>
        </w:rPr>
        <w:t xml:space="preserve"> </w:t>
      </w:r>
      <w:r w:rsidRPr="000C5A33">
        <w:rPr>
          <w:rFonts w:ascii="Segoe UI" w:hAnsi="Segoe UI" w:cs="Segoe UI"/>
          <w:rtl/>
          <w:lang w:val="en-ZW"/>
        </w:rPr>
        <w:t xml:space="preserve">– חנן מלצר). </w:t>
      </w:r>
    </w:p>
    <w:p w14:paraId="5C65D7BA" w14:textId="77777777" w:rsidR="000C5A33" w:rsidRPr="000C5A33" w:rsidRDefault="000C5A33" w:rsidP="00D95A69">
      <w:pPr>
        <w:bidi/>
        <w:spacing w:after="0" w:line="276" w:lineRule="auto"/>
        <w:jc w:val="both"/>
        <w:rPr>
          <w:rFonts w:ascii="Segoe UI" w:hAnsi="Segoe UI" w:cs="Segoe UI"/>
          <w:color w:val="7030A0"/>
          <w:rtl/>
          <w:lang w:val="en-ZW"/>
        </w:rPr>
      </w:pPr>
      <w:r w:rsidRPr="000C5A33">
        <w:rPr>
          <w:rFonts w:ascii="Segoe UI" w:hAnsi="Segoe UI" w:cs="Segoe UI"/>
          <w:color w:val="7030A0"/>
          <w:rtl/>
          <w:lang w:val="en-ZW"/>
        </w:rPr>
        <w:t xml:space="preserve">לדוג' משה קצב הגיע להסדר טיעון עם המדינה – המדינה הסכימה לתקן את כתב האישום כך שיורדו סעיפי האינוס ויישארו יתר הסעיפים. הסדר הטיעון סגור – 5 חודשי </w:t>
      </w:r>
      <w:proofErr w:type="spellStart"/>
      <w:r w:rsidRPr="000C5A33">
        <w:rPr>
          <w:rFonts w:ascii="Segoe UI" w:hAnsi="Segoe UI" w:cs="Segoe UI"/>
          <w:color w:val="7030A0"/>
          <w:rtl/>
          <w:lang w:val="en-ZW"/>
        </w:rPr>
        <w:t>עב"ש</w:t>
      </w:r>
      <w:proofErr w:type="spellEnd"/>
      <w:r w:rsidRPr="000C5A33">
        <w:rPr>
          <w:rFonts w:ascii="Segoe UI" w:hAnsi="Segoe UI" w:cs="Segoe UI"/>
          <w:color w:val="7030A0"/>
          <w:rtl/>
          <w:lang w:val="en-ZW"/>
        </w:rPr>
        <w:t xml:space="preserve">, ביום הדיון שבו היו צריכים להציג את הסדר הטיעון, משה קצב מודיע לציון אמיר </w:t>
      </w:r>
      <w:proofErr w:type="spellStart"/>
      <w:r w:rsidRPr="000C5A33">
        <w:rPr>
          <w:rFonts w:ascii="Segoe UI" w:hAnsi="Segoe UI" w:cs="Segoe UI"/>
          <w:color w:val="7030A0"/>
          <w:rtl/>
          <w:lang w:val="en-ZW"/>
        </w:rPr>
        <w:t>העו"ד</w:t>
      </w:r>
      <w:proofErr w:type="spellEnd"/>
      <w:r w:rsidRPr="000C5A33">
        <w:rPr>
          <w:rFonts w:ascii="Segoe UI" w:hAnsi="Segoe UI" w:cs="Segoe UI"/>
          <w:color w:val="7030A0"/>
          <w:rtl/>
          <w:lang w:val="en-ZW"/>
        </w:rPr>
        <w:t xml:space="preserve"> שלו שהוא לא מודה גם ביתר הסעיפים והסדר הטיעון נופל. הכלל אומר שכל עוד לא הוצג הסדר באופן רשמי לביהמ"ש הנאשם יכול לחזור בו מההסכמה להסדר טיעון. בסופו של דבר הוא הורשע ונשלח למאסר של 7 שנים.</w:t>
      </w:r>
    </w:p>
    <w:p w14:paraId="78ADDA02" w14:textId="78DFA1D4" w:rsidR="009B4319" w:rsidRDefault="009B4319" w:rsidP="00D95A69">
      <w:pPr>
        <w:bidi/>
        <w:spacing w:after="0" w:line="276" w:lineRule="auto"/>
        <w:jc w:val="both"/>
        <w:rPr>
          <w:rFonts w:ascii="Segoe UI" w:hAnsi="Segoe UI" w:cs="Segoe UI"/>
          <w:rtl/>
          <w:lang w:val="en-ZW"/>
        </w:rPr>
      </w:pPr>
    </w:p>
    <w:p w14:paraId="48385DEA" w14:textId="63A78491" w:rsidR="00E17313" w:rsidRDefault="00FF08B7"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lang w:val="en-ZW"/>
        </w:rPr>
      </w:pPr>
      <w:r w:rsidRPr="00E17313">
        <w:rPr>
          <w:rFonts w:ascii="Segoe UI" w:hAnsi="Segoe UI" w:cs="Segoe UI" w:hint="cs"/>
          <w:highlight w:val="yellow"/>
          <w:rtl/>
          <w:lang w:val="en-ZW"/>
        </w:rPr>
        <w:lastRenderedPageBreak/>
        <w:t xml:space="preserve">פס"ד </w:t>
      </w:r>
      <w:r w:rsidRPr="00E17313">
        <w:rPr>
          <w:rFonts w:ascii="Segoe UI" w:hAnsi="Segoe UI" w:cs="Segoe UI" w:hint="cs"/>
          <w:b/>
          <w:bCs/>
          <w:highlight w:val="yellow"/>
          <w:rtl/>
          <w:lang w:val="en-ZW"/>
        </w:rPr>
        <w:t>פלונית</w:t>
      </w:r>
    </w:p>
    <w:p w14:paraId="365047EA" w14:textId="462E064E" w:rsidR="00FF08B7" w:rsidRDefault="00FF08B7"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Pr>
          <w:rFonts w:ascii="Segoe UI" w:hAnsi="Segoe UI" w:cs="Segoe UI" w:hint="cs"/>
          <w:rtl/>
          <w:lang w:val="en-ZW"/>
        </w:rPr>
        <w:t>על בית המשפט להזהיר את הנאשם שהוא לא חייב לכבד את ההסדר שאליו הגיעו הצדדים.</w:t>
      </w:r>
    </w:p>
    <w:p w14:paraId="6EB4B134" w14:textId="77777777" w:rsidR="00E17313" w:rsidRDefault="00E17313" w:rsidP="00D95A69">
      <w:pPr>
        <w:bidi/>
        <w:spacing w:after="0" w:line="276" w:lineRule="auto"/>
        <w:ind w:left="363" w:right="363"/>
        <w:jc w:val="both"/>
        <w:rPr>
          <w:rFonts w:ascii="Segoe UI" w:hAnsi="Segoe UI" w:cs="Segoe UI"/>
          <w:rtl/>
          <w:lang w:val="en-ZW"/>
        </w:rPr>
      </w:pPr>
    </w:p>
    <w:p w14:paraId="184FD307" w14:textId="124CBF5B" w:rsidR="00E17313" w:rsidRDefault="00FF08B7"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lang w:val="en-ZW"/>
        </w:rPr>
      </w:pPr>
      <w:r w:rsidRPr="00E17313">
        <w:rPr>
          <w:rFonts w:ascii="Segoe UI" w:hAnsi="Segoe UI" w:cs="Segoe UI" w:hint="cs"/>
          <w:highlight w:val="yellow"/>
          <w:rtl/>
          <w:lang w:val="en-ZW"/>
        </w:rPr>
        <w:t xml:space="preserve">פס"ד </w:t>
      </w:r>
      <w:proofErr w:type="spellStart"/>
      <w:r w:rsidRPr="00E17313">
        <w:rPr>
          <w:rFonts w:ascii="Segoe UI" w:hAnsi="Segoe UI" w:cs="Segoe UI" w:hint="cs"/>
          <w:b/>
          <w:bCs/>
          <w:highlight w:val="yellow"/>
          <w:rtl/>
          <w:lang w:val="en-ZW"/>
        </w:rPr>
        <w:t>בשימוב</w:t>
      </w:r>
      <w:proofErr w:type="spellEnd"/>
    </w:p>
    <w:p w14:paraId="100EF173" w14:textId="24FF140C" w:rsidR="00FF08B7" w:rsidRDefault="00FF08B7"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Pr>
          <w:rFonts w:ascii="Segoe UI" w:hAnsi="Segoe UI" w:cs="Segoe UI" w:hint="cs"/>
          <w:rtl/>
          <w:lang w:val="en-ZW"/>
        </w:rPr>
        <w:t xml:space="preserve">ככלל, למעט חריגים, לא ניתן לחזור מהודאה לאחר מתן גז"ד שניתן לאחר הודאה במסגרת הסדר טיעון. </w:t>
      </w:r>
    </w:p>
    <w:p w14:paraId="68B0E972" w14:textId="77777777" w:rsidR="00E17313" w:rsidRDefault="00E17313" w:rsidP="00D95A69">
      <w:pPr>
        <w:bidi/>
        <w:spacing w:after="0" w:line="276" w:lineRule="auto"/>
        <w:ind w:right="363"/>
        <w:jc w:val="both"/>
        <w:rPr>
          <w:rFonts w:ascii="Segoe UI" w:hAnsi="Segoe UI" w:cs="Segoe UI"/>
          <w:rtl/>
          <w:lang w:val="en-ZW"/>
        </w:rPr>
      </w:pPr>
    </w:p>
    <w:p w14:paraId="1C97750A" w14:textId="198D6E0E" w:rsidR="00E17313" w:rsidRDefault="00FF08B7"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rtl/>
          <w:lang w:val="en-ZW"/>
        </w:rPr>
      </w:pPr>
      <w:r w:rsidRPr="00E17313">
        <w:rPr>
          <w:rFonts w:ascii="Segoe UI" w:hAnsi="Segoe UI" w:cs="Segoe UI" w:hint="cs"/>
          <w:highlight w:val="yellow"/>
          <w:rtl/>
          <w:lang w:val="en-ZW"/>
        </w:rPr>
        <w:t xml:space="preserve">פס"ד </w:t>
      </w:r>
      <w:proofErr w:type="spellStart"/>
      <w:r w:rsidRPr="00E17313">
        <w:rPr>
          <w:rFonts w:ascii="Segoe UI" w:hAnsi="Segoe UI" w:cs="Segoe UI" w:hint="cs"/>
          <w:b/>
          <w:bCs/>
          <w:highlight w:val="yellow"/>
          <w:rtl/>
          <w:lang w:val="en-ZW"/>
        </w:rPr>
        <w:t>סמחאת</w:t>
      </w:r>
      <w:proofErr w:type="spellEnd"/>
    </w:p>
    <w:p w14:paraId="3FD1F2D2" w14:textId="65F8B97E" w:rsidR="00FF08B7" w:rsidRDefault="00FF08B7"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Pr>
          <w:rFonts w:ascii="Segoe UI" w:hAnsi="Segoe UI" w:cs="Segoe UI" w:hint="cs"/>
          <w:rtl/>
          <w:lang w:val="en-ZW"/>
        </w:rPr>
        <w:t xml:space="preserve">בד"כ אם לא מדובר בתכסיס/תחבולה ביהמ"ש מאפשר לנאשם לחזור בו מהודאתו. </w:t>
      </w:r>
    </w:p>
    <w:p w14:paraId="11F0F303" w14:textId="77777777" w:rsidR="00E17313" w:rsidRDefault="00E17313" w:rsidP="00D95A69">
      <w:pPr>
        <w:bidi/>
        <w:spacing w:after="0" w:line="276" w:lineRule="auto"/>
        <w:ind w:left="363" w:right="363"/>
        <w:jc w:val="both"/>
        <w:rPr>
          <w:rFonts w:ascii="Segoe UI" w:hAnsi="Segoe UI" w:cs="Segoe UI"/>
          <w:rtl/>
          <w:lang w:val="en-ZW"/>
        </w:rPr>
      </w:pPr>
    </w:p>
    <w:p w14:paraId="36025EE4" w14:textId="0A682619" w:rsidR="00186037" w:rsidRPr="00186037" w:rsidRDefault="00186037"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b/>
          <w:bCs/>
          <w:highlight w:val="yellow"/>
          <w:lang w:val="en-US"/>
        </w:rPr>
      </w:pPr>
      <w:r w:rsidRPr="00186037">
        <w:rPr>
          <w:rFonts w:ascii="Segoe UI" w:hAnsi="Segoe UI" w:cs="Segoe UI"/>
          <w:highlight w:val="yellow"/>
          <w:rtl/>
          <w:lang w:val="en-ZW"/>
        </w:rPr>
        <w:t>בג"ץ 218-85</w:t>
      </w:r>
      <w:r w:rsidRPr="00186037">
        <w:rPr>
          <w:rFonts w:ascii="Segoe UI" w:hAnsi="Segoe UI" w:cs="Segoe UI"/>
          <w:b/>
          <w:bCs/>
          <w:highlight w:val="yellow"/>
          <w:rtl/>
          <w:lang w:val="en-ZW"/>
        </w:rPr>
        <w:t xml:space="preserve"> ארביב נ</w:t>
      </w:r>
      <w:r w:rsidRPr="00186037">
        <w:rPr>
          <w:rFonts w:ascii="Segoe UI" w:hAnsi="Segoe UI" w:cs="Segoe UI"/>
          <w:b/>
          <w:bCs/>
          <w:highlight w:val="yellow"/>
          <w:lang w:val="en-US"/>
        </w:rPr>
        <w:t>'</w:t>
      </w:r>
      <w:r w:rsidR="00F7295C">
        <w:rPr>
          <w:rFonts w:ascii="Segoe UI" w:hAnsi="Segoe UI" w:cs="Segoe UI" w:hint="cs"/>
          <w:b/>
          <w:bCs/>
          <w:highlight w:val="yellow"/>
          <w:rtl/>
          <w:lang w:val="en-ZW"/>
        </w:rPr>
        <w:t xml:space="preserve"> </w:t>
      </w:r>
      <w:r w:rsidRPr="00186037">
        <w:rPr>
          <w:rFonts w:ascii="Segoe UI" w:hAnsi="Segoe UI" w:cs="Segoe UI"/>
          <w:b/>
          <w:bCs/>
          <w:highlight w:val="yellow"/>
          <w:rtl/>
          <w:lang w:val="en-ZW"/>
        </w:rPr>
        <w:t xml:space="preserve">פרקליטות מחוז תל-אביב </w:t>
      </w:r>
    </w:p>
    <w:p w14:paraId="587A6D6C" w14:textId="00AA13D7" w:rsidR="00415173" w:rsidRPr="00415173" w:rsidRDefault="00415173"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proofErr w:type="spellStart"/>
      <w:r w:rsidRPr="00415173">
        <w:rPr>
          <w:rFonts w:ascii="Segoe UI" w:hAnsi="Segoe UI" w:cs="Segoe UI"/>
          <w:rtl/>
          <w:lang w:val="en-US"/>
        </w:rPr>
        <w:t>עיסקת</w:t>
      </w:r>
      <w:proofErr w:type="spellEnd"/>
      <w:r w:rsidRPr="00415173">
        <w:rPr>
          <w:rFonts w:ascii="Segoe UI" w:hAnsi="Segoe UI" w:cs="Segoe UI"/>
          <w:rtl/>
          <w:lang w:val="en-US"/>
        </w:rPr>
        <w:t xml:space="preserve"> טיעון, שנעשתה בין פרקליטה משורותיה של המשיבה </w:t>
      </w:r>
      <w:r w:rsidRPr="00415173">
        <w:rPr>
          <w:rFonts w:ascii="Segoe UI" w:hAnsi="Segoe UI" w:cs="Segoe UI"/>
          <w:lang w:val="en-US"/>
        </w:rPr>
        <w:t>1</w:t>
      </w:r>
      <w:r w:rsidRPr="00415173">
        <w:rPr>
          <w:rFonts w:ascii="Segoe UI" w:hAnsi="Segoe UI" w:cs="Segoe UI"/>
          <w:rtl/>
          <w:lang w:val="en-US"/>
        </w:rPr>
        <w:t xml:space="preserve">לבין העותרת, בוטלה על-ידי הפרקליטה יומיים לאחר שנעשתה. הטעם לחזרתה של התביעה מחלקה </w:t>
      </w:r>
      <w:proofErr w:type="spellStart"/>
      <w:r w:rsidRPr="00415173">
        <w:rPr>
          <w:rFonts w:ascii="Segoe UI" w:hAnsi="Segoe UI" w:cs="Segoe UI"/>
          <w:rtl/>
          <w:lang w:val="en-US"/>
        </w:rPr>
        <w:t>בעיסקת</w:t>
      </w:r>
      <w:proofErr w:type="spellEnd"/>
      <w:r w:rsidRPr="00415173">
        <w:rPr>
          <w:rFonts w:ascii="Segoe UI" w:hAnsi="Segoe UI" w:cs="Segoe UI"/>
          <w:rtl/>
          <w:lang w:val="en-US"/>
        </w:rPr>
        <w:t xml:space="preserve"> הטיעון היה גילוי עובדה, שלא הייתה ידועה לפרקליטה בעת שהסכימה על </w:t>
      </w:r>
      <w:proofErr w:type="spellStart"/>
      <w:r w:rsidRPr="00415173">
        <w:rPr>
          <w:rFonts w:ascii="Segoe UI" w:hAnsi="Segoe UI" w:cs="Segoe UI"/>
          <w:rtl/>
          <w:lang w:val="en-US"/>
        </w:rPr>
        <w:t>עיסקת</w:t>
      </w:r>
      <w:proofErr w:type="spellEnd"/>
      <w:r w:rsidRPr="00415173">
        <w:rPr>
          <w:rFonts w:ascii="Segoe UI" w:hAnsi="Segoe UI" w:cs="Segoe UI"/>
          <w:rtl/>
          <w:lang w:val="en-US"/>
        </w:rPr>
        <w:t xml:space="preserve"> הטיעון. העותרת ונאשמת אחרת הואשמו בעבירות סמים ובהחזקת נשק שלא כדין. </w:t>
      </w:r>
      <w:proofErr w:type="spellStart"/>
      <w:r w:rsidRPr="00415173">
        <w:rPr>
          <w:rFonts w:ascii="Segoe UI" w:hAnsi="Segoe UI" w:cs="Segoe UI"/>
          <w:rtl/>
          <w:lang w:val="en-US"/>
        </w:rPr>
        <w:t>עיסקת</w:t>
      </w:r>
      <w:proofErr w:type="spellEnd"/>
      <w:r w:rsidRPr="00415173">
        <w:rPr>
          <w:rFonts w:ascii="Segoe UI" w:hAnsi="Segoe UI" w:cs="Segoe UI"/>
          <w:rtl/>
          <w:lang w:val="en-US"/>
        </w:rPr>
        <w:t xml:space="preserve"> הטיעון נסבה על הסכמתה של העותרת להודות בפרט האישום שעניינו סמים ועל הסכמתה של התביעה</w:t>
      </w:r>
      <w:r w:rsidRPr="00415173">
        <w:rPr>
          <w:rFonts w:ascii="Segoe UI" w:hAnsi="Segoe UI" w:cs="Segoe UI" w:hint="cs"/>
          <w:lang w:val="en-US"/>
        </w:rPr>
        <w:t xml:space="preserve"> </w:t>
      </w:r>
      <w:r w:rsidRPr="00415173">
        <w:rPr>
          <w:rFonts w:ascii="Segoe UI" w:hAnsi="Segoe UI" w:cs="Segoe UI"/>
          <w:rtl/>
          <w:lang w:val="en-US"/>
        </w:rPr>
        <w:t xml:space="preserve">למחוק - בתמורה להודאה - את פרט האישום השני נגד העותרת. לאחר שנתגלה לפרקליטה, כי חברה של העותרת כלוא בבית המעצר שבו נמצא כלי הנשק, סברה הפרקליטה, כי אין להפלות בין העותרת לבין </w:t>
      </w:r>
      <w:proofErr w:type="spellStart"/>
      <w:r w:rsidRPr="00415173">
        <w:rPr>
          <w:rFonts w:ascii="Segoe UI" w:hAnsi="Segoe UI" w:cs="Segoe UI"/>
          <w:rtl/>
          <w:lang w:val="en-US"/>
        </w:rPr>
        <w:t>הנאשת</w:t>
      </w:r>
      <w:proofErr w:type="spellEnd"/>
      <w:r w:rsidRPr="00415173">
        <w:rPr>
          <w:rFonts w:ascii="Segoe UI" w:hAnsi="Segoe UI" w:cs="Segoe UI"/>
          <w:rtl/>
          <w:lang w:val="en-US"/>
        </w:rPr>
        <w:t xml:space="preserve"> האחרת, שבעלה כלוא בסמוך לאותו בית-מעצר, וכי יש להאשים את שתי הנאשמות בפרט האישום השני. מכאן העתירה.</w:t>
      </w:r>
    </w:p>
    <w:p w14:paraId="29920732" w14:textId="17C7D43B" w:rsidR="00052226" w:rsidRDefault="00052226"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Pr>
          <w:rFonts w:ascii="Segoe UI" w:hAnsi="Segoe UI" w:cs="Segoe UI" w:hint="cs"/>
          <w:rtl/>
          <w:lang w:val="en-ZW"/>
        </w:rPr>
        <w:t xml:space="preserve">תקווה עתרה לבג"ץ </w:t>
      </w:r>
      <w:r w:rsidR="00E17313">
        <w:rPr>
          <w:rFonts w:ascii="Segoe UI" w:hAnsi="Segoe UI" w:cs="Segoe UI" w:hint="cs"/>
          <w:rtl/>
          <w:lang w:val="en-ZW"/>
        </w:rPr>
        <w:t>לא לאפשר את החזרה מההסכם. כאן נשאלת השאלה האם התביעה רשאית לחזור בה מהסדר טיעון שחתמה עם הנאשם?</w:t>
      </w:r>
      <w:r w:rsidR="00E17313">
        <w:rPr>
          <w:rFonts w:ascii="Segoe UI" w:hAnsi="Segoe UI" w:cs="Segoe UI" w:hint="cs"/>
          <w:lang w:val="en-ZW"/>
        </w:rPr>
        <w:t xml:space="preserve"> </w:t>
      </w:r>
    </w:p>
    <w:p w14:paraId="5BC80C7B" w14:textId="21839F4A" w:rsidR="00E17313" w:rsidRDefault="00E17313"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sidRPr="00E17313">
        <w:rPr>
          <w:rFonts w:ascii="Segoe UI" w:hAnsi="Segoe UI" w:cs="Segoe UI" w:hint="cs"/>
          <w:b/>
          <w:bCs/>
          <w:rtl/>
          <w:lang w:val="en-ZW"/>
        </w:rPr>
        <w:t>הש' ברק</w:t>
      </w:r>
      <w:r>
        <w:rPr>
          <w:rFonts w:ascii="Segoe UI" w:hAnsi="Segoe UI" w:cs="Segoe UI" w:hint="cs"/>
          <w:rtl/>
          <w:lang w:val="en-ZW"/>
        </w:rPr>
        <w:t xml:space="preserve"> מפרט וקובע כי הסדר טיעון הוא אחד מאלה: </w:t>
      </w:r>
    </w:p>
    <w:p w14:paraId="51828CD5" w14:textId="4F976B9F" w:rsidR="00E17313" w:rsidRDefault="00E17313"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sidRPr="00E17313">
        <w:rPr>
          <w:rFonts w:ascii="Segoe UI" w:hAnsi="Segoe UI" w:cs="Segoe UI" w:hint="cs"/>
          <w:b/>
          <w:bCs/>
          <w:u w:val="single"/>
          <w:rtl/>
          <w:lang w:val="en-ZW"/>
        </w:rPr>
        <w:t>מודל חוזי</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חוזה בין המדינה לנאשם שנשלט על ידי דיני החוזים והמשפט המנהלי. </w:t>
      </w:r>
    </w:p>
    <w:p w14:paraId="7F08930B" w14:textId="77D28087" w:rsidR="00E17313" w:rsidRDefault="00E17313"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sidRPr="00B55A36">
        <w:rPr>
          <w:rFonts w:ascii="Segoe UI" w:hAnsi="Segoe UI" w:cs="Segoe UI" w:hint="cs"/>
          <w:b/>
          <w:bCs/>
          <w:u w:val="single"/>
          <w:rtl/>
          <w:lang w:val="en-ZW"/>
        </w:rPr>
        <w:t>מודל שלטוני</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הסדר טיעון הינו פעולה חד צדדית של התובע שמשתכללת עם הסכמת הנאשם.</w:t>
      </w:r>
    </w:p>
    <w:p w14:paraId="6199BA7F" w14:textId="024E9707" w:rsidR="00E17313" w:rsidRDefault="00E17313"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sidRPr="00B55A36">
        <w:rPr>
          <w:rFonts w:ascii="Segoe UI" w:hAnsi="Segoe UI" w:cs="Segoe UI" w:hint="cs"/>
          <w:b/>
          <w:bCs/>
          <w:u w:val="single"/>
          <w:rtl/>
          <w:lang w:val="en-ZW"/>
        </w:rPr>
        <w:t>מודל החוזה המנהלי</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חוזה לביצוע סמכות שלטונית. </w:t>
      </w:r>
    </w:p>
    <w:p w14:paraId="4CF07A52" w14:textId="5EFA3485" w:rsidR="00E17313" w:rsidRDefault="00B55A36"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ZW"/>
        </w:rPr>
      </w:pPr>
      <w:r>
        <w:rPr>
          <w:rFonts w:ascii="Segoe UI" w:hAnsi="Segoe UI" w:cs="Segoe UI" w:hint="cs"/>
          <w:rtl/>
          <w:lang w:val="en-ZW"/>
        </w:rPr>
        <w:t xml:space="preserve">הש' ברק לא הכריע. בכל מצב, </w:t>
      </w:r>
      <w:r>
        <w:rPr>
          <w:rFonts w:ascii="Segoe UI" w:hAnsi="Segoe UI" w:cs="Segoe UI" w:hint="cs"/>
          <w:b/>
          <w:bCs/>
          <w:rtl/>
          <w:lang w:val="en-ZW"/>
        </w:rPr>
        <w:t xml:space="preserve">המדינה רשאית להשתחרר מהסדר טיעון לאור אינטרס ציבורי. </w:t>
      </w:r>
      <w:r>
        <w:rPr>
          <w:rFonts w:ascii="Segoe UI" w:hAnsi="Segoe UI" w:cs="Segoe UI" w:hint="cs"/>
          <w:rtl/>
          <w:lang w:val="en-ZW"/>
        </w:rPr>
        <w:t xml:space="preserve">ככל שפעלה בתחום הסבירות </w:t>
      </w:r>
      <w:r>
        <w:rPr>
          <w:rFonts w:ascii="Segoe UI" w:hAnsi="Segoe UI" w:cs="Segoe UI"/>
          <w:rtl/>
          <w:lang w:val="en-ZW"/>
        </w:rPr>
        <w:t>–</w:t>
      </w:r>
      <w:r>
        <w:rPr>
          <w:rFonts w:ascii="Segoe UI" w:hAnsi="Segoe UI" w:cs="Segoe UI" w:hint="cs"/>
          <w:rtl/>
          <w:lang w:val="en-ZW"/>
        </w:rPr>
        <w:t xml:space="preserve"> ביהמ"ש לא יתערב בהחלטות התביעה. </w:t>
      </w:r>
    </w:p>
    <w:p w14:paraId="5FEF1E0A" w14:textId="4AAF6D44" w:rsidR="00052226" w:rsidRDefault="00052226" w:rsidP="00D95A69">
      <w:pPr>
        <w:bidi/>
        <w:spacing w:after="0" w:line="276" w:lineRule="auto"/>
        <w:jc w:val="both"/>
        <w:rPr>
          <w:rFonts w:ascii="Segoe UI" w:hAnsi="Segoe UI" w:cs="Segoe UI"/>
          <w:rtl/>
          <w:lang w:val="en-ZW"/>
        </w:rPr>
      </w:pPr>
    </w:p>
    <w:p w14:paraId="46FF9947" w14:textId="374CEBE8" w:rsidR="00230112" w:rsidRDefault="00230112" w:rsidP="00D95A69">
      <w:pPr>
        <w:pStyle w:val="2"/>
        <w:rPr>
          <w:rtl/>
        </w:rPr>
      </w:pPr>
      <w:bookmarkStart w:id="100" w:name="_Toc108218256"/>
      <w:r>
        <w:rPr>
          <w:rFonts w:hint="cs"/>
          <w:rtl/>
        </w:rPr>
        <w:t xml:space="preserve">חזרה מהסדר טיעון מצד הצדדים </w:t>
      </w:r>
      <w:r>
        <w:rPr>
          <w:rtl/>
        </w:rPr>
        <w:t>–</w:t>
      </w:r>
      <w:r>
        <w:rPr>
          <w:rFonts w:hint="cs"/>
          <w:rtl/>
        </w:rPr>
        <w:t xml:space="preserve"> קריטריונים מרכזיים</w:t>
      </w:r>
      <w:bookmarkEnd w:id="100"/>
    </w:p>
    <w:p w14:paraId="051809F2" w14:textId="3AC44AFE" w:rsidR="00230112" w:rsidRDefault="00230112" w:rsidP="00D95A69">
      <w:pPr>
        <w:bidi/>
        <w:spacing w:after="0" w:line="276" w:lineRule="auto"/>
        <w:jc w:val="both"/>
        <w:rPr>
          <w:rFonts w:ascii="Segoe UI" w:hAnsi="Segoe UI" w:cs="Segoe UI"/>
          <w:rtl/>
          <w:lang w:val="en-ZW"/>
        </w:rPr>
      </w:pPr>
      <w:r w:rsidRPr="00230112">
        <w:rPr>
          <w:rFonts w:ascii="Segoe UI" w:hAnsi="Segoe UI" w:cs="Segoe UI" w:hint="cs"/>
          <w:highlight w:val="yellow"/>
          <w:rtl/>
          <w:lang w:val="en-ZW"/>
        </w:rPr>
        <w:t>ההלכה נקבע</w:t>
      </w:r>
      <w:r w:rsidR="00114E11">
        <w:rPr>
          <w:rFonts w:ascii="Segoe UI" w:hAnsi="Segoe UI" w:cs="Segoe UI" w:hint="cs"/>
          <w:highlight w:val="yellow"/>
          <w:rtl/>
          <w:lang w:val="en-ZW"/>
        </w:rPr>
        <w:t>ה</w:t>
      </w:r>
      <w:r w:rsidRPr="00230112">
        <w:rPr>
          <w:rFonts w:ascii="Segoe UI" w:hAnsi="Segoe UI" w:cs="Segoe UI" w:hint="cs"/>
          <w:highlight w:val="yellow"/>
          <w:rtl/>
          <w:lang w:val="en-ZW"/>
        </w:rPr>
        <w:t xml:space="preserve"> בפס"ד ארביב</w:t>
      </w:r>
    </w:p>
    <w:p w14:paraId="56E595E9" w14:textId="77777777" w:rsidR="00230112" w:rsidRPr="00230112" w:rsidRDefault="00230112" w:rsidP="00D95A69">
      <w:pPr>
        <w:numPr>
          <w:ilvl w:val="0"/>
          <w:numId w:val="98"/>
        </w:numPr>
        <w:tabs>
          <w:tab w:val="num" w:pos="720"/>
        </w:tabs>
        <w:bidi/>
        <w:spacing w:after="0" w:line="276" w:lineRule="auto"/>
        <w:jc w:val="both"/>
        <w:rPr>
          <w:rFonts w:ascii="Segoe UI" w:hAnsi="Segoe UI" w:cs="Segoe UI"/>
          <w:lang w:val="en-US"/>
        </w:rPr>
      </w:pPr>
      <w:r w:rsidRPr="00230112">
        <w:rPr>
          <w:rFonts w:ascii="Segoe UI" w:hAnsi="Segoe UI" w:cs="Segoe UI"/>
          <w:rtl/>
          <w:lang w:val="en-ZW"/>
        </w:rPr>
        <w:t>מקרה בו הנאשם כיבד את ההסכם, מילא את תנאיו ואילו לא חל שינוי בנסיבות העובדתיות – ככלל לא ניתן לסגת מההסדר ("</w:t>
      </w:r>
      <w:r w:rsidRPr="00230112">
        <w:rPr>
          <w:rFonts w:ascii="Segoe UI" w:hAnsi="Segoe UI" w:cs="Segoe UI"/>
          <w:b/>
          <w:bCs/>
          <w:rtl/>
          <w:lang w:val="en-ZW"/>
        </w:rPr>
        <w:t>אמון הציבור במערכת</w:t>
      </w:r>
      <w:r w:rsidRPr="00230112">
        <w:rPr>
          <w:rFonts w:ascii="Segoe UI" w:hAnsi="Segoe UI" w:cs="Segoe UI"/>
          <w:rtl/>
          <w:lang w:val="en-ZW"/>
        </w:rPr>
        <w:t>").</w:t>
      </w:r>
    </w:p>
    <w:p w14:paraId="40B4E81B" w14:textId="4ACA19B4" w:rsidR="00230112" w:rsidRPr="00230112" w:rsidRDefault="00230112" w:rsidP="00D95A69">
      <w:pPr>
        <w:numPr>
          <w:ilvl w:val="0"/>
          <w:numId w:val="98"/>
        </w:numPr>
        <w:tabs>
          <w:tab w:val="num" w:pos="720"/>
        </w:tabs>
        <w:bidi/>
        <w:spacing w:after="0" w:line="276" w:lineRule="auto"/>
        <w:jc w:val="both"/>
        <w:rPr>
          <w:rFonts w:ascii="Segoe UI" w:hAnsi="Segoe UI" w:cs="Segoe UI"/>
          <w:rtl/>
          <w:lang w:val="en-ZW"/>
        </w:rPr>
      </w:pPr>
      <w:r w:rsidRPr="00230112">
        <w:rPr>
          <w:rFonts w:ascii="Segoe UI" w:hAnsi="Segoe UI" w:cs="Segoe UI"/>
          <w:rtl/>
          <w:lang w:val="en-ZW"/>
        </w:rPr>
        <w:t>מקרה בו הנאשם טרם מילא חלקו (למשל, עדין לא הודה) ומצד שני – התגלו ראיות חמורות חדשות (או אפילו מידע מודיעני)  - ניתן לסגת מההסדר</w:t>
      </w:r>
      <w:r w:rsidR="007E3F95">
        <w:rPr>
          <w:rFonts w:ascii="Segoe UI" w:hAnsi="Segoe UI" w:cs="Segoe UI" w:hint="cs"/>
          <w:rtl/>
          <w:lang w:val="en-ZW"/>
        </w:rPr>
        <w:t xml:space="preserve">. </w:t>
      </w:r>
    </w:p>
    <w:p w14:paraId="77393330" w14:textId="77777777" w:rsidR="00230112" w:rsidRPr="00230112" w:rsidRDefault="00230112" w:rsidP="00D95A69">
      <w:pPr>
        <w:numPr>
          <w:ilvl w:val="0"/>
          <w:numId w:val="98"/>
        </w:numPr>
        <w:tabs>
          <w:tab w:val="num" w:pos="720"/>
        </w:tabs>
        <w:bidi/>
        <w:spacing w:after="0" w:line="276" w:lineRule="auto"/>
        <w:jc w:val="both"/>
        <w:rPr>
          <w:rFonts w:ascii="Segoe UI" w:hAnsi="Segoe UI" w:cs="Segoe UI"/>
          <w:rtl/>
          <w:lang w:val="en-ZW"/>
        </w:rPr>
      </w:pPr>
      <w:r w:rsidRPr="00230112">
        <w:rPr>
          <w:rFonts w:ascii="Segoe UI" w:hAnsi="Segoe UI" w:cs="Segoe UI"/>
          <w:rtl/>
          <w:lang w:val="en-ZW"/>
        </w:rPr>
        <w:t xml:space="preserve">חלו שינויים הן אצל הנאשם והן אצל התובע – </w:t>
      </w:r>
      <w:r w:rsidRPr="00230112">
        <w:rPr>
          <w:rFonts w:ascii="Segoe UI" w:hAnsi="Segoe UI" w:cs="Segoe UI"/>
          <w:b/>
          <w:bCs/>
          <w:rtl/>
          <w:lang w:val="en-ZW"/>
        </w:rPr>
        <w:t>איזון אינטרסים</w:t>
      </w:r>
      <w:r w:rsidRPr="00230112">
        <w:rPr>
          <w:rFonts w:ascii="Segoe UI" w:hAnsi="Segoe UI" w:cs="Segoe UI"/>
          <w:rtl/>
          <w:lang w:val="en-ZW"/>
        </w:rPr>
        <w:t>.</w:t>
      </w:r>
    </w:p>
    <w:p w14:paraId="5CE193B7" w14:textId="77777777" w:rsidR="00230112" w:rsidRDefault="00230112" w:rsidP="008422E8">
      <w:pPr>
        <w:bidi/>
        <w:spacing w:after="0" w:line="276" w:lineRule="auto"/>
        <w:jc w:val="both"/>
        <w:rPr>
          <w:rFonts w:ascii="Segoe UI" w:hAnsi="Segoe UI" w:cs="Segoe UI"/>
          <w:rtl/>
          <w:lang w:val="en-ZW"/>
        </w:rPr>
      </w:pPr>
    </w:p>
    <w:p w14:paraId="656CB4F6" w14:textId="451D6ACA" w:rsidR="00230112" w:rsidRDefault="003429F1" w:rsidP="00D95A69">
      <w:pPr>
        <w:pStyle w:val="2"/>
        <w:rPr>
          <w:rtl/>
        </w:rPr>
      </w:pPr>
      <w:bookmarkStart w:id="101" w:name="_Toc108218257"/>
      <w:r>
        <w:rPr>
          <w:rFonts w:hint="cs"/>
          <w:rtl/>
        </w:rPr>
        <w:t>סטייה מהסדר טיעון</w:t>
      </w:r>
      <w:bookmarkEnd w:id="101"/>
      <w:r>
        <w:rPr>
          <w:rFonts w:hint="cs"/>
          <w:rtl/>
        </w:rPr>
        <w:t xml:space="preserve"> </w:t>
      </w:r>
    </w:p>
    <w:p w14:paraId="3ADCA5D9" w14:textId="4472AA94" w:rsidR="003429F1" w:rsidRPr="003429F1" w:rsidRDefault="003429F1" w:rsidP="00D95A69">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lang w:val="en-US"/>
        </w:rPr>
      </w:pPr>
      <w:proofErr w:type="spellStart"/>
      <w:r w:rsidRPr="003429F1">
        <w:rPr>
          <w:rFonts w:ascii="Segoe UI" w:hAnsi="Segoe UI" w:cs="Segoe UI"/>
          <w:highlight w:val="yellow"/>
          <w:rtl/>
          <w:lang w:val="en-US"/>
        </w:rPr>
        <w:t>דנ"פ</w:t>
      </w:r>
      <w:proofErr w:type="spellEnd"/>
      <w:r w:rsidRPr="003429F1">
        <w:rPr>
          <w:rFonts w:ascii="Segoe UI" w:hAnsi="Segoe UI" w:cs="Segoe UI"/>
          <w:highlight w:val="yellow"/>
          <w:rtl/>
          <w:lang w:val="en-US"/>
        </w:rPr>
        <w:t xml:space="preserve"> 1187/03 </w:t>
      </w:r>
      <w:r w:rsidRPr="003429F1">
        <w:rPr>
          <w:rFonts w:ascii="Segoe UI" w:hAnsi="Segoe UI" w:cs="Segoe UI"/>
          <w:b/>
          <w:bCs/>
          <w:highlight w:val="yellow"/>
          <w:rtl/>
          <w:lang w:val="en-US"/>
        </w:rPr>
        <w:t>מדינת ישראל נ' פרץ</w:t>
      </w:r>
    </w:p>
    <w:p w14:paraId="7F54BE0E" w14:textId="0EBB4ADA" w:rsidR="004267D8" w:rsidRDefault="004267D8"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4267D8">
        <w:rPr>
          <w:rFonts w:ascii="Segoe UI" w:hAnsi="Segoe UI" w:cs="Segoe UI"/>
          <w:rtl/>
          <w:lang w:val="en-US"/>
        </w:rPr>
        <w:t xml:space="preserve">המשיבים הגישו ערעורים לבית-המשפט העליון על גזרי-דין של בתי-המשפט המחוזיים, אשר דחו את הסדרי הטיעון שערכו המשיבים עם התביעה והטילו עליהם עונשים חמורים מן העונשים שעליהם הוסכם בהסדרים. בתשובתה לערעורים הגנה התביעה על גזרי-הדין וטענה כי לאחר עיון נוסף הגיעה למסקנה שהעונשים שהוסכם עליהם במסגרת הסדרי הטיעון אינם הולמים את חומרת מעשיהם של המשיבים. בית-המשפט קיבל את הערעורים וקבע כי לא היה מקום לסטות מהעונשים שעליהם הוסכם במסגרת </w:t>
      </w:r>
      <w:r w:rsidRPr="004267D8">
        <w:rPr>
          <w:rFonts w:ascii="Segoe UI" w:hAnsi="Segoe UI" w:cs="Segoe UI"/>
          <w:rtl/>
          <w:lang w:val="en-US"/>
        </w:rPr>
        <w:lastRenderedPageBreak/>
        <w:t>הסדרי הטיעון. כן נקבע, בדעת רוב, כי השינוי בעמדת התביעה באשר להסדר הטיעון בערכאת הערעור אינו ראוי, וכי אין לייחס משקל לעמדת המדינה בערעור. מכאן העתירה לדיון נוסף.</w:t>
      </w:r>
    </w:p>
    <w:p w14:paraId="6A5FF030" w14:textId="42C870D1" w:rsidR="004B5337" w:rsidRPr="008C70B7" w:rsidRDefault="004B5337"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color w:val="FF0000"/>
          <w:rtl/>
          <w:lang w:val="en-US"/>
        </w:rPr>
      </w:pPr>
      <w:r w:rsidRPr="004B5337">
        <w:rPr>
          <w:rFonts w:ascii="Segoe UI" w:hAnsi="Segoe UI" w:cs="Segoe UI"/>
          <w:b/>
          <w:bCs/>
          <w:rtl/>
          <w:lang w:val="en-US"/>
        </w:rPr>
        <w:t>ככלל</w:t>
      </w:r>
      <w:r w:rsidRPr="004B5337">
        <w:rPr>
          <w:rFonts w:ascii="Segoe UI" w:hAnsi="Segoe UI" w:cs="Segoe UI"/>
          <w:rtl/>
          <w:lang w:val="en-US"/>
        </w:rPr>
        <w:t xml:space="preserve">, על התביעה להגן על עמדתה כפי שנקבעה בהסדר הטיעון גם בערכאת הערעור. </w:t>
      </w:r>
      <w:r w:rsidR="008C70B7">
        <w:rPr>
          <w:rFonts w:ascii="Segoe UI" w:hAnsi="Segoe UI" w:cs="Segoe UI" w:hint="cs"/>
          <w:rtl/>
          <w:lang w:val="en-US"/>
        </w:rPr>
        <w:t>[</w:t>
      </w:r>
      <w:r w:rsidR="008C70B7">
        <w:rPr>
          <w:rFonts w:ascii="Segoe UI" w:hAnsi="Segoe UI" w:cs="Segoe UI" w:hint="cs"/>
          <w:color w:val="FF0000"/>
          <w:rtl/>
          <w:lang w:val="en-US"/>
        </w:rPr>
        <w:t>אינטרס ציבורי לעודד הסדרי טיעון; אינטרס ההסתמכות; אמון הציבור במערכת].</w:t>
      </w:r>
    </w:p>
    <w:p w14:paraId="6AB1E07A" w14:textId="2E6BB694" w:rsidR="00D44EC1" w:rsidRDefault="00CE3230"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8C70B7">
        <w:rPr>
          <w:rFonts w:ascii="Segoe UI" w:hAnsi="Segoe UI" w:cs="Segoe UI" w:hint="cs"/>
          <w:b/>
          <w:bCs/>
          <w:color w:val="FF0000"/>
          <w:rtl/>
          <w:lang w:val="en-US"/>
        </w:rPr>
        <w:t>חריג</w:t>
      </w:r>
      <w:r w:rsidRPr="008C70B7">
        <w:rPr>
          <w:rFonts w:ascii="Segoe UI" w:hAnsi="Segoe UI" w:cs="Segoe UI" w:hint="cs"/>
          <w:color w:val="FF0000"/>
          <w:rtl/>
          <w:lang w:val="en-US"/>
        </w:rPr>
        <w:t xml:space="preserve"> </w:t>
      </w:r>
      <w:r>
        <w:rPr>
          <w:rFonts w:ascii="Segoe UI" w:hAnsi="Segoe UI" w:cs="Segoe UI" w:hint="cs"/>
          <w:rtl/>
          <w:lang w:val="en-US"/>
        </w:rPr>
        <w:t xml:space="preserve">- </w:t>
      </w:r>
      <w:r w:rsidR="004B5337" w:rsidRPr="004B5337">
        <w:rPr>
          <w:rFonts w:ascii="Segoe UI" w:hAnsi="Segoe UI" w:cs="Segoe UI"/>
          <w:rtl/>
          <w:lang w:val="en-US"/>
        </w:rPr>
        <w:t>כאשר בית</w:t>
      </w:r>
      <w:r w:rsidR="004B5337" w:rsidRPr="004B5337">
        <w:rPr>
          <w:rFonts w:ascii="Segoe UI" w:hAnsi="Segoe UI" w:cs="Segoe UI"/>
        </w:rPr>
        <w:t>-</w:t>
      </w:r>
      <w:r w:rsidR="004B5337" w:rsidRPr="004B5337">
        <w:rPr>
          <w:rFonts w:ascii="Segoe UI" w:hAnsi="Segoe UI" w:cs="Segoe UI"/>
          <w:rtl/>
          <w:lang w:val="en-US"/>
        </w:rPr>
        <w:t xml:space="preserve">המשפט שגזר את דינו של הנאשם מותח ביקורת על הסדר הטיעון וקובע עונש הסוטה ממנו לחומרה, חייבת התביעה לשוב ולבחון את עמדתה לקראת הערעור. </w:t>
      </w:r>
    </w:p>
    <w:p w14:paraId="4233488A" w14:textId="44FDA2C1" w:rsidR="004267D8" w:rsidRPr="004267D8" w:rsidRDefault="004B5337"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lang w:val="en-US"/>
        </w:rPr>
      </w:pPr>
      <w:r w:rsidRPr="004B5337">
        <w:rPr>
          <w:rFonts w:ascii="Segoe UI" w:hAnsi="Segoe UI" w:cs="Segoe UI"/>
          <w:rtl/>
          <w:lang w:val="en-US"/>
        </w:rPr>
        <w:t>בנסיבות מתאימות רשאית התביעה שלא להגן על הסדר הטיעון כפי שנערך ולהסתייג ממנו. היא תעשה כן בכפיפות להסבר שתיתן לערכאת הערעור בדבר הסיבות לעריכת ההסדר מלכתחילה וכן בדבר הטעמים להסתייגותה ממנו בשלב הערעור</w:t>
      </w:r>
      <w:r w:rsidR="00D44EC1">
        <w:rPr>
          <w:rFonts w:ascii="Segoe UI" w:hAnsi="Segoe UI" w:cs="Segoe UI" w:hint="cs"/>
          <w:rtl/>
          <w:lang w:val="en-US"/>
        </w:rPr>
        <w:t>.</w:t>
      </w:r>
    </w:p>
    <w:p w14:paraId="14969802" w14:textId="5FE34EAB" w:rsidR="003429F1" w:rsidRDefault="00CE3230" w:rsidP="00D95A69">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Pr>
          <w:rFonts w:ascii="Segoe UI" w:hAnsi="Segoe UI" w:cs="Segoe UI" w:hint="cs"/>
          <w:rtl/>
          <w:lang w:val="en-US"/>
        </w:rPr>
        <w:t>ה</w:t>
      </w:r>
      <w:r w:rsidRPr="00CE3230">
        <w:rPr>
          <w:rFonts w:ascii="Segoe UI" w:hAnsi="Segoe UI" w:cs="Segoe UI"/>
          <w:rtl/>
          <w:lang w:val="en-US"/>
        </w:rPr>
        <w:t>שופט א' גרוניס</w:t>
      </w:r>
      <w:r>
        <w:rPr>
          <w:rFonts w:ascii="Segoe UI" w:hAnsi="Segoe UI" w:cs="Segoe UI" w:hint="cs"/>
          <w:rtl/>
          <w:lang w:val="en-US"/>
        </w:rPr>
        <w:t xml:space="preserve"> [</w:t>
      </w:r>
      <w:r w:rsidRPr="008C70B7">
        <w:rPr>
          <w:rFonts w:ascii="Segoe UI" w:hAnsi="Segoe UI" w:cs="Segoe UI" w:hint="cs"/>
          <w:b/>
          <w:bCs/>
          <w:color w:val="FF0000"/>
          <w:rtl/>
          <w:lang w:val="en-US"/>
        </w:rPr>
        <w:t>חזרה מהודאה אם התביעה לא תומכת</w:t>
      </w:r>
      <w:r w:rsidR="00AB27D7" w:rsidRPr="008C70B7">
        <w:rPr>
          <w:rFonts w:ascii="Segoe UI" w:hAnsi="Segoe UI" w:cs="Segoe UI" w:hint="cs"/>
          <w:b/>
          <w:bCs/>
          <w:color w:val="FF0000"/>
          <w:rtl/>
          <w:lang w:val="en-US"/>
        </w:rPr>
        <w:t xml:space="preserve"> בהסדר טיעון</w:t>
      </w:r>
      <w:r w:rsidR="00AB27D7">
        <w:rPr>
          <w:rFonts w:ascii="Segoe UI" w:hAnsi="Segoe UI" w:cs="Segoe UI" w:hint="cs"/>
          <w:rtl/>
          <w:lang w:val="en-US"/>
        </w:rPr>
        <w:t xml:space="preserve">] </w:t>
      </w:r>
      <w:r>
        <w:rPr>
          <w:rFonts w:ascii="Segoe UI" w:hAnsi="Segoe UI" w:cs="Segoe UI" w:hint="cs"/>
          <w:rtl/>
        </w:rPr>
        <w:t xml:space="preserve">: </w:t>
      </w:r>
      <w:r w:rsidRPr="00CE3230">
        <w:rPr>
          <w:rFonts w:ascii="Segoe UI" w:hAnsi="Segoe UI" w:cs="Segoe UI"/>
          <w:rtl/>
          <w:lang w:val="en-US"/>
        </w:rPr>
        <w:t>באותם מקרים נדירים שבהם תהא רשאית התביעה לחזור בה מהסכמתה להסדר הטיעון</w:t>
      </w:r>
      <w:r w:rsidRPr="00CE3230">
        <w:rPr>
          <w:rFonts w:ascii="Segoe UI" w:hAnsi="Segoe UI" w:cs="Segoe UI"/>
        </w:rPr>
        <w:t xml:space="preserve">, </w:t>
      </w:r>
      <w:r w:rsidRPr="00CE3230">
        <w:rPr>
          <w:rFonts w:ascii="Segoe UI" w:hAnsi="Segoe UI" w:cs="Segoe UI"/>
          <w:rtl/>
          <w:lang w:val="en-US"/>
        </w:rPr>
        <w:t>ומשעה שהתביעה תומכת בפני ערכאת הערעור בעונש החורג מהסדר הטיעון, יש ליתן לנאשם (המערער) את האפשרות לחזור בו מהודאתו אם יראה לנכון לעשות כן</w:t>
      </w:r>
      <w:r>
        <w:rPr>
          <w:rFonts w:ascii="Segoe UI" w:hAnsi="Segoe UI" w:cs="Segoe UI" w:hint="cs"/>
          <w:rtl/>
          <w:lang w:val="en-ZW"/>
        </w:rPr>
        <w:t xml:space="preserve">. </w:t>
      </w:r>
    </w:p>
    <w:p w14:paraId="2E4DF294" w14:textId="7F5FE649" w:rsidR="002E5CF8" w:rsidRPr="00B23051" w:rsidRDefault="002E5CF8" w:rsidP="00D95A69">
      <w:pPr>
        <w:bidi/>
        <w:spacing w:after="0" w:line="276" w:lineRule="auto"/>
        <w:rPr>
          <w:rFonts w:ascii="Segoe UI" w:hAnsi="Segoe UI" w:cs="Segoe UI"/>
          <w:rtl/>
          <w:lang w:val="en-ZW"/>
        </w:rPr>
      </w:pPr>
    </w:p>
    <w:p w14:paraId="1D128C83" w14:textId="253764E8" w:rsidR="002E5CF8" w:rsidRPr="00B23051" w:rsidRDefault="00B23051" w:rsidP="00D95A69">
      <w:pPr>
        <w:pStyle w:val="2"/>
        <w:rPr>
          <w:rtl/>
        </w:rPr>
      </w:pPr>
      <w:bookmarkStart w:id="102" w:name="_Toc108218258"/>
      <w:r w:rsidRPr="00B23051">
        <w:rPr>
          <w:rtl/>
        </w:rPr>
        <w:t>התנאים להתערבות בית המשפט בהסדר טיעון</w:t>
      </w:r>
      <w:bookmarkEnd w:id="102"/>
      <w:r w:rsidRPr="00B23051">
        <w:rPr>
          <w:rtl/>
        </w:rPr>
        <w:t xml:space="preserve"> </w:t>
      </w:r>
    </w:p>
    <w:p w14:paraId="52A64103" w14:textId="77777777" w:rsidR="00B23051" w:rsidRPr="00B23051" w:rsidRDefault="00B23051" w:rsidP="00D95A69">
      <w:pPr>
        <w:bidi/>
        <w:spacing w:after="0" w:line="276" w:lineRule="auto"/>
        <w:jc w:val="both"/>
        <w:rPr>
          <w:rFonts w:ascii="Segoe UI" w:hAnsi="Segoe UI" w:cs="Segoe UI"/>
          <w:lang w:val="en-US"/>
        </w:rPr>
      </w:pPr>
      <w:r w:rsidRPr="00B23051">
        <w:rPr>
          <w:rFonts w:ascii="Segoe UI" w:hAnsi="Segoe UI" w:cs="Segoe UI"/>
          <w:rtl/>
          <w:lang w:val="en-ZW"/>
        </w:rPr>
        <w:t xml:space="preserve">לבית המשפט </w:t>
      </w:r>
      <w:proofErr w:type="spellStart"/>
      <w:r w:rsidRPr="00B23051">
        <w:rPr>
          <w:rFonts w:ascii="Segoe UI" w:hAnsi="Segoe UI" w:cs="Segoe UI"/>
          <w:rtl/>
          <w:lang w:val="en-ZW"/>
        </w:rPr>
        <w:t>שק"ד</w:t>
      </w:r>
      <w:proofErr w:type="spellEnd"/>
      <w:r w:rsidRPr="00B23051">
        <w:rPr>
          <w:rFonts w:ascii="Segoe UI" w:hAnsi="Segoe UI" w:cs="Segoe UI"/>
          <w:rtl/>
          <w:lang w:val="en-ZW"/>
        </w:rPr>
        <w:t xml:space="preserve"> בפיקוח על הסדרי טיעון</w:t>
      </w:r>
    </w:p>
    <w:p w14:paraId="4F19031B" w14:textId="77777777" w:rsidR="00B23051" w:rsidRPr="00B23051" w:rsidRDefault="00B23051" w:rsidP="00D95A69">
      <w:pPr>
        <w:bidi/>
        <w:spacing w:after="0" w:line="276" w:lineRule="auto"/>
        <w:jc w:val="both"/>
        <w:rPr>
          <w:rFonts w:ascii="Segoe UI" w:hAnsi="Segoe UI" w:cs="Segoe UI"/>
          <w:rtl/>
          <w:lang w:val="en-ZW"/>
        </w:rPr>
      </w:pPr>
      <w:r w:rsidRPr="00B23051">
        <w:rPr>
          <w:rFonts w:ascii="Segoe UI" w:hAnsi="Segoe UI" w:cs="Segoe UI"/>
          <w:rtl/>
          <w:lang w:val="en-ZW"/>
        </w:rPr>
        <w:t xml:space="preserve">שתי גישות מרכזיות </w:t>
      </w:r>
      <w:r w:rsidRPr="00B23051">
        <w:rPr>
          <w:rFonts w:ascii="Segoe UI" w:hAnsi="Segoe UI" w:cs="Segoe UI"/>
          <w:b/>
          <w:bCs/>
          <w:color w:val="FF0000"/>
          <w:rtl/>
          <w:lang w:val="en-ZW"/>
        </w:rPr>
        <w:t>עד שנות התשעים</w:t>
      </w:r>
      <w:r w:rsidRPr="00B23051">
        <w:rPr>
          <w:rFonts w:ascii="Segoe UI" w:hAnsi="Segoe UI" w:cs="Segoe UI"/>
          <w:rtl/>
          <w:lang w:val="en-ZW"/>
        </w:rPr>
        <w:t>:</w:t>
      </w:r>
    </w:p>
    <w:p w14:paraId="0D98F5AF" w14:textId="754CF541" w:rsidR="00B23051" w:rsidRPr="00B23051" w:rsidRDefault="00B23051" w:rsidP="00D95A69">
      <w:pPr>
        <w:bidi/>
        <w:spacing w:after="0" w:line="276" w:lineRule="auto"/>
        <w:jc w:val="both"/>
        <w:rPr>
          <w:rFonts w:ascii="Segoe UI" w:hAnsi="Segoe UI" w:cs="Segoe UI"/>
          <w:rtl/>
          <w:lang w:val="en-ZW"/>
        </w:rPr>
      </w:pPr>
      <w:r w:rsidRPr="00B23051">
        <w:rPr>
          <w:rFonts w:ascii="Segoe UI" w:hAnsi="Segoe UI" w:cs="Segoe UI"/>
          <w:highlight w:val="green"/>
          <w:u w:val="single"/>
          <w:rtl/>
          <w:lang w:val="en-ZW"/>
        </w:rPr>
        <w:t>גישת גולדברג</w:t>
      </w:r>
      <w:r w:rsidRPr="00B23051">
        <w:rPr>
          <w:rFonts w:ascii="Segoe UI" w:hAnsi="Segoe UI" w:cs="Segoe UI"/>
          <w:u w:val="single"/>
          <w:rtl/>
          <w:lang w:val="en-ZW"/>
        </w:rPr>
        <w:t xml:space="preserve"> </w:t>
      </w:r>
      <w:r w:rsidRPr="00B23051">
        <w:rPr>
          <w:rFonts w:ascii="Segoe UI" w:hAnsi="Segoe UI" w:cs="Segoe UI"/>
          <w:rtl/>
          <w:lang w:val="en-ZW"/>
        </w:rPr>
        <w:t>– הסדר הטיעון יידחה אם העונש שעליו הוסכם שונה באופן משמעותי מהעונש הראוי</w:t>
      </w:r>
    </w:p>
    <w:p w14:paraId="06547A7D" w14:textId="7B94D982" w:rsidR="00B23051" w:rsidRDefault="00B23051" w:rsidP="00D95A69">
      <w:pPr>
        <w:bidi/>
        <w:spacing w:after="0" w:line="276" w:lineRule="auto"/>
        <w:jc w:val="both"/>
        <w:rPr>
          <w:rFonts w:ascii="Segoe UI" w:hAnsi="Segoe UI" w:cs="Segoe UI"/>
          <w:rtl/>
          <w:lang w:val="en-ZW"/>
        </w:rPr>
      </w:pPr>
      <w:r w:rsidRPr="00B23051">
        <w:rPr>
          <w:rFonts w:ascii="Segoe UI" w:hAnsi="Segoe UI" w:cs="Segoe UI"/>
          <w:highlight w:val="green"/>
          <w:u w:val="single"/>
          <w:rtl/>
          <w:lang w:val="en-ZW"/>
        </w:rPr>
        <w:t>גישת מצא</w:t>
      </w:r>
      <w:r w:rsidRPr="00B23051">
        <w:rPr>
          <w:rFonts w:ascii="Segoe UI" w:hAnsi="Segoe UI" w:cs="Segoe UI"/>
          <w:u w:val="single"/>
          <w:rtl/>
          <w:lang w:val="en-ZW"/>
        </w:rPr>
        <w:t xml:space="preserve"> </w:t>
      </w:r>
      <w:r w:rsidRPr="00B23051">
        <w:rPr>
          <w:rFonts w:ascii="Segoe UI" w:hAnsi="Segoe UI" w:cs="Segoe UI"/>
          <w:rtl/>
          <w:lang w:val="en-ZW"/>
        </w:rPr>
        <w:t xml:space="preserve">– הפעלת ביקורת שיפוטית  בעלת אופי </w:t>
      </w:r>
      <w:proofErr w:type="spellStart"/>
      <w:r w:rsidRPr="00B23051">
        <w:rPr>
          <w:rFonts w:ascii="Segoe UI" w:hAnsi="Segoe UI" w:cs="Segoe UI"/>
          <w:rtl/>
          <w:lang w:val="en-ZW"/>
        </w:rPr>
        <w:t>מינהלי</w:t>
      </w:r>
      <w:proofErr w:type="spellEnd"/>
      <w:r w:rsidRPr="00B23051">
        <w:rPr>
          <w:rFonts w:ascii="Segoe UI" w:hAnsi="Segoe UI" w:cs="Segoe UI"/>
          <w:rtl/>
          <w:lang w:val="en-ZW"/>
        </w:rPr>
        <w:t xml:space="preserve"> – כלומר האם ההסדר היה סביר ומידתי.</w:t>
      </w:r>
    </w:p>
    <w:p w14:paraId="5E7E8E4C" w14:textId="344FFC75" w:rsidR="00B23051" w:rsidRDefault="00B23051" w:rsidP="00D95A69">
      <w:pPr>
        <w:bidi/>
        <w:spacing w:after="0" w:line="276" w:lineRule="auto"/>
        <w:jc w:val="both"/>
        <w:rPr>
          <w:rFonts w:ascii="Segoe UI" w:hAnsi="Segoe UI" w:cs="Segoe UI"/>
          <w:rtl/>
          <w:lang w:val="en-ZW"/>
        </w:rPr>
      </w:pPr>
      <w:r w:rsidRPr="00B23051">
        <w:rPr>
          <w:rFonts w:ascii="Segoe UI" w:hAnsi="Segoe UI" w:cs="Segoe UI" w:hint="cs"/>
          <w:b/>
          <w:bCs/>
          <w:color w:val="FF0000"/>
          <w:rtl/>
          <w:lang w:val="en-ZW"/>
        </w:rPr>
        <w:t>ההלכה</w:t>
      </w:r>
      <w:r>
        <w:rPr>
          <w:rFonts w:ascii="Segoe UI" w:hAnsi="Segoe UI" w:cs="Segoe UI" w:hint="cs"/>
          <w:b/>
          <w:bCs/>
          <w:color w:val="FF0000"/>
          <w:rtl/>
          <w:lang w:val="en-ZW"/>
        </w:rPr>
        <w:t xml:space="preserve"> </w:t>
      </w:r>
      <w:r w:rsidR="00D72908">
        <w:rPr>
          <w:rFonts w:ascii="Segoe UI" w:hAnsi="Segoe UI" w:cs="Segoe UI" w:hint="cs"/>
          <w:b/>
          <w:bCs/>
          <w:color w:val="FF0000"/>
          <w:rtl/>
          <w:lang w:val="en-ZW"/>
        </w:rPr>
        <w:t xml:space="preserve">כיום </w:t>
      </w:r>
      <w:r>
        <w:rPr>
          <w:rFonts w:ascii="Segoe UI" w:hAnsi="Segoe UI" w:cs="Segoe UI"/>
          <w:b/>
          <w:bCs/>
          <w:color w:val="FF0000"/>
          <w:rtl/>
          <w:lang w:val="en-ZW"/>
        </w:rPr>
        <w:t>–</w:t>
      </w:r>
      <w:r>
        <w:rPr>
          <w:rFonts w:ascii="Segoe UI" w:hAnsi="Segoe UI" w:cs="Segoe UI" w:hint="cs"/>
          <w:b/>
          <w:bCs/>
          <w:color w:val="FF0000"/>
          <w:rtl/>
          <w:lang w:val="en-ZW"/>
        </w:rPr>
        <w:t xml:space="preserve"> </w:t>
      </w:r>
      <w:r w:rsidRPr="008879C0">
        <w:rPr>
          <w:rFonts w:ascii="Segoe UI" w:hAnsi="Segoe UI" w:cs="Segoe UI" w:hint="cs"/>
          <w:highlight w:val="yellow"/>
          <w:rtl/>
          <w:lang w:val="en-ZW"/>
        </w:rPr>
        <w:t>פס"ד פלוני (1998)</w:t>
      </w:r>
    </w:p>
    <w:p w14:paraId="68A94BF3" w14:textId="2D415E82" w:rsidR="00447614" w:rsidRDefault="00B23051" w:rsidP="00D95A69">
      <w:pPr>
        <w:bidi/>
        <w:spacing w:after="0" w:line="276" w:lineRule="auto"/>
        <w:jc w:val="both"/>
        <w:rPr>
          <w:rFonts w:ascii="Segoe UI" w:hAnsi="Segoe UI" w:cs="Segoe UI"/>
          <w:rtl/>
          <w:lang w:val="en-ZW"/>
        </w:rPr>
      </w:pPr>
      <w:r w:rsidRPr="00D72908">
        <w:rPr>
          <w:rFonts w:ascii="Segoe UI" w:hAnsi="Segoe UI" w:cs="Segoe UI" w:hint="cs"/>
          <w:b/>
          <w:bCs/>
          <w:highlight w:val="cyan"/>
          <w:u w:val="single"/>
          <w:rtl/>
          <w:lang w:val="en-ZW"/>
        </w:rPr>
        <w:t>גישת האיזון</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על ביהמ"ש </w:t>
      </w:r>
      <w:r w:rsidR="00447614">
        <w:rPr>
          <w:rFonts w:ascii="Segoe UI" w:hAnsi="Segoe UI" w:cs="Segoe UI" w:hint="cs"/>
          <w:rtl/>
          <w:lang w:val="en-ZW"/>
        </w:rPr>
        <w:t>לבחון אם התקיים איזון בין טובת ההנאה שמעניק הסדר הטיעון לנאשם לבין התועלת שיש בהסדר לאינטרס הציבורי.</w:t>
      </w:r>
    </w:p>
    <w:p w14:paraId="3FD36DE1" w14:textId="2D2B239C" w:rsidR="00447614" w:rsidRDefault="00447614" w:rsidP="00D95A69">
      <w:pPr>
        <w:bidi/>
        <w:spacing w:after="0" w:line="276" w:lineRule="auto"/>
        <w:jc w:val="both"/>
        <w:rPr>
          <w:rFonts w:ascii="Segoe UI" w:hAnsi="Segoe UI" w:cs="Segoe UI"/>
          <w:rtl/>
          <w:lang w:val="en-ZW"/>
        </w:rPr>
      </w:pPr>
    </w:p>
    <w:p w14:paraId="6C98F9B1" w14:textId="5D785FD8" w:rsidR="00447614" w:rsidRDefault="00447614" w:rsidP="00D95A69">
      <w:pPr>
        <w:pStyle w:val="110"/>
        <w:spacing w:line="276" w:lineRule="auto"/>
        <w:rPr>
          <w:rtl/>
        </w:rPr>
      </w:pPr>
      <w:r>
        <w:rPr>
          <w:rFonts w:hint="cs"/>
          <w:rtl/>
        </w:rPr>
        <w:t>מה בוחנים?</w:t>
      </w:r>
    </w:p>
    <w:p w14:paraId="6E01C007" w14:textId="1EE4BECE" w:rsidR="00447614" w:rsidRDefault="00447614" w:rsidP="00D95A69">
      <w:pPr>
        <w:pStyle w:val="110"/>
        <w:spacing w:line="276" w:lineRule="auto"/>
        <w:rPr>
          <w:b w:val="0"/>
          <w:bCs w:val="0"/>
          <w:u w:val="none"/>
          <w:rtl/>
        </w:rPr>
      </w:pPr>
      <w:r>
        <w:rPr>
          <w:rFonts w:hint="cs"/>
          <w:b w:val="0"/>
          <w:bCs w:val="0"/>
          <w:u w:val="none"/>
          <w:rtl/>
        </w:rPr>
        <w:t xml:space="preserve">האינטרס הציבורי בעידוד הסדרי טיעון; העונש הראוי; ציפיותיו של הנאשם; הקשיים הצפויים בניהול המשפט; החסכון בזמן שיפוטי וכו'. </w:t>
      </w:r>
    </w:p>
    <w:p w14:paraId="487899E3" w14:textId="77777777" w:rsidR="00447614" w:rsidRPr="00447614" w:rsidRDefault="00447614" w:rsidP="00D95A69">
      <w:pPr>
        <w:pStyle w:val="110"/>
        <w:spacing w:line="276" w:lineRule="auto"/>
        <w:rPr>
          <w:b w:val="0"/>
          <w:bCs w:val="0"/>
          <w:u w:val="none"/>
          <w:rtl/>
        </w:rPr>
      </w:pPr>
    </w:p>
    <w:p w14:paraId="5926F06F" w14:textId="2003B803" w:rsidR="00B23051" w:rsidRDefault="00AB29C1" w:rsidP="00D95A69">
      <w:pPr>
        <w:pStyle w:val="110"/>
        <w:spacing w:line="276" w:lineRule="auto"/>
        <w:rPr>
          <w:rtl/>
        </w:rPr>
      </w:pPr>
      <w:r>
        <w:rPr>
          <w:rFonts w:hint="cs"/>
          <w:rtl/>
        </w:rPr>
        <w:t xml:space="preserve">ביקורת של פרופ' </w:t>
      </w:r>
      <w:proofErr w:type="spellStart"/>
      <w:r>
        <w:rPr>
          <w:rFonts w:hint="cs"/>
          <w:rtl/>
        </w:rPr>
        <w:t>קרמניצר</w:t>
      </w:r>
      <w:proofErr w:type="spellEnd"/>
    </w:p>
    <w:p w14:paraId="49B70E60" w14:textId="369C5960" w:rsidR="00AB29C1" w:rsidRDefault="00AB29C1" w:rsidP="00D95A69">
      <w:pPr>
        <w:pStyle w:val="110"/>
        <w:spacing w:line="276" w:lineRule="auto"/>
        <w:rPr>
          <w:b w:val="0"/>
          <w:bCs w:val="0"/>
          <w:u w:val="none"/>
          <w:rtl/>
        </w:rPr>
      </w:pPr>
      <w:r>
        <w:rPr>
          <w:rFonts w:hint="cs"/>
          <w:b w:val="0"/>
          <w:bCs w:val="0"/>
          <w:u w:val="none"/>
          <w:rtl/>
        </w:rPr>
        <w:t>למרות שהגישה השלישית התקבלה, בפועל, הביקורת היא יותר מנהלית (בגדר הגישה השנייה).</w:t>
      </w:r>
    </w:p>
    <w:p w14:paraId="271D802F" w14:textId="063713E5" w:rsidR="00AB29C1" w:rsidRDefault="00AB29C1" w:rsidP="00D95A69">
      <w:pPr>
        <w:pStyle w:val="110"/>
        <w:spacing w:line="276" w:lineRule="auto"/>
        <w:rPr>
          <w:b w:val="0"/>
          <w:bCs w:val="0"/>
          <w:u w:val="none"/>
          <w:rtl/>
        </w:rPr>
      </w:pPr>
      <w:r>
        <w:rPr>
          <w:rFonts w:hint="cs"/>
          <w:b w:val="0"/>
          <w:bCs w:val="0"/>
          <w:u w:val="none"/>
          <w:rtl/>
        </w:rPr>
        <w:t>משמעות הדברים היא צמצום ניכר של התערבות שיפוטית בהסדרי טיעון [כי לרוב ההחלטות סבירות, אין חוסר תום לב קיצוני וכו'].</w:t>
      </w:r>
    </w:p>
    <w:p w14:paraId="0A02E467" w14:textId="29D885CD" w:rsidR="00AB29C1" w:rsidRDefault="00AB29C1" w:rsidP="00D95A69">
      <w:pPr>
        <w:pStyle w:val="110"/>
        <w:spacing w:line="276" w:lineRule="auto"/>
        <w:rPr>
          <w:b w:val="0"/>
          <w:bCs w:val="0"/>
          <w:u w:val="none"/>
          <w:rtl/>
        </w:rPr>
      </w:pPr>
    </w:p>
    <w:p w14:paraId="7291DF6A" w14:textId="6134CC75" w:rsidR="00C9767F" w:rsidRDefault="00C9767F" w:rsidP="00AB29C1">
      <w:pPr>
        <w:pStyle w:val="110"/>
        <w:rPr>
          <w:b w:val="0"/>
          <w:bCs w:val="0"/>
          <w:u w:val="none"/>
          <w:rtl/>
        </w:rPr>
      </w:pPr>
    </w:p>
    <w:p w14:paraId="41949486" w14:textId="7C12A15B" w:rsidR="00C9767F" w:rsidRDefault="00C9767F" w:rsidP="00AB29C1">
      <w:pPr>
        <w:pStyle w:val="110"/>
        <w:rPr>
          <w:b w:val="0"/>
          <w:bCs w:val="0"/>
          <w:u w:val="none"/>
          <w:rtl/>
        </w:rPr>
      </w:pPr>
    </w:p>
    <w:p w14:paraId="71C5279A" w14:textId="338D2F6A" w:rsidR="00C9767F" w:rsidRDefault="00C9767F" w:rsidP="00AB29C1">
      <w:pPr>
        <w:pStyle w:val="110"/>
        <w:rPr>
          <w:b w:val="0"/>
          <w:bCs w:val="0"/>
          <w:u w:val="none"/>
          <w:rtl/>
        </w:rPr>
      </w:pPr>
    </w:p>
    <w:p w14:paraId="4A60C1B6" w14:textId="7CF4328A" w:rsidR="00C9767F" w:rsidRDefault="00C9767F" w:rsidP="00AB29C1">
      <w:pPr>
        <w:pStyle w:val="110"/>
        <w:rPr>
          <w:b w:val="0"/>
          <w:bCs w:val="0"/>
          <w:u w:val="none"/>
          <w:rtl/>
        </w:rPr>
      </w:pPr>
    </w:p>
    <w:p w14:paraId="3F43C6A7" w14:textId="2628CB83" w:rsidR="00C9767F" w:rsidRDefault="00C9767F" w:rsidP="00AB29C1">
      <w:pPr>
        <w:pStyle w:val="110"/>
        <w:rPr>
          <w:b w:val="0"/>
          <w:bCs w:val="0"/>
          <w:u w:val="none"/>
          <w:rtl/>
        </w:rPr>
      </w:pPr>
    </w:p>
    <w:p w14:paraId="06142813" w14:textId="4E521F51" w:rsidR="00C9767F" w:rsidRDefault="00C9767F" w:rsidP="00AB29C1">
      <w:pPr>
        <w:pStyle w:val="110"/>
        <w:rPr>
          <w:b w:val="0"/>
          <w:bCs w:val="0"/>
          <w:u w:val="none"/>
          <w:rtl/>
        </w:rPr>
      </w:pPr>
    </w:p>
    <w:p w14:paraId="3F884C07" w14:textId="6AD98E12" w:rsidR="00C9767F" w:rsidRDefault="00C9767F" w:rsidP="00AB29C1">
      <w:pPr>
        <w:pStyle w:val="110"/>
        <w:rPr>
          <w:b w:val="0"/>
          <w:bCs w:val="0"/>
          <w:u w:val="none"/>
          <w:rtl/>
        </w:rPr>
      </w:pPr>
    </w:p>
    <w:p w14:paraId="372C2719" w14:textId="33E4CCEA" w:rsidR="00C9767F" w:rsidRDefault="00C9767F" w:rsidP="00AB29C1">
      <w:pPr>
        <w:pStyle w:val="110"/>
        <w:rPr>
          <w:b w:val="0"/>
          <w:bCs w:val="0"/>
          <w:u w:val="none"/>
          <w:rtl/>
        </w:rPr>
      </w:pPr>
    </w:p>
    <w:p w14:paraId="6B95F6E3" w14:textId="732D400C" w:rsidR="00C9767F" w:rsidRDefault="00C9767F" w:rsidP="00AB29C1">
      <w:pPr>
        <w:pStyle w:val="110"/>
        <w:rPr>
          <w:b w:val="0"/>
          <w:bCs w:val="0"/>
          <w:u w:val="none"/>
          <w:rtl/>
        </w:rPr>
      </w:pPr>
    </w:p>
    <w:p w14:paraId="29FF079E" w14:textId="37D40A98" w:rsidR="00C9767F" w:rsidRDefault="00C9767F" w:rsidP="00AB29C1">
      <w:pPr>
        <w:pStyle w:val="110"/>
        <w:rPr>
          <w:b w:val="0"/>
          <w:bCs w:val="0"/>
          <w:u w:val="none"/>
          <w:rtl/>
        </w:rPr>
      </w:pPr>
    </w:p>
    <w:p w14:paraId="53CCFB05" w14:textId="79C6D072" w:rsidR="00C9767F" w:rsidRDefault="00C9767F" w:rsidP="00AB29C1">
      <w:pPr>
        <w:pStyle w:val="110"/>
        <w:rPr>
          <w:b w:val="0"/>
          <w:bCs w:val="0"/>
          <w:u w:val="none"/>
          <w:rtl/>
        </w:rPr>
      </w:pPr>
    </w:p>
    <w:p w14:paraId="7BFE6E00" w14:textId="5B310302" w:rsidR="00C9767F" w:rsidRDefault="00B479C0" w:rsidP="00B479C0">
      <w:pPr>
        <w:pStyle w:val="1"/>
        <w:rPr>
          <w:rtl/>
        </w:rPr>
      </w:pPr>
      <w:bookmarkStart w:id="103" w:name="_Toc108218259"/>
      <w:r>
        <w:rPr>
          <w:rFonts w:hint="cs"/>
          <w:rtl/>
        </w:rPr>
        <w:lastRenderedPageBreak/>
        <w:t>הסדרים מותנים</w:t>
      </w:r>
      <w:bookmarkEnd w:id="103"/>
    </w:p>
    <w:p w14:paraId="024D3B9F" w14:textId="6BC69019" w:rsidR="00B479C0" w:rsidRPr="00766AAA" w:rsidRDefault="00B53C4D" w:rsidP="00D95A69">
      <w:pPr>
        <w:bidi/>
        <w:spacing w:after="0" w:line="276" w:lineRule="auto"/>
        <w:jc w:val="both"/>
        <w:rPr>
          <w:rFonts w:ascii="Segoe UI" w:hAnsi="Segoe UI" w:cs="Segoe UI"/>
          <w:rtl/>
          <w:lang w:val="en-US"/>
        </w:rPr>
      </w:pPr>
      <w:r w:rsidRPr="00766AAA">
        <w:rPr>
          <w:rFonts w:ascii="Segoe UI" w:hAnsi="Segoe UI" w:cs="Segoe UI"/>
          <w:rtl/>
          <w:lang w:val="en-US"/>
        </w:rPr>
        <w:t xml:space="preserve">חוק סדר הדין הפלילי מאפשר לרשויות התביעה החל ממאי 2013 להימנע מהגשת כתב אישום נגד חשוד ולסגור את התיק בעניינו, </w:t>
      </w:r>
      <w:r w:rsidRPr="00766AAA">
        <w:rPr>
          <w:rFonts w:ascii="Segoe UI" w:hAnsi="Segoe UI" w:cs="Segoe UI"/>
          <w:u w:val="single"/>
          <w:rtl/>
          <w:lang w:val="en-US"/>
        </w:rPr>
        <w:t>אם הוא יודה בביצוע העבירות</w:t>
      </w:r>
      <w:r w:rsidRPr="00766AAA">
        <w:rPr>
          <w:rFonts w:ascii="Segoe UI" w:hAnsi="Segoe UI" w:cs="Segoe UI"/>
          <w:rtl/>
          <w:lang w:val="en-US"/>
        </w:rPr>
        <w:t xml:space="preserve"> המיוחסות לו ויקיים תנאים שנקבעו בהסדר.</w:t>
      </w:r>
    </w:p>
    <w:p w14:paraId="36846FC7" w14:textId="79FCA56F" w:rsidR="00B53C4D" w:rsidRDefault="00B53C4D" w:rsidP="00D95A69">
      <w:pPr>
        <w:bidi/>
        <w:spacing w:after="0" w:line="276" w:lineRule="auto"/>
        <w:jc w:val="both"/>
        <w:rPr>
          <w:rFonts w:ascii="Segoe UI" w:hAnsi="Segoe UI" w:cs="Segoe UI"/>
          <w:rtl/>
          <w:lang w:val="en-US"/>
        </w:rPr>
      </w:pPr>
      <w:r w:rsidRPr="00766AAA">
        <w:rPr>
          <w:rFonts w:ascii="Segoe UI" w:hAnsi="Segoe UI" w:cs="Segoe UI"/>
          <w:rtl/>
          <w:lang w:val="en-US"/>
        </w:rPr>
        <w:t>במקרה כזה, יירשם כי התיק נסגר בעילה של "סגירת תיק בהסדר", כאשר הפרת תנאי ההסדר תביא להעמדתו לדין של החשוד בעתיד.</w:t>
      </w:r>
    </w:p>
    <w:p w14:paraId="6C637C72" w14:textId="77777777" w:rsidR="00766AAA" w:rsidRPr="00766AAA" w:rsidRDefault="00766AAA" w:rsidP="00D95A69">
      <w:pPr>
        <w:bidi/>
        <w:spacing w:after="0" w:line="276" w:lineRule="auto"/>
        <w:jc w:val="both"/>
        <w:rPr>
          <w:rFonts w:ascii="Segoe UI" w:hAnsi="Segoe UI" w:cs="Segoe UI"/>
          <w:lang w:val="en-US"/>
        </w:rPr>
      </w:pPr>
    </w:p>
    <w:p w14:paraId="24D3A131" w14:textId="29C5286D" w:rsidR="00B53C4D" w:rsidRPr="00766AAA" w:rsidRDefault="001E0B7B" w:rsidP="00D95A69">
      <w:pPr>
        <w:pStyle w:val="110"/>
        <w:spacing w:line="276" w:lineRule="auto"/>
        <w:rPr>
          <w:rtl/>
        </w:rPr>
      </w:pPr>
      <w:r w:rsidRPr="00766AAA">
        <w:rPr>
          <w:rtl/>
        </w:rPr>
        <w:t>התביעה יכולה לחתום עם חשוד על הסדר מותנה כאשר:</w:t>
      </w:r>
    </w:p>
    <w:p w14:paraId="0BACB125" w14:textId="76A64AA0" w:rsidR="001E0B7B" w:rsidRPr="00766AAA" w:rsidRDefault="001E0B7B" w:rsidP="00D95A69">
      <w:pPr>
        <w:pStyle w:val="ab"/>
        <w:numPr>
          <w:ilvl w:val="2"/>
          <w:numId w:val="99"/>
        </w:numPr>
        <w:bidi/>
        <w:spacing w:after="0" w:line="276" w:lineRule="auto"/>
        <w:jc w:val="both"/>
        <w:rPr>
          <w:rFonts w:ascii="Segoe UI" w:hAnsi="Segoe UI" w:cs="Segoe UI"/>
          <w:lang w:val="en-US"/>
        </w:rPr>
      </w:pPr>
      <w:r w:rsidRPr="00766AAA">
        <w:rPr>
          <w:rFonts w:ascii="Segoe UI" w:hAnsi="Segoe UI" w:cs="Segoe UI"/>
          <w:rtl/>
          <w:lang w:val="en-US"/>
        </w:rPr>
        <w:t>מדובר בעבירה שהעונש המקסימלי עליה הוא פחות משלוש שנות מאסר</w:t>
      </w:r>
    </w:p>
    <w:p w14:paraId="6489CF37" w14:textId="1F6FF0B3" w:rsidR="001E0B7B" w:rsidRPr="00766AAA" w:rsidRDefault="001E0B7B" w:rsidP="00D95A69">
      <w:pPr>
        <w:pStyle w:val="ab"/>
        <w:numPr>
          <w:ilvl w:val="2"/>
          <w:numId w:val="99"/>
        </w:numPr>
        <w:bidi/>
        <w:spacing w:after="0" w:line="276" w:lineRule="auto"/>
        <w:jc w:val="both"/>
        <w:rPr>
          <w:rFonts w:ascii="Segoe UI" w:hAnsi="Segoe UI" w:cs="Segoe UI"/>
          <w:lang w:val="en-US"/>
        </w:rPr>
      </w:pPr>
      <w:r w:rsidRPr="00766AAA">
        <w:rPr>
          <w:rFonts w:ascii="Segoe UI" w:hAnsi="Segoe UI" w:cs="Segoe UI"/>
          <w:rtl/>
          <w:lang w:val="en-US"/>
        </w:rPr>
        <w:t>העונש המתאים לחשוד, לדעת התובע, אינו כולל מאסר בפועל</w:t>
      </w:r>
    </w:p>
    <w:p w14:paraId="2471C830" w14:textId="7A863541" w:rsidR="001E0B7B" w:rsidRPr="00766AAA" w:rsidRDefault="0001387A" w:rsidP="00D95A69">
      <w:pPr>
        <w:pStyle w:val="ab"/>
        <w:numPr>
          <w:ilvl w:val="2"/>
          <w:numId w:val="99"/>
        </w:numPr>
        <w:bidi/>
        <w:spacing w:after="0" w:line="276" w:lineRule="auto"/>
        <w:jc w:val="both"/>
        <w:rPr>
          <w:rFonts w:ascii="Segoe UI" w:hAnsi="Segoe UI" w:cs="Segoe UI"/>
          <w:lang w:val="en-US"/>
        </w:rPr>
      </w:pPr>
      <w:r w:rsidRPr="00766AAA">
        <w:rPr>
          <w:rFonts w:ascii="Segoe UI" w:hAnsi="Segoe UI" w:cs="Segoe UI"/>
          <w:rtl/>
          <w:lang w:val="en-US"/>
        </w:rPr>
        <w:t>אין לחשוד רישום פלילי מחמש השנים שלפני ביצוע העבירה</w:t>
      </w:r>
    </w:p>
    <w:p w14:paraId="09B5F96D" w14:textId="19D8BC5E" w:rsidR="0001387A" w:rsidRPr="00766AAA" w:rsidRDefault="0001387A" w:rsidP="00D95A69">
      <w:pPr>
        <w:pStyle w:val="ab"/>
        <w:numPr>
          <w:ilvl w:val="2"/>
          <w:numId w:val="99"/>
        </w:numPr>
        <w:bidi/>
        <w:spacing w:after="0" w:line="276" w:lineRule="auto"/>
        <w:jc w:val="both"/>
        <w:rPr>
          <w:rFonts w:ascii="Segoe UI" w:hAnsi="Segoe UI" w:cs="Segoe UI"/>
          <w:lang w:val="en-US"/>
        </w:rPr>
      </w:pPr>
      <w:r w:rsidRPr="00766AAA">
        <w:rPr>
          <w:rFonts w:ascii="Segoe UI" w:hAnsi="Segoe UI" w:cs="Segoe UI"/>
          <w:rtl/>
          <w:lang w:val="en-US"/>
        </w:rPr>
        <w:t>לא מתקיימים הליכים משפטיים פליליים אחרים נוספים בעניינו של החשוד</w:t>
      </w:r>
    </w:p>
    <w:p w14:paraId="2ABF128E" w14:textId="5873B66A" w:rsidR="0001387A" w:rsidRPr="00766AAA" w:rsidRDefault="0001387A" w:rsidP="00D95A69">
      <w:pPr>
        <w:pStyle w:val="ab"/>
        <w:numPr>
          <w:ilvl w:val="2"/>
          <w:numId w:val="99"/>
        </w:numPr>
        <w:bidi/>
        <w:spacing w:after="0" w:line="276" w:lineRule="auto"/>
        <w:jc w:val="both"/>
        <w:rPr>
          <w:rFonts w:ascii="Segoe UI" w:hAnsi="Segoe UI" w:cs="Segoe UI"/>
          <w:lang w:val="en-US"/>
        </w:rPr>
      </w:pPr>
      <w:r w:rsidRPr="00766AAA">
        <w:rPr>
          <w:rFonts w:ascii="Segoe UI" w:hAnsi="Segoe UI" w:cs="Segoe UI"/>
          <w:rtl/>
          <w:lang w:val="en-US"/>
        </w:rPr>
        <w:t>מילוי תנאי ההסדר יענה על העניין לציבור</w:t>
      </w:r>
    </w:p>
    <w:p w14:paraId="6A29DD31" w14:textId="5F69CB38" w:rsidR="0001387A" w:rsidRPr="00766AAA" w:rsidRDefault="0001387A" w:rsidP="00D95A69">
      <w:pPr>
        <w:bidi/>
        <w:spacing w:after="0" w:line="276" w:lineRule="auto"/>
        <w:jc w:val="both"/>
        <w:rPr>
          <w:rFonts w:ascii="Segoe UI" w:hAnsi="Segoe UI" w:cs="Segoe UI"/>
          <w:rtl/>
          <w:lang w:val="en-US"/>
        </w:rPr>
      </w:pPr>
    </w:p>
    <w:p w14:paraId="78A60619" w14:textId="44AB8043" w:rsidR="0001387A" w:rsidRPr="00766AAA" w:rsidRDefault="0001387A" w:rsidP="00D95A69">
      <w:pPr>
        <w:pStyle w:val="2"/>
        <w:rPr>
          <w:rtl/>
        </w:rPr>
      </w:pPr>
      <w:bookmarkStart w:id="104" w:name="_Toc108218260"/>
      <w:r w:rsidRPr="00766AAA">
        <w:rPr>
          <w:rtl/>
        </w:rPr>
        <w:t>התנאים שתובע רשאי לכלול בהסדר</w:t>
      </w:r>
      <w:bookmarkEnd w:id="104"/>
    </w:p>
    <w:p w14:paraId="702B5FC3" w14:textId="6BE5E448" w:rsidR="0001387A" w:rsidRPr="00766AAA" w:rsidRDefault="0001387A" w:rsidP="00D95A69">
      <w:pPr>
        <w:pStyle w:val="ab"/>
        <w:numPr>
          <w:ilvl w:val="0"/>
          <w:numId w:val="100"/>
        </w:numPr>
        <w:bidi/>
        <w:spacing w:after="0" w:line="276" w:lineRule="auto"/>
        <w:jc w:val="both"/>
        <w:rPr>
          <w:rFonts w:ascii="Segoe UI" w:hAnsi="Segoe UI" w:cs="Segoe UI"/>
          <w:lang w:val="en-US"/>
        </w:rPr>
      </w:pPr>
      <w:r w:rsidRPr="00766AAA">
        <w:rPr>
          <w:rFonts w:ascii="Segoe UI" w:hAnsi="Segoe UI" w:cs="Segoe UI"/>
          <w:rtl/>
          <w:lang w:val="en-US"/>
        </w:rPr>
        <w:t>תשלום קנס למדינה</w:t>
      </w:r>
    </w:p>
    <w:p w14:paraId="6D7392AB" w14:textId="5BA71226" w:rsidR="0001387A" w:rsidRPr="00766AAA" w:rsidRDefault="0001387A" w:rsidP="00D95A69">
      <w:pPr>
        <w:pStyle w:val="ab"/>
        <w:numPr>
          <w:ilvl w:val="0"/>
          <w:numId w:val="100"/>
        </w:numPr>
        <w:bidi/>
        <w:spacing w:after="0" w:line="276" w:lineRule="auto"/>
        <w:jc w:val="both"/>
        <w:rPr>
          <w:rFonts w:ascii="Segoe UI" w:hAnsi="Segoe UI" w:cs="Segoe UI"/>
          <w:lang w:val="en-US"/>
        </w:rPr>
      </w:pPr>
      <w:r w:rsidRPr="00766AAA">
        <w:rPr>
          <w:rFonts w:ascii="Segoe UI" w:hAnsi="Segoe UI" w:cs="Segoe UI"/>
          <w:rtl/>
          <w:lang w:val="en-US"/>
        </w:rPr>
        <w:t>תשלום פיצוי לנפגע העבירה</w:t>
      </w:r>
    </w:p>
    <w:p w14:paraId="3370265B" w14:textId="2FED0498" w:rsidR="0001387A" w:rsidRPr="00766AAA" w:rsidRDefault="0001387A" w:rsidP="00D95A69">
      <w:pPr>
        <w:pStyle w:val="ab"/>
        <w:numPr>
          <w:ilvl w:val="0"/>
          <w:numId w:val="100"/>
        </w:numPr>
        <w:bidi/>
        <w:spacing w:after="0" w:line="276" w:lineRule="auto"/>
        <w:jc w:val="both"/>
        <w:rPr>
          <w:rFonts w:ascii="Segoe UI" w:hAnsi="Segoe UI" w:cs="Segoe UI"/>
          <w:lang w:val="en-US"/>
        </w:rPr>
      </w:pPr>
      <w:r w:rsidRPr="00766AAA">
        <w:rPr>
          <w:rFonts w:ascii="Segoe UI" w:hAnsi="Segoe UI" w:cs="Segoe UI"/>
          <w:rtl/>
          <w:lang w:val="en-US"/>
        </w:rPr>
        <w:t>התחייבו להימנע מביצוע העבירה</w:t>
      </w:r>
    </w:p>
    <w:p w14:paraId="32D612A9" w14:textId="31171B1C" w:rsidR="0001387A" w:rsidRPr="00766AAA" w:rsidRDefault="0001387A" w:rsidP="00D95A69">
      <w:pPr>
        <w:pStyle w:val="ab"/>
        <w:numPr>
          <w:ilvl w:val="0"/>
          <w:numId w:val="100"/>
        </w:numPr>
        <w:bidi/>
        <w:spacing w:after="0" w:line="276" w:lineRule="auto"/>
        <w:jc w:val="both"/>
        <w:rPr>
          <w:rFonts w:ascii="Segoe UI" w:hAnsi="Segoe UI" w:cs="Segoe UI"/>
          <w:lang w:val="en-US"/>
        </w:rPr>
      </w:pPr>
      <w:r w:rsidRPr="00766AAA">
        <w:rPr>
          <w:rFonts w:ascii="Segoe UI" w:hAnsi="Segoe UI" w:cs="Segoe UI"/>
          <w:rtl/>
          <w:lang w:val="en-US"/>
        </w:rPr>
        <w:t>עמידה בתנאי תכנית שיקום</w:t>
      </w:r>
    </w:p>
    <w:p w14:paraId="43E5681C" w14:textId="4DC946E3" w:rsidR="00B42A75" w:rsidRPr="00766AAA" w:rsidRDefault="0001387A" w:rsidP="00D95A69">
      <w:pPr>
        <w:pStyle w:val="ab"/>
        <w:numPr>
          <w:ilvl w:val="0"/>
          <w:numId w:val="100"/>
        </w:numPr>
        <w:bidi/>
        <w:spacing w:after="0" w:line="276" w:lineRule="auto"/>
        <w:jc w:val="both"/>
        <w:rPr>
          <w:rFonts w:ascii="Segoe UI" w:hAnsi="Segoe UI" w:cs="Segoe UI"/>
          <w:lang w:val="en-US"/>
        </w:rPr>
      </w:pPr>
      <w:r w:rsidRPr="00766AAA">
        <w:rPr>
          <w:rFonts w:ascii="Segoe UI" w:hAnsi="Segoe UI" w:cs="Segoe UI"/>
          <w:rtl/>
          <w:lang w:val="en-US"/>
        </w:rPr>
        <w:t xml:space="preserve">נקיטת פעולות לתיקון הנזק שנגרם עקב העבירה או למניעת </w:t>
      </w:r>
      <w:r w:rsidR="00B42A75" w:rsidRPr="00766AAA">
        <w:rPr>
          <w:rFonts w:ascii="Segoe UI" w:hAnsi="Segoe UI" w:cs="Segoe UI"/>
          <w:rtl/>
          <w:lang w:val="en-US"/>
        </w:rPr>
        <w:t>ביצוע עבירה (מכתב התנצלות והשבת חפץ לנפגע, התחייבות שלא להיכנס למקום או לא להיות בקשר עם אדם, התפטרות, פסילת רישיון נהיגה, הפקדת כלי ירי ועוד)</w:t>
      </w:r>
    </w:p>
    <w:p w14:paraId="3DB1639B" w14:textId="42E94D5E" w:rsidR="00B42A75" w:rsidRPr="00766AAA" w:rsidRDefault="00B42A75" w:rsidP="00D95A69">
      <w:pPr>
        <w:bidi/>
        <w:spacing w:after="0" w:line="276" w:lineRule="auto"/>
        <w:jc w:val="both"/>
        <w:rPr>
          <w:rFonts w:ascii="Segoe UI" w:hAnsi="Segoe UI" w:cs="Segoe UI"/>
          <w:rtl/>
          <w:lang w:val="en-US"/>
        </w:rPr>
      </w:pPr>
    </w:p>
    <w:p w14:paraId="0B49EF6F" w14:textId="7F759A1C" w:rsidR="00B42A75" w:rsidRPr="00766AAA" w:rsidRDefault="00766AAA" w:rsidP="00D95A69">
      <w:pPr>
        <w:pStyle w:val="2"/>
        <w:rPr>
          <w:rtl/>
        </w:rPr>
      </w:pPr>
      <w:bookmarkStart w:id="105" w:name="_Toc108218261"/>
      <w:r>
        <w:rPr>
          <w:rFonts w:hint="cs"/>
          <w:rtl/>
        </w:rPr>
        <w:t>מה כולל הסדר מותנה?</w:t>
      </w:r>
      <w:bookmarkEnd w:id="105"/>
    </w:p>
    <w:p w14:paraId="084BF9D1" w14:textId="0C24F59C" w:rsidR="00B42A75" w:rsidRPr="00413144" w:rsidRDefault="00B42A75" w:rsidP="00D95A69">
      <w:pPr>
        <w:pStyle w:val="ab"/>
        <w:numPr>
          <w:ilvl w:val="0"/>
          <w:numId w:val="101"/>
        </w:numPr>
        <w:bidi/>
        <w:spacing w:after="0" w:line="276" w:lineRule="auto"/>
        <w:jc w:val="both"/>
        <w:rPr>
          <w:rFonts w:ascii="Segoe UI" w:hAnsi="Segoe UI" w:cs="Segoe UI"/>
          <w:rtl/>
          <w:lang w:val="en-US"/>
        </w:rPr>
      </w:pPr>
      <w:r w:rsidRPr="00413144">
        <w:rPr>
          <w:rFonts w:ascii="Segoe UI" w:hAnsi="Segoe UI" w:cs="Segoe UI"/>
          <w:rtl/>
          <w:lang w:val="en-US"/>
        </w:rPr>
        <w:t>הודאת החשוד בעובדות המהוות עבירה</w:t>
      </w:r>
    </w:p>
    <w:p w14:paraId="00EF16A6" w14:textId="388B4665" w:rsidR="00B42A75" w:rsidRPr="00413144" w:rsidRDefault="00B42A75" w:rsidP="00D95A69">
      <w:pPr>
        <w:pStyle w:val="ab"/>
        <w:numPr>
          <w:ilvl w:val="0"/>
          <w:numId w:val="101"/>
        </w:numPr>
        <w:bidi/>
        <w:spacing w:after="0" w:line="276" w:lineRule="auto"/>
        <w:jc w:val="both"/>
        <w:rPr>
          <w:rFonts w:ascii="Segoe UI" w:hAnsi="Segoe UI" w:cs="Segoe UI"/>
          <w:rtl/>
          <w:lang w:val="en-US"/>
        </w:rPr>
      </w:pPr>
      <w:r w:rsidRPr="00413144">
        <w:rPr>
          <w:rFonts w:ascii="Segoe UI" w:hAnsi="Segoe UI" w:cs="Segoe UI"/>
          <w:rtl/>
          <w:lang w:val="en-US"/>
        </w:rPr>
        <w:t>התנאים שעל החשוד למלא</w:t>
      </w:r>
    </w:p>
    <w:p w14:paraId="52187458" w14:textId="2E7D4ED7" w:rsidR="00B42A75" w:rsidRPr="00413144" w:rsidRDefault="00B42A75" w:rsidP="00D95A69">
      <w:pPr>
        <w:pStyle w:val="ab"/>
        <w:numPr>
          <w:ilvl w:val="0"/>
          <w:numId w:val="101"/>
        </w:numPr>
        <w:bidi/>
        <w:spacing w:after="0" w:line="276" w:lineRule="auto"/>
        <w:jc w:val="both"/>
        <w:rPr>
          <w:rFonts w:ascii="Segoe UI" w:hAnsi="Segoe UI" w:cs="Segoe UI"/>
          <w:rtl/>
          <w:lang w:val="en-US"/>
        </w:rPr>
      </w:pPr>
      <w:r w:rsidRPr="00413144">
        <w:rPr>
          <w:rFonts w:ascii="Segoe UI" w:hAnsi="Segoe UI" w:cs="Segoe UI"/>
          <w:rtl/>
          <w:lang w:val="en-US"/>
        </w:rPr>
        <w:t>התקופה שנקבעה לקיום תנאי ההסדר, והדרכים בהן יוכיח החשוד שמילא אחריה</w:t>
      </w:r>
    </w:p>
    <w:p w14:paraId="18466A32" w14:textId="6064BCB4" w:rsidR="00B42A75" w:rsidRPr="00766AAA" w:rsidRDefault="00B42A75" w:rsidP="00D95A69">
      <w:pPr>
        <w:bidi/>
        <w:spacing w:after="0" w:line="276" w:lineRule="auto"/>
        <w:jc w:val="both"/>
        <w:rPr>
          <w:rFonts w:ascii="Segoe UI" w:hAnsi="Segoe UI" w:cs="Segoe UI"/>
          <w:rtl/>
          <w:lang w:val="en-US"/>
        </w:rPr>
      </w:pPr>
    </w:p>
    <w:p w14:paraId="13A83C9B" w14:textId="56720DE2" w:rsidR="00B42A75" w:rsidRPr="00766AAA" w:rsidRDefault="00766AAA" w:rsidP="00D95A69">
      <w:pPr>
        <w:pStyle w:val="110"/>
        <w:spacing w:line="276" w:lineRule="auto"/>
        <w:rPr>
          <w:rtl/>
        </w:rPr>
      </w:pPr>
      <w:r w:rsidRPr="00766AAA">
        <w:rPr>
          <w:rtl/>
        </w:rPr>
        <w:t>דוגמאות להסדרים מותנים</w:t>
      </w:r>
    </w:p>
    <w:p w14:paraId="4F766E0C" w14:textId="77777777" w:rsidR="00413144" w:rsidRPr="00413144" w:rsidRDefault="00413144"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lang w:val="en-US"/>
        </w:rPr>
      </w:pPr>
      <w:r w:rsidRPr="00413144">
        <w:rPr>
          <w:rFonts w:ascii="Segoe UI" w:hAnsi="Segoe UI" w:cs="Segoe UI"/>
          <w:rtl/>
          <w:lang w:val="en-US"/>
        </w:rPr>
        <w:t>בחודש נובמבר 2014, בעת ששימשה החשודה כסייעת בגן ילדים בכפר סבא, משכה בשערות ראשו של קטין יליד 2011, חניך בגן. תקיפה סתם - עבירה לפי סעיף 379 לחוק העונשין, התשל"ז-1977.</w:t>
      </w:r>
    </w:p>
    <w:p w14:paraId="0D68AC76" w14:textId="77777777" w:rsidR="00413144" w:rsidRPr="00413144" w:rsidRDefault="00413144"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proofErr w:type="spellStart"/>
      <w:r w:rsidRPr="00413144">
        <w:rPr>
          <w:rFonts w:ascii="Segoe UI" w:hAnsi="Segoe UI" w:cs="Segoe UI"/>
          <w:rtl/>
          <w:lang w:val="en-US"/>
        </w:rPr>
        <w:t>אמו</w:t>
      </w:r>
      <w:proofErr w:type="spellEnd"/>
      <w:r w:rsidRPr="00413144">
        <w:rPr>
          <w:rFonts w:ascii="Segoe UI" w:hAnsi="Segoe UI" w:cs="Segoe UI"/>
          <w:rtl/>
          <w:lang w:val="en-US"/>
        </w:rPr>
        <w:t xml:space="preserve"> של נפגע העבירה מעוניינת בהליך ההסדר המותנה ומודעת לפרטיו, מצוקה נפשית שבו הייתה החשודה, דיווח </w:t>
      </w:r>
      <w:proofErr w:type="spellStart"/>
      <w:r w:rsidRPr="00413144">
        <w:rPr>
          <w:rFonts w:ascii="Segoe UI" w:hAnsi="Segoe UI" w:cs="Segoe UI"/>
          <w:rtl/>
          <w:lang w:val="en-US"/>
        </w:rPr>
        <w:t>מיידי</w:t>
      </w:r>
      <w:proofErr w:type="spellEnd"/>
      <w:r w:rsidRPr="00413144">
        <w:rPr>
          <w:rFonts w:ascii="Segoe UI" w:hAnsi="Segoe UI" w:cs="Segoe UI"/>
          <w:rtl/>
          <w:lang w:val="en-US"/>
        </w:rPr>
        <w:t xml:space="preserve"> של החשודה לגננת, ממש רגעים ספורים לאחר האירוע.</w:t>
      </w:r>
    </w:p>
    <w:p w14:paraId="03ACE624" w14:textId="77777777" w:rsidR="00413144" w:rsidRPr="00413144" w:rsidRDefault="00413144"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413144">
        <w:rPr>
          <w:rFonts w:ascii="Segoe UI" w:hAnsi="Segoe UI" w:cs="Segoe UI"/>
          <w:rtl/>
          <w:lang w:val="en-US"/>
        </w:rPr>
        <w:t>1. פיצוי בסך 3,000 ש"ח לקטין. 2. מכתב התנצלות. 3. התחייבות שלא לעסוק בכל עבודה עם קטינים במשך שנה. 4. התחייבות להימנע מעבירה לתקופה של שנה</w:t>
      </w:r>
    </w:p>
    <w:p w14:paraId="7FAD57AF" w14:textId="1FE07DB2" w:rsidR="00413144" w:rsidRDefault="00413144" w:rsidP="00D95A69">
      <w:pPr>
        <w:bidi/>
        <w:spacing w:line="276" w:lineRule="auto"/>
        <w:jc w:val="both"/>
        <w:rPr>
          <w:rtl/>
          <w:lang w:val="en-US"/>
        </w:rPr>
      </w:pPr>
    </w:p>
    <w:p w14:paraId="0629A7B1" w14:textId="77777777" w:rsidR="00E6011E" w:rsidRPr="00E6011E" w:rsidRDefault="00E6011E"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lang w:val="en-US"/>
        </w:rPr>
      </w:pPr>
      <w:r w:rsidRPr="00E6011E">
        <w:rPr>
          <w:rFonts w:ascii="Segoe UI" w:hAnsi="Segoe UI" w:cs="Segoe UI"/>
          <w:rtl/>
          <w:lang w:val="en-US"/>
        </w:rPr>
        <w:t>בתאריך 17.01.13 הלכה המתלוננת בקרבת חצר הבית. בעת שחלפה במקום, קפצה עליה הכלבה מעל גדר הבית כשהיא ללא השגחת הנאשם וללא רצועה ונשכה את המתלוננת בשוק רגל שמאל. כתוצאה מהנשיכה נגרם למתלוננת סימן ברגל שמאל והיא נזקקה לטיפול רפואי.</w:t>
      </w:r>
    </w:p>
    <w:p w14:paraId="0712D4E6" w14:textId="77777777" w:rsidR="00E6011E" w:rsidRPr="00E6011E" w:rsidRDefault="00E6011E"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E6011E">
        <w:rPr>
          <w:rFonts w:ascii="Segoe UI" w:hAnsi="Segoe UI" w:cs="Segoe UI"/>
          <w:rtl/>
          <w:lang w:val="en-US"/>
        </w:rPr>
        <w:t xml:space="preserve">מעשי פזיזות ורשלנות - עבירה לפי סעיף 338(א)(6) לחוק העונשין, </w:t>
      </w:r>
      <w:proofErr w:type="spellStart"/>
      <w:r w:rsidRPr="00E6011E">
        <w:rPr>
          <w:rFonts w:ascii="Segoe UI" w:hAnsi="Segoe UI" w:cs="Segoe UI"/>
          <w:rtl/>
          <w:lang w:val="en-US"/>
        </w:rPr>
        <w:t>התשל"ז</w:t>
      </w:r>
      <w:proofErr w:type="spellEnd"/>
      <w:r w:rsidRPr="00E6011E">
        <w:rPr>
          <w:rFonts w:ascii="Segoe UI" w:hAnsi="Segoe UI" w:cs="Segoe UI"/>
          <w:rtl/>
          <w:lang w:val="en-US"/>
        </w:rPr>
        <w:t xml:space="preserve"> - 1977.</w:t>
      </w:r>
    </w:p>
    <w:p w14:paraId="787E1EE0" w14:textId="77777777" w:rsidR="00E6011E" w:rsidRPr="00E6011E" w:rsidRDefault="00E6011E"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E6011E">
        <w:rPr>
          <w:rFonts w:ascii="Segoe UI" w:hAnsi="Segoe UI" w:cs="Segoe UI"/>
          <w:rtl/>
          <w:lang w:val="en-US"/>
        </w:rPr>
        <w:t>נסיבות המקרה אינן חריגות בחומרתן ומצדיקות עריכת ההסדר, הן לאור התנהלות החשוד במסגרת המו"מ לקראת חתימת ההסדר ושיתוף הפעולה מצידו והן לאור העובדה כי מדובר במקרה חד פעמי.</w:t>
      </w:r>
    </w:p>
    <w:p w14:paraId="19737577" w14:textId="77777777" w:rsidR="00E6011E" w:rsidRPr="00E6011E" w:rsidRDefault="00E6011E"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E6011E">
        <w:rPr>
          <w:rFonts w:ascii="Segoe UI" w:hAnsi="Segoe UI" w:cs="Segoe UI"/>
          <w:rtl/>
          <w:lang w:val="en-US"/>
        </w:rPr>
        <w:lastRenderedPageBreak/>
        <w:t xml:space="preserve">פיצוי לנפגע העבירה בסך 3500 ₪ אשר שולמו ב - 7 תשלומים שווים והתחייבות </w:t>
      </w:r>
      <w:proofErr w:type="spellStart"/>
      <w:r w:rsidRPr="00E6011E">
        <w:rPr>
          <w:rFonts w:ascii="Segoe UI" w:hAnsi="Segoe UI" w:cs="Segoe UI"/>
          <w:rtl/>
          <w:lang w:val="en-US"/>
        </w:rPr>
        <w:t>להמנע</w:t>
      </w:r>
      <w:proofErr w:type="spellEnd"/>
      <w:r w:rsidRPr="00E6011E">
        <w:rPr>
          <w:rFonts w:ascii="Segoe UI" w:hAnsi="Segoe UI" w:cs="Segoe UI"/>
          <w:rtl/>
          <w:lang w:val="en-US"/>
        </w:rPr>
        <w:t xml:space="preserve"> מביצוע עבירה לתקופה של 6 חודשים מיום 11.11.13.</w:t>
      </w:r>
    </w:p>
    <w:p w14:paraId="0242C732" w14:textId="2C9E3309" w:rsidR="00413144" w:rsidRDefault="00413144" w:rsidP="00D95A69">
      <w:pPr>
        <w:bidi/>
        <w:spacing w:line="276" w:lineRule="auto"/>
        <w:jc w:val="both"/>
        <w:rPr>
          <w:rtl/>
          <w:lang w:val="en-US"/>
        </w:rPr>
      </w:pPr>
    </w:p>
    <w:p w14:paraId="2B7EEA1B" w14:textId="77777777" w:rsidR="00E6011E" w:rsidRPr="00E6011E" w:rsidRDefault="00E6011E"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lang w:val="en-US"/>
        </w:rPr>
      </w:pPr>
      <w:r w:rsidRPr="00E6011E">
        <w:rPr>
          <w:rFonts w:ascii="Segoe UI" w:hAnsi="Segoe UI" w:cs="Segoe UI"/>
          <w:rtl/>
          <w:lang w:val="en-US"/>
        </w:rPr>
        <w:t>בין החשוד למתלונן נוצר בשנת 2010 קשר עסקי, תוך שהחשוד הציג עצמו כמשרד תיווך אשר ילווה את המתלונן בשיפוץ משרדו. בפגישה אשר ערכו החשוד והמתלונן, הציג עצמו החשוד במצג שווא כאדריכל הפרויקט, ובעקבות ההסכמות ומצג השווא, קיבל החשוד במרמה 5,000 ₪. בנוסף, החשוד הציג למתלונן הצעת מחיר של קבלן, ואגב כך קיבל במרמה מהמתלונן 10,000 ₪. כספים אלו לא הועברו לקבלן.</w:t>
      </w:r>
    </w:p>
    <w:p w14:paraId="3EE7DFEE" w14:textId="77777777" w:rsidR="00E6011E" w:rsidRPr="00E6011E" w:rsidRDefault="00E6011E"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E6011E">
        <w:rPr>
          <w:rFonts w:ascii="Segoe UI" w:hAnsi="Segoe UI" w:cs="Segoe UI"/>
          <w:rtl/>
          <w:lang w:val="en-US"/>
        </w:rPr>
        <w:t xml:space="preserve">1) קבלת דבר במרמה - עבירה לפי סעיף 415 לחוק </w:t>
      </w:r>
      <w:proofErr w:type="spellStart"/>
      <w:r w:rsidRPr="00E6011E">
        <w:rPr>
          <w:rFonts w:ascii="Segoe UI" w:hAnsi="Segoe UI" w:cs="Segoe UI"/>
          <w:rtl/>
          <w:lang w:val="en-US"/>
        </w:rPr>
        <w:t>העונשיו</w:t>
      </w:r>
      <w:proofErr w:type="spellEnd"/>
      <w:r w:rsidRPr="00E6011E">
        <w:rPr>
          <w:rFonts w:ascii="Segoe UI" w:hAnsi="Segoe UI" w:cs="Segoe UI"/>
          <w:rtl/>
          <w:lang w:val="en-US"/>
        </w:rPr>
        <w:t xml:space="preserve">, </w:t>
      </w:r>
      <w:proofErr w:type="spellStart"/>
      <w:r w:rsidRPr="00E6011E">
        <w:rPr>
          <w:rFonts w:ascii="Segoe UI" w:hAnsi="Segoe UI" w:cs="Segoe UI"/>
          <w:rtl/>
          <w:lang w:val="en-US"/>
        </w:rPr>
        <w:t>התשל"ז</w:t>
      </w:r>
      <w:proofErr w:type="spellEnd"/>
      <w:r w:rsidRPr="00E6011E">
        <w:rPr>
          <w:rFonts w:ascii="Segoe UI" w:hAnsi="Segoe UI" w:cs="Segoe UI"/>
          <w:rtl/>
          <w:lang w:val="en-US"/>
        </w:rPr>
        <w:t xml:space="preserve"> - 1977. 2) זיוף - עבירה לפי סעיף 418 לחוק העונשין, </w:t>
      </w:r>
      <w:proofErr w:type="spellStart"/>
      <w:r w:rsidRPr="00E6011E">
        <w:rPr>
          <w:rFonts w:ascii="Segoe UI" w:hAnsi="Segoe UI" w:cs="Segoe UI"/>
          <w:rtl/>
          <w:lang w:val="en-US"/>
        </w:rPr>
        <w:t>התשל"ז</w:t>
      </w:r>
      <w:proofErr w:type="spellEnd"/>
      <w:r w:rsidRPr="00E6011E">
        <w:rPr>
          <w:rFonts w:ascii="Segoe UI" w:hAnsi="Segoe UI" w:cs="Segoe UI"/>
          <w:rtl/>
          <w:lang w:val="en-US"/>
        </w:rPr>
        <w:t xml:space="preserve"> - 1977.</w:t>
      </w:r>
    </w:p>
    <w:p w14:paraId="60868A4C" w14:textId="77777777" w:rsidR="00E6011E" w:rsidRPr="00E6011E" w:rsidRDefault="00E6011E"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E6011E">
        <w:rPr>
          <w:rFonts w:ascii="Segoe UI" w:hAnsi="Segoe UI" w:cs="Segoe UI"/>
          <w:rtl/>
          <w:lang w:val="en-US"/>
        </w:rPr>
        <w:t>עמדת המתלונן, לרבות החזר הכסף על ידו, וכן חלוף הזמן.</w:t>
      </w:r>
    </w:p>
    <w:p w14:paraId="24746179" w14:textId="77777777" w:rsidR="00E6011E" w:rsidRPr="00E6011E" w:rsidRDefault="00E6011E"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E6011E">
        <w:rPr>
          <w:rFonts w:ascii="Segoe UI" w:hAnsi="Segoe UI" w:cs="Segoe UI"/>
          <w:rtl/>
          <w:lang w:val="en-US"/>
        </w:rPr>
        <w:t>1) תשלום לאוצר המדינה בסך של 2,000 ₪. 2) תשלום פיצוי בסך 16,000 ₪ לנפגע העבירה. 3) התחייבות של החשוד להימנע מביצוע העבירה במהלך 10 חודשים.</w:t>
      </w:r>
    </w:p>
    <w:p w14:paraId="4C18AD38" w14:textId="6FF5D7A6" w:rsidR="00E6011E" w:rsidRDefault="00E6011E" w:rsidP="00D95A69">
      <w:pPr>
        <w:bidi/>
        <w:spacing w:line="276" w:lineRule="auto"/>
        <w:jc w:val="both"/>
        <w:rPr>
          <w:rtl/>
          <w:lang w:val="en-US"/>
        </w:rPr>
      </w:pPr>
    </w:p>
    <w:p w14:paraId="22C748BA" w14:textId="77777777" w:rsidR="00523320" w:rsidRPr="00523320" w:rsidRDefault="00523320"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lang w:val="en-US"/>
        </w:rPr>
      </w:pPr>
      <w:r w:rsidRPr="00523320">
        <w:rPr>
          <w:rFonts w:ascii="Segoe UI" w:hAnsi="Segoe UI" w:cs="Segoe UI"/>
          <w:rtl/>
          <w:lang w:val="en-US"/>
        </w:rPr>
        <w:t>החשוד, בעל חברת הפצת חומרי פרסום הבחין בחבורת קטינים, וביניהם הקטין המתלונן כאשר הם אוספים את המגנטים שחולקו על ידי עובדו של החשוד. אז, תפס החשוד את הקטין המתלונן בחוזקה וגרר אותו לכיוון רכבו. עת המתלונן ניסה לברוח, הכה אותו החשוד בגבו. תוך כדי מנוסתו, נפל המתלונן ונחבל. במעשיו, תקף החשוד את הקטין.</w:t>
      </w:r>
    </w:p>
    <w:p w14:paraId="523DD139" w14:textId="77777777" w:rsidR="00523320" w:rsidRPr="00523320" w:rsidRDefault="00523320"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523320">
        <w:rPr>
          <w:rFonts w:ascii="Segoe UI" w:hAnsi="Segoe UI" w:cs="Segoe UI"/>
          <w:rtl/>
          <w:lang w:val="en-US"/>
        </w:rPr>
        <w:t xml:space="preserve">סעיף 379 לחוק העונשין </w:t>
      </w:r>
      <w:proofErr w:type="spellStart"/>
      <w:r w:rsidRPr="00523320">
        <w:rPr>
          <w:rFonts w:ascii="Segoe UI" w:hAnsi="Segoe UI" w:cs="Segoe UI"/>
          <w:rtl/>
          <w:lang w:val="en-US"/>
        </w:rPr>
        <w:t>התשל"ז</w:t>
      </w:r>
      <w:proofErr w:type="spellEnd"/>
      <w:r w:rsidRPr="00523320">
        <w:rPr>
          <w:rFonts w:ascii="Segoe UI" w:hAnsi="Segoe UI" w:cs="Segoe UI"/>
          <w:rtl/>
          <w:lang w:val="en-US"/>
        </w:rPr>
        <w:t xml:space="preserve"> 1977- תקיפה סתם.</w:t>
      </w:r>
    </w:p>
    <w:p w14:paraId="289066C1" w14:textId="77777777" w:rsidR="00523320" w:rsidRPr="00523320" w:rsidRDefault="00523320"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523320">
        <w:rPr>
          <w:rFonts w:ascii="Segoe UI" w:hAnsi="Segoe UI" w:cs="Segoe UI"/>
          <w:rtl/>
          <w:lang w:val="en-US"/>
        </w:rPr>
        <w:t>החשוד הביע חרטה על המעשה.</w:t>
      </w:r>
    </w:p>
    <w:p w14:paraId="46C2B4EF" w14:textId="77777777" w:rsidR="00523320" w:rsidRPr="00523320" w:rsidRDefault="00523320" w:rsidP="00D95A69">
      <w:pPr>
        <w:pBdr>
          <w:top w:val="single" w:sz="4" w:space="1" w:color="auto"/>
          <w:left w:val="single" w:sz="4" w:space="4" w:color="auto"/>
          <w:bottom w:val="single" w:sz="4" w:space="1" w:color="auto"/>
          <w:right w:val="single" w:sz="4" w:space="4" w:color="auto"/>
        </w:pBdr>
        <w:bidi/>
        <w:spacing w:after="0" w:line="276" w:lineRule="auto"/>
        <w:jc w:val="both"/>
        <w:rPr>
          <w:rFonts w:ascii="Segoe UI" w:hAnsi="Segoe UI" w:cs="Segoe UI"/>
          <w:rtl/>
          <w:lang w:val="en-US"/>
        </w:rPr>
      </w:pPr>
      <w:r w:rsidRPr="00523320">
        <w:rPr>
          <w:rFonts w:ascii="Segoe UI" w:hAnsi="Segoe UI" w:cs="Segoe UI"/>
          <w:rtl/>
          <w:lang w:val="en-US"/>
        </w:rPr>
        <w:t xml:space="preserve">קנס בסך 2,000 ש"ח, פיצוי בסך 1,000 ש"ח התחייבות </w:t>
      </w:r>
      <w:proofErr w:type="spellStart"/>
      <w:r w:rsidRPr="00523320">
        <w:rPr>
          <w:rFonts w:ascii="Segoe UI" w:hAnsi="Segoe UI" w:cs="Segoe UI"/>
          <w:rtl/>
          <w:lang w:val="en-US"/>
        </w:rPr>
        <w:t>להמנע</w:t>
      </w:r>
      <w:proofErr w:type="spellEnd"/>
      <w:r w:rsidRPr="00523320">
        <w:rPr>
          <w:rFonts w:ascii="Segoe UI" w:hAnsi="Segoe UI" w:cs="Segoe UI"/>
          <w:rtl/>
          <w:lang w:val="en-US"/>
        </w:rPr>
        <w:t xml:space="preserve"> מביצוע עבירה וכן מכתב התנצלות למתלונן.</w:t>
      </w:r>
    </w:p>
    <w:p w14:paraId="455EFB6F" w14:textId="73DFA17E" w:rsidR="00E6011E" w:rsidRDefault="00E6011E" w:rsidP="00D95A69">
      <w:pPr>
        <w:bidi/>
        <w:spacing w:after="0" w:line="276" w:lineRule="auto"/>
        <w:jc w:val="both"/>
        <w:rPr>
          <w:rtl/>
          <w:lang w:val="en-US"/>
        </w:rPr>
      </w:pPr>
    </w:p>
    <w:p w14:paraId="65434A5E" w14:textId="1E2382DB" w:rsidR="00523320" w:rsidRPr="00FC7D74" w:rsidRDefault="00523320" w:rsidP="00D95A69">
      <w:pPr>
        <w:pStyle w:val="2"/>
        <w:rPr>
          <w:color w:val="7030A0"/>
          <w:rtl/>
        </w:rPr>
      </w:pPr>
      <w:bookmarkStart w:id="106" w:name="_Toc108218262"/>
      <w:r w:rsidRPr="00FC7D74">
        <w:rPr>
          <w:rFonts w:hint="cs"/>
          <w:color w:val="7030A0"/>
          <w:rtl/>
        </w:rPr>
        <w:t>טענה נגד הסדרים מותנים</w:t>
      </w:r>
      <w:bookmarkEnd w:id="106"/>
    </w:p>
    <w:p w14:paraId="5DBAF13B" w14:textId="0D1FC60E" w:rsidR="00523320" w:rsidRPr="003B30BD" w:rsidRDefault="003B30BD" w:rsidP="00D95A69">
      <w:pPr>
        <w:bidi/>
        <w:spacing w:line="276" w:lineRule="auto"/>
        <w:jc w:val="both"/>
        <w:rPr>
          <w:rFonts w:ascii="Segoe UI" w:hAnsi="Segoe UI" w:cs="Segoe UI"/>
          <w:color w:val="7030A0"/>
          <w:rtl/>
          <w:lang w:val="en-US"/>
        </w:rPr>
      </w:pPr>
      <w:r w:rsidRPr="003B30BD">
        <w:rPr>
          <w:rFonts w:ascii="Segoe UI" w:hAnsi="Segoe UI" w:cs="Segoe UI"/>
          <w:color w:val="7030A0"/>
          <w:rtl/>
          <w:lang w:val="en-US"/>
        </w:rPr>
        <w:t xml:space="preserve">יש טענה שבעקבות ההליך של הסדר מותנה שנכנס כהליך נוסף בעולם המשפט הפלילי יש "ברז פתוח". בעצם מגישים כתבי אישום על עבירות מאוד קטנות שבעבר לא היו מגישים כתבי אישום משום שהמשטרה או הפרקליטות יודעים שיש את ההליך שאפשר להפנות אליו. בעבר, עבירות כאלה לא היו בכלל אוכפים או שהיו טוענים בבית המשפט שמדובר בזוטי דברים ואין להעמיד לדין על דברים כאלה. </w:t>
      </w:r>
    </w:p>
    <w:p w14:paraId="15041454" w14:textId="588C9B2D" w:rsidR="00523320" w:rsidRDefault="00523320" w:rsidP="00523320">
      <w:pPr>
        <w:bidi/>
        <w:spacing w:line="276" w:lineRule="auto"/>
        <w:jc w:val="both"/>
        <w:rPr>
          <w:rtl/>
          <w:lang w:val="en-US"/>
        </w:rPr>
      </w:pPr>
    </w:p>
    <w:p w14:paraId="252A0430" w14:textId="57EF5C0F" w:rsidR="00523320" w:rsidRDefault="00523320" w:rsidP="00523320">
      <w:pPr>
        <w:bidi/>
        <w:spacing w:line="276" w:lineRule="auto"/>
        <w:jc w:val="both"/>
        <w:rPr>
          <w:rtl/>
          <w:lang w:val="en-US"/>
        </w:rPr>
      </w:pPr>
    </w:p>
    <w:p w14:paraId="14AB9540" w14:textId="15897E03" w:rsidR="00523320" w:rsidRDefault="00523320" w:rsidP="00523320">
      <w:pPr>
        <w:bidi/>
        <w:spacing w:line="276" w:lineRule="auto"/>
        <w:jc w:val="both"/>
        <w:rPr>
          <w:rtl/>
          <w:lang w:val="en-US"/>
        </w:rPr>
      </w:pPr>
    </w:p>
    <w:p w14:paraId="56B3F0B0" w14:textId="5025613C" w:rsidR="00523320" w:rsidRDefault="00523320" w:rsidP="00523320">
      <w:pPr>
        <w:bidi/>
        <w:spacing w:line="276" w:lineRule="auto"/>
        <w:jc w:val="both"/>
        <w:rPr>
          <w:rtl/>
          <w:lang w:val="en-US"/>
        </w:rPr>
      </w:pPr>
    </w:p>
    <w:p w14:paraId="451017B5" w14:textId="156A5D96" w:rsidR="00523320" w:rsidRDefault="00523320" w:rsidP="00523320">
      <w:pPr>
        <w:bidi/>
        <w:spacing w:line="276" w:lineRule="auto"/>
        <w:jc w:val="both"/>
        <w:rPr>
          <w:rtl/>
          <w:lang w:val="en-US"/>
        </w:rPr>
      </w:pPr>
    </w:p>
    <w:p w14:paraId="2C950D5F" w14:textId="6D2ED318" w:rsidR="00523320" w:rsidRDefault="00523320" w:rsidP="00523320">
      <w:pPr>
        <w:bidi/>
        <w:spacing w:line="276" w:lineRule="auto"/>
        <w:jc w:val="both"/>
        <w:rPr>
          <w:rtl/>
          <w:lang w:val="en-US"/>
        </w:rPr>
      </w:pPr>
    </w:p>
    <w:p w14:paraId="38653AE7" w14:textId="1E917B13" w:rsidR="00523320" w:rsidRDefault="00523320" w:rsidP="00523320">
      <w:pPr>
        <w:bidi/>
        <w:spacing w:line="276" w:lineRule="auto"/>
        <w:jc w:val="both"/>
        <w:rPr>
          <w:rtl/>
          <w:lang w:val="en-US"/>
        </w:rPr>
      </w:pPr>
    </w:p>
    <w:p w14:paraId="4E2B427F" w14:textId="6CA2DD9F" w:rsidR="00523320" w:rsidRDefault="00523320" w:rsidP="00523320">
      <w:pPr>
        <w:bidi/>
        <w:spacing w:line="276" w:lineRule="auto"/>
        <w:jc w:val="both"/>
        <w:rPr>
          <w:rtl/>
          <w:lang w:val="en-US"/>
        </w:rPr>
      </w:pPr>
    </w:p>
    <w:p w14:paraId="3F1D14A6" w14:textId="59ADEFC2" w:rsidR="00523320" w:rsidRDefault="00523320" w:rsidP="00523320">
      <w:pPr>
        <w:bidi/>
        <w:spacing w:line="276" w:lineRule="auto"/>
        <w:jc w:val="both"/>
        <w:rPr>
          <w:rtl/>
          <w:lang w:val="en-US"/>
        </w:rPr>
      </w:pPr>
    </w:p>
    <w:p w14:paraId="00D3BBF3" w14:textId="55DDFDEB" w:rsidR="00523320" w:rsidRDefault="00523320" w:rsidP="00523320">
      <w:pPr>
        <w:bidi/>
        <w:spacing w:line="276" w:lineRule="auto"/>
        <w:jc w:val="both"/>
        <w:rPr>
          <w:rtl/>
          <w:lang w:val="en-US"/>
        </w:rPr>
      </w:pPr>
    </w:p>
    <w:p w14:paraId="4062F365" w14:textId="2F203286" w:rsidR="00523320" w:rsidRDefault="00523320" w:rsidP="00523320">
      <w:pPr>
        <w:bidi/>
        <w:spacing w:line="276" w:lineRule="auto"/>
        <w:jc w:val="both"/>
        <w:rPr>
          <w:rtl/>
          <w:lang w:val="en-US"/>
        </w:rPr>
      </w:pPr>
    </w:p>
    <w:p w14:paraId="154E24BE" w14:textId="43E4F9F3" w:rsidR="00523320" w:rsidRDefault="00523320" w:rsidP="00523320">
      <w:pPr>
        <w:pStyle w:val="1"/>
        <w:rPr>
          <w:rtl/>
        </w:rPr>
      </w:pPr>
      <w:bookmarkStart w:id="107" w:name="_Toc108218263"/>
      <w:r>
        <w:rPr>
          <w:rFonts w:hint="cs"/>
          <w:rtl/>
        </w:rPr>
        <w:lastRenderedPageBreak/>
        <w:t>בתי משפט קהילתיים</w:t>
      </w:r>
      <w:bookmarkEnd w:id="107"/>
    </w:p>
    <w:p w14:paraId="4CE81E2F" w14:textId="673F6A36" w:rsidR="00F7250E" w:rsidRPr="00B272D6" w:rsidRDefault="00F7250E" w:rsidP="00D95A69">
      <w:pPr>
        <w:pStyle w:val="2"/>
        <w:rPr>
          <w:color w:val="7030A0"/>
          <w:rtl/>
        </w:rPr>
      </w:pPr>
      <w:bookmarkStart w:id="108" w:name="_Toc108218264"/>
      <w:r w:rsidRPr="00B272D6">
        <w:rPr>
          <w:rFonts w:hint="cs"/>
          <w:color w:val="7030A0"/>
          <w:rtl/>
        </w:rPr>
        <w:t>מהו בית משפט קהילתי?</w:t>
      </w:r>
      <w:bookmarkEnd w:id="108"/>
    </w:p>
    <w:p w14:paraId="7DA722E3" w14:textId="3CFCE4F3" w:rsidR="00413144" w:rsidRPr="00D200E6" w:rsidRDefault="00CE50D6" w:rsidP="00D95A69">
      <w:pPr>
        <w:bidi/>
        <w:spacing w:after="0" w:line="276" w:lineRule="auto"/>
        <w:jc w:val="both"/>
        <w:rPr>
          <w:rFonts w:ascii="Segoe UI" w:hAnsi="Segoe UI" w:cs="Segoe UI"/>
          <w:rtl/>
          <w:lang w:val="en-US"/>
        </w:rPr>
      </w:pPr>
      <w:r w:rsidRPr="00D200E6">
        <w:rPr>
          <w:rFonts w:ascii="Segoe UI" w:hAnsi="Segoe UI" w:cs="Segoe UI"/>
          <w:rtl/>
          <w:lang w:val="en-US"/>
        </w:rPr>
        <w:t xml:space="preserve">בית המשפט הקהילתי – נועד </w:t>
      </w:r>
      <w:r w:rsidR="00D200E6">
        <w:rPr>
          <w:rFonts w:ascii="Segoe UI" w:hAnsi="Segoe UI" w:cs="Segoe UI" w:hint="cs"/>
          <w:rtl/>
          <w:lang w:val="en-US"/>
        </w:rPr>
        <w:t>לסייע</w:t>
      </w:r>
      <w:r w:rsidRPr="00D200E6">
        <w:rPr>
          <w:rFonts w:ascii="Segoe UI" w:hAnsi="Segoe UI" w:cs="Segoe UI"/>
          <w:rtl/>
          <w:lang w:val="en-US"/>
        </w:rPr>
        <w:t xml:space="preserve"> בצמצום התופעה של עבריינות חוזרת (רצידיביזם).</w:t>
      </w:r>
    </w:p>
    <w:p w14:paraId="526E5191" w14:textId="1581E3B4" w:rsidR="00CE50D6" w:rsidRPr="00D200E6" w:rsidRDefault="00CE50D6" w:rsidP="00D95A69">
      <w:pPr>
        <w:bidi/>
        <w:spacing w:after="0" w:line="276" w:lineRule="auto"/>
        <w:jc w:val="both"/>
        <w:rPr>
          <w:rFonts w:ascii="Segoe UI" w:hAnsi="Segoe UI" w:cs="Segoe UI"/>
          <w:rtl/>
          <w:lang w:val="en-US"/>
        </w:rPr>
      </w:pPr>
      <w:r w:rsidRPr="00D200E6">
        <w:rPr>
          <w:rFonts w:ascii="Segoe UI" w:hAnsi="Segoe UI" w:cs="Segoe UI"/>
          <w:rtl/>
          <w:lang w:val="en-US"/>
        </w:rPr>
        <w:t>חלק ניכר מהעבירות מתבצעות על רקע בעיות חברתיות-כלכליות שמובילות במקרים רבים לעבריינות חוזרת.</w:t>
      </w:r>
    </w:p>
    <w:p w14:paraId="33091E9F" w14:textId="7ABA19CD" w:rsidR="00CE50D6" w:rsidRPr="00D200E6" w:rsidRDefault="00CE50D6" w:rsidP="00D95A69">
      <w:pPr>
        <w:bidi/>
        <w:spacing w:after="0" w:line="276" w:lineRule="auto"/>
        <w:jc w:val="both"/>
        <w:rPr>
          <w:rFonts w:ascii="Segoe UI" w:hAnsi="Segoe UI" w:cs="Segoe UI"/>
          <w:b/>
          <w:bCs/>
          <w:rtl/>
          <w:lang w:val="en-US"/>
        </w:rPr>
      </w:pPr>
      <w:r w:rsidRPr="00D200E6">
        <w:rPr>
          <w:rFonts w:ascii="Segoe UI" w:hAnsi="Segoe UI" w:cs="Segoe UI"/>
          <w:rtl/>
          <w:lang w:val="en-US"/>
        </w:rPr>
        <w:t xml:space="preserve">לא די להתמודד עם הסימפטום – ביצוע העבירה, </w:t>
      </w:r>
      <w:r w:rsidRPr="00D200E6">
        <w:rPr>
          <w:rFonts w:ascii="Segoe UI" w:hAnsi="Segoe UI" w:cs="Segoe UI"/>
          <w:b/>
          <w:bCs/>
          <w:rtl/>
          <w:lang w:val="en-US"/>
        </w:rPr>
        <w:t>כי אם לאתר את שורש הבעיה ולטפל בו.</w:t>
      </w:r>
    </w:p>
    <w:p w14:paraId="507CBF10" w14:textId="1CBC0733" w:rsidR="00CE50D6" w:rsidRPr="00D200E6" w:rsidRDefault="009D13AF" w:rsidP="00D95A69">
      <w:pPr>
        <w:bidi/>
        <w:spacing w:after="0" w:line="276" w:lineRule="auto"/>
        <w:jc w:val="both"/>
        <w:rPr>
          <w:rFonts w:ascii="Segoe UI" w:hAnsi="Segoe UI" w:cs="Segoe UI"/>
          <w:rtl/>
          <w:lang w:val="en-US"/>
        </w:rPr>
      </w:pPr>
      <w:r w:rsidRPr="00D200E6">
        <w:rPr>
          <w:rFonts w:ascii="Segoe UI" w:hAnsi="Segoe UI" w:cs="Segoe UI"/>
          <w:rtl/>
          <w:lang w:val="en-US"/>
        </w:rPr>
        <w:t>בית המשפט הוא "קהילתי" מפני שבנוסף לשיקום העבריין המטרה של בתי המשפט היא גם שיקום הקהילה הסובלת מרף גבוה של פשיעה, חיזוק תחושת הביטחון של התושבים ושיפור רמת האמון שלהם במערכות אכיפת החוק.</w:t>
      </w:r>
    </w:p>
    <w:p w14:paraId="746CEEC4" w14:textId="4481C1C6" w:rsidR="009D13AF" w:rsidRPr="00D200E6" w:rsidRDefault="009D13AF" w:rsidP="00D95A69">
      <w:pPr>
        <w:bidi/>
        <w:spacing w:after="0" w:line="276" w:lineRule="auto"/>
        <w:jc w:val="both"/>
        <w:rPr>
          <w:rFonts w:ascii="Segoe UI" w:hAnsi="Segoe UI" w:cs="Segoe UI"/>
          <w:rtl/>
          <w:lang w:val="en-US"/>
        </w:rPr>
      </w:pPr>
      <w:r w:rsidRPr="00D200E6">
        <w:rPr>
          <w:rFonts w:ascii="Segoe UI" w:hAnsi="Segoe UI" w:cs="Segoe UI"/>
          <w:rtl/>
          <w:lang w:val="en-US"/>
        </w:rPr>
        <w:t>בבית המשפט הקהילתי יש מתן דגש לתהליכי השיקום תוך הסתמכות על שירותי רווחה ומענים קהילתיים.</w:t>
      </w:r>
    </w:p>
    <w:p w14:paraId="40F3ABAF" w14:textId="4F1A7E72" w:rsidR="009D13AF" w:rsidRPr="00D200E6" w:rsidRDefault="009D13AF" w:rsidP="00D95A69">
      <w:pPr>
        <w:bidi/>
        <w:spacing w:after="0" w:line="276" w:lineRule="auto"/>
        <w:jc w:val="both"/>
        <w:rPr>
          <w:rFonts w:ascii="Segoe UI" w:hAnsi="Segoe UI" w:cs="Segoe UI"/>
          <w:rtl/>
          <w:lang w:val="en-US"/>
        </w:rPr>
      </w:pPr>
    </w:p>
    <w:p w14:paraId="4671BF4B" w14:textId="5C1425A6" w:rsidR="00F76632" w:rsidRPr="00D200E6" w:rsidRDefault="00F76632" w:rsidP="00D95A69">
      <w:pPr>
        <w:pStyle w:val="2"/>
        <w:rPr>
          <w:rtl/>
        </w:rPr>
      </w:pPr>
      <w:bookmarkStart w:id="109" w:name="_Toc108218265"/>
      <w:r w:rsidRPr="00D200E6">
        <w:rPr>
          <w:rtl/>
        </w:rPr>
        <w:t>מטרות מרכזיות של בית המשפט הטיפולי/קהילתי</w:t>
      </w:r>
      <w:bookmarkEnd w:id="109"/>
    </w:p>
    <w:p w14:paraId="0BF54A3E" w14:textId="069140BB" w:rsidR="00F76632" w:rsidRPr="002B5182" w:rsidRDefault="00F76632" w:rsidP="00D95A69">
      <w:pPr>
        <w:pStyle w:val="ab"/>
        <w:numPr>
          <w:ilvl w:val="0"/>
          <w:numId w:val="103"/>
        </w:numPr>
        <w:bidi/>
        <w:spacing w:after="0" w:line="276" w:lineRule="auto"/>
        <w:jc w:val="both"/>
        <w:rPr>
          <w:rFonts w:ascii="Segoe UI" w:hAnsi="Segoe UI" w:cs="Segoe UI"/>
          <w:lang w:val="en-US"/>
        </w:rPr>
      </w:pPr>
      <w:r w:rsidRPr="002B5182">
        <w:rPr>
          <w:rFonts w:ascii="Segoe UI" w:hAnsi="Segoe UI" w:cs="Segoe UI"/>
          <w:rtl/>
          <w:lang w:val="en-US"/>
        </w:rPr>
        <w:t>הורדת פשיעה בעבירות קלות/בינוניות</w:t>
      </w:r>
    </w:p>
    <w:p w14:paraId="0D6CEB2D" w14:textId="0BC8B9E9" w:rsidR="00F76632" w:rsidRPr="002B5182" w:rsidRDefault="00F76632" w:rsidP="00D95A69">
      <w:pPr>
        <w:pStyle w:val="ab"/>
        <w:numPr>
          <w:ilvl w:val="0"/>
          <w:numId w:val="103"/>
        </w:numPr>
        <w:bidi/>
        <w:spacing w:after="0" w:line="276" w:lineRule="auto"/>
        <w:jc w:val="both"/>
        <w:rPr>
          <w:rFonts w:ascii="Segoe UI" w:hAnsi="Segoe UI" w:cs="Segoe UI"/>
          <w:lang w:val="en-US"/>
        </w:rPr>
      </w:pPr>
      <w:r w:rsidRPr="002B5182">
        <w:rPr>
          <w:rFonts w:ascii="Segoe UI" w:hAnsi="Segoe UI" w:cs="Segoe UI"/>
          <w:rtl/>
          <w:lang w:val="en-US"/>
        </w:rPr>
        <w:t>שיקום במובן הרחב</w:t>
      </w:r>
    </w:p>
    <w:p w14:paraId="2E90E6D4" w14:textId="31FC38C0" w:rsidR="00F76632" w:rsidRPr="002B5182" w:rsidRDefault="00F76632" w:rsidP="00D95A69">
      <w:pPr>
        <w:pStyle w:val="ab"/>
        <w:numPr>
          <w:ilvl w:val="0"/>
          <w:numId w:val="103"/>
        </w:numPr>
        <w:bidi/>
        <w:spacing w:after="0" w:line="276" w:lineRule="auto"/>
        <w:jc w:val="both"/>
        <w:rPr>
          <w:rFonts w:ascii="Segoe UI" w:hAnsi="Segoe UI" w:cs="Segoe UI"/>
          <w:lang w:val="en-US"/>
        </w:rPr>
      </w:pPr>
      <w:r w:rsidRPr="002B5182">
        <w:rPr>
          <w:rFonts w:ascii="Segoe UI" w:hAnsi="Segoe UI" w:cs="Segoe UI"/>
          <w:rtl/>
          <w:lang w:val="en-US"/>
        </w:rPr>
        <w:t>הגברת האמון במדינה</w:t>
      </w:r>
    </w:p>
    <w:p w14:paraId="3419E29C" w14:textId="0D4384B2" w:rsidR="00F76632" w:rsidRPr="002B5182" w:rsidRDefault="00F76632" w:rsidP="00D95A69">
      <w:pPr>
        <w:pStyle w:val="ab"/>
        <w:numPr>
          <w:ilvl w:val="0"/>
          <w:numId w:val="103"/>
        </w:numPr>
        <w:bidi/>
        <w:spacing w:after="0" w:line="276" w:lineRule="auto"/>
        <w:jc w:val="both"/>
        <w:rPr>
          <w:rFonts w:ascii="Segoe UI" w:hAnsi="Segoe UI" w:cs="Segoe UI"/>
          <w:lang w:val="en-US"/>
        </w:rPr>
      </w:pPr>
      <w:r w:rsidRPr="002B5182">
        <w:rPr>
          <w:rFonts w:ascii="Segoe UI" w:hAnsi="Segoe UI" w:cs="Segoe UI"/>
          <w:rtl/>
          <w:lang w:val="en-US"/>
        </w:rPr>
        <w:t>"שינוי שיח"</w:t>
      </w:r>
    </w:p>
    <w:p w14:paraId="72466A64" w14:textId="0256652A" w:rsidR="00F76632" w:rsidRDefault="00F76632" w:rsidP="00D95A69">
      <w:pPr>
        <w:bidi/>
        <w:spacing w:after="0" w:line="276" w:lineRule="auto"/>
        <w:jc w:val="both"/>
        <w:rPr>
          <w:rFonts w:ascii="Segoe UI" w:hAnsi="Segoe UI" w:cs="Segoe UI"/>
          <w:rtl/>
          <w:lang w:val="en-US"/>
        </w:rPr>
      </w:pPr>
    </w:p>
    <w:p w14:paraId="4773BA00" w14:textId="5477B2FE" w:rsidR="00B92A07" w:rsidRPr="00B272D6" w:rsidRDefault="00B92A07" w:rsidP="00D95A69">
      <w:pPr>
        <w:pStyle w:val="2"/>
        <w:rPr>
          <w:color w:val="7030A0"/>
          <w:rtl/>
        </w:rPr>
      </w:pPr>
      <w:bookmarkStart w:id="110" w:name="_Toc108218266"/>
      <w:r w:rsidRPr="00B272D6">
        <w:rPr>
          <w:rFonts w:hint="cs"/>
          <w:color w:val="7030A0"/>
          <w:rtl/>
        </w:rPr>
        <w:t>היקפי פעילות בית המשפט הקהילתי</w:t>
      </w:r>
      <w:bookmarkEnd w:id="110"/>
    </w:p>
    <w:p w14:paraId="67262CE2" w14:textId="764C5254" w:rsidR="00F76632" w:rsidRPr="00D200E6" w:rsidRDefault="00F76632" w:rsidP="00D95A69">
      <w:pPr>
        <w:bidi/>
        <w:spacing w:after="0" w:line="276" w:lineRule="auto"/>
        <w:jc w:val="both"/>
        <w:rPr>
          <w:rFonts w:ascii="Segoe UI" w:hAnsi="Segoe UI" w:cs="Segoe UI"/>
          <w:rtl/>
          <w:lang w:val="en-US"/>
        </w:rPr>
      </w:pPr>
      <w:r w:rsidRPr="00D200E6">
        <w:rPr>
          <w:rFonts w:ascii="Segoe UI" w:hAnsi="Segoe UI" w:cs="Segoe UI"/>
          <w:rtl/>
          <w:lang w:val="en-US"/>
        </w:rPr>
        <w:t xml:space="preserve">הפרויקט יצא לדרך במתכונת מצומצמת והחל לפעול בשני בתי משפט שלום בארץ – רמלה ובאר שבע. </w:t>
      </w:r>
    </w:p>
    <w:p w14:paraId="68FF619D" w14:textId="1A5C4AC4" w:rsidR="00F76632" w:rsidRPr="00D200E6" w:rsidRDefault="00F76632" w:rsidP="00D95A69">
      <w:pPr>
        <w:bidi/>
        <w:spacing w:after="0" w:line="276" w:lineRule="auto"/>
        <w:jc w:val="both"/>
        <w:rPr>
          <w:rFonts w:ascii="Segoe UI" w:hAnsi="Segoe UI" w:cs="Segoe UI"/>
          <w:rtl/>
          <w:lang w:val="en-US"/>
        </w:rPr>
      </w:pPr>
      <w:r w:rsidRPr="00D200E6">
        <w:rPr>
          <w:rFonts w:ascii="Segoe UI" w:hAnsi="Segoe UI" w:cs="Segoe UI"/>
          <w:rtl/>
          <w:lang w:val="en-US"/>
        </w:rPr>
        <w:t>באוגוסט 2016 החליטה הממשלה על הרחבת הפרויקט והורתה כי בתוך שנתיים יוקמו 4 בתי משפט נוספים – אחד בכל מחוז שיפוט במדינת ישראל</w:t>
      </w:r>
      <w:r w:rsidR="00D200E6" w:rsidRPr="00D200E6">
        <w:rPr>
          <w:rFonts w:ascii="Segoe UI" w:hAnsi="Segoe UI" w:cs="Segoe UI"/>
          <w:rtl/>
          <w:lang w:val="en-US"/>
        </w:rPr>
        <w:t xml:space="preserve"> [רחובות, לוד, חורה ודימונה].</w:t>
      </w:r>
    </w:p>
    <w:p w14:paraId="61AD023D" w14:textId="07C47A21" w:rsidR="00D200E6" w:rsidRPr="00D200E6" w:rsidRDefault="00D200E6" w:rsidP="00D95A69">
      <w:pPr>
        <w:bidi/>
        <w:spacing w:after="0" w:line="276" w:lineRule="auto"/>
        <w:jc w:val="both"/>
        <w:rPr>
          <w:rFonts w:ascii="Segoe UI" w:hAnsi="Segoe UI" w:cs="Segoe UI"/>
          <w:color w:val="7030A0"/>
          <w:rtl/>
          <w:lang w:val="en-US"/>
        </w:rPr>
      </w:pPr>
      <w:r w:rsidRPr="00D200E6">
        <w:rPr>
          <w:rFonts w:ascii="Segoe UI" w:hAnsi="Segoe UI" w:cs="Segoe UI"/>
          <w:color w:val="7030A0"/>
          <w:rtl/>
          <w:lang w:val="en-US"/>
        </w:rPr>
        <w:t>בשנת 2022 החליטה הממשלה על הרחבה נוספת של הפרויקט.</w:t>
      </w:r>
      <w:r w:rsidR="00FB3F1B">
        <w:rPr>
          <w:rFonts w:ascii="Segoe UI" w:hAnsi="Segoe UI" w:cs="Segoe UI" w:hint="cs"/>
          <w:color w:val="7030A0"/>
          <w:rtl/>
          <w:lang w:val="en-US"/>
        </w:rPr>
        <w:t xml:space="preserve"> לכל עיר בארץ. הבינו שמדובר בפרויקט שבאמת עוזר. בעצם יוכשרו עוד שופטים להיות שופטים קהילתיים. </w:t>
      </w:r>
    </w:p>
    <w:p w14:paraId="75BBE0A8" w14:textId="27BDCFD4" w:rsidR="00F76632" w:rsidRDefault="00F76632" w:rsidP="00D95A69">
      <w:pPr>
        <w:bidi/>
        <w:spacing w:after="0" w:line="276" w:lineRule="auto"/>
        <w:jc w:val="both"/>
        <w:rPr>
          <w:rtl/>
          <w:lang w:val="en-US"/>
        </w:rPr>
      </w:pPr>
    </w:p>
    <w:p w14:paraId="37DAB801" w14:textId="45C08E80" w:rsidR="00DE3969" w:rsidRPr="00DE3969" w:rsidRDefault="00DE3969" w:rsidP="00D95A69">
      <w:pPr>
        <w:pStyle w:val="110"/>
        <w:spacing w:line="276" w:lineRule="auto"/>
        <w:rPr>
          <w:rtl/>
        </w:rPr>
      </w:pPr>
      <w:r w:rsidRPr="00DE3969">
        <w:rPr>
          <w:rtl/>
        </w:rPr>
        <w:t>פילוח משתתפים בישראל</w:t>
      </w:r>
    </w:p>
    <w:p w14:paraId="5440DCE1" w14:textId="77777777" w:rsidR="00DE3969" w:rsidRPr="00DE3969" w:rsidRDefault="00DE3969" w:rsidP="00D95A69">
      <w:pPr>
        <w:bidi/>
        <w:spacing w:after="0" w:line="276" w:lineRule="auto"/>
        <w:jc w:val="both"/>
        <w:rPr>
          <w:rFonts w:ascii="Segoe UI" w:hAnsi="Segoe UI" w:cs="Segoe UI"/>
          <w:rtl/>
          <w:lang w:val="en-US"/>
        </w:rPr>
      </w:pPr>
      <w:r w:rsidRPr="00DE3969">
        <w:rPr>
          <w:rFonts w:ascii="Segoe UI" w:hAnsi="Segoe UI" w:cs="Segoe UI"/>
          <w:rtl/>
          <w:lang w:val="en-US"/>
        </w:rPr>
        <w:t>27% נשים</w:t>
      </w:r>
      <w:r>
        <w:rPr>
          <w:rFonts w:ascii="Segoe UI" w:hAnsi="Segoe UI" w:cs="Segoe UI" w:hint="cs"/>
          <w:rtl/>
          <w:lang w:val="en-US"/>
        </w:rPr>
        <w:t xml:space="preserve">; </w:t>
      </w:r>
      <w:r w:rsidRPr="00DE3969">
        <w:rPr>
          <w:rFonts w:ascii="Segoe UI" w:hAnsi="Segoe UI" w:cs="Segoe UI"/>
          <w:rtl/>
          <w:lang w:val="en-US"/>
        </w:rPr>
        <w:t>73% גברים</w:t>
      </w:r>
      <w:r>
        <w:rPr>
          <w:rFonts w:ascii="Segoe UI" w:hAnsi="Segoe UI" w:cs="Segoe UI" w:hint="cs"/>
          <w:rtl/>
          <w:lang w:val="en-US"/>
        </w:rPr>
        <w:t xml:space="preserve">; </w:t>
      </w:r>
      <w:r w:rsidRPr="00DE3969">
        <w:rPr>
          <w:rFonts w:ascii="Segoe UI" w:hAnsi="Segoe UI" w:cs="Segoe UI"/>
          <w:rtl/>
          <w:lang w:val="en-US"/>
        </w:rPr>
        <w:t>50% בעלי משפחות</w:t>
      </w:r>
    </w:p>
    <w:p w14:paraId="3011F76C" w14:textId="77777777" w:rsidR="00C82174" w:rsidRPr="00C82174" w:rsidRDefault="00C82174" w:rsidP="00D95A69">
      <w:pPr>
        <w:bidi/>
        <w:spacing w:after="0" w:line="276" w:lineRule="auto"/>
        <w:jc w:val="both"/>
        <w:rPr>
          <w:rFonts w:ascii="Segoe UI" w:hAnsi="Segoe UI" w:cs="Segoe UI"/>
          <w:lang w:val="en-US"/>
        </w:rPr>
      </w:pPr>
      <w:r w:rsidRPr="00C82174">
        <w:rPr>
          <w:rFonts w:ascii="Segoe UI" w:hAnsi="Segoe UI" w:cs="Segoe UI"/>
          <w:rtl/>
          <w:lang w:val="en-US"/>
        </w:rPr>
        <w:t>מחקר שנערך ב-2016 הראה את החלוקה הבאה:</w:t>
      </w:r>
    </w:p>
    <w:p w14:paraId="1D297BF5" w14:textId="77777777" w:rsidR="00495D74" w:rsidRPr="00C82174" w:rsidRDefault="00C82174" w:rsidP="00D95A69">
      <w:pPr>
        <w:bidi/>
        <w:spacing w:after="0" w:line="276" w:lineRule="auto"/>
        <w:jc w:val="both"/>
        <w:rPr>
          <w:rFonts w:ascii="Segoe UI" w:hAnsi="Segoe UI" w:cs="Segoe UI"/>
          <w:rtl/>
          <w:lang w:val="en-US"/>
        </w:rPr>
      </w:pPr>
      <w:r>
        <w:rPr>
          <w:rFonts w:ascii="Segoe UI" w:hAnsi="Segoe UI" w:cs="Segoe UI" w:hint="cs"/>
          <w:rtl/>
          <w:lang w:val="en-US"/>
        </w:rPr>
        <w:t>37%</w:t>
      </w:r>
      <w:r w:rsidRPr="00C82174">
        <w:rPr>
          <w:rFonts w:ascii="Segoe UI" w:hAnsi="Segoe UI" w:cs="Segoe UI"/>
          <w:rtl/>
          <w:lang w:val="en-US"/>
        </w:rPr>
        <w:t xml:space="preserve"> התמכרות לסמים</w:t>
      </w:r>
      <w:r>
        <w:rPr>
          <w:rFonts w:ascii="Segoe UI" w:hAnsi="Segoe UI" w:cs="Segoe UI" w:hint="cs"/>
          <w:rtl/>
          <w:lang w:val="en-US"/>
        </w:rPr>
        <w:t>; 16%</w:t>
      </w:r>
      <w:r w:rsidRPr="00C82174">
        <w:rPr>
          <w:rFonts w:ascii="Segoe UI" w:hAnsi="Segoe UI" w:cs="Segoe UI"/>
          <w:rtl/>
          <w:lang w:val="en-US"/>
        </w:rPr>
        <w:t xml:space="preserve"> בעיות נפשיות</w:t>
      </w:r>
      <w:r>
        <w:rPr>
          <w:rFonts w:ascii="Segoe UI" w:hAnsi="Segoe UI" w:cs="Segoe UI" w:hint="cs"/>
          <w:rtl/>
          <w:lang w:val="en-US"/>
        </w:rPr>
        <w:t>; 17%</w:t>
      </w:r>
      <w:r w:rsidRPr="00C82174">
        <w:rPr>
          <w:rFonts w:ascii="Segoe UI" w:hAnsi="Segoe UI" w:cs="Segoe UI"/>
          <w:rtl/>
          <w:lang w:val="en-US"/>
        </w:rPr>
        <w:t xml:space="preserve"> - בעיות של חוסר תמיכה</w:t>
      </w:r>
      <w:r>
        <w:rPr>
          <w:rFonts w:ascii="Segoe UI" w:hAnsi="Segoe UI" w:cs="Segoe UI" w:hint="cs"/>
          <w:rtl/>
          <w:lang w:val="en-US"/>
        </w:rPr>
        <w:t xml:space="preserve">; 7% </w:t>
      </w:r>
      <w:r w:rsidRPr="00C82174">
        <w:rPr>
          <w:rFonts w:ascii="Segoe UI" w:hAnsi="Segoe UI" w:cs="Segoe UI"/>
          <w:rtl/>
          <w:lang w:val="en-US"/>
        </w:rPr>
        <w:t>- בעיות עוני</w:t>
      </w:r>
      <w:r>
        <w:rPr>
          <w:rFonts w:ascii="Segoe UI" w:hAnsi="Segoe UI" w:cs="Segoe UI" w:hint="cs"/>
          <w:rtl/>
          <w:lang w:val="en-US"/>
        </w:rPr>
        <w:t xml:space="preserve">; </w:t>
      </w:r>
      <w:r w:rsidR="00495D74">
        <w:rPr>
          <w:rFonts w:ascii="Segoe UI" w:hAnsi="Segoe UI" w:cs="Segoe UI" w:hint="cs"/>
          <w:rtl/>
          <w:lang w:val="en-US"/>
        </w:rPr>
        <w:t>11%</w:t>
      </w:r>
      <w:r w:rsidR="00495D74" w:rsidRPr="00C82174">
        <w:rPr>
          <w:rFonts w:ascii="Segoe UI" w:hAnsi="Segoe UI" w:cs="Segoe UI"/>
          <w:rtl/>
          <w:lang w:val="en-US"/>
        </w:rPr>
        <w:t xml:space="preserve"> - בעיות אופי/יציבות רגשית</w:t>
      </w:r>
    </w:p>
    <w:p w14:paraId="3E148969" w14:textId="5B8532BB" w:rsidR="00C82174" w:rsidRPr="00C82174" w:rsidRDefault="00C82174" w:rsidP="00D95A69">
      <w:pPr>
        <w:bidi/>
        <w:spacing w:after="0" w:line="276" w:lineRule="auto"/>
        <w:jc w:val="both"/>
        <w:rPr>
          <w:rFonts w:ascii="Segoe UI" w:hAnsi="Segoe UI" w:cs="Segoe UI"/>
          <w:rtl/>
          <w:lang w:val="en-US"/>
        </w:rPr>
      </w:pPr>
    </w:p>
    <w:p w14:paraId="268E7FEA" w14:textId="789F527E" w:rsidR="000661CA" w:rsidRPr="00DE3969" w:rsidRDefault="000661CA" w:rsidP="00D95A69">
      <w:pPr>
        <w:pStyle w:val="110"/>
        <w:spacing w:line="276" w:lineRule="auto"/>
        <w:rPr>
          <w:rtl/>
        </w:rPr>
      </w:pPr>
      <w:r>
        <w:rPr>
          <w:rFonts w:hint="cs"/>
          <w:rtl/>
        </w:rPr>
        <w:t>מה כולל ביהמ"ש הקהילתי?</w:t>
      </w:r>
    </w:p>
    <w:p w14:paraId="026B5113" w14:textId="35A7A72F" w:rsidR="00766AAA" w:rsidRDefault="00DE3969" w:rsidP="00D95A69">
      <w:pPr>
        <w:bidi/>
        <w:spacing w:after="0" w:line="276" w:lineRule="auto"/>
        <w:jc w:val="both"/>
        <w:rPr>
          <w:rFonts w:ascii="Segoe UI" w:hAnsi="Segoe UI" w:cs="Segoe UI"/>
          <w:rtl/>
          <w:lang w:val="en-US"/>
        </w:rPr>
      </w:pPr>
      <w:r>
        <w:rPr>
          <w:rFonts w:ascii="Segoe UI" w:hAnsi="Segoe UI" w:cs="Segoe UI" w:hint="cs"/>
          <w:rtl/>
          <w:lang w:val="en-US"/>
        </w:rPr>
        <w:t xml:space="preserve">הענישה בבית המשפט הקהילתי כוללת פעמים רבות רכיב של </w:t>
      </w:r>
      <w:r>
        <w:rPr>
          <w:rFonts w:ascii="Segoe UI" w:hAnsi="Segoe UI" w:cs="Segoe UI" w:hint="cs"/>
          <w:b/>
          <w:bCs/>
          <w:rtl/>
          <w:lang w:val="en-US"/>
        </w:rPr>
        <w:t>השבה לקהילה שנפגעה</w:t>
      </w:r>
      <w:r>
        <w:rPr>
          <w:rFonts w:ascii="Segoe UI" w:hAnsi="Segoe UI" w:cs="Segoe UI" w:hint="cs"/>
          <w:rtl/>
          <w:lang w:val="en-US"/>
        </w:rPr>
        <w:t xml:space="preserve"> ובמקביל מסתמכת על משאבי הקהילה ומעודדת את הנגשתם, בדמות הפנייתם של נאשמים לתוכניות גמילה, שיקום ושירותי רווחה.</w:t>
      </w:r>
    </w:p>
    <w:p w14:paraId="7BC5802D" w14:textId="62D330D6" w:rsidR="00DE3969" w:rsidRDefault="00DE3969" w:rsidP="00D95A69">
      <w:pPr>
        <w:bidi/>
        <w:spacing w:after="0" w:line="276" w:lineRule="auto"/>
        <w:jc w:val="both"/>
        <w:rPr>
          <w:rFonts w:ascii="Segoe UI" w:hAnsi="Segoe UI" w:cs="Segoe UI"/>
          <w:rtl/>
          <w:lang w:val="en-US"/>
        </w:rPr>
      </w:pPr>
    </w:p>
    <w:p w14:paraId="5B05708F" w14:textId="3BF43862" w:rsidR="00DE3969" w:rsidRPr="002B5182" w:rsidRDefault="000661CA" w:rsidP="00D95A69">
      <w:pPr>
        <w:pStyle w:val="2"/>
        <w:rPr>
          <w:rtl/>
        </w:rPr>
      </w:pPr>
      <w:bookmarkStart w:id="111" w:name="_Toc108218267"/>
      <w:r w:rsidRPr="002B5182">
        <w:rPr>
          <w:rFonts w:hint="cs"/>
          <w:rtl/>
        </w:rPr>
        <w:t>הרקע להקמת ביהמ"ש הקהילתי</w:t>
      </w:r>
      <w:bookmarkEnd w:id="111"/>
    </w:p>
    <w:p w14:paraId="53E5C15C" w14:textId="77777777" w:rsidR="000661CA" w:rsidRPr="002B5182" w:rsidRDefault="000661CA" w:rsidP="00D95A69">
      <w:pPr>
        <w:pStyle w:val="ab"/>
        <w:numPr>
          <w:ilvl w:val="0"/>
          <w:numId w:val="102"/>
        </w:numPr>
        <w:bidi/>
        <w:spacing w:after="0" w:line="276" w:lineRule="auto"/>
        <w:jc w:val="both"/>
        <w:rPr>
          <w:rFonts w:ascii="Segoe UI" w:hAnsi="Segoe UI" w:cs="Segoe UI"/>
          <w:lang w:val="en-US"/>
        </w:rPr>
      </w:pPr>
      <w:r w:rsidRPr="002B5182">
        <w:rPr>
          <w:rFonts w:ascii="Segoe UI" w:hAnsi="Segoe UI" w:cs="Segoe UI"/>
          <w:rtl/>
          <w:lang w:val="en-ZW"/>
        </w:rPr>
        <w:t>שיעור העבריינות החוזרת בישראל עומד על כ-%42. (מגדר/סוג עבירה/מרחק משחרור מהכלא)</w:t>
      </w:r>
    </w:p>
    <w:p w14:paraId="3037C402" w14:textId="77777777" w:rsidR="000661CA" w:rsidRPr="002B5182" w:rsidRDefault="000661CA" w:rsidP="00D95A69">
      <w:pPr>
        <w:pStyle w:val="ab"/>
        <w:numPr>
          <w:ilvl w:val="0"/>
          <w:numId w:val="102"/>
        </w:numPr>
        <w:bidi/>
        <w:spacing w:after="0" w:line="276" w:lineRule="auto"/>
        <w:jc w:val="both"/>
        <w:rPr>
          <w:rFonts w:ascii="Segoe UI" w:hAnsi="Segoe UI" w:cs="Segoe UI"/>
          <w:rtl/>
          <w:lang w:val="en-ZW"/>
        </w:rPr>
      </w:pPr>
      <w:r w:rsidRPr="002B5182">
        <w:rPr>
          <w:rFonts w:ascii="Segoe UI" w:hAnsi="Segoe UI" w:cs="Segoe UI"/>
          <w:rtl/>
          <w:lang w:val="en-ZW"/>
        </w:rPr>
        <w:t xml:space="preserve">בקרב צעירים עד גיל 18 שיעור זה גבוה בהרבה ועומד על כ-73%. </w:t>
      </w:r>
    </w:p>
    <w:p w14:paraId="6667558B" w14:textId="77777777" w:rsidR="000661CA" w:rsidRPr="002B5182" w:rsidRDefault="000661CA" w:rsidP="00D95A69">
      <w:pPr>
        <w:pStyle w:val="ab"/>
        <w:numPr>
          <w:ilvl w:val="0"/>
          <w:numId w:val="102"/>
        </w:numPr>
        <w:bidi/>
        <w:spacing w:after="0" w:line="276" w:lineRule="auto"/>
        <w:jc w:val="both"/>
        <w:rPr>
          <w:rFonts w:ascii="Segoe UI" w:hAnsi="Segoe UI" w:cs="Segoe UI"/>
          <w:rtl/>
          <w:lang w:val="en-ZW"/>
        </w:rPr>
      </w:pPr>
      <w:r w:rsidRPr="002B5182">
        <w:rPr>
          <w:rFonts w:ascii="Segoe UI" w:hAnsi="Segoe UI" w:cs="Segoe UI"/>
          <w:rtl/>
          <w:lang w:val="en-ZW"/>
        </w:rPr>
        <w:t xml:space="preserve">נתונים אלה מצביעים על קושי ממשי בהתמודדות עם תופעות של </w:t>
      </w:r>
      <w:r w:rsidRPr="002B5182">
        <w:rPr>
          <w:rFonts w:ascii="Segoe UI" w:hAnsi="Segoe UI" w:cs="Segoe UI"/>
          <w:b/>
          <w:bCs/>
          <w:rtl/>
          <w:lang w:val="en-ZW"/>
        </w:rPr>
        <w:t>פשיעה קלה ובינונית,</w:t>
      </w:r>
      <w:r w:rsidRPr="002B5182">
        <w:rPr>
          <w:rFonts w:ascii="Segoe UI" w:hAnsi="Segoe UI" w:cs="Segoe UI"/>
          <w:rtl/>
          <w:lang w:val="en-ZW"/>
        </w:rPr>
        <w:t xml:space="preserve"> המשפיעה על תחושת הביטחון בקהילה ומצביעה על הקושי הרב של עוברי חוק לצאת ממעגל הפשיעה ולהשתקם. </w:t>
      </w:r>
    </w:p>
    <w:p w14:paraId="6AAC8A78" w14:textId="77777777" w:rsidR="002B5182" w:rsidRPr="002B5182" w:rsidRDefault="000661CA" w:rsidP="00D95A69">
      <w:pPr>
        <w:pStyle w:val="ab"/>
        <w:numPr>
          <w:ilvl w:val="0"/>
          <w:numId w:val="102"/>
        </w:numPr>
        <w:bidi/>
        <w:spacing w:after="0" w:line="276" w:lineRule="auto"/>
        <w:jc w:val="both"/>
        <w:rPr>
          <w:rFonts w:ascii="Segoe UI" w:hAnsi="Segoe UI" w:cs="Segoe UI"/>
          <w:lang w:val="en-ZW"/>
        </w:rPr>
      </w:pPr>
      <w:r w:rsidRPr="002B5182">
        <w:rPr>
          <w:rFonts w:ascii="Segoe UI" w:hAnsi="Segoe UI" w:cs="Segoe UI"/>
          <w:rtl/>
          <w:lang w:val="en-ZW"/>
        </w:rPr>
        <w:t>קושי זה ורמת החזרה לפשיעה נובעים בעיקר מבעיות של עוני, הדרה, לקויות לא מטופלות, ועוד.</w:t>
      </w:r>
    </w:p>
    <w:p w14:paraId="25E216BD" w14:textId="77777777" w:rsidR="002B5182" w:rsidRPr="002B5182" w:rsidRDefault="002B5182" w:rsidP="00D95A69">
      <w:pPr>
        <w:pStyle w:val="ab"/>
        <w:numPr>
          <w:ilvl w:val="0"/>
          <w:numId w:val="102"/>
        </w:numPr>
        <w:bidi/>
        <w:spacing w:after="0" w:line="276" w:lineRule="auto"/>
        <w:jc w:val="both"/>
        <w:rPr>
          <w:rFonts w:ascii="Segoe UI" w:hAnsi="Segoe UI" w:cs="Segoe UI"/>
          <w:lang w:val="en-ZW"/>
        </w:rPr>
      </w:pPr>
      <w:r w:rsidRPr="002B5182">
        <w:rPr>
          <w:rFonts w:ascii="Segoe UI" w:hAnsi="Segoe UI" w:cs="Segoe UI"/>
          <w:rtl/>
          <w:lang w:val="en-ZW"/>
        </w:rPr>
        <w:t xml:space="preserve">לצד ההשלכות האישיות, לתופעה גם השלכות כלכליות. </w:t>
      </w:r>
    </w:p>
    <w:p w14:paraId="589A6AD4" w14:textId="77777777" w:rsidR="002B5182" w:rsidRPr="002B5182" w:rsidRDefault="002B5182" w:rsidP="00D95A69">
      <w:pPr>
        <w:pStyle w:val="ab"/>
        <w:numPr>
          <w:ilvl w:val="0"/>
          <w:numId w:val="102"/>
        </w:numPr>
        <w:bidi/>
        <w:spacing w:after="0" w:line="276" w:lineRule="auto"/>
        <w:jc w:val="both"/>
        <w:rPr>
          <w:rFonts w:ascii="Segoe UI" w:hAnsi="Segoe UI" w:cs="Segoe UI"/>
          <w:lang w:val="en-ZW"/>
        </w:rPr>
      </w:pPr>
      <w:r w:rsidRPr="002B5182">
        <w:rPr>
          <w:rFonts w:ascii="Segoe UI" w:hAnsi="Segoe UI" w:cs="Segoe UI"/>
          <w:rtl/>
          <w:lang w:val="en-ZW"/>
        </w:rPr>
        <w:t xml:space="preserve">מניעת חזרה של אסיר בודד לפשע, חיסכון במתקני כליאה, מניעת נזקי פשיעה וכדומה הוא בערך 3.1 מיליון שקל. </w:t>
      </w:r>
    </w:p>
    <w:p w14:paraId="73DA5377" w14:textId="204D82AA" w:rsidR="002B5182" w:rsidRPr="002B5182" w:rsidRDefault="002B5182" w:rsidP="00D95A69">
      <w:pPr>
        <w:pStyle w:val="ab"/>
        <w:numPr>
          <w:ilvl w:val="0"/>
          <w:numId w:val="102"/>
        </w:numPr>
        <w:bidi/>
        <w:spacing w:after="0" w:line="276" w:lineRule="auto"/>
        <w:jc w:val="both"/>
        <w:rPr>
          <w:rFonts w:ascii="Segoe UI" w:hAnsi="Segoe UI" w:cs="Segoe UI"/>
          <w:rtl/>
          <w:lang w:val="en-ZW"/>
        </w:rPr>
      </w:pPr>
      <w:r w:rsidRPr="002B5182">
        <w:rPr>
          <w:rFonts w:ascii="Segoe UI" w:hAnsi="Segoe UI" w:cs="Segoe UI"/>
          <w:rtl/>
          <w:lang w:val="en-ZW"/>
        </w:rPr>
        <w:lastRenderedPageBreak/>
        <w:t xml:space="preserve">ערך חברתי - המדינה אימצה את </w:t>
      </w:r>
      <w:r w:rsidRPr="00BB6CA1">
        <w:rPr>
          <w:rFonts w:ascii="Segoe UI" w:hAnsi="Segoe UI" w:cs="Segoe UI"/>
          <w:highlight w:val="yellow"/>
          <w:rtl/>
          <w:lang w:val="en-ZW"/>
        </w:rPr>
        <w:t>דוח דורנר</w:t>
      </w:r>
      <w:r w:rsidRPr="002B5182">
        <w:rPr>
          <w:rFonts w:ascii="Segoe UI" w:hAnsi="Segoe UI" w:cs="Segoe UI"/>
          <w:rtl/>
          <w:lang w:val="en-ZW"/>
        </w:rPr>
        <w:t xml:space="preserve"> "לבחינת מדיניות הענישה והטיפול בעבריינים" ולהניף את דגל השיקום כאינטרס חברתי-כלכלי ראשון במעלה, תוך תקצוב ופיתוח דרכי חשיבה ופעילות חדשנית.</w:t>
      </w:r>
    </w:p>
    <w:p w14:paraId="6BEF05C7" w14:textId="77777777" w:rsidR="000661CA" w:rsidRPr="002B5182" w:rsidRDefault="000661CA" w:rsidP="00D95A69">
      <w:pPr>
        <w:bidi/>
        <w:spacing w:after="0" w:line="276" w:lineRule="auto"/>
        <w:jc w:val="both"/>
        <w:rPr>
          <w:rFonts w:ascii="Segoe UI" w:hAnsi="Segoe UI" w:cs="Segoe UI"/>
          <w:rtl/>
          <w:lang w:val="en-ZW"/>
        </w:rPr>
      </w:pPr>
    </w:p>
    <w:p w14:paraId="26B6C435" w14:textId="711C44B0" w:rsidR="002B5182" w:rsidRDefault="002B5182" w:rsidP="00D95A69">
      <w:pPr>
        <w:pStyle w:val="2"/>
        <w:rPr>
          <w:rtl/>
        </w:rPr>
      </w:pPr>
      <w:bookmarkStart w:id="112" w:name="_Toc108218268"/>
      <w:r>
        <w:rPr>
          <w:rFonts w:hint="cs"/>
          <w:rtl/>
        </w:rPr>
        <w:t>השוואה לארה"ב</w:t>
      </w:r>
      <w:bookmarkEnd w:id="112"/>
    </w:p>
    <w:p w14:paraId="08188FD7" w14:textId="786FA66A" w:rsidR="00BB6CA1" w:rsidRDefault="00BB6CA1" w:rsidP="00D95A69">
      <w:pPr>
        <w:bidi/>
        <w:spacing w:after="0" w:line="276" w:lineRule="auto"/>
        <w:jc w:val="both"/>
        <w:rPr>
          <w:rFonts w:ascii="Segoe UI" w:hAnsi="Segoe UI" w:cs="Segoe UI"/>
          <w:color w:val="7030A0"/>
          <w:rtl/>
          <w:lang w:val="en-ZW"/>
        </w:rPr>
      </w:pPr>
      <w:r>
        <w:rPr>
          <w:rFonts w:ascii="Segoe UI" w:hAnsi="Segoe UI" w:cs="Segoe UI" w:hint="cs"/>
          <w:color w:val="7030A0"/>
          <w:rtl/>
          <w:lang w:val="en-ZW"/>
        </w:rPr>
        <w:t xml:space="preserve">מדינת ישראל לא המציאה את הגלגל. בית משפט קהילתי החל בארה"ב. בעיקר בנוגע לטיפול בשכונות שמלאות בסמים. </w:t>
      </w:r>
    </w:p>
    <w:p w14:paraId="4CD7E4AB" w14:textId="5972118F" w:rsidR="002B5182" w:rsidRPr="002B5182" w:rsidRDefault="002B5182" w:rsidP="00D95A69">
      <w:pPr>
        <w:bidi/>
        <w:spacing w:after="0" w:line="276" w:lineRule="auto"/>
        <w:jc w:val="both"/>
        <w:rPr>
          <w:rFonts w:ascii="Segoe UI" w:hAnsi="Segoe UI" w:cs="Segoe UI"/>
          <w:color w:val="7030A0"/>
          <w:lang w:val="en-ZW"/>
        </w:rPr>
      </w:pPr>
      <w:r w:rsidRPr="002B5182">
        <w:rPr>
          <w:rFonts w:ascii="Segoe UI" w:hAnsi="Segoe UI" w:cs="Segoe UI"/>
          <w:rtl/>
          <w:lang w:val="en-ZW"/>
        </w:rPr>
        <w:t xml:space="preserve">בית-המשפט פותר הבעיות הראשון לענייני עבירות סמים הוקם בארצות הברית בשנת 1989 ,וכיום פועלים בארה"ב למעלה </w:t>
      </w:r>
      <w:r w:rsidRPr="002B5182">
        <w:rPr>
          <w:rFonts w:ascii="Segoe UI" w:hAnsi="Segoe UI" w:cs="Segoe UI"/>
          <w:b/>
          <w:bCs/>
          <w:rtl/>
          <w:lang w:val="en-ZW"/>
        </w:rPr>
        <w:t>מארבעת אלפים בתי-משפט פותרי בעיות הפועלים בנושאים שונים -</w:t>
      </w:r>
      <w:r w:rsidRPr="002B5182">
        <w:rPr>
          <w:rFonts w:ascii="Segoe UI" w:hAnsi="Segoe UI" w:cs="Segoe UI"/>
          <w:rtl/>
          <w:lang w:val="en-ZW"/>
        </w:rPr>
        <w:t xml:space="preserve"> בתי-משפט לסמים (המודל הנפוץ ביותר), בתי-משפט לטיפול באלימות במשפחה, בתי-משפט לטיפול בעבירות שבוצעו על ידי נפגעי נפש, בתי-משפט לטיפול בזנות.</w:t>
      </w:r>
    </w:p>
    <w:p w14:paraId="2323DE5F" w14:textId="6E501CA0" w:rsidR="000661CA" w:rsidRDefault="000661CA" w:rsidP="00D95A69">
      <w:pPr>
        <w:bidi/>
        <w:spacing w:after="0" w:line="276" w:lineRule="auto"/>
        <w:jc w:val="both"/>
        <w:rPr>
          <w:rFonts w:ascii="Segoe UI" w:hAnsi="Segoe UI" w:cs="Segoe UI"/>
          <w:rtl/>
          <w:lang w:val="en-US"/>
        </w:rPr>
      </w:pPr>
    </w:p>
    <w:p w14:paraId="12672A87" w14:textId="586EA527" w:rsidR="00BB6CA1" w:rsidRDefault="00BB6CA1" w:rsidP="00D95A69">
      <w:pPr>
        <w:pStyle w:val="110"/>
        <w:spacing w:line="276" w:lineRule="auto"/>
        <w:rPr>
          <w:rtl/>
        </w:rPr>
      </w:pPr>
      <w:r>
        <w:rPr>
          <w:rFonts w:hint="cs"/>
          <w:rtl/>
        </w:rPr>
        <w:t>הנחת היסוד של ביהמ"ש הקהילתי</w:t>
      </w:r>
    </w:p>
    <w:p w14:paraId="6C2D908E" w14:textId="77777777" w:rsidR="00BB6CA1" w:rsidRPr="00BB6CA1" w:rsidRDefault="00BB6CA1" w:rsidP="00D95A69">
      <w:pPr>
        <w:bidi/>
        <w:spacing w:after="0" w:line="276" w:lineRule="auto"/>
        <w:jc w:val="both"/>
        <w:rPr>
          <w:rFonts w:ascii="Segoe UI" w:hAnsi="Segoe UI" w:cs="Segoe UI"/>
          <w:lang w:val="en-US"/>
        </w:rPr>
      </w:pPr>
      <w:r w:rsidRPr="00BB6CA1">
        <w:rPr>
          <w:rFonts w:ascii="Segoe UI" w:hAnsi="Segoe UI" w:cs="Segoe UI"/>
          <w:rtl/>
          <w:lang w:val="en-ZW"/>
        </w:rPr>
        <w:t xml:space="preserve">הנחת היסוד של מודל בית-המשפט הקהילתי נשענת על התפיסה הרעיונית של בתי-המשפט "פותרי- הבעיות" שאומצו בשנים האחרונות במרבית מדינות המשפט </w:t>
      </w:r>
      <w:proofErr w:type="spellStart"/>
      <w:r w:rsidRPr="00BB6CA1">
        <w:rPr>
          <w:rFonts w:ascii="Segoe UI" w:hAnsi="Segoe UI" w:cs="Segoe UI"/>
          <w:rtl/>
          <w:lang w:val="en-ZW"/>
        </w:rPr>
        <w:t>האנגלו</w:t>
      </w:r>
      <w:proofErr w:type="spellEnd"/>
      <w:r w:rsidRPr="00BB6CA1">
        <w:rPr>
          <w:rFonts w:ascii="Segoe UI" w:hAnsi="Segoe UI" w:cs="Segoe UI"/>
          <w:rtl/>
          <w:lang w:val="en-ZW"/>
        </w:rPr>
        <w:t xml:space="preserve">-אמריקני. </w:t>
      </w:r>
    </w:p>
    <w:p w14:paraId="2B0F8C7A" w14:textId="77777777" w:rsidR="00BB6CA1" w:rsidRPr="00BB6CA1" w:rsidRDefault="00BB6CA1" w:rsidP="00D95A69">
      <w:pPr>
        <w:bidi/>
        <w:spacing w:after="0" w:line="276" w:lineRule="auto"/>
        <w:jc w:val="both"/>
        <w:rPr>
          <w:rFonts w:ascii="Segoe UI" w:hAnsi="Segoe UI" w:cs="Segoe UI"/>
          <w:rtl/>
          <w:lang w:val="en-ZW"/>
        </w:rPr>
      </w:pPr>
      <w:r w:rsidRPr="00BB6CA1">
        <w:rPr>
          <w:rFonts w:ascii="Segoe UI" w:hAnsi="Segoe UI" w:cs="Segoe UI"/>
          <w:rtl/>
          <w:lang w:val="en-ZW"/>
        </w:rPr>
        <w:t xml:space="preserve">לפי תפיסה זו, חלק ניכר מהעבירות הפליליות מתבצעות על רקע </w:t>
      </w:r>
      <w:r w:rsidRPr="00BB6CA1">
        <w:rPr>
          <w:rFonts w:ascii="Segoe UI" w:hAnsi="Segoe UI" w:cs="Segoe UI"/>
          <w:b/>
          <w:bCs/>
          <w:rtl/>
          <w:lang w:val="en-ZW"/>
        </w:rPr>
        <w:t>בעיות חברתיות-כלכליות</w:t>
      </w:r>
      <w:r w:rsidRPr="00BB6CA1">
        <w:rPr>
          <w:rFonts w:ascii="Segoe UI" w:hAnsi="Segoe UI" w:cs="Segoe UI"/>
          <w:rtl/>
          <w:lang w:val="en-ZW"/>
        </w:rPr>
        <w:t>, שמובילות במקרים רבים לעבריינות חוזרת.</w:t>
      </w:r>
    </w:p>
    <w:p w14:paraId="0E8CE596" w14:textId="77777777" w:rsidR="00BB6CA1" w:rsidRPr="00BB6CA1" w:rsidRDefault="00BB6CA1" w:rsidP="00D95A69">
      <w:pPr>
        <w:bidi/>
        <w:spacing w:after="0" w:line="276" w:lineRule="auto"/>
        <w:jc w:val="both"/>
        <w:rPr>
          <w:rFonts w:ascii="Segoe UI" w:hAnsi="Segoe UI" w:cs="Segoe UI"/>
          <w:rtl/>
          <w:lang w:val="en-ZW"/>
        </w:rPr>
      </w:pPr>
      <w:r w:rsidRPr="00BB6CA1">
        <w:rPr>
          <w:rFonts w:ascii="Segoe UI" w:hAnsi="Segoe UI" w:cs="Segoe UI"/>
          <w:rtl/>
          <w:lang w:val="en-ZW"/>
        </w:rPr>
        <w:t>המקור - החל משנות התשעים החלו להתפתח בארצות-הברית בתי-משפט ייחודיים המיועדים לתת פתרון לבעיות נאשמים, נפגעי עבירה ולקהילות הסובלות מרף גבוה של פשיעה.</w:t>
      </w:r>
    </w:p>
    <w:p w14:paraId="27C2A1F6" w14:textId="17D2A16A" w:rsidR="00BB6CA1" w:rsidRDefault="00BB6CA1" w:rsidP="00D95A69">
      <w:pPr>
        <w:bidi/>
        <w:spacing w:after="0" w:line="276" w:lineRule="auto"/>
        <w:jc w:val="both"/>
        <w:rPr>
          <w:rFonts w:ascii="Segoe UI" w:hAnsi="Segoe UI" w:cs="Segoe UI"/>
          <w:rtl/>
          <w:lang w:val="en-ZW"/>
        </w:rPr>
      </w:pPr>
    </w:p>
    <w:p w14:paraId="63B896E7" w14:textId="7267C6E8" w:rsidR="00F07EED" w:rsidRPr="00F07EED" w:rsidRDefault="00F07EED" w:rsidP="00D95A69">
      <w:pPr>
        <w:bidi/>
        <w:spacing w:after="0" w:line="276" w:lineRule="auto"/>
        <w:jc w:val="both"/>
        <w:rPr>
          <w:rFonts w:ascii="Segoe UI" w:hAnsi="Segoe UI" w:cs="Segoe UI"/>
          <w:rtl/>
          <w:lang w:val="en-US"/>
        </w:rPr>
      </w:pPr>
      <w:r w:rsidRPr="00F07EED">
        <w:rPr>
          <w:rFonts w:ascii="Segoe UI" w:hAnsi="Segoe UI" w:cs="Segoe UI"/>
          <w:rtl/>
          <w:lang w:val="en-ZW"/>
        </w:rPr>
        <w:t xml:space="preserve">נקראו בשם "בתי-משפט פותרי בעיות </w:t>
      </w:r>
      <w:r w:rsidRPr="00F07EED">
        <w:rPr>
          <w:rFonts w:ascii="Segoe UI" w:hAnsi="Segoe UI" w:cs="Segoe UI"/>
          <w:lang w:val="en-US"/>
        </w:rPr>
        <w:t>Problem Solving Courts</w:t>
      </w:r>
      <w:r w:rsidR="008E3622">
        <w:rPr>
          <w:rFonts w:ascii="Segoe UI" w:hAnsi="Segoe UI" w:cs="Segoe UI" w:hint="cs"/>
          <w:rtl/>
          <w:lang w:val="en-US"/>
        </w:rPr>
        <w:t xml:space="preserve">; </w:t>
      </w:r>
      <w:r w:rsidRPr="00F07EED">
        <w:rPr>
          <w:rFonts w:ascii="Segoe UI" w:hAnsi="Segoe UI" w:cs="Segoe UI"/>
          <w:rtl/>
          <w:lang w:val="en-ZW"/>
        </w:rPr>
        <w:t xml:space="preserve">מדובר בבתי-משפט שלום שנועדו להתמודד  עם תופעת הפשיעה הלא חמורה. </w:t>
      </w:r>
    </w:p>
    <w:p w14:paraId="14B7948E" w14:textId="794F0411" w:rsidR="00F07EED" w:rsidRPr="00F07EED" w:rsidRDefault="00F07EED" w:rsidP="00D95A69">
      <w:pPr>
        <w:bidi/>
        <w:spacing w:after="0" w:line="276" w:lineRule="auto"/>
        <w:jc w:val="both"/>
        <w:rPr>
          <w:rFonts w:ascii="Segoe UI" w:hAnsi="Segoe UI" w:cs="Segoe UI"/>
          <w:rtl/>
          <w:lang w:val="en-ZW"/>
        </w:rPr>
      </w:pPr>
      <w:r w:rsidRPr="00F07EED">
        <w:rPr>
          <w:rFonts w:ascii="Segoe UI" w:hAnsi="Segoe UI" w:cs="Segoe UI"/>
          <w:rtl/>
          <w:lang w:val="en-ZW"/>
        </w:rPr>
        <w:t xml:space="preserve">עבריינות חוזרת </w:t>
      </w:r>
      <w:r w:rsidR="008E3622">
        <w:rPr>
          <w:rFonts w:ascii="Segoe UI" w:hAnsi="Segoe UI" w:cs="Segoe UI" w:hint="cs"/>
          <w:rtl/>
          <w:lang w:val="en-ZW"/>
        </w:rPr>
        <w:t>ותופעת</w:t>
      </w:r>
      <w:r w:rsidRPr="00F07EED">
        <w:rPr>
          <w:rFonts w:ascii="Segoe UI" w:hAnsi="Segoe UI" w:cs="Segoe UI"/>
          <w:rtl/>
          <w:lang w:val="en-ZW"/>
        </w:rPr>
        <w:t xml:space="preserve"> "הדלת המסתובבת", במסגרתה עוברי חוק רבים</w:t>
      </w:r>
      <w:r w:rsidR="006153F2">
        <w:rPr>
          <w:rFonts w:ascii="Segoe UI" w:hAnsi="Segoe UI" w:cs="Segoe UI" w:hint="cs"/>
          <w:rtl/>
          <w:lang w:val="en-ZW"/>
        </w:rPr>
        <w:t xml:space="preserve"> </w:t>
      </w:r>
      <w:r w:rsidRPr="00F07EED">
        <w:rPr>
          <w:rFonts w:ascii="Segoe UI" w:hAnsi="Segoe UI" w:cs="Segoe UI"/>
          <w:rtl/>
          <w:lang w:val="en-ZW"/>
        </w:rPr>
        <w:t>שבים ומבצעים עבירות נוספות אחרי שחרורם</w:t>
      </w:r>
      <w:r w:rsidR="008E3622">
        <w:rPr>
          <w:rFonts w:ascii="Segoe UI" w:hAnsi="Segoe UI" w:cs="Segoe UI" w:hint="cs"/>
          <w:rtl/>
          <w:lang w:val="en-ZW"/>
        </w:rPr>
        <w:t xml:space="preserve"> - </w:t>
      </w:r>
      <w:r w:rsidRPr="00F07EED">
        <w:rPr>
          <w:rFonts w:ascii="Segoe UI" w:hAnsi="Segoe UI" w:cs="Segoe UI"/>
          <w:rtl/>
          <w:lang w:val="en-ZW"/>
        </w:rPr>
        <w:t xml:space="preserve">תופעה זו מובילה להטלת עונשים מחמירים יותר, הגורמים גם הם להעמקת הדפוסים העברייניים. </w:t>
      </w:r>
      <w:r w:rsidR="008E3622">
        <w:rPr>
          <w:rFonts w:ascii="Segoe UI" w:hAnsi="Segoe UI" w:cs="Segoe UI" w:hint="cs"/>
          <w:rtl/>
          <w:lang w:val="en-ZW"/>
        </w:rPr>
        <w:t xml:space="preserve"> </w:t>
      </w:r>
      <w:r w:rsidRPr="00F07EED">
        <w:rPr>
          <w:rFonts w:ascii="Segoe UI" w:hAnsi="Segoe UI" w:cs="Segoe UI"/>
          <w:rtl/>
          <w:lang w:val="en-ZW"/>
        </w:rPr>
        <w:t>במקביל, יוצרת התופעה עומס גובר על מערכות האכיפה והכליאה העמוסות - תועלתנות</w:t>
      </w:r>
    </w:p>
    <w:p w14:paraId="0687154F" w14:textId="77777777" w:rsidR="00F07EED" w:rsidRPr="00BB6CA1" w:rsidRDefault="00F07EED" w:rsidP="00D95A69">
      <w:pPr>
        <w:bidi/>
        <w:spacing w:after="0" w:line="276" w:lineRule="auto"/>
        <w:jc w:val="both"/>
        <w:rPr>
          <w:rFonts w:ascii="Segoe UI" w:hAnsi="Segoe UI" w:cs="Segoe UI"/>
          <w:rtl/>
          <w:lang w:val="en-ZW"/>
        </w:rPr>
      </w:pPr>
    </w:p>
    <w:p w14:paraId="0FF24FD6" w14:textId="36F6FF88" w:rsidR="00413144" w:rsidRDefault="00B227A5" w:rsidP="00D95A69">
      <w:pPr>
        <w:pStyle w:val="2"/>
        <w:rPr>
          <w:rtl/>
        </w:rPr>
      </w:pPr>
      <w:bookmarkStart w:id="113" w:name="_Toc108218269"/>
      <w:r>
        <w:rPr>
          <w:rFonts w:hint="cs"/>
          <w:rtl/>
        </w:rPr>
        <w:t>כיצד עובדים בתי משפט קהילתיים</w:t>
      </w:r>
      <w:bookmarkEnd w:id="113"/>
    </w:p>
    <w:p w14:paraId="011029E4" w14:textId="77777777" w:rsidR="009414A9" w:rsidRPr="009414A9" w:rsidRDefault="009414A9" w:rsidP="00D95A69">
      <w:pPr>
        <w:bidi/>
        <w:spacing w:after="0" w:line="276" w:lineRule="auto"/>
        <w:jc w:val="both"/>
        <w:rPr>
          <w:rFonts w:ascii="Segoe UI" w:hAnsi="Segoe UI" w:cs="Segoe UI"/>
          <w:lang w:val="en-US"/>
        </w:rPr>
      </w:pPr>
      <w:r w:rsidRPr="009414A9">
        <w:rPr>
          <w:rFonts w:ascii="Segoe UI" w:hAnsi="Segoe UI" w:cs="Segoe UI"/>
          <w:rtl/>
          <w:lang w:val="en-ZW"/>
        </w:rPr>
        <w:t xml:space="preserve">הליך ייחודי אשר פועל </w:t>
      </w:r>
      <w:r w:rsidRPr="009414A9">
        <w:rPr>
          <w:rFonts w:ascii="Segoe UI" w:hAnsi="Segoe UI" w:cs="Segoe UI"/>
          <w:b/>
          <w:bCs/>
          <w:u w:val="single"/>
          <w:rtl/>
          <w:lang w:val="en-ZW"/>
        </w:rPr>
        <w:t xml:space="preserve">במסגרת ההליך הפלילי </w:t>
      </w:r>
      <w:r w:rsidRPr="009414A9">
        <w:rPr>
          <w:rFonts w:ascii="Segoe UI" w:hAnsi="Segoe UI" w:cs="Segoe UI"/>
          <w:rtl/>
          <w:lang w:val="en-ZW"/>
        </w:rPr>
        <w:t xml:space="preserve">השגרתי, אולם לצד זאת מאפשר לבית המשפט לפקח על הליך שיקומי, הכולל כלים ומענים רחבים </w:t>
      </w:r>
    </w:p>
    <w:p w14:paraId="6423B524" w14:textId="77777777" w:rsidR="009414A9" w:rsidRPr="009414A9" w:rsidRDefault="009414A9" w:rsidP="00D95A69">
      <w:pPr>
        <w:bidi/>
        <w:spacing w:after="0" w:line="276" w:lineRule="auto"/>
        <w:jc w:val="both"/>
        <w:rPr>
          <w:rFonts w:ascii="Segoe UI" w:hAnsi="Segoe UI" w:cs="Segoe UI"/>
          <w:rtl/>
          <w:lang w:val="en-ZW"/>
        </w:rPr>
      </w:pPr>
      <w:r w:rsidRPr="009414A9">
        <w:rPr>
          <w:rFonts w:ascii="Segoe UI" w:hAnsi="Segoe UI" w:cs="Segoe UI"/>
          <w:rtl/>
          <w:lang w:val="en-ZW"/>
        </w:rPr>
        <w:t xml:space="preserve">בבתי משפט קהילתי יש שיתוף פעולה בין מערכות המשפט והאכיפה לבין מערכות אחרות שמאפשר לקיחת אחריות משותפת </w:t>
      </w:r>
      <w:r w:rsidRPr="009414A9">
        <w:rPr>
          <w:rFonts w:ascii="Segoe UI" w:hAnsi="Segoe UI" w:cs="Segoe UI"/>
          <w:b/>
          <w:bCs/>
          <w:rtl/>
          <w:lang w:val="en-ZW"/>
        </w:rPr>
        <w:t>ומציאת פתרונות לבעיות חברתיות</w:t>
      </w:r>
      <w:r w:rsidRPr="009414A9">
        <w:rPr>
          <w:rFonts w:ascii="Segoe UI" w:hAnsi="Segoe UI" w:cs="Segoe UI"/>
          <w:rtl/>
          <w:lang w:val="en-ZW"/>
        </w:rPr>
        <w:t xml:space="preserve">, כלכליות ואישיות המובילות לפשיעה. </w:t>
      </w:r>
    </w:p>
    <w:p w14:paraId="3CB5CB97" w14:textId="6DAB092F" w:rsidR="00B227A5" w:rsidRDefault="00B227A5" w:rsidP="00D95A69">
      <w:pPr>
        <w:bidi/>
        <w:spacing w:after="0" w:line="276" w:lineRule="auto"/>
        <w:jc w:val="both"/>
        <w:rPr>
          <w:rFonts w:ascii="Segoe UI" w:hAnsi="Segoe UI" w:cs="Segoe UI"/>
          <w:rtl/>
          <w:lang w:val="en-ZW"/>
        </w:rPr>
      </w:pPr>
    </w:p>
    <w:p w14:paraId="38F77A30" w14:textId="77777777" w:rsidR="00992667" w:rsidRPr="00992667" w:rsidRDefault="00992667" w:rsidP="00D95A69">
      <w:pPr>
        <w:bidi/>
        <w:spacing w:after="0" w:line="276" w:lineRule="auto"/>
        <w:jc w:val="both"/>
        <w:rPr>
          <w:rFonts w:ascii="Segoe UI" w:hAnsi="Segoe UI" w:cs="Segoe UI"/>
          <w:lang w:val="en-US"/>
        </w:rPr>
      </w:pPr>
      <w:r w:rsidRPr="00992667">
        <w:rPr>
          <w:rFonts w:ascii="Segoe UI" w:hAnsi="Segoe UI" w:cs="Segoe UI"/>
          <w:b/>
          <w:bCs/>
          <w:u w:val="single"/>
          <w:rtl/>
          <w:lang w:val="en-ZW"/>
        </w:rPr>
        <w:t xml:space="preserve">ההליך המשפטי בבתי-משפט פותרי בעיות שונה מההליך האדוורסרי הקלאסי. </w:t>
      </w:r>
    </w:p>
    <w:p w14:paraId="0917435B" w14:textId="77777777" w:rsidR="00992667" w:rsidRPr="00992667" w:rsidRDefault="00992667" w:rsidP="00D95A69">
      <w:pPr>
        <w:bidi/>
        <w:spacing w:after="0" w:line="276" w:lineRule="auto"/>
        <w:jc w:val="both"/>
        <w:rPr>
          <w:rFonts w:ascii="Segoe UI" w:hAnsi="Segoe UI" w:cs="Segoe UI"/>
          <w:rtl/>
          <w:lang w:val="en-ZW"/>
        </w:rPr>
      </w:pPr>
      <w:r w:rsidRPr="00992667">
        <w:rPr>
          <w:rFonts w:ascii="Segoe UI" w:hAnsi="Segoe UI" w:cs="Segoe UI"/>
          <w:rtl/>
          <w:lang w:val="en-ZW"/>
        </w:rPr>
        <w:t xml:space="preserve">ההליך אינו מתמקד בשמיעת תיקים, בחינת הראיות וגזירת-הדין בדרך המקובלת, אלא משלב בדרכו הייחודית את גורמי התביעה, ההגנה, הרווחה והקהילה בהליך המשפטי. </w:t>
      </w:r>
    </w:p>
    <w:p w14:paraId="5C7FAB36" w14:textId="77777777" w:rsidR="00992667" w:rsidRPr="00992667" w:rsidRDefault="00992667" w:rsidP="00D95A69">
      <w:pPr>
        <w:bidi/>
        <w:spacing w:after="0" w:line="276" w:lineRule="auto"/>
        <w:jc w:val="both"/>
        <w:rPr>
          <w:rFonts w:ascii="Segoe UI" w:hAnsi="Segoe UI" w:cs="Segoe UI"/>
          <w:rtl/>
          <w:lang w:val="en-ZW"/>
        </w:rPr>
      </w:pPr>
      <w:r w:rsidRPr="00992667">
        <w:rPr>
          <w:rFonts w:ascii="Segoe UI" w:hAnsi="Segoe UI" w:cs="Segoe UI"/>
          <w:b/>
          <w:bCs/>
          <w:rtl/>
          <w:lang w:val="en-ZW"/>
        </w:rPr>
        <w:t>בית-המשפט פותר הבעיות מורכב מצוות רב-תחומי, ביניהם עובדים סוציאליים, קציני מבחן, מתאמי טיפול, רכזים ונציגים של התביעה וההגנה.</w:t>
      </w:r>
    </w:p>
    <w:p w14:paraId="28D81674" w14:textId="77777777" w:rsidR="00992667" w:rsidRPr="00992667" w:rsidRDefault="00992667" w:rsidP="00D95A69">
      <w:pPr>
        <w:bidi/>
        <w:spacing w:after="0" w:line="276" w:lineRule="auto"/>
        <w:jc w:val="both"/>
        <w:rPr>
          <w:rFonts w:ascii="Segoe UI" w:hAnsi="Segoe UI" w:cs="Segoe UI"/>
          <w:rtl/>
          <w:lang w:val="en-ZW"/>
        </w:rPr>
      </w:pPr>
      <w:r w:rsidRPr="00992667">
        <w:rPr>
          <w:rFonts w:ascii="Segoe UI" w:hAnsi="Segoe UI" w:cs="Segoe UI"/>
          <w:rtl/>
          <w:lang w:val="en-ZW"/>
        </w:rPr>
        <w:t xml:space="preserve">השופט עומד בראש הצוות הרב-תחומי ותפקידו "להנהיג" את הצוות וליצור תיאום בין הגורמים המטפלים השונים. </w:t>
      </w:r>
    </w:p>
    <w:p w14:paraId="04E21FD5" w14:textId="77777777" w:rsidR="00992667" w:rsidRPr="00992667" w:rsidRDefault="00992667" w:rsidP="00D95A69">
      <w:pPr>
        <w:bidi/>
        <w:spacing w:after="0" w:line="276" w:lineRule="auto"/>
        <w:jc w:val="both"/>
        <w:rPr>
          <w:rFonts w:ascii="Segoe UI" w:hAnsi="Segoe UI" w:cs="Segoe UI"/>
          <w:rtl/>
          <w:lang w:val="en-ZW"/>
        </w:rPr>
      </w:pPr>
      <w:r w:rsidRPr="00992667">
        <w:rPr>
          <w:rFonts w:ascii="Segoe UI" w:hAnsi="Segoe UI" w:cs="Segoe UI"/>
          <w:rtl/>
          <w:lang w:val="en-ZW"/>
        </w:rPr>
        <w:t>המגמה היא לעודד השתתפות של מערך תמיכה מטעם נציגי המשפחה ונציגי הקהילה אליהם משתייך הנאשם.</w:t>
      </w:r>
    </w:p>
    <w:p w14:paraId="558C530C" w14:textId="1B75038B" w:rsidR="00992667" w:rsidRDefault="00992667" w:rsidP="00D95A69">
      <w:pPr>
        <w:bidi/>
        <w:spacing w:after="0" w:line="276" w:lineRule="auto"/>
        <w:jc w:val="both"/>
        <w:rPr>
          <w:rFonts w:ascii="Segoe UI" w:hAnsi="Segoe UI" w:cs="Segoe UI"/>
          <w:rtl/>
          <w:lang w:val="en-ZW"/>
        </w:rPr>
      </w:pPr>
    </w:p>
    <w:p w14:paraId="73159F58" w14:textId="237F8E8C" w:rsidR="00B827AF" w:rsidRDefault="00B827AF" w:rsidP="00D95A69">
      <w:pPr>
        <w:pStyle w:val="2"/>
        <w:rPr>
          <w:rtl/>
        </w:rPr>
      </w:pPr>
      <w:bookmarkStart w:id="114" w:name="_Toc108218270"/>
      <w:r>
        <w:rPr>
          <w:rFonts w:hint="cs"/>
          <w:rtl/>
        </w:rPr>
        <w:t xml:space="preserve">ביהמ"ש קהילתיים </w:t>
      </w:r>
      <w:r>
        <w:rPr>
          <w:rtl/>
        </w:rPr>
        <w:t>–</w:t>
      </w:r>
      <w:r>
        <w:rPr>
          <w:rFonts w:hint="cs"/>
          <w:rtl/>
        </w:rPr>
        <w:t xml:space="preserve"> תיאוריה</w:t>
      </w:r>
      <w:bookmarkEnd w:id="114"/>
    </w:p>
    <w:p w14:paraId="29AD5170" w14:textId="77777777" w:rsidR="00054ADD" w:rsidRDefault="00735D82" w:rsidP="00D95A69">
      <w:pPr>
        <w:bidi/>
        <w:spacing w:after="0" w:line="276" w:lineRule="auto"/>
        <w:jc w:val="both"/>
        <w:rPr>
          <w:rFonts w:ascii="Segoe UI" w:hAnsi="Segoe UI" w:cs="Segoe UI"/>
          <w:rtl/>
          <w:lang w:val="en-ZW"/>
        </w:rPr>
      </w:pPr>
      <w:r w:rsidRPr="00735D82">
        <w:rPr>
          <w:rFonts w:ascii="Segoe UI" w:hAnsi="Segoe UI" w:cs="Segoe UI"/>
          <w:rtl/>
          <w:lang w:val="en-ZW"/>
        </w:rPr>
        <w:t xml:space="preserve">המודל של בתי-משפט קהילתיים מושפע ממספר תיאוריות מרכזיות השלובות בו זמנית: </w:t>
      </w:r>
    </w:p>
    <w:p w14:paraId="1D827211" w14:textId="273AEA11" w:rsidR="00735D82" w:rsidRPr="00865BEA" w:rsidRDefault="00735D82" w:rsidP="00D95A69">
      <w:pPr>
        <w:pStyle w:val="ab"/>
        <w:numPr>
          <w:ilvl w:val="0"/>
          <w:numId w:val="104"/>
        </w:numPr>
        <w:bidi/>
        <w:spacing w:after="0" w:line="276" w:lineRule="auto"/>
        <w:ind w:left="360"/>
        <w:jc w:val="both"/>
        <w:rPr>
          <w:rFonts w:ascii="Segoe UI" w:hAnsi="Segoe UI" w:cs="Segoe UI"/>
          <w:rtl/>
          <w:lang w:val="en-US"/>
        </w:rPr>
      </w:pPr>
      <w:r w:rsidRPr="005D38AB">
        <w:rPr>
          <w:rFonts w:ascii="Segoe UI" w:hAnsi="Segoe UI" w:cs="Segoe UI"/>
          <w:b/>
          <w:bCs/>
          <w:rtl/>
          <w:lang w:val="en-ZW"/>
        </w:rPr>
        <w:lastRenderedPageBreak/>
        <w:t>תורת המשפט הטיפולי</w:t>
      </w:r>
      <w:r w:rsidR="00054ADD" w:rsidRPr="005D38AB">
        <w:rPr>
          <w:rFonts w:ascii="Segoe UI" w:hAnsi="Segoe UI" w:cs="Segoe UI"/>
          <w:rtl/>
          <w:lang w:val="en-ZW"/>
        </w:rPr>
        <w:t xml:space="preserve"> - </w:t>
      </w:r>
      <w:r w:rsidR="00054ADD" w:rsidRPr="005D38AB">
        <w:rPr>
          <w:rFonts w:ascii="Segoe UI" w:hAnsi="Segoe UI" w:cs="Segoe UI"/>
          <w:rtl/>
          <w:lang w:val="en-US"/>
        </w:rPr>
        <w:t>תורה זו מבקשת להכניס זווית ראיה תרפויטית להתבוננות על המשפט, תוך שהיא מתמקדת בהשפעת המשפט על הנפש, על הרווחה הפסיכולוגית ועל התפקוד של המעורבים בו והמושפעים ממנו</w:t>
      </w:r>
      <w:r w:rsidR="005D38AB" w:rsidRPr="005D38AB">
        <w:rPr>
          <w:rFonts w:ascii="Segoe UI" w:hAnsi="Segoe UI" w:cs="Segoe UI"/>
          <w:rtl/>
          <w:lang w:val="en-US"/>
        </w:rPr>
        <w:t xml:space="preserve"> </w:t>
      </w:r>
      <w:r w:rsidR="00054ADD" w:rsidRPr="005D38AB">
        <w:rPr>
          <w:rFonts w:ascii="Segoe UI" w:hAnsi="Segoe UI" w:cs="Segoe UI"/>
          <w:rtl/>
        </w:rPr>
        <w:t xml:space="preserve">שופטים ועורכי-דין מצופים להשתמש בכלים טיפוליים, כגון דיבור ישיר אל הנאשם, שימוש בטכניקות של הקשבה פעילה, הבעת אמפטיה ותמיכה כלפי הנאשמים במהלך התהליך השיקומי, מעורבות של בני משפחה במהלך הדיונים ושימוש בשיטה של "מקלות וגזרים". </w:t>
      </w:r>
    </w:p>
    <w:p w14:paraId="305EC2D4" w14:textId="5C99D09F" w:rsidR="00735D82" w:rsidRPr="005D38AB" w:rsidRDefault="00735D82" w:rsidP="00D95A69">
      <w:pPr>
        <w:pStyle w:val="ab"/>
        <w:numPr>
          <w:ilvl w:val="0"/>
          <w:numId w:val="104"/>
        </w:numPr>
        <w:bidi/>
        <w:spacing w:after="0" w:line="276" w:lineRule="auto"/>
        <w:ind w:left="360"/>
        <w:jc w:val="both"/>
        <w:rPr>
          <w:rFonts w:ascii="Segoe UI" w:hAnsi="Segoe UI" w:cs="Segoe UI"/>
          <w:rtl/>
          <w:lang w:val="en-US"/>
        </w:rPr>
      </w:pPr>
      <w:r w:rsidRPr="005D38AB">
        <w:rPr>
          <w:rFonts w:ascii="Segoe UI" w:hAnsi="Segoe UI" w:cs="Segoe UI"/>
          <w:b/>
          <w:bCs/>
          <w:rtl/>
          <w:lang w:val="en-ZW"/>
        </w:rPr>
        <w:t>צדק קהילתי</w:t>
      </w:r>
      <w:r w:rsidR="00054ADD" w:rsidRPr="005D38AB">
        <w:rPr>
          <w:rFonts w:ascii="Segoe UI" w:hAnsi="Segoe UI" w:cs="Segoe UI" w:hint="cs"/>
          <w:b/>
          <w:bCs/>
          <w:rtl/>
          <w:lang w:val="en-ZW"/>
        </w:rPr>
        <w:t xml:space="preserve"> </w:t>
      </w:r>
      <w:r w:rsidR="00054ADD" w:rsidRPr="005D38AB">
        <w:rPr>
          <w:rFonts w:ascii="Segoe UI" w:hAnsi="Segoe UI" w:cs="Segoe UI" w:hint="cs"/>
          <w:rtl/>
          <w:lang w:val="en-ZW"/>
        </w:rPr>
        <w:t xml:space="preserve">- </w:t>
      </w:r>
      <w:r w:rsidR="00054ADD" w:rsidRPr="005D38AB">
        <w:rPr>
          <w:rFonts w:ascii="Segoe UI" w:hAnsi="Segoe UI" w:cs="Segoe UI"/>
          <w:rtl/>
          <w:lang w:val="en-ZW"/>
        </w:rPr>
        <w:t>התמודדות אפקטיבית עם פשיעה מצריכה טיפול שורש בקהילה. חלק גדול מהענישה היא "עבודות לתועלת הקהילה"</w:t>
      </w:r>
      <w:r w:rsidR="005D38AB">
        <w:rPr>
          <w:rFonts w:ascii="Segoe UI" w:hAnsi="Segoe UI" w:cs="Segoe UI" w:hint="cs"/>
          <w:rtl/>
          <w:lang w:val="en-ZW"/>
        </w:rPr>
        <w:t xml:space="preserve"> </w:t>
      </w:r>
      <w:r w:rsidR="00054ADD" w:rsidRPr="005D38AB">
        <w:rPr>
          <w:rFonts w:ascii="Segoe UI" w:hAnsi="Segoe UI" w:cs="Segoe UI"/>
          <w:rtl/>
          <w:lang w:val="en-ZW"/>
        </w:rPr>
        <w:t>על פי תיאוריה זו, צדדים שבאים במגע עם מערכת המשפט אינם מתמקדים רק בתוצאה של התהליך אלא בדרך - איך התייחסו אליהם, האם הקשיבו וכו'</w:t>
      </w:r>
      <w:r w:rsidR="002B665A">
        <w:rPr>
          <w:rFonts w:ascii="Segoe UI" w:hAnsi="Segoe UI" w:cs="Segoe UI" w:hint="cs"/>
          <w:rtl/>
          <w:lang w:val="en-US"/>
        </w:rPr>
        <w:t xml:space="preserve">. </w:t>
      </w:r>
      <w:r w:rsidR="002B665A">
        <w:rPr>
          <w:rFonts w:ascii="Segoe UI" w:hAnsi="Segoe UI" w:cs="Segoe UI" w:hint="cs"/>
          <w:color w:val="7030A0"/>
          <w:rtl/>
          <w:lang w:val="en-US"/>
        </w:rPr>
        <w:t xml:space="preserve">הרבה אנשים מוכנים לקבל את העונש אבל בתנאי שיתייחסו אליהם בכבוד. גם עבריינים רוצים שהתנהגו אליהם בכבוד. </w:t>
      </w:r>
    </w:p>
    <w:p w14:paraId="3E6511E3" w14:textId="5003F29D" w:rsidR="00735D82" w:rsidRPr="005D38AB" w:rsidRDefault="00735D82" w:rsidP="00D95A69">
      <w:pPr>
        <w:pStyle w:val="ab"/>
        <w:numPr>
          <w:ilvl w:val="0"/>
          <w:numId w:val="104"/>
        </w:numPr>
        <w:bidi/>
        <w:spacing w:after="0" w:line="276" w:lineRule="auto"/>
        <w:ind w:left="360"/>
        <w:jc w:val="both"/>
        <w:rPr>
          <w:rFonts w:ascii="Segoe UI" w:hAnsi="Segoe UI" w:cs="Segoe UI"/>
          <w:rtl/>
          <w:lang w:val="en-ZW"/>
        </w:rPr>
      </w:pPr>
      <w:r w:rsidRPr="005D38AB">
        <w:rPr>
          <w:rFonts w:ascii="Segoe UI" w:hAnsi="Segoe UI" w:cs="Segoe UI"/>
          <w:b/>
          <w:bCs/>
          <w:rtl/>
          <w:lang w:val="en-ZW"/>
        </w:rPr>
        <w:t xml:space="preserve">צדק </w:t>
      </w:r>
      <w:r w:rsidR="00054ADD" w:rsidRPr="005D38AB">
        <w:rPr>
          <w:rFonts w:ascii="Segoe UI" w:hAnsi="Segoe UI" w:cs="Segoe UI" w:hint="cs"/>
          <w:b/>
          <w:bCs/>
          <w:rtl/>
          <w:lang w:val="en-ZW"/>
        </w:rPr>
        <w:t>פרוצדוראלי</w:t>
      </w:r>
      <w:r w:rsidR="00054ADD" w:rsidRPr="005D38AB">
        <w:rPr>
          <w:rFonts w:ascii="Segoe UI" w:hAnsi="Segoe UI" w:cs="Segoe UI" w:hint="cs"/>
          <w:rtl/>
          <w:lang w:val="en-ZW"/>
        </w:rPr>
        <w:t xml:space="preserve"> - </w:t>
      </w:r>
    </w:p>
    <w:p w14:paraId="466C0742" w14:textId="4A250B43" w:rsidR="00735D82" w:rsidRPr="005D38AB" w:rsidRDefault="00735D82" w:rsidP="00D95A69">
      <w:pPr>
        <w:pStyle w:val="ab"/>
        <w:numPr>
          <w:ilvl w:val="0"/>
          <w:numId w:val="104"/>
        </w:numPr>
        <w:bidi/>
        <w:spacing w:after="0" w:line="276" w:lineRule="auto"/>
        <w:ind w:left="360"/>
        <w:jc w:val="both"/>
        <w:rPr>
          <w:rFonts w:ascii="Segoe UI" w:hAnsi="Segoe UI" w:cs="Segoe UI"/>
          <w:rtl/>
          <w:lang w:val="en-US"/>
        </w:rPr>
      </w:pPr>
      <w:proofErr w:type="spellStart"/>
      <w:r w:rsidRPr="005D38AB">
        <w:rPr>
          <w:rFonts w:ascii="Segoe UI" w:hAnsi="Segoe UI" w:cs="Segoe UI"/>
          <w:b/>
          <w:bCs/>
          <w:rtl/>
          <w:lang w:val="en-ZW"/>
        </w:rPr>
        <w:t>קהילתנות</w:t>
      </w:r>
      <w:proofErr w:type="spellEnd"/>
      <w:r w:rsidR="00054ADD" w:rsidRPr="005D38AB">
        <w:rPr>
          <w:rFonts w:ascii="Segoe UI" w:hAnsi="Segoe UI" w:cs="Segoe UI" w:hint="cs"/>
          <w:rtl/>
          <w:lang w:val="en-ZW"/>
        </w:rPr>
        <w:t xml:space="preserve"> - </w:t>
      </w:r>
      <w:r w:rsidR="005D38AB" w:rsidRPr="005D38AB">
        <w:rPr>
          <w:rFonts w:ascii="Segoe UI" w:hAnsi="Segoe UI" w:cs="Segoe UI"/>
          <w:rtl/>
          <w:lang w:val="en-ZW"/>
        </w:rPr>
        <w:t xml:space="preserve">על פי התיאוריה </w:t>
      </w:r>
      <w:proofErr w:type="spellStart"/>
      <w:r w:rsidR="005D38AB" w:rsidRPr="005D38AB">
        <w:rPr>
          <w:rFonts w:ascii="Segoe UI" w:hAnsi="Segoe UI" w:cs="Segoe UI"/>
          <w:rtl/>
          <w:lang w:val="en-ZW"/>
        </w:rPr>
        <w:t>הקהילתנית</w:t>
      </w:r>
      <w:proofErr w:type="spellEnd"/>
      <w:r w:rsidR="005D38AB" w:rsidRPr="005D38AB">
        <w:rPr>
          <w:rFonts w:ascii="Segoe UI" w:hAnsi="Segoe UI" w:cs="Segoe UI"/>
          <w:rtl/>
          <w:lang w:val="en-ZW"/>
        </w:rPr>
        <w:t xml:space="preserve">, הדרך להבין את ההתנהגות האנושית היא להתייחס לפרטים </w:t>
      </w:r>
      <w:r w:rsidR="005D38AB" w:rsidRPr="005D38AB">
        <w:rPr>
          <w:rFonts w:ascii="Segoe UI" w:hAnsi="Segoe UI" w:cs="Segoe UI"/>
          <w:u w:val="single"/>
          <w:rtl/>
          <w:lang w:val="en-ZW"/>
        </w:rPr>
        <w:t xml:space="preserve">בהקשר התרבותי-היסטורי-חברתי שלהם. </w:t>
      </w:r>
      <w:r w:rsidR="006C0873">
        <w:rPr>
          <w:rFonts w:ascii="Segoe UI" w:hAnsi="Segoe UI" w:cs="Segoe UI" w:hint="cs"/>
          <w:rtl/>
          <w:lang w:val="en-US"/>
        </w:rPr>
        <w:t xml:space="preserve"> </w:t>
      </w:r>
      <w:r w:rsidR="006C0873">
        <w:rPr>
          <w:rFonts w:ascii="Segoe UI" w:hAnsi="Segoe UI" w:cs="Segoe UI" w:hint="cs"/>
          <w:color w:val="7030A0"/>
          <w:rtl/>
          <w:lang w:val="en-US"/>
        </w:rPr>
        <w:t xml:space="preserve">להסתכל על המגזר, העדה, התרבות וכו' כי פשעים לא קורים סתם אלא בעקבות התנהלות קהילתית מסוימת. זאת תאוריה שאומרת שצריך להסתכל על ההקשר הרחב והכללי ורק אז נוכל לפתור את הבעיות של האנשים הפרטיים. </w:t>
      </w:r>
    </w:p>
    <w:p w14:paraId="10EED6AD" w14:textId="77777777" w:rsidR="005D38AB" w:rsidRPr="005D38AB" w:rsidRDefault="00735D82" w:rsidP="00D95A69">
      <w:pPr>
        <w:pStyle w:val="ab"/>
        <w:numPr>
          <w:ilvl w:val="0"/>
          <w:numId w:val="104"/>
        </w:numPr>
        <w:bidi/>
        <w:spacing w:after="0" w:line="276" w:lineRule="auto"/>
        <w:ind w:left="360"/>
        <w:jc w:val="both"/>
        <w:rPr>
          <w:rFonts w:ascii="Segoe UI" w:hAnsi="Segoe UI" w:cs="Segoe UI"/>
          <w:lang w:val="en-US"/>
        </w:rPr>
      </w:pPr>
      <w:r w:rsidRPr="005D38AB">
        <w:rPr>
          <w:rFonts w:ascii="Segoe UI" w:hAnsi="Segoe UI" w:cs="Segoe UI"/>
          <w:b/>
          <w:bCs/>
          <w:rtl/>
          <w:lang w:val="en-ZW"/>
        </w:rPr>
        <w:t>קרימינולוגיה חיובית</w:t>
      </w:r>
      <w:r w:rsidR="00054ADD" w:rsidRPr="005D38AB">
        <w:rPr>
          <w:rFonts w:ascii="Segoe UI" w:hAnsi="Segoe UI" w:cs="Segoe UI" w:hint="cs"/>
          <w:rtl/>
          <w:lang w:val="en-ZW"/>
        </w:rPr>
        <w:t xml:space="preserve"> - </w:t>
      </w:r>
      <w:r w:rsidR="005D38AB" w:rsidRPr="005D38AB">
        <w:rPr>
          <w:rFonts w:ascii="Segoe UI" w:hAnsi="Segoe UI" w:cs="Segoe UI"/>
          <w:rtl/>
          <w:lang w:val="en-ZW"/>
        </w:rPr>
        <w:t xml:space="preserve">הקרימינולוגיה החיובית מקדמת מחקרים העוסקים </w:t>
      </w:r>
      <w:proofErr w:type="spellStart"/>
      <w:r w:rsidR="005D38AB" w:rsidRPr="005D38AB">
        <w:rPr>
          <w:rFonts w:ascii="Segoe UI" w:hAnsi="Segoe UI" w:cs="Segoe UI"/>
          <w:rtl/>
          <w:lang w:val="en-ZW"/>
        </w:rPr>
        <w:t>בפרקטיקות</w:t>
      </w:r>
      <w:proofErr w:type="spellEnd"/>
      <w:r w:rsidR="005D38AB" w:rsidRPr="005D38AB">
        <w:rPr>
          <w:rFonts w:ascii="Segoe UI" w:hAnsi="Segoe UI" w:cs="Segoe UI"/>
          <w:rtl/>
          <w:lang w:val="en-ZW"/>
        </w:rPr>
        <w:t xml:space="preserve"> המעצימות את היחיד, המתמקדות בחוזקותיו ולא בפתולוגיות שמהן הוא סובל, והמדגישות את חשיבות הקשרים הקהילתיים והמשפחתיים. </w:t>
      </w:r>
    </w:p>
    <w:p w14:paraId="35AE5F26" w14:textId="18EF8ED2" w:rsidR="005D38AB" w:rsidRDefault="005D38AB" w:rsidP="00D95A69">
      <w:pPr>
        <w:pStyle w:val="ab"/>
        <w:bidi/>
        <w:spacing w:after="0" w:line="276" w:lineRule="auto"/>
        <w:ind w:left="360"/>
        <w:jc w:val="both"/>
        <w:rPr>
          <w:rFonts w:ascii="Segoe UI" w:hAnsi="Segoe UI" w:cs="Segoe UI"/>
          <w:rtl/>
          <w:lang w:val="en-ZW"/>
        </w:rPr>
      </w:pPr>
      <w:r w:rsidRPr="005D38AB">
        <w:rPr>
          <w:rFonts w:ascii="Segoe UI" w:hAnsi="Segoe UI" w:cs="Segoe UI"/>
          <w:rtl/>
          <w:lang w:val="en-ZW"/>
        </w:rPr>
        <w:t xml:space="preserve">לדוגמה: סוהרים הבאים בקשר יום-יומי עם אסירים יכולים לנקוט </w:t>
      </w:r>
      <w:proofErr w:type="spellStart"/>
      <w:r w:rsidRPr="005D38AB">
        <w:rPr>
          <w:rFonts w:ascii="Segoe UI" w:hAnsi="Segoe UI" w:cs="Segoe UI"/>
          <w:rtl/>
          <w:lang w:val="en-ZW"/>
        </w:rPr>
        <w:t>בפרקטיקות</w:t>
      </w:r>
      <w:proofErr w:type="spellEnd"/>
      <w:r w:rsidRPr="005D38AB">
        <w:rPr>
          <w:rFonts w:ascii="Segoe UI" w:hAnsi="Segoe UI" w:cs="Segoe UI"/>
          <w:rtl/>
          <w:lang w:val="en-ZW"/>
        </w:rPr>
        <w:t xml:space="preserve"> מעצימות שהתפתחו בספרות הפסיכו-סוציאלית, כגון "ראיון מוטיבציוני"</w:t>
      </w:r>
      <w:r w:rsidR="00681FA3">
        <w:rPr>
          <w:rFonts w:ascii="Segoe UI" w:hAnsi="Segoe UI" w:cs="Segoe UI" w:hint="cs"/>
          <w:rtl/>
          <w:lang w:val="en-ZW"/>
        </w:rPr>
        <w:t>.</w:t>
      </w:r>
    </w:p>
    <w:p w14:paraId="3946C9DC" w14:textId="291A3CC5" w:rsidR="004E1C7A" w:rsidRPr="004E1C7A" w:rsidRDefault="00670108" w:rsidP="00D95A69">
      <w:pPr>
        <w:pStyle w:val="ab"/>
        <w:bidi/>
        <w:spacing w:after="0" w:line="276" w:lineRule="auto"/>
        <w:ind w:left="360"/>
        <w:jc w:val="both"/>
        <w:rPr>
          <w:rFonts w:ascii="Segoe UI" w:hAnsi="Segoe UI" w:cs="Segoe UI"/>
          <w:color w:val="7030A0"/>
          <w:rtl/>
          <w:lang w:val="en-ZW"/>
        </w:rPr>
      </w:pPr>
      <w:r w:rsidRPr="00670108">
        <w:rPr>
          <w:rFonts w:ascii="Segoe UI" w:hAnsi="Segoe UI" w:cs="Segoe UI"/>
          <w:color w:val="7030A0"/>
          <w:lang w:val="en-ZW"/>
        </w:rPr>
        <w:t>https://he.wikipedia.org/wiki/%D7%A7%D7%A8%D7%99%D7%9E%D7%99%D7%A0%D7%95%D7%9C%D7%95%D7%92%D7%99%D7%94_%D7%97%D7%99%D7%95%D7%91%D7%99%D7%AA</w:t>
      </w:r>
    </w:p>
    <w:p w14:paraId="42FCC695" w14:textId="00DA4D5E" w:rsidR="00681FA3" w:rsidRPr="00681FA3" w:rsidRDefault="00681FA3" w:rsidP="00D95A69">
      <w:pPr>
        <w:pStyle w:val="ab"/>
        <w:bidi/>
        <w:spacing w:after="0" w:line="276" w:lineRule="auto"/>
        <w:ind w:left="360"/>
        <w:jc w:val="both"/>
        <w:rPr>
          <w:rFonts w:ascii="Segoe UI" w:hAnsi="Segoe UI" w:cs="Segoe UI"/>
          <w:rtl/>
          <w:lang w:val="en-US"/>
        </w:rPr>
      </w:pPr>
      <w:r w:rsidRPr="00681FA3">
        <w:rPr>
          <w:rFonts w:ascii="Segoe UI" w:hAnsi="Segoe UI" w:cs="Segoe UI"/>
          <w:b/>
          <w:bCs/>
          <w:u w:val="single"/>
          <w:rtl/>
          <w:lang w:val="en-ZW"/>
        </w:rPr>
        <w:t>הממצאים</w:t>
      </w:r>
      <w:r>
        <w:rPr>
          <w:rFonts w:ascii="Segoe UI" w:hAnsi="Segoe UI" w:cs="Segoe UI" w:hint="cs"/>
          <w:rtl/>
          <w:lang w:val="en-ZW"/>
        </w:rPr>
        <w:t xml:space="preserve"> - </w:t>
      </w:r>
      <w:r w:rsidRPr="00681FA3">
        <w:rPr>
          <w:rFonts w:ascii="Segoe UI" w:hAnsi="Segoe UI" w:cs="Segoe UI"/>
          <w:rtl/>
          <w:lang w:val="en-ZW"/>
        </w:rPr>
        <w:t xml:space="preserve">מחקר שנערך בבית משפט קהילתי בברוקלין, במלבורן, ובוושינגטון הראה על ירידה מובהקת באחוזי </w:t>
      </w:r>
      <w:proofErr w:type="spellStart"/>
      <w:r w:rsidRPr="00681FA3">
        <w:rPr>
          <w:rFonts w:ascii="Segoe UI" w:hAnsi="Segoe UI" w:cs="Segoe UI"/>
          <w:rtl/>
          <w:lang w:val="en-ZW"/>
        </w:rPr>
        <w:t>הרדציביזם</w:t>
      </w:r>
      <w:proofErr w:type="spellEnd"/>
      <w:r w:rsidRPr="00681FA3">
        <w:rPr>
          <w:rFonts w:ascii="Segoe UI" w:hAnsi="Segoe UI" w:cs="Segoe UI"/>
          <w:rtl/>
          <w:lang w:val="en-ZW"/>
        </w:rPr>
        <w:t>. לעומת זאת, במקומות אחרים (כגון בליברפול) לא נמצא שונות מובהקת בין בתי המשפט.</w:t>
      </w:r>
    </w:p>
    <w:p w14:paraId="765B0ACE" w14:textId="77777777" w:rsidR="00681FA3" w:rsidRPr="00681FA3" w:rsidRDefault="00681FA3" w:rsidP="00D95A69">
      <w:pPr>
        <w:pStyle w:val="ab"/>
        <w:bidi/>
        <w:spacing w:after="0" w:line="276" w:lineRule="auto"/>
        <w:ind w:left="360"/>
        <w:jc w:val="both"/>
        <w:rPr>
          <w:rFonts w:ascii="Segoe UI" w:hAnsi="Segoe UI" w:cs="Segoe UI"/>
          <w:rtl/>
          <w:lang w:val="en-ZW"/>
        </w:rPr>
      </w:pPr>
      <w:r w:rsidRPr="00681FA3">
        <w:rPr>
          <w:rFonts w:ascii="Segoe UI" w:hAnsi="Segoe UI" w:cs="Segoe UI"/>
          <w:b/>
          <w:bCs/>
          <w:rtl/>
          <w:lang w:val="en-ZW"/>
        </w:rPr>
        <w:t xml:space="preserve">יחד עם זאת, כל המחקרים הצביעו על שביעות רצון יחסית של המשתתפים בהליך מהתנהלות בית המשפט (צדק </w:t>
      </w:r>
      <w:proofErr w:type="spellStart"/>
      <w:r w:rsidRPr="00681FA3">
        <w:rPr>
          <w:rFonts w:ascii="Segoe UI" w:hAnsi="Segoe UI" w:cs="Segoe UI"/>
          <w:b/>
          <w:bCs/>
          <w:rtl/>
          <w:lang w:val="en-ZW"/>
        </w:rPr>
        <w:t>פרוצודראלי</w:t>
      </w:r>
      <w:proofErr w:type="spellEnd"/>
      <w:r w:rsidRPr="00681FA3">
        <w:rPr>
          <w:rFonts w:ascii="Segoe UI" w:hAnsi="Segoe UI" w:cs="Segoe UI"/>
          <w:b/>
          <w:bCs/>
          <w:rtl/>
          <w:lang w:val="en-ZW"/>
        </w:rPr>
        <w:t>) וכן נרשם חיסכון בעלויות (לאור אי-כליאה).</w:t>
      </w:r>
    </w:p>
    <w:p w14:paraId="07E5644A" w14:textId="0B57D889" w:rsidR="00B827AF" w:rsidRDefault="00B827AF" w:rsidP="00D95A69">
      <w:pPr>
        <w:bidi/>
        <w:spacing w:after="0" w:line="276" w:lineRule="auto"/>
        <w:jc w:val="both"/>
        <w:rPr>
          <w:rFonts w:ascii="Segoe UI" w:hAnsi="Segoe UI" w:cs="Segoe UI"/>
          <w:rtl/>
          <w:lang w:val="en-ZW"/>
        </w:rPr>
      </w:pPr>
    </w:p>
    <w:p w14:paraId="1BC8BBF6" w14:textId="62BC86EB" w:rsidR="002330E4" w:rsidRPr="002330E4" w:rsidRDefault="002330E4" w:rsidP="00D95A69">
      <w:pPr>
        <w:pStyle w:val="2"/>
        <w:rPr>
          <w:color w:val="7030A0"/>
          <w:rtl/>
        </w:rPr>
      </w:pPr>
      <w:bookmarkStart w:id="115" w:name="_Toc108218271"/>
      <w:r w:rsidRPr="002330E4">
        <w:rPr>
          <w:rFonts w:hint="cs"/>
          <w:color w:val="7030A0"/>
          <w:rtl/>
        </w:rPr>
        <w:t>תנאים לכניסה לביהמ"ש הקהילתי</w:t>
      </w:r>
      <w:bookmarkEnd w:id="115"/>
    </w:p>
    <w:p w14:paraId="6EDFD483" w14:textId="1BE89DC7" w:rsidR="0049080A" w:rsidRDefault="002B665A" w:rsidP="00D95A69">
      <w:pPr>
        <w:pStyle w:val="110"/>
        <w:numPr>
          <w:ilvl w:val="0"/>
          <w:numId w:val="105"/>
        </w:numPr>
        <w:spacing w:line="276" w:lineRule="auto"/>
        <w:rPr>
          <w:b w:val="0"/>
          <w:bCs w:val="0"/>
          <w:u w:val="none"/>
        </w:rPr>
      </w:pPr>
      <w:r w:rsidRPr="002B665A">
        <w:rPr>
          <w:b w:val="0"/>
          <w:bCs w:val="0"/>
          <w:u w:val="none"/>
          <w:rtl/>
        </w:rPr>
        <w:t>הכניסה להליך מותנית בהסכמת הנאשם  ("המשתתף") ובהודאה שלו בביצוע עבירה</w:t>
      </w:r>
      <w:r w:rsidR="0049080A">
        <w:rPr>
          <w:rFonts w:hint="cs"/>
          <w:b w:val="0"/>
          <w:bCs w:val="0"/>
          <w:u w:val="none"/>
          <w:rtl/>
        </w:rPr>
        <w:t>.</w:t>
      </w:r>
    </w:p>
    <w:p w14:paraId="07F2A5C1" w14:textId="0AB22270" w:rsidR="002B665A" w:rsidRPr="002B665A" w:rsidRDefault="002B665A" w:rsidP="00D95A69">
      <w:pPr>
        <w:pStyle w:val="110"/>
        <w:numPr>
          <w:ilvl w:val="0"/>
          <w:numId w:val="105"/>
        </w:numPr>
        <w:spacing w:line="276" w:lineRule="auto"/>
        <w:rPr>
          <w:b w:val="0"/>
          <w:bCs w:val="0"/>
          <w:u w:val="none"/>
          <w:rtl/>
        </w:rPr>
      </w:pPr>
      <w:r w:rsidRPr="002B665A">
        <w:rPr>
          <w:b w:val="0"/>
          <w:bCs w:val="0"/>
          <w:u w:val="none"/>
          <w:rtl/>
        </w:rPr>
        <w:t>הליך זה מהווה חלופה להליך הפלילי הסטנדרטי, וככל שהנאשם יסיים בהצלחה את התוכנית הטיפולית, יהווה הדבר חלופה לעונש המאסר שהיה מוטל עליו.</w:t>
      </w:r>
    </w:p>
    <w:p w14:paraId="02CD99F6" w14:textId="275FE87F" w:rsidR="002B665A" w:rsidRPr="002B665A" w:rsidRDefault="002B665A" w:rsidP="00D95A69">
      <w:pPr>
        <w:pStyle w:val="110"/>
        <w:numPr>
          <w:ilvl w:val="0"/>
          <w:numId w:val="105"/>
        </w:numPr>
        <w:spacing w:line="276" w:lineRule="auto"/>
        <w:rPr>
          <w:b w:val="0"/>
          <w:bCs w:val="0"/>
          <w:u w:val="none"/>
          <w:rtl/>
        </w:rPr>
      </w:pPr>
      <w:r w:rsidRPr="002B665A">
        <w:rPr>
          <w:b w:val="0"/>
          <w:bCs w:val="0"/>
          <w:u w:val="none"/>
          <w:rtl/>
        </w:rPr>
        <w:t xml:space="preserve">אי-שיתוף פעולה של הנאשם עם התוכנית הטיפולית מפסיק את ההליך ושולח את הנאשם לכלא </w:t>
      </w:r>
      <w:r w:rsidRPr="002330E4">
        <w:rPr>
          <w:rFonts w:hint="cs"/>
          <w:b w:val="0"/>
          <w:bCs w:val="0"/>
          <w:u w:val="none"/>
          <w:rtl/>
        </w:rPr>
        <w:t>אוטומט</w:t>
      </w:r>
      <w:r w:rsidRPr="002330E4">
        <w:rPr>
          <w:rFonts w:hint="eastAsia"/>
          <w:b w:val="0"/>
          <w:bCs w:val="0"/>
          <w:u w:val="none"/>
          <w:rtl/>
        </w:rPr>
        <w:t>י</w:t>
      </w:r>
      <w:r w:rsidRPr="002330E4">
        <w:rPr>
          <w:rFonts w:hint="cs"/>
          <w:b w:val="0"/>
          <w:bCs w:val="0"/>
          <w:u w:val="none"/>
          <w:rtl/>
        </w:rPr>
        <w:t>.</w:t>
      </w:r>
    </w:p>
    <w:p w14:paraId="46FF94A9" w14:textId="68A7B740" w:rsidR="0049080A" w:rsidRPr="0049080A" w:rsidRDefault="0049080A" w:rsidP="00D95A69">
      <w:pPr>
        <w:pStyle w:val="110"/>
        <w:numPr>
          <w:ilvl w:val="0"/>
          <w:numId w:val="105"/>
        </w:numPr>
        <w:spacing w:line="276" w:lineRule="auto"/>
        <w:rPr>
          <w:b w:val="0"/>
          <w:bCs w:val="0"/>
          <w:u w:val="none"/>
          <w:rtl/>
        </w:rPr>
      </w:pPr>
      <w:r w:rsidRPr="0049080A">
        <w:rPr>
          <w:b w:val="0"/>
          <w:bCs w:val="0"/>
          <w:u w:val="none"/>
          <w:rtl/>
        </w:rPr>
        <w:t>בהחלטה להסכים להעביר את התיק, הפרקליטות שוקלת שורה ארוכה של שיקולים ובראשם האינטרס הציבורי שבמיצוי ההליך הפלילי עם נאשם מסוים והטלת עונש הולם בגין המעשים שביצע.</w:t>
      </w:r>
    </w:p>
    <w:p w14:paraId="4E8A773C" w14:textId="77777777" w:rsidR="0049080A" w:rsidRDefault="0049080A" w:rsidP="00D95A69">
      <w:pPr>
        <w:pStyle w:val="110"/>
        <w:spacing w:line="276" w:lineRule="auto"/>
        <w:rPr>
          <w:b w:val="0"/>
          <w:bCs w:val="0"/>
          <w:u w:val="none"/>
          <w:rtl/>
        </w:rPr>
      </w:pPr>
    </w:p>
    <w:p w14:paraId="13EC55F6" w14:textId="77777777" w:rsidR="0049080A" w:rsidRPr="0049080A" w:rsidRDefault="0049080A" w:rsidP="00D95A69">
      <w:pPr>
        <w:pStyle w:val="110"/>
        <w:spacing w:line="276" w:lineRule="auto"/>
        <w:rPr>
          <w:rtl/>
        </w:rPr>
      </w:pPr>
      <w:r w:rsidRPr="0049080A">
        <w:rPr>
          <w:rtl/>
        </w:rPr>
        <w:t xml:space="preserve">מהו האינטרס הציבורי? </w:t>
      </w:r>
    </w:p>
    <w:p w14:paraId="346C6B3C" w14:textId="37AA8D92" w:rsidR="0049080A" w:rsidRDefault="0049080A" w:rsidP="00D95A69">
      <w:pPr>
        <w:pStyle w:val="110"/>
        <w:numPr>
          <w:ilvl w:val="0"/>
          <w:numId w:val="106"/>
        </w:numPr>
        <w:spacing w:line="276" w:lineRule="auto"/>
        <w:rPr>
          <w:b w:val="0"/>
          <w:bCs w:val="0"/>
          <w:u w:val="none"/>
          <w:rtl/>
        </w:rPr>
      </w:pPr>
      <w:r w:rsidRPr="0049080A">
        <w:rPr>
          <w:b w:val="0"/>
          <w:bCs w:val="0"/>
          <w:u w:val="none"/>
          <w:rtl/>
        </w:rPr>
        <w:t>חומרת העבירה</w:t>
      </w:r>
    </w:p>
    <w:p w14:paraId="3FB90720" w14:textId="77777777" w:rsidR="0049080A" w:rsidRDefault="0049080A" w:rsidP="00D95A69">
      <w:pPr>
        <w:pStyle w:val="110"/>
        <w:numPr>
          <w:ilvl w:val="0"/>
          <w:numId w:val="106"/>
        </w:numPr>
        <w:spacing w:line="276" w:lineRule="auto"/>
        <w:rPr>
          <w:b w:val="0"/>
          <w:bCs w:val="0"/>
          <w:u w:val="none"/>
          <w:rtl/>
        </w:rPr>
      </w:pPr>
      <w:r w:rsidRPr="0049080A">
        <w:rPr>
          <w:b w:val="0"/>
          <w:bCs w:val="0"/>
          <w:u w:val="none"/>
          <w:rtl/>
        </w:rPr>
        <w:t>פגיעה בקורבנות</w:t>
      </w:r>
    </w:p>
    <w:p w14:paraId="55F6ECF6" w14:textId="385339FB" w:rsidR="0049080A" w:rsidRPr="0049080A" w:rsidRDefault="0049080A" w:rsidP="00D95A69">
      <w:pPr>
        <w:pStyle w:val="110"/>
        <w:numPr>
          <w:ilvl w:val="0"/>
          <w:numId w:val="106"/>
        </w:numPr>
        <w:spacing w:line="276" w:lineRule="auto"/>
        <w:rPr>
          <w:b w:val="0"/>
          <w:bCs w:val="0"/>
          <w:u w:val="none"/>
          <w:rtl/>
        </w:rPr>
      </w:pPr>
      <w:r w:rsidRPr="0049080A">
        <w:rPr>
          <w:b w:val="0"/>
          <w:bCs w:val="0"/>
          <w:u w:val="none"/>
          <w:rtl/>
        </w:rPr>
        <w:t>הרתעה</w:t>
      </w:r>
    </w:p>
    <w:p w14:paraId="7CED83D6" w14:textId="77777777" w:rsidR="0049080A" w:rsidRPr="0049080A" w:rsidRDefault="0049080A" w:rsidP="00D95A69">
      <w:pPr>
        <w:pStyle w:val="110"/>
        <w:numPr>
          <w:ilvl w:val="0"/>
          <w:numId w:val="105"/>
        </w:numPr>
        <w:spacing w:line="276" w:lineRule="auto"/>
        <w:rPr>
          <w:b w:val="0"/>
          <w:bCs w:val="0"/>
          <w:u w:val="none"/>
          <w:rtl/>
        </w:rPr>
      </w:pPr>
      <w:r w:rsidRPr="0049080A">
        <w:rPr>
          <w:b w:val="0"/>
          <w:bCs w:val="0"/>
          <w:u w:val="none"/>
          <w:rtl/>
        </w:rPr>
        <w:t>מנגד, ייתכנו מקרים שהם נאשם נכנס ויוצא בשערי בית הסוהר ודווקא הטיפול ההוליסטי והאינטנסיבי שיינתן בבית המשפט הקהילתי עשוי להוציא אותו ממעגל הפשיעה</w:t>
      </w:r>
    </w:p>
    <w:p w14:paraId="0DDDDB56" w14:textId="2F864008" w:rsidR="00735D82" w:rsidRDefault="00735D82" w:rsidP="00D95A69">
      <w:pPr>
        <w:pStyle w:val="110"/>
        <w:spacing w:line="276" w:lineRule="auto"/>
        <w:rPr>
          <w:b w:val="0"/>
          <w:bCs w:val="0"/>
          <w:rtl/>
        </w:rPr>
      </w:pPr>
    </w:p>
    <w:p w14:paraId="7BCCA73E" w14:textId="77777777" w:rsidR="005F5CCF" w:rsidRDefault="005F5CCF" w:rsidP="00D95A69">
      <w:pPr>
        <w:pStyle w:val="110"/>
        <w:spacing w:line="276" w:lineRule="auto"/>
        <w:rPr>
          <w:b w:val="0"/>
          <w:bCs w:val="0"/>
          <w:rtl/>
        </w:rPr>
      </w:pPr>
    </w:p>
    <w:p w14:paraId="27F6838B" w14:textId="172EE155" w:rsidR="002573C2" w:rsidRPr="002573C2" w:rsidRDefault="002573C2" w:rsidP="00D95A69">
      <w:pPr>
        <w:pStyle w:val="2"/>
        <w:rPr>
          <w:color w:val="7030A0"/>
          <w:rtl/>
        </w:rPr>
      </w:pPr>
      <w:bookmarkStart w:id="116" w:name="_Toc108218272"/>
      <w:r w:rsidRPr="002573C2">
        <w:rPr>
          <w:rFonts w:hint="cs"/>
          <w:color w:val="7030A0"/>
          <w:rtl/>
        </w:rPr>
        <w:lastRenderedPageBreak/>
        <w:t>מה קורה בביהמ"ש הקהילתי?</w:t>
      </w:r>
      <w:bookmarkEnd w:id="116"/>
    </w:p>
    <w:p w14:paraId="49C7CBEF" w14:textId="77777777" w:rsidR="002573C2" w:rsidRPr="002573C2" w:rsidRDefault="002573C2" w:rsidP="00D95A69">
      <w:pPr>
        <w:bidi/>
        <w:spacing w:after="0" w:line="276" w:lineRule="auto"/>
        <w:jc w:val="both"/>
        <w:rPr>
          <w:rFonts w:ascii="Segoe UI" w:hAnsi="Segoe UI" w:cs="Segoe UI"/>
          <w:lang w:val="en-US"/>
        </w:rPr>
      </w:pPr>
      <w:r w:rsidRPr="002573C2">
        <w:rPr>
          <w:rFonts w:ascii="Segoe UI" w:hAnsi="Segoe UI" w:cs="Segoe UI"/>
          <w:rtl/>
          <w:lang w:val="en-ZW"/>
        </w:rPr>
        <w:t xml:space="preserve">דיון בבית-המשפט פותר הבעיות מתמקד בהכרת הנאשם וצרכיו, בנסיבות שהובילו לביצוע העבירה ובגיבוש מענה הולם. </w:t>
      </w:r>
    </w:p>
    <w:p w14:paraId="10E76013" w14:textId="77777777" w:rsidR="002573C2" w:rsidRPr="002573C2" w:rsidRDefault="002573C2" w:rsidP="00D95A69">
      <w:pPr>
        <w:bidi/>
        <w:spacing w:after="0" w:line="276" w:lineRule="auto"/>
        <w:jc w:val="both"/>
        <w:rPr>
          <w:rFonts w:ascii="Segoe UI" w:hAnsi="Segoe UI" w:cs="Segoe UI"/>
          <w:rtl/>
          <w:lang w:val="en-ZW"/>
        </w:rPr>
      </w:pPr>
      <w:r w:rsidRPr="002573C2">
        <w:rPr>
          <w:rFonts w:ascii="Segoe UI" w:hAnsi="Segoe UI" w:cs="Segoe UI"/>
          <w:rtl/>
          <w:lang w:val="en-ZW"/>
        </w:rPr>
        <w:t>הנאשם מופנה לתוכניות הדרכה ושיקום שונות המתבצעות תחת פיקוח בית-המשפט. בית-המשפט עוקב מקרוב אחר התהליך הטיפולי, תוך קביעה של קריטריונים מסוימים (בדיקות שתן למשל, גמילה; עבודה; ראיונות).</w:t>
      </w:r>
    </w:p>
    <w:p w14:paraId="7D4E7F66" w14:textId="77777777" w:rsidR="002573C2" w:rsidRPr="002573C2" w:rsidRDefault="002573C2" w:rsidP="00D95A69">
      <w:pPr>
        <w:bidi/>
        <w:spacing w:after="0" w:line="276" w:lineRule="auto"/>
        <w:jc w:val="both"/>
        <w:rPr>
          <w:rFonts w:ascii="Segoe UI" w:hAnsi="Segoe UI" w:cs="Segoe UI"/>
          <w:lang w:val="en-US"/>
        </w:rPr>
      </w:pPr>
      <w:r w:rsidRPr="002573C2">
        <w:rPr>
          <w:rFonts w:ascii="Segoe UI" w:hAnsi="Segoe UI" w:cs="Segoe UI"/>
          <w:rtl/>
          <w:lang w:val="en-ZW"/>
        </w:rPr>
        <w:t xml:space="preserve">השופט הטיפולי מנהל הליך שאינו פורמליסטי, החורג מהמסגרת האדוורסרית, הכולל דיאלוג מתמיד בינו לבין הנאשם וליתר הגורמים המעורבים בתהליך. </w:t>
      </w:r>
    </w:p>
    <w:p w14:paraId="477A5BFF" w14:textId="77777777" w:rsidR="002573C2" w:rsidRPr="002573C2" w:rsidRDefault="002573C2" w:rsidP="00D95A69">
      <w:pPr>
        <w:bidi/>
        <w:spacing w:after="0" w:line="276" w:lineRule="auto"/>
        <w:jc w:val="both"/>
        <w:rPr>
          <w:rFonts w:ascii="Segoe UI" w:hAnsi="Segoe UI" w:cs="Segoe UI"/>
          <w:rtl/>
          <w:lang w:val="en-ZW"/>
        </w:rPr>
      </w:pPr>
      <w:r w:rsidRPr="002573C2">
        <w:rPr>
          <w:rFonts w:ascii="Segoe UI" w:hAnsi="Segoe UI" w:cs="Segoe UI"/>
          <w:rtl/>
          <w:lang w:val="en-ZW"/>
        </w:rPr>
        <w:t xml:space="preserve">השופט ממלא לעיתים </w:t>
      </w:r>
      <w:r w:rsidRPr="002573C2">
        <w:rPr>
          <w:rFonts w:ascii="Segoe UI" w:hAnsi="Segoe UI" w:cs="Segoe UI"/>
          <w:b/>
          <w:bCs/>
          <w:rtl/>
          <w:lang w:val="en-ZW"/>
        </w:rPr>
        <w:t>תפקיד הורי סמכותי</w:t>
      </w:r>
      <w:r w:rsidRPr="002573C2">
        <w:rPr>
          <w:rFonts w:ascii="Segoe UI" w:hAnsi="Segoe UI" w:cs="Segoe UI"/>
          <w:rtl/>
          <w:lang w:val="en-ZW"/>
        </w:rPr>
        <w:t>, בשילוב אמפתיה והצבת גבולות  במטרה ליצור תמריץ לשיקום הנאשם ולשינוי התנהגות בעתיד</w:t>
      </w:r>
    </w:p>
    <w:p w14:paraId="5CE4A235" w14:textId="77777777" w:rsidR="002573C2" w:rsidRPr="002573C2" w:rsidRDefault="002573C2" w:rsidP="00D95A69">
      <w:pPr>
        <w:bidi/>
        <w:spacing w:after="0" w:line="276" w:lineRule="auto"/>
        <w:jc w:val="both"/>
        <w:rPr>
          <w:rFonts w:ascii="Segoe UI" w:hAnsi="Segoe UI" w:cs="Segoe UI"/>
          <w:lang w:val="en-US"/>
        </w:rPr>
      </w:pPr>
      <w:r w:rsidRPr="002573C2">
        <w:rPr>
          <w:rFonts w:ascii="Segoe UI" w:hAnsi="Segoe UI" w:cs="Segoe UI"/>
          <w:rtl/>
          <w:lang w:val="en-ZW"/>
        </w:rPr>
        <w:t xml:space="preserve">השופט מנהל  ישיבות מעקב  אחר התקדמות הנאשם בהליך ועמידתו בתנאי התוכנית. </w:t>
      </w:r>
    </w:p>
    <w:p w14:paraId="4A2FB13B" w14:textId="77777777" w:rsidR="002573C2" w:rsidRPr="002573C2" w:rsidRDefault="002573C2" w:rsidP="00D95A69">
      <w:pPr>
        <w:bidi/>
        <w:spacing w:after="0" w:line="276" w:lineRule="auto"/>
        <w:jc w:val="both"/>
        <w:rPr>
          <w:rFonts w:ascii="Segoe UI" w:hAnsi="Segoe UI" w:cs="Segoe UI"/>
          <w:rtl/>
          <w:lang w:val="en-ZW"/>
        </w:rPr>
      </w:pPr>
      <w:r w:rsidRPr="002573C2">
        <w:rPr>
          <w:rFonts w:ascii="Segoe UI" w:hAnsi="Segoe UI" w:cs="Segoe UI"/>
          <w:rtl/>
          <w:lang w:val="en-ZW"/>
        </w:rPr>
        <w:t xml:space="preserve">במסגרת הישיבות, השופט נוהג להשתמש בשיטת "המקלות והגזרים" -  נותן תמריצים לנאשם, על מנת לעודד אותו (הקלה בתנאים, הורדה בתדירות הפיקוח)  </w:t>
      </w:r>
    </w:p>
    <w:p w14:paraId="22AF0671" w14:textId="3F5F81A9" w:rsidR="002573C2" w:rsidRDefault="002573C2" w:rsidP="00D95A69">
      <w:pPr>
        <w:bidi/>
        <w:spacing w:after="0" w:line="276" w:lineRule="auto"/>
        <w:jc w:val="both"/>
        <w:rPr>
          <w:rFonts w:ascii="Segoe UI" w:hAnsi="Segoe UI" w:cs="Segoe UI"/>
          <w:rtl/>
          <w:lang w:val="en-ZW"/>
        </w:rPr>
      </w:pPr>
      <w:r w:rsidRPr="002573C2">
        <w:rPr>
          <w:rFonts w:ascii="Segoe UI" w:hAnsi="Segoe UI" w:cs="Segoe UI"/>
          <w:rtl/>
          <w:lang w:val="en-ZW"/>
        </w:rPr>
        <w:t>ומטיל סנקציות ככל שיש נסיגה של הנאשם בתהליך (ואף מאסר).</w:t>
      </w:r>
    </w:p>
    <w:p w14:paraId="4DFE0CC8" w14:textId="263D2D13" w:rsidR="006D472B" w:rsidRDefault="006D472B" w:rsidP="00D95A69">
      <w:pPr>
        <w:bidi/>
        <w:spacing w:after="0" w:line="276" w:lineRule="auto"/>
        <w:jc w:val="both"/>
        <w:rPr>
          <w:rFonts w:ascii="Segoe UI" w:hAnsi="Segoe UI" w:cs="Segoe UI"/>
          <w:rtl/>
          <w:lang w:val="en-ZW"/>
        </w:rPr>
      </w:pPr>
    </w:p>
    <w:p w14:paraId="522F7763" w14:textId="316EF4D1" w:rsidR="006D472B" w:rsidRPr="006D472B" w:rsidRDefault="006D472B" w:rsidP="00D95A69">
      <w:pPr>
        <w:pStyle w:val="110"/>
        <w:spacing w:line="276" w:lineRule="auto"/>
      </w:pPr>
      <w:r w:rsidRPr="006D472B">
        <w:rPr>
          <w:rtl/>
        </w:rPr>
        <w:t xml:space="preserve">ההליך עצמו </w:t>
      </w:r>
    </w:p>
    <w:p w14:paraId="0203E4BD" w14:textId="276D36D7" w:rsidR="006D472B" w:rsidRPr="006D472B" w:rsidRDefault="006D472B" w:rsidP="00D95A69">
      <w:pPr>
        <w:pStyle w:val="ab"/>
        <w:numPr>
          <w:ilvl w:val="0"/>
          <w:numId w:val="107"/>
        </w:numPr>
        <w:bidi/>
        <w:spacing w:after="0" w:line="276" w:lineRule="auto"/>
        <w:jc w:val="both"/>
        <w:rPr>
          <w:rFonts w:ascii="Segoe UI" w:hAnsi="Segoe UI" w:cs="Segoe UI"/>
          <w:rtl/>
          <w:lang w:val="en-ZW"/>
        </w:rPr>
      </w:pPr>
      <w:r w:rsidRPr="006D472B">
        <w:rPr>
          <w:rFonts w:ascii="Segoe UI" w:hAnsi="Segoe UI" w:cs="Segoe UI"/>
          <w:rtl/>
          <w:lang w:val="en-ZW"/>
        </w:rPr>
        <w:t>הגשת כת"א</w:t>
      </w:r>
    </w:p>
    <w:p w14:paraId="6A6ADCFB" w14:textId="2D7F0B11" w:rsidR="006D472B" w:rsidRPr="006D472B" w:rsidRDefault="006D472B" w:rsidP="00D95A69">
      <w:pPr>
        <w:pStyle w:val="ab"/>
        <w:numPr>
          <w:ilvl w:val="0"/>
          <w:numId w:val="107"/>
        </w:numPr>
        <w:bidi/>
        <w:spacing w:after="0" w:line="276" w:lineRule="auto"/>
        <w:jc w:val="both"/>
        <w:rPr>
          <w:rFonts w:ascii="Segoe UI" w:hAnsi="Segoe UI" w:cs="Segoe UI"/>
          <w:rtl/>
          <w:lang w:val="en-ZW"/>
        </w:rPr>
      </w:pPr>
      <w:r w:rsidRPr="006D472B">
        <w:rPr>
          <w:rFonts w:ascii="Segoe UI" w:hAnsi="Segoe UI" w:cs="Segoe UI"/>
          <w:rtl/>
          <w:lang w:val="en-ZW"/>
        </w:rPr>
        <w:t>שופט מוקד - מחליט אם מתאים להליך חלופי בבית משפט קהילתי</w:t>
      </w:r>
    </w:p>
    <w:p w14:paraId="20AC7D7A" w14:textId="5B46FD56" w:rsidR="006D472B" w:rsidRPr="006D472B" w:rsidRDefault="006D472B" w:rsidP="00D95A69">
      <w:pPr>
        <w:pStyle w:val="ab"/>
        <w:numPr>
          <w:ilvl w:val="0"/>
          <w:numId w:val="107"/>
        </w:numPr>
        <w:bidi/>
        <w:spacing w:after="0" w:line="276" w:lineRule="auto"/>
        <w:jc w:val="both"/>
        <w:rPr>
          <w:rFonts w:ascii="Segoe UI" w:hAnsi="Segoe UI" w:cs="Segoe UI"/>
          <w:rtl/>
          <w:lang w:val="en-ZW"/>
        </w:rPr>
      </w:pPr>
      <w:r w:rsidRPr="006D472B">
        <w:rPr>
          <w:rFonts w:ascii="Segoe UI" w:hAnsi="Segoe UI" w:cs="Segoe UI"/>
          <w:rtl/>
          <w:lang w:val="en-ZW"/>
        </w:rPr>
        <w:t>אם מתאים - מועבר לבית משפט קהילתי</w:t>
      </w:r>
    </w:p>
    <w:p w14:paraId="14567835" w14:textId="13768788" w:rsidR="006D472B" w:rsidRPr="006D472B" w:rsidRDefault="006D472B" w:rsidP="00D95A69">
      <w:pPr>
        <w:pStyle w:val="ab"/>
        <w:numPr>
          <w:ilvl w:val="0"/>
          <w:numId w:val="107"/>
        </w:numPr>
        <w:bidi/>
        <w:spacing w:after="0" w:line="276" w:lineRule="auto"/>
        <w:jc w:val="both"/>
        <w:rPr>
          <w:rFonts w:ascii="Segoe UI" w:hAnsi="Segoe UI" w:cs="Segoe UI"/>
          <w:rtl/>
          <w:lang w:val="en-ZW"/>
        </w:rPr>
      </w:pPr>
      <w:r w:rsidRPr="006D472B">
        <w:rPr>
          <w:rFonts w:ascii="Segoe UI" w:hAnsi="Segoe UI" w:cs="Segoe UI"/>
          <w:rtl/>
          <w:lang w:val="en-ZW"/>
        </w:rPr>
        <w:t>מתקבל תסקיר על הנאשם</w:t>
      </w:r>
    </w:p>
    <w:p w14:paraId="544E3649" w14:textId="5A325045" w:rsidR="006D472B" w:rsidRPr="006D472B" w:rsidRDefault="006D472B" w:rsidP="00D95A69">
      <w:pPr>
        <w:pStyle w:val="ab"/>
        <w:numPr>
          <w:ilvl w:val="0"/>
          <w:numId w:val="107"/>
        </w:numPr>
        <w:bidi/>
        <w:spacing w:after="0" w:line="276" w:lineRule="auto"/>
        <w:jc w:val="both"/>
        <w:rPr>
          <w:rFonts w:ascii="Segoe UI" w:hAnsi="Segoe UI" w:cs="Segoe UI"/>
          <w:rtl/>
          <w:lang w:val="en-ZW"/>
        </w:rPr>
      </w:pPr>
      <w:r w:rsidRPr="006D472B">
        <w:rPr>
          <w:rFonts w:ascii="Segoe UI" w:hAnsi="Segoe UI" w:cs="Segoe UI"/>
          <w:rtl/>
          <w:lang w:val="en-ZW"/>
        </w:rPr>
        <w:t>הסדר טיעון בו מודה הנאשם בעבירות</w:t>
      </w:r>
    </w:p>
    <w:p w14:paraId="57856EBA" w14:textId="14923A44" w:rsidR="006D472B" w:rsidRPr="006D472B" w:rsidRDefault="006D472B" w:rsidP="00D95A69">
      <w:pPr>
        <w:pStyle w:val="ab"/>
        <w:numPr>
          <w:ilvl w:val="0"/>
          <w:numId w:val="107"/>
        </w:numPr>
        <w:bidi/>
        <w:spacing w:after="0" w:line="276" w:lineRule="auto"/>
        <w:jc w:val="both"/>
        <w:rPr>
          <w:rFonts w:ascii="Segoe UI" w:hAnsi="Segoe UI" w:cs="Segoe UI"/>
          <w:rtl/>
          <w:lang w:val="en-ZW"/>
        </w:rPr>
      </w:pPr>
      <w:r w:rsidRPr="006D472B">
        <w:rPr>
          <w:rFonts w:ascii="Segoe UI" w:hAnsi="Segoe UI" w:cs="Segoe UI"/>
          <w:rtl/>
          <w:lang w:val="en-ZW"/>
        </w:rPr>
        <w:t>תחילת הליך קהילתי</w:t>
      </w:r>
    </w:p>
    <w:p w14:paraId="1CC39657" w14:textId="4BDE17E4" w:rsidR="00A67F1F" w:rsidRPr="00A67F1F" w:rsidRDefault="006D472B" w:rsidP="00D95A69">
      <w:pPr>
        <w:pStyle w:val="ab"/>
        <w:numPr>
          <w:ilvl w:val="0"/>
          <w:numId w:val="107"/>
        </w:numPr>
        <w:bidi/>
        <w:spacing w:after="0" w:line="276" w:lineRule="auto"/>
        <w:jc w:val="both"/>
        <w:rPr>
          <w:rFonts w:ascii="Segoe UI" w:hAnsi="Segoe UI" w:cs="Segoe UI"/>
          <w:rtl/>
          <w:lang w:val="en-ZW"/>
        </w:rPr>
      </w:pPr>
      <w:r w:rsidRPr="006D472B">
        <w:rPr>
          <w:rFonts w:ascii="Segoe UI" w:hAnsi="Segoe UI" w:cs="Segoe UI"/>
          <w:rtl/>
          <w:lang w:val="en-ZW"/>
        </w:rPr>
        <w:t>דיוני מעקב</w:t>
      </w:r>
    </w:p>
    <w:p w14:paraId="7C873212" w14:textId="6C693384" w:rsidR="002573C2" w:rsidRDefault="002573C2" w:rsidP="00D95A69">
      <w:pPr>
        <w:bidi/>
        <w:spacing w:after="0" w:line="276" w:lineRule="auto"/>
        <w:rPr>
          <w:rtl/>
          <w:lang w:val="en-ZW"/>
        </w:rPr>
      </w:pPr>
    </w:p>
    <w:p w14:paraId="1AEA2EB7" w14:textId="5E8714A7" w:rsidR="008851A5" w:rsidRPr="006D4F0A" w:rsidRDefault="008851A5" w:rsidP="00D95A69">
      <w:pPr>
        <w:pStyle w:val="110"/>
        <w:spacing w:line="276" w:lineRule="auto"/>
        <w:rPr>
          <w:color w:val="7030A0"/>
          <w:rtl/>
        </w:rPr>
      </w:pPr>
      <w:r w:rsidRPr="006D4F0A">
        <w:rPr>
          <w:rFonts w:hint="cs"/>
          <w:color w:val="7030A0"/>
          <w:rtl/>
        </w:rPr>
        <w:t>הליך השיקום בביהמ"ש הקהילתי</w:t>
      </w:r>
    </w:p>
    <w:p w14:paraId="4D105182" w14:textId="77777777" w:rsidR="00A31CFD" w:rsidRPr="00A31CFD" w:rsidRDefault="00A31CFD" w:rsidP="00D95A69">
      <w:pPr>
        <w:pStyle w:val="110"/>
        <w:spacing w:line="276" w:lineRule="auto"/>
        <w:rPr>
          <w:b w:val="0"/>
          <w:bCs w:val="0"/>
          <w:u w:val="none"/>
        </w:rPr>
      </w:pPr>
      <w:r w:rsidRPr="00A31CFD">
        <w:rPr>
          <w:b w:val="0"/>
          <w:bCs w:val="0"/>
          <w:u w:val="none"/>
          <w:rtl/>
        </w:rPr>
        <w:t>הליך השיקום בבית המשפט הקהילתי כולל תוכנית בת חמישה שלבים:</w:t>
      </w:r>
    </w:p>
    <w:p w14:paraId="0613CC4C" w14:textId="6E1B1555" w:rsidR="00A31CFD" w:rsidRPr="00A31CFD" w:rsidRDefault="00A31CFD" w:rsidP="00D95A69">
      <w:pPr>
        <w:pStyle w:val="110"/>
        <w:numPr>
          <w:ilvl w:val="0"/>
          <w:numId w:val="105"/>
        </w:numPr>
        <w:spacing w:line="276" w:lineRule="auto"/>
        <w:rPr>
          <w:b w:val="0"/>
          <w:bCs w:val="0"/>
          <w:u w:val="none"/>
          <w:rtl/>
        </w:rPr>
      </w:pPr>
      <w:r w:rsidRPr="00A31CFD">
        <w:rPr>
          <w:b w:val="0"/>
          <w:bCs w:val="0"/>
          <w:u w:val="none"/>
          <w:rtl/>
        </w:rPr>
        <w:t>היכרות ובניית התוכנית הטיפולית</w:t>
      </w:r>
    </w:p>
    <w:p w14:paraId="40913628" w14:textId="77777777" w:rsidR="00A31CFD" w:rsidRPr="00A31CFD" w:rsidRDefault="00A31CFD" w:rsidP="00D95A69">
      <w:pPr>
        <w:pStyle w:val="110"/>
        <w:numPr>
          <w:ilvl w:val="0"/>
          <w:numId w:val="105"/>
        </w:numPr>
        <w:spacing w:line="276" w:lineRule="auto"/>
        <w:rPr>
          <w:b w:val="0"/>
          <w:bCs w:val="0"/>
          <w:u w:val="none"/>
          <w:rtl/>
        </w:rPr>
      </w:pPr>
      <w:r w:rsidRPr="00A31CFD">
        <w:rPr>
          <w:b w:val="0"/>
          <w:bCs w:val="0"/>
          <w:u w:val="none"/>
          <w:rtl/>
        </w:rPr>
        <w:t>השתלבות והתייצבות</w:t>
      </w:r>
    </w:p>
    <w:p w14:paraId="1DD77F5D" w14:textId="77777777" w:rsidR="00A31CFD" w:rsidRPr="00A31CFD" w:rsidRDefault="00A31CFD" w:rsidP="00D95A69">
      <w:pPr>
        <w:pStyle w:val="110"/>
        <w:numPr>
          <w:ilvl w:val="0"/>
          <w:numId w:val="105"/>
        </w:numPr>
        <w:spacing w:line="276" w:lineRule="auto"/>
        <w:rPr>
          <w:b w:val="0"/>
          <w:bCs w:val="0"/>
          <w:u w:val="none"/>
          <w:rtl/>
        </w:rPr>
      </w:pPr>
      <w:r w:rsidRPr="00A31CFD">
        <w:rPr>
          <w:b w:val="0"/>
          <w:bCs w:val="0"/>
          <w:u w:val="none"/>
          <w:rtl/>
        </w:rPr>
        <w:t>מימוש וקידום תוכנית השיקום</w:t>
      </w:r>
    </w:p>
    <w:p w14:paraId="6F3DDCA9" w14:textId="77777777" w:rsidR="00A31CFD" w:rsidRPr="00A31CFD" w:rsidRDefault="00A31CFD" w:rsidP="00D95A69">
      <w:pPr>
        <w:pStyle w:val="110"/>
        <w:numPr>
          <w:ilvl w:val="0"/>
          <w:numId w:val="105"/>
        </w:numPr>
        <w:spacing w:line="276" w:lineRule="auto"/>
        <w:rPr>
          <w:b w:val="0"/>
          <w:bCs w:val="0"/>
          <w:u w:val="none"/>
          <w:rtl/>
        </w:rPr>
      </w:pPr>
      <w:r w:rsidRPr="00A31CFD">
        <w:rPr>
          <w:b w:val="0"/>
          <w:bCs w:val="0"/>
          <w:u w:val="none"/>
          <w:rtl/>
        </w:rPr>
        <w:t>שלב שימור השינוי</w:t>
      </w:r>
    </w:p>
    <w:p w14:paraId="33474358" w14:textId="77777777" w:rsidR="00A31CFD" w:rsidRPr="00A31CFD" w:rsidRDefault="00A31CFD" w:rsidP="00D95A69">
      <w:pPr>
        <w:pStyle w:val="110"/>
        <w:numPr>
          <w:ilvl w:val="0"/>
          <w:numId w:val="105"/>
        </w:numPr>
        <w:spacing w:line="276" w:lineRule="auto"/>
        <w:rPr>
          <w:b w:val="0"/>
          <w:bCs w:val="0"/>
          <w:u w:val="none"/>
          <w:rtl/>
        </w:rPr>
      </w:pPr>
      <w:r w:rsidRPr="00A31CFD">
        <w:rPr>
          <w:b w:val="0"/>
          <w:bCs w:val="0"/>
          <w:u w:val="none"/>
          <w:rtl/>
        </w:rPr>
        <w:t>שלב הפרידה</w:t>
      </w:r>
    </w:p>
    <w:p w14:paraId="4FEF5BDD" w14:textId="7162F446" w:rsidR="00A31CFD" w:rsidRPr="00A31CFD" w:rsidRDefault="00A31CFD" w:rsidP="00D95A69">
      <w:pPr>
        <w:pStyle w:val="110"/>
        <w:spacing w:line="276" w:lineRule="auto"/>
        <w:rPr>
          <w:b w:val="0"/>
          <w:bCs w:val="0"/>
          <w:u w:val="none"/>
          <w:rtl/>
        </w:rPr>
      </w:pPr>
      <w:r w:rsidRPr="00A31CFD">
        <w:rPr>
          <w:b w:val="0"/>
          <w:bCs w:val="0"/>
          <w:u w:val="none"/>
          <w:rtl/>
        </w:rPr>
        <w:t xml:space="preserve"> כדי להתקדם בת</w:t>
      </w:r>
      <w:r w:rsidR="006D4F0A">
        <w:rPr>
          <w:rFonts w:hint="cs"/>
          <w:b w:val="0"/>
          <w:bCs w:val="0"/>
          <w:u w:val="none"/>
          <w:rtl/>
        </w:rPr>
        <w:t>ו</w:t>
      </w:r>
      <w:r w:rsidRPr="00A31CFD">
        <w:rPr>
          <w:b w:val="0"/>
          <w:bCs w:val="0"/>
          <w:u w:val="none"/>
          <w:rtl/>
        </w:rPr>
        <w:t xml:space="preserve">כנית משלב לשלב, הנאשם נדרש להגיש בקשה מנומקת בכתב לבית המשפט ובה לפרט את התקדמותו בתהליך. השופט יאשר את המעבר לאחר שקילת עמדת כל הצדדים בעניין. </w:t>
      </w:r>
    </w:p>
    <w:p w14:paraId="7F3031EA" w14:textId="7C421843" w:rsidR="008851A5" w:rsidRDefault="008851A5" w:rsidP="00D95A69">
      <w:pPr>
        <w:pStyle w:val="110"/>
        <w:spacing w:line="276" w:lineRule="auto"/>
        <w:rPr>
          <w:rtl/>
        </w:rPr>
      </w:pPr>
    </w:p>
    <w:p w14:paraId="7E90FE11" w14:textId="4528AD8E" w:rsidR="006D4F0A" w:rsidRPr="006D4F0A" w:rsidRDefault="006D4F0A" w:rsidP="00D95A69">
      <w:pPr>
        <w:pStyle w:val="110"/>
        <w:spacing w:line="276" w:lineRule="auto"/>
        <w:rPr>
          <w:color w:val="7030A0"/>
          <w:rtl/>
        </w:rPr>
      </w:pPr>
      <w:r>
        <w:rPr>
          <w:rFonts w:hint="cs"/>
          <w:color w:val="7030A0"/>
          <w:rtl/>
        </w:rPr>
        <w:t>בעלי תפקידים</w:t>
      </w:r>
      <w:r w:rsidRPr="006D4F0A">
        <w:rPr>
          <w:rFonts w:hint="cs"/>
          <w:color w:val="7030A0"/>
          <w:rtl/>
        </w:rPr>
        <w:t xml:space="preserve"> בביהמ"ש הקהילתי</w:t>
      </w:r>
    </w:p>
    <w:p w14:paraId="692BF018" w14:textId="1E253787" w:rsidR="006D4F0A" w:rsidRDefault="006D4F0A" w:rsidP="005F5CCF">
      <w:pPr>
        <w:pStyle w:val="110"/>
        <w:spacing w:line="276" w:lineRule="auto"/>
        <w:rPr>
          <w:b w:val="0"/>
          <w:bCs w:val="0"/>
          <w:u w:val="none"/>
          <w:rtl/>
        </w:rPr>
      </w:pPr>
      <w:r w:rsidRPr="006D4F0A">
        <w:rPr>
          <w:b w:val="0"/>
          <w:bCs w:val="0"/>
          <w:u w:val="none"/>
          <w:rtl/>
        </w:rPr>
        <w:t>התובע/פרקליט + הסנגור</w:t>
      </w:r>
      <w:r w:rsidR="005F5CCF">
        <w:rPr>
          <w:rFonts w:hint="cs"/>
          <w:b w:val="0"/>
          <w:bCs w:val="0"/>
          <w:u w:val="none"/>
          <w:rtl/>
        </w:rPr>
        <w:t xml:space="preserve">; </w:t>
      </w:r>
      <w:r w:rsidRPr="006D4F0A">
        <w:rPr>
          <w:b w:val="0"/>
          <w:bCs w:val="0"/>
          <w:u w:val="none"/>
          <w:rtl/>
        </w:rPr>
        <w:t>הרכזים – דמות משמעתית עבור הנאשמים. מלווים אותם. ציר מקשר בין בעלי התפקידים</w:t>
      </w:r>
      <w:r w:rsidR="005F5CCF">
        <w:rPr>
          <w:rFonts w:hint="cs"/>
          <w:b w:val="0"/>
          <w:bCs w:val="0"/>
          <w:u w:val="none"/>
          <w:rtl/>
        </w:rPr>
        <w:t>;</w:t>
      </w:r>
      <w:r w:rsidR="005F5CCF">
        <w:rPr>
          <w:rFonts w:hint="cs"/>
          <w:b w:val="0"/>
          <w:bCs w:val="0"/>
          <w:u w:val="none"/>
        </w:rPr>
        <w:t xml:space="preserve"> </w:t>
      </w:r>
      <w:r w:rsidRPr="006D4F0A">
        <w:rPr>
          <w:b w:val="0"/>
          <w:bCs w:val="0"/>
          <w:u w:val="none"/>
          <w:rtl/>
        </w:rPr>
        <w:t>העובד הסוציאלי הקהילתי</w:t>
      </w:r>
      <w:r w:rsidR="005F5CCF">
        <w:rPr>
          <w:rFonts w:hint="cs"/>
          <w:b w:val="0"/>
          <w:bCs w:val="0"/>
          <w:u w:val="none"/>
          <w:rtl/>
        </w:rPr>
        <w:t>;</w:t>
      </w:r>
      <w:r w:rsidR="005F5CCF">
        <w:rPr>
          <w:rFonts w:hint="cs"/>
          <w:b w:val="0"/>
          <w:bCs w:val="0"/>
          <w:u w:val="none"/>
        </w:rPr>
        <w:t xml:space="preserve"> </w:t>
      </w:r>
      <w:r w:rsidRPr="006D4F0A">
        <w:rPr>
          <w:b w:val="0"/>
          <w:bCs w:val="0"/>
          <w:u w:val="none"/>
          <w:rtl/>
        </w:rPr>
        <w:t>מתנדבים – מלווים וחונכים</w:t>
      </w:r>
    </w:p>
    <w:p w14:paraId="27C36E12" w14:textId="0F626B74" w:rsidR="00A67F1F" w:rsidRDefault="00A67F1F" w:rsidP="00D95A69">
      <w:pPr>
        <w:pStyle w:val="110"/>
        <w:spacing w:line="276" w:lineRule="auto"/>
        <w:rPr>
          <w:b w:val="0"/>
          <w:bCs w:val="0"/>
          <w:u w:val="none"/>
          <w:rtl/>
        </w:rPr>
      </w:pPr>
    </w:p>
    <w:p w14:paraId="21645938" w14:textId="77777777" w:rsidR="00A67F1F" w:rsidRPr="00A67F1F" w:rsidRDefault="00A67F1F" w:rsidP="00D95A69">
      <w:pPr>
        <w:pStyle w:val="110"/>
        <w:spacing w:line="276" w:lineRule="auto"/>
      </w:pPr>
      <w:r w:rsidRPr="00A67F1F">
        <w:rPr>
          <w:rtl/>
        </w:rPr>
        <w:t>סל הכלים של בית המשפט</w:t>
      </w:r>
    </w:p>
    <w:p w14:paraId="4DC0FC7C" w14:textId="02A185DC" w:rsidR="00A67F1F" w:rsidRPr="006D4F0A" w:rsidRDefault="00A67F1F" w:rsidP="005F5CCF">
      <w:pPr>
        <w:pStyle w:val="110"/>
        <w:spacing w:line="276" w:lineRule="auto"/>
        <w:rPr>
          <w:b w:val="0"/>
          <w:bCs w:val="0"/>
          <w:u w:val="none"/>
          <w:rtl/>
        </w:rPr>
      </w:pPr>
      <w:r w:rsidRPr="00A67F1F">
        <w:rPr>
          <w:b w:val="0"/>
          <w:bCs w:val="0"/>
          <w:u w:val="none"/>
          <w:rtl/>
        </w:rPr>
        <w:t xml:space="preserve">סדנת העשרה; מיצוי זכויות </w:t>
      </w:r>
      <w:proofErr w:type="spellStart"/>
      <w:r w:rsidRPr="00A67F1F">
        <w:rPr>
          <w:b w:val="0"/>
          <w:bCs w:val="0"/>
          <w:u w:val="none"/>
          <w:rtl/>
        </w:rPr>
        <w:t>בבטל"א</w:t>
      </w:r>
      <w:proofErr w:type="spellEnd"/>
      <w:r w:rsidR="005F5CCF">
        <w:rPr>
          <w:rFonts w:hint="cs"/>
          <w:b w:val="0"/>
          <w:bCs w:val="0"/>
          <w:u w:val="none"/>
          <w:rtl/>
        </w:rPr>
        <w:t xml:space="preserve">; </w:t>
      </w:r>
      <w:r w:rsidRPr="00A67F1F">
        <w:rPr>
          <w:b w:val="0"/>
          <w:bCs w:val="0"/>
          <w:u w:val="none"/>
          <w:rtl/>
        </w:rPr>
        <w:t>סיוע בתחום התעסוקה; מינוי מתנדב</w:t>
      </w:r>
      <w:r w:rsidR="005F5CCF">
        <w:rPr>
          <w:rFonts w:hint="cs"/>
          <w:b w:val="0"/>
          <w:bCs w:val="0"/>
          <w:u w:val="none"/>
          <w:rtl/>
        </w:rPr>
        <w:t xml:space="preserve">; </w:t>
      </w:r>
      <w:r w:rsidRPr="00A67F1F">
        <w:rPr>
          <w:b w:val="0"/>
          <w:bCs w:val="0"/>
          <w:u w:val="none"/>
          <w:rtl/>
        </w:rPr>
        <w:t>הדרכת הורים;</w:t>
      </w:r>
      <w:r w:rsidR="005F5CCF">
        <w:rPr>
          <w:rFonts w:hint="cs"/>
          <w:b w:val="0"/>
          <w:bCs w:val="0"/>
          <w:u w:val="none"/>
          <w:rtl/>
        </w:rPr>
        <w:t xml:space="preserve"> </w:t>
      </w:r>
      <w:r w:rsidRPr="00A67F1F">
        <w:rPr>
          <w:b w:val="0"/>
          <w:bCs w:val="0"/>
          <w:u w:val="none"/>
          <w:rtl/>
        </w:rPr>
        <w:t>בדיקות שתן;</w:t>
      </w:r>
      <w:r w:rsidR="005F5CCF">
        <w:rPr>
          <w:rFonts w:hint="cs"/>
          <w:b w:val="0"/>
          <w:bCs w:val="0"/>
          <w:u w:val="none"/>
          <w:rtl/>
        </w:rPr>
        <w:t xml:space="preserve"> </w:t>
      </w:r>
      <w:r w:rsidRPr="00A67F1F">
        <w:rPr>
          <w:b w:val="0"/>
          <w:bCs w:val="0"/>
          <w:u w:val="none"/>
          <w:rtl/>
        </w:rPr>
        <w:t>טיפול בתחליף סם;</w:t>
      </w:r>
      <w:r w:rsidR="005F5CCF">
        <w:rPr>
          <w:rFonts w:hint="cs"/>
          <w:b w:val="0"/>
          <w:bCs w:val="0"/>
          <w:u w:val="none"/>
          <w:rtl/>
        </w:rPr>
        <w:t xml:space="preserve"> </w:t>
      </w:r>
      <w:r w:rsidRPr="00A67F1F">
        <w:rPr>
          <w:b w:val="0"/>
          <w:bCs w:val="0"/>
          <w:u w:val="none"/>
          <w:rtl/>
        </w:rPr>
        <w:t>אשפוז; סיוע בהסדרת חובות</w:t>
      </w:r>
      <w:r w:rsidR="005F5CCF">
        <w:rPr>
          <w:rFonts w:hint="cs"/>
          <w:b w:val="0"/>
          <w:bCs w:val="0"/>
          <w:u w:val="none"/>
          <w:rtl/>
        </w:rPr>
        <w:t xml:space="preserve">; </w:t>
      </w:r>
      <w:r w:rsidRPr="00A67F1F">
        <w:rPr>
          <w:b w:val="0"/>
          <w:bCs w:val="0"/>
          <w:u w:val="none"/>
          <w:rtl/>
        </w:rPr>
        <w:t>סיוע במציאת דיור</w:t>
      </w:r>
    </w:p>
    <w:p w14:paraId="0EA9C5D8" w14:textId="0C7D39CE" w:rsidR="006D4F0A" w:rsidRDefault="006D4F0A" w:rsidP="00D95A69">
      <w:pPr>
        <w:pStyle w:val="110"/>
        <w:spacing w:line="276" w:lineRule="auto"/>
        <w:rPr>
          <w:rtl/>
        </w:rPr>
      </w:pPr>
    </w:p>
    <w:p w14:paraId="15EC3A04" w14:textId="77777777" w:rsidR="006D472B" w:rsidRPr="006D472B" w:rsidRDefault="006D472B" w:rsidP="00D95A69">
      <w:pPr>
        <w:pStyle w:val="2"/>
      </w:pPr>
      <w:bookmarkStart w:id="117" w:name="_Toc108218273"/>
      <w:r w:rsidRPr="006D472B">
        <w:rPr>
          <w:rtl/>
        </w:rPr>
        <w:t>יתרונות של בתי המשפט הקהילתיים</w:t>
      </w:r>
      <w:bookmarkEnd w:id="117"/>
    </w:p>
    <w:p w14:paraId="4B3406A9" w14:textId="57FA7B78" w:rsidR="006D472B" w:rsidRPr="006D472B" w:rsidRDefault="006D472B" w:rsidP="00D95A69">
      <w:pPr>
        <w:pStyle w:val="110"/>
        <w:spacing w:line="276" w:lineRule="auto"/>
        <w:rPr>
          <w:b w:val="0"/>
          <w:bCs w:val="0"/>
          <w:u w:val="none"/>
          <w:rtl/>
        </w:rPr>
      </w:pPr>
      <w:r w:rsidRPr="006D472B">
        <w:rPr>
          <w:b w:val="0"/>
          <w:bCs w:val="0"/>
          <w:u w:val="none"/>
          <w:rtl/>
        </w:rPr>
        <w:lastRenderedPageBreak/>
        <w:t>פועל יוצא של חיזוק יכולת ההתמודדות עם עבריינות על פי מודל בית-המשפט הקהילתי</w:t>
      </w:r>
      <w:r>
        <w:rPr>
          <w:rFonts w:hint="cs"/>
          <w:b w:val="0"/>
          <w:bCs w:val="0"/>
          <w:u w:val="none"/>
          <w:rtl/>
        </w:rPr>
        <w:t xml:space="preserve"> </w:t>
      </w:r>
      <w:r w:rsidRPr="006D472B">
        <w:rPr>
          <w:b w:val="0"/>
          <w:bCs w:val="0"/>
          <w:u w:val="none"/>
          <w:rtl/>
        </w:rPr>
        <w:t>הוא הגברת אמון הציבור במערכות האכיפה, חיזוק תחושת הצדק הפרוצדורלי בקרב מי שבאים במגע עם המערכות הללו ושיפור מצבן של קהילות הסובלות מרמות גבוהות של פשיעה.</w:t>
      </w:r>
    </w:p>
    <w:p w14:paraId="25F05192" w14:textId="77777777" w:rsidR="006D472B" w:rsidRPr="006D472B" w:rsidRDefault="006D472B" w:rsidP="00D95A69">
      <w:pPr>
        <w:pStyle w:val="110"/>
        <w:spacing w:line="276" w:lineRule="auto"/>
        <w:rPr>
          <w:b w:val="0"/>
          <w:bCs w:val="0"/>
          <w:u w:val="none"/>
          <w:rtl/>
        </w:rPr>
      </w:pPr>
      <w:r w:rsidRPr="006D472B">
        <w:rPr>
          <w:b w:val="0"/>
          <w:bCs w:val="0"/>
          <w:u w:val="none"/>
          <w:rtl/>
        </w:rPr>
        <w:t>מחקר  - פרופ' טום טיילור</w:t>
      </w:r>
    </w:p>
    <w:p w14:paraId="3B1F4A62" w14:textId="4E6C19B2" w:rsidR="006D472B" w:rsidRDefault="006D472B" w:rsidP="00D95A69">
      <w:pPr>
        <w:pStyle w:val="110"/>
        <w:spacing w:line="276" w:lineRule="auto"/>
        <w:rPr>
          <w:rtl/>
        </w:rPr>
      </w:pPr>
    </w:p>
    <w:p w14:paraId="0BA1A3FE" w14:textId="77777777" w:rsidR="00A67F1F" w:rsidRPr="00A67F1F" w:rsidRDefault="00A67F1F" w:rsidP="00D95A69">
      <w:pPr>
        <w:pStyle w:val="2"/>
      </w:pPr>
      <w:bookmarkStart w:id="118" w:name="_Toc108218274"/>
      <w:r w:rsidRPr="00A67F1F">
        <w:rPr>
          <w:rtl/>
        </w:rPr>
        <w:t>מאפיינים של ההליך הקהילתי</w:t>
      </w:r>
      <w:bookmarkEnd w:id="118"/>
    </w:p>
    <w:p w14:paraId="49FCF374" w14:textId="77777777" w:rsidR="00A67F1F" w:rsidRPr="00A67F1F" w:rsidRDefault="00A67F1F" w:rsidP="00D95A69">
      <w:pPr>
        <w:pStyle w:val="110"/>
        <w:numPr>
          <w:ilvl w:val="0"/>
          <w:numId w:val="108"/>
        </w:numPr>
        <w:spacing w:line="276" w:lineRule="auto"/>
        <w:rPr>
          <w:b w:val="0"/>
          <w:bCs w:val="0"/>
          <w:u w:val="none"/>
        </w:rPr>
      </w:pPr>
      <w:r w:rsidRPr="00A67F1F">
        <w:rPr>
          <w:b w:val="0"/>
          <w:bCs w:val="0"/>
          <w:u w:val="none"/>
          <w:rtl/>
        </w:rPr>
        <w:t xml:space="preserve">התמקדות בפוגע ובצרכיו. </w:t>
      </w:r>
    </w:p>
    <w:p w14:paraId="694B1F2E" w14:textId="77777777" w:rsidR="00DD2097" w:rsidRDefault="00A67F1F" w:rsidP="00D95A69">
      <w:pPr>
        <w:pStyle w:val="110"/>
        <w:numPr>
          <w:ilvl w:val="0"/>
          <w:numId w:val="108"/>
        </w:numPr>
        <w:spacing w:line="276" w:lineRule="auto"/>
        <w:rPr>
          <w:b w:val="0"/>
          <w:bCs w:val="0"/>
          <w:u w:val="none"/>
          <w:rtl/>
        </w:rPr>
      </w:pPr>
      <w:r w:rsidRPr="00A67F1F">
        <w:rPr>
          <w:b w:val="0"/>
          <w:bCs w:val="0"/>
          <w:u w:val="none"/>
          <w:rtl/>
        </w:rPr>
        <w:t>אין כמעט התמקדות בנפגע העבירה</w:t>
      </w:r>
    </w:p>
    <w:p w14:paraId="17CED364" w14:textId="01F80620" w:rsidR="00A67F1F" w:rsidRPr="00A67F1F" w:rsidRDefault="00A67F1F" w:rsidP="00D95A69">
      <w:pPr>
        <w:pStyle w:val="110"/>
        <w:numPr>
          <w:ilvl w:val="0"/>
          <w:numId w:val="108"/>
        </w:numPr>
        <w:spacing w:line="276" w:lineRule="auto"/>
        <w:rPr>
          <w:b w:val="0"/>
          <w:bCs w:val="0"/>
          <w:u w:val="none"/>
          <w:rtl/>
        </w:rPr>
      </w:pPr>
      <w:r w:rsidRPr="00A67F1F">
        <w:rPr>
          <w:b w:val="0"/>
          <w:bCs w:val="0"/>
          <w:u w:val="none"/>
          <w:rtl/>
        </w:rPr>
        <w:t>פורמליות גמישה. לדוג': אם משתתף איחר לפגישה עם קצינת מבחן, הוטל עליו לכתוב מכתב סליחה. מנגד, מחיאות כפיים לעבריינים ששוקמו. אווירה טיפה יותר קלילה</w:t>
      </w:r>
    </w:p>
    <w:p w14:paraId="74905CCC" w14:textId="0DFAFC44" w:rsidR="00A67F1F" w:rsidRPr="00A67F1F" w:rsidRDefault="00A67F1F" w:rsidP="00D95A69">
      <w:pPr>
        <w:pStyle w:val="110"/>
        <w:numPr>
          <w:ilvl w:val="0"/>
          <w:numId w:val="108"/>
        </w:numPr>
        <w:spacing w:line="276" w:lineRule="auto"/>
        <w:rPr>
          <w:b w:val="0"/>
          <w:bCs w:val="0"/>
          <w:u w:val="none"/>
          <w:rtl/>
        </w:rPr>
      </w:pPr>
      <w:r w:rsidRPr="00A67F1F">
        <w:rPr>
          <w:b w:val="0"/>
          <w:bCs w:val="0"/>
          <w:u w:val="none"/>
          <w:rtl/>
        </w:rPr>
        <w:t>אנשי מקצוע רבים מעורבים בהליך ולא רק בית המשפט</w:t>
      </w:r>
    </w:p>
    <w:p w14:paraId="6144E429" w14:textId="5780B389" w:rsidR="00A67F1F" w:rsidRDefault="00A67F1F" w:rsidP="00D95A69">
      <w:pPr>
        <w:pStyle w:val="110"/>
        <w:numPr>
          <w:ilvl w:val="0"/>
          <w:numId w:val="108"/>
        </w:numPr>
        <w:spacing w:line="276" w:lineRule="auto"/>
        <w:rPr>
          <w:b w:val="0"/>
          <w:bCs w:val="0"/>
          <w:u w:val="none"/>
        </w:rPr>
      </w:pPr>
      <w:r w:rsidRPr="00A67F1F">
        <w:rPr>
          <w:b w:val="0"/>
          <w:bCs w:val="0"/>
          <w:u w:val="none"/>
          <w:rtl/>
        </w:rPr>
        <w:t>התייחסות רחבה ועמוקה לבני המשפחה של הנאשם.</w:t>
      </w:r>
    </w:p>
    <w:p w14:paraId="1EC91B49" w14:textId="77777777" w:rsidR="00DD2097" w:rsidRPr="00DD2097" w:rsidRDefault="00DD2097" w:rsidP="00D95A69">
      <w:pPr>
        <w:pStyle w:val="110"/>
        <w:numPr>
          <w:ilvl w:val="0"/>
          <w:numId w:val="108"/>
        </w:numPr>
        <w:spacing w:line="276" w:lineRule="auto"/>
        <w:rPr>
          <w:b w:val="0"/>
          <w:bCs w:val="0"/>
          <w:u w:val="none"/>
        </w:rPr>
      </w:pPr>
      <w:r w:rsidRPr="00DD2097">
        <w:rPr>
          <w:b w:val="0"/>
          <w:bCs w:val="0"/>
          <w:u w:val="none"/>
          <w:rtl/>
        </w:rPr>
        <w:t>התמקדות בשיח של צרכים ולא שיח של זכויות</w:t>
      </w:r>
    </w:p>
    <w:p w14:paraId="24288FC5" w14:textId="77777777" w:rsidR="00DD2097" w:rsidRPr="00DD2097" w:rsidRDefault="00DD2097" w:rsidP="00D95A69">
      <w:pPr>
        <w:pStyle w:val="110"/>
        <w:numPr>
          <w:ilvl w:val="0"/>
          <w:numId w:val="108"/>
        </w:numPr>
        <w:spacing w:line="276" w:lineRule="auto"/>
        <w:rPr>
          <w:b w:val="0"/>
          <w:bCs w:val="0"/>
          <w:u w:val="none"/>
          <w:rtl/>
        </w:rPr>
      </w:pPr>
      <w:r w:rsidRPr="00DD2097">
        <w:rPr>
          <w:b w:val="0"/>
          <w:bCs w:val="0"/>
          <w:u w:val="none"/>
          <w:rtl/>
        </w:rPr>
        <w:t>ההליך מעורר שיח של רגשות - השופט מחבק את הנאשם אם הצליח לעמוד ביעדים שלו</w:t>
      </w:r>
    </w:p>
    <w:p w14:paraId="432040A6" w14:textId="77777777" w:rsidR="00DD2097" w:rsidRPr="00DD2097" w:rsidRDefault="00DD2097" w:rsidP="00D95A69">
      <w:pPr>
        <w:pStyle w:val="110"/>
        <w:numPr>
          <w:ilvl w:val="0"/>
          <w:numId w:val="108"/>
        </w:numPr>
        <w:spacing w:line="276" w:lineRule="auto"/>
        <w:rPr>
          <w:b w:val="0"/>
          <w:bCs w:val="0"/>
          <w:u w:val="none"/>
          <w:rtl/>
        </w:rPr>
      </w:pPr>
      <w:r w:rsidRPr="00DD2097">
        <w:rPr>
          <w:b w:val="0"/>
          <w:bCs w:val="0"/>
          <w:u w:val="none"/>
          <w:rtl/>
        </w:rPr>
        <w:t>יחס מכבד יותר לנאשמים. יותר זמן וקשב.</w:t>
      </w:r>
    </w:p>
    <w:p w14:paraId="475CF01A" w14:textId="77777777" w:rsidR="00DD2097" w:rsidRPr="00DD2097" w:rsidRDefault="00DD2097" w:rsidP="00D95A69">
      <w:pPr>
        <w:pStyle w:val="110"/>
        <w:numPr>
          <w:ilvl w:val="0"/>
          <w:numId w:val="108"/>
        </w:numPr>
        <w:spacing w:line="276" w:lineRule="auto"/>
        <w:rPr>
          <w:b w:val="0"/>
          <w:bCs w:val="0"/>
          <w:u w:val="none"/>
          <w:rtl/>
        </w:rPr>
      </w:pPr>
      <w:r w:rsidRPr="00DD2097">
        <w:rPr>
          <w:b w:val="0"/>
          <w:bCs w:val="0"/>
          <w:u w:val="none"/>
          <w:rtl/>
        </w:rPr>
        <w:t xml:space="preserve">פעילות לא פורמלית מחוץ לבתי המשפט </w:t>
      </w:r>
    </w:p>
    <w:p w14:paraId="7F747917" w14:textId="1A5E2CE5" w:rsidR="00DD2097" w:rsidRDefault="00DD2097" w:rsidP="00D95A69">
      <w:pPr>
        <w:pStyle w:val="110"/>
        <w:spacing w:line="276" w:lineRule="auto"/>
        <w:rPr>
          <w:b w:val="0"/>
          <w:bCs w:val="0"/>
          <w:u w:val="none"/>
          <w:rtl/>
        </w:rPr>
      </w:pPr>
    </w:p>
    <w:p w14:paraId="7007CEF5" w14:textId="77777777" w:rsidR="00DD2097" w:rsidRPr="00DD2097" w:rsidRDefault="00DD2097" w:rsidP="00D95A69">
      <w:pPr>
        <w:pStyle w:val="110"/>
        <w:spacing w:line="276" w:lineRule="auto"/>
        <w:rPr>
          <w:b w:val="0"/>
          <w:bCs w:val="0"/>
          <w:u w:val="none"/>
        </w:rPr>
      </w:pPr>
      <w:r w:rsidRPr="00DD2097">
        <w:rPr>
          <w:b w:val="0"/>
          <w:bCs w:val="0"/>
          <w:u w:val="none"/>
          <w:rtl/>
        </w:rPr>
        <w:t xml:space="preserve">אירועים חברתיים בהשתתפות צוות בית-המשפט, המשתתפים ובני משפחותיהם כגון חגיגת ל"ג בעומר; הקרנת סרטים בקיץ לילדי המשתתפים; הקמת קבוצת כדורגל שחברים בה נאשמים, תובעים וסנגורים </w:t>
      </w:r>
    </w:p>
    <w:p w14:paraId="769B70BB" w14:textId="77777777" w:rsidR="00DD2097" w:rsidRPr="00DD2097" w:rsidRDefault="00DD2097" w:rsidP="00D95A69">
      <w:pPr>
        <w:pStyle w:val="110"/>
        <w:numPr>
          <w:ilvl w:val="0"/>
          <w:numId w:val="109"/>
        </w:numPr>
        <w:spacing w:line="276" w:lineRule="auto"/>
        <w:rPr>
          <w:b w:val="0"/>
          <w:bCs w:val="0"/>
          <w:u w:val="none"/>
          <w:rtl/>
        </w:rPr>
      </w:pPr>
      <w:r w:rsidRPr="00DD2097">
        <w:rPr>
          <w:b w:val="0"/>
          <w:bCs w:val="0"/>
          <w:u w:val="none"/>
          <w:rtl/>
        </w:rPr>
        <w:t xml:space="preserve">קבוצת מוסיקה שנבנתה מקרב חלק ממשתתפי בית-המשפט בבאר-שבע </w:t>
      </w:r>
    </w:p>
    <w:p w14:paraId="4440AD25" w14:textId="77777777" w:rsidR="00DD2097" w:rsidRPr="00DD2097" w:rsidRDefault="00DD2097" w:rsidP="00D95A69">
      <w:pPr>
        <w:pStyle w:val="110"/>
        <w:numPr>
          <w:ilvl w:val="0"/>
          <w:numId w:val="109"/>
        </w:numPr>
        <w:spacing w:line="276" w:lineRule="auto"/>
        <w:rPr>
          <w:b w:val="0"/>
          <w:bCs w:val="0"/>
          <w:u w:val="none"/>
          <w:rtl/>
        </w:rPr>
      </w:pPr>
      <w:r w:rsidRPr="00DD2097">
        <w:rPr>
          <w:b w:val="0"/>
          <w:bCs w:val="0"/>
          <w:u w:val="none"/>
          <w:rtl/>
        </w:rPr>
        <w:t>פרויקטים קהילתיים בהם נוטלים חלק המשתתפים )כגון נטיעות בגינה הקהילתית בלוד; חגיגת פסח</w:t>
      </w:r>
    </w:p>
    <w:p w14:paraId="003F3DFC" w14:textId="77777777" w:rsidR="00DD2097" w:rsidRPr="00DD2097" w:rsidRDefault="00DD2097" w:rsidP="00D95A69">
      <w:pPr>
        <w:pStyle w:val="110"/>
        <w:numPr>
          <w:ilvl w:val="0"/>
          <w:numId w:val="109"/>
        </w:numPr>
        <w:spacing w:line="276" w:lineRule="auto"/>
        <w:rPr>
          <w:b w:val="0"/>
          <w:bCs w:val="0"/>
          <w:u w:val="none"/>
          <w:rtl/>
        </w:rPr>
      </w:pPr>
      <w:r w:rsidRPr="00DD2097">
        <w:rPr>
          <w:b w:val="0"/>
          <w:bCs w:val="0"/>
          <w:u w:val="none"/>
          <w:rtl/>
        </w:rPr>
        <w:t xml:space="preserve">במרכז קהילתי עם תושבי דיור מוגן בבאר-שבע; </w:t>
      </w:r>
    </w:p>
    <w:p w14:paraId="1539A259" w14:textId="77777777" w:rsidR="00DD2097" w:rsidRPr="00DD2097" w:rsidRDefault="00DD2097" w:rsidP="00D95A69">
      <w:pPr>
        <w:pStyle w:val="110"/>
        <w:numPr>
          <w:ilvl w:val="0"/>
          <w:numId w:val="109"/>
        </w:numPr>
        <w:spacing w:line="276" w:lineRule="auto"/>
        <w:rPr>
          <w:b w:val="0"/>
          <w:bCs w:val="0"/>
          <w:u w:val="none"/>
          <w:rtl/>
        </w:rPr>
      </w:pPr>
      <w:r w:rsidRPr="00DD2097">
        <w:rPr>
          <w:b w:val="0"/>
          <w:bCs w:val="0"/>
          <w:u w:val="none"/>
          <w:rtl/>
        </w:rPr>
        <w:t>מיסוד הקשר עם מסגרות התנדבות שונות בבאר-שבע</w:t>
      </w:r>
    </w:p>
    <w:p w14:paraId="29ECFDD2" w14:textId="77777777" w:rsidR="00DD2097" w:rsidRPr="00A67F1F" w:rsidRDefault="00DD2097" w:rsidP="00D95A69">
      <w:pPr>
        <w:pStyle w:val="110"/>
        <w:spacing w:line="276" w:lineRule="auto"/>
        <w:rPr>
          <w:b w:val="0"/>
          <w:bCs w:val="0"/>
          <w:u w:val="none"/>
          <w:rtl/>
        </w:rPr>
      </w:pPr>
    </w:p>
    <w:p w14:paraId="447412BA" w14:textId="18F1E4A0" w:rsidR="00F973D3" w:rsidRPr="00F973D3" w:rsidRDefault="00F973D3" w:rsidP="00D95A69">
      <w:pPr>
        <w:pStyle w:val="2"/>
      </w:pPr>
      <w:bookmarkStart w:id="119" w:name="_Toc108218275"/>
      <w:r w:rsidRPr="00F973D3">
        <w:rPr>
          <w:rtl/>
        </w:rPr>
        <w:t>עונשים שניתנו למי שסיים את ההליך הטיפולי</w:t>
      </w:r>
      <w:bookmarkEnd w:id="119"/>
    </w:p>
    <w:p w14:paraId="33FF3ADE" w14:textId="77777777" w:rsidR="00F973D3" w:rsidRPr="00F973D3" w:rsidRDefault="00F973D3" w:rsidP="00D95A69">
      <w:pPr>
        <w:pStyle w:val="110"/>
        <w:numPr>
          <w:ilvl w:val="0"/>
          <w:numId w:val="110"/>
        </w:numPr>
        <w:spacing w:line="276" w:lineRule="auto"/>
        <w:rPr>
          <w:b w:val="0"/>
          <w:bCs w:val="0"/>
          <w:u w:val="none"/>
          <w:rtl/>
        </w:rPr>
      </w:pPr>
      <w:r w:rsidRPr="00F973D3">
        <w:rPr>
          <w:b w:val="0"/>
          <w:bCs w:val="0"/>
          <w:u w:val="none"/>
          <w:rtl/>
        </w:rPr>
        <w:t>מחיקה</w:t>
      </w:r>
    </w:p>
    <w:p w14:paraId="6182338F" w14:textId="77777777" w:rsidR="00F973D3" w:rsidRPr="00F973D3" w:rsidRDefault="00F973D3" w:rsidP="00D95A69">
      <w:pPr>
        <w:pStyle w:val="110"/>
        <w:numPr>
          <w:ilvl w:val="0"/>
          <w:numId w:val="110"/>
        </w:numPr>
        <w:spacing w:line="276" w:lineRule="auto"/>
        <w:rPr>
          <w:b w:val="0"/>
          <w:bCs w:val="0"/>
          <w:u w:val="none"/>
          <w:rtl/>
        </w:rPr>
      </w:pPr>
      <w:r w:rsidRPr="00F973D3">
        <w:rPr>
          <w:b w:val="0"/>
          <w:bCs w:val="0"/>
          <w:u w:val="none"/>
          <w:rtl/>
        </w:rPr>
        <w:t>אי הרשעה</w:t>
      </w:r>
    </w:p>
    <w:p w14:paraId="5B00D7C7" w14:textId="77777777" w:rsidR="00F973D3" w:rsidRPr="00F973D3" w:rsidRDefault="00F973D3" w:rsidP="00D95A69">
      <w:pPr>
        <w:pStyle w:val="110"/>
        <w:numPr>
          <w:ilvl w:val="0"/>
          <w:numId w:val="110"/>
        </w:numPr>
        <w:spacing w:line="276" w:lineRule="auto"/>
        <w:rPr>
          <w:b w:val="0"/>
          <w:bCs w:val="0"/>
          <w:u w:val="none"/>
          <w:rtl/>
        </w:rPr>
      </w:pPr>
      <w:proofErr w:type="spellStart"/>
      <w:r w:rsidRPr="00F973D3">
        <w:rPr>
          <w:b w:val="0"/>
          <w:bCs w:val="0"/>
          <w:u w:val="none"/>
          <w:rtl/>
        </w:rPr>
        <w:t>של"צ</w:t>
      </w:r>
      <w:proofErr w:type="spellEnd"/>
    </w:p>
    <w:p w14:paraId="4A62DD89" w14:textId="4DFC9396" w:rsidR="00F973D3" w:rsidRPr="00F973D3" w:rsidRDefault="00F973D3" w:rsidP="00D95A69">
      <w:pPr>
        <w:pStyle w:val="110"/>
        <w:numPr>
          <w:ilvl w:val="0"/>
          <w:numId w:val="110"/>
        </w:numPr>
        <w:spacing w:line="276" w:lineRule="auto"/>
        <w:rPr>
          <w:b w:val="0"/>
          <w:bCs w:val="0"/>
          <w:u w:val="none"/>
          <w:rtl/>
        </w:rPr>
      </w:pPr>
      <w:r w:rsidRPr="00F973D3">
        <w:rPr>
          <w:b w:val="0"/>
          <w:bCs w:val="0"/>
          <w:u w:val="none"/>
          <w:rtl/>
        </w:rPr>
        <w:t xml:space="preserve">צו מבחן + </w:t>
      </w:r>
      <w:r w:rsidR="00260CC2">
        <w:rPr>
          <w:rFonts w:hint="cs"/>
          <w:b w:val="0"/>
          <w:bCs w:val="0"/>
          <w:u w:val="none"/>
          <w:rtl/>
        </w:rPr>
        <w:t>מע"ת</w:t>
      </w:r>
    </w:p>
    <w:p w14:paraId="242294D6" w14:textId="363A841E" w:rsidR="00A67F1F" w:rsidRDefault="00A67F1F" w:rsidP="00A67F1F">
      <w:pPr>
        <w:pStyle w:val="110"/>
        <w:rPr>
          <w:rtl/>
        </w:rPr>
      </w:pPr>
    </w:p>
    <w:p w14:paraId="7DEB37D4" w14:textId="43C9C46A" w:rsidR="005B7A97" w:rsidRDefault="005B7A97" w:rsidP="00A67F1F">
      <w:pPr>
        <w:pStyle w:val="110"/>
        <w:rPr>
          <w:rtl/>
        </w:rPr>
      </w:pPr>
    </w:p>
    <w:p w14:paraId="2E80EEDA" w14:textId="2357DA98" w:rsidR="005B7A97" w:rsidRDefault="005B7A97" w:rsidP="00A67F1F">
      <w:pPr>
        <w:pStyle w:val="110"/>
        <w:rPr>
          <w:rtl/>
        </w:rPr>
      </w:pPr>
    </w:p>
    <w:p w14:paraId="7C69B1F0" w14:textId="7DDC3148" w:rsidR="005B7A97" w:rsidRDefault="005B7A97" w:rsidP="00A67F1F">
      <w:pPr>
        <w:pStyle w:val="110"/>
        <w:rPr>
          <w:rtl/>
        </w:rPr>
      </w:pPr>
    </w:p>
    <w:p w14:paraId="035B82FB" w14:textId="68BC9958" w:rsidR="005B7A97" w:rsidRDefault="005B7A97" w:rsidP="00A67F1F">
      <w:pPr>
        <w:pStyle w:val="110"/>
        <w:rPr>
          <w:rtl/>
        </w:rPr>
      </w:pPr>
    </w:p>
    <w:p w14:paraId="2653ADB8" w14:textId="733C4322" w:rsidR="005B7A97" w:rsidRDefault="005B7A97" w:rsidP="00A67F1F">
      <w:pPr>
        <w:pStyle w:val="110"/>
        <w:rPr>
          <w:rtl/>
        </w:rPr>
      </w:pPr>
    </w:p>
    <w:p w14:paraId="3AE65D19" w14:textId="23B73381" w:rsidR="005B7A97" w:rsidRDefault="005B7A97" w:rsidP="00A67F1F">
      <w:pPr>
        <w:pStyle w:val="110"/>
        <w:rPr>
          <w:rtl/>
        </w:rPr>
      </w:pPr>
    </w:p>
    <w:p w14:paraId="463F9D0D" w14:textId="1178D69D" w:rsidR="000A6381" w:rsidRDefault="000A6381" w:rsidP="00A67F1F">
      <w:pPr>
        <w:pStyle w:val="110"/>
        <w:rPr>
          <w:rtl/>
        </w:rPr>
      </w:pPr>
    </w:p>
    <w:p w14:paraId="63CE052C" w14:textId="58B36093" w:rsidR="000A6381" w:rsidRDefault="000A6381" w:rsidP="00A67F1F">
      <w:pPr>
        <w:pStyle w:val="110"/>
        <w:rPr>
          <w:rtl/>
        </w:rPr>
      </w:pPr>
    </w:p>
    <w:p w14:paraId="748CD3BF" w14:textId="70A3B3C3" w:rsidR="000A6381" w:rsidRDefault="000A6381" w:rsidP="00A67F1F">
      <w:pPr>
        <w:pStyle w:val="110"/>
        <w:rPr>
          <w:rtl/>
        </w:rPr>
      </w:pPr>
    </w:p>
    <w:p w14:paraId="53343A59" w14:textId="08EAAE4D" w:rsidR="000A6381" w:rsidRDefault="000A6381" w:rsidP="00A67F1F">
      <w:pPr>
        <w:pStyle w:val="110"/>
        <w:rPr>
          <w:rtl/>
        </w:rPr>
      </w:pPr>
    </w:p>
    <w:p w14:paraId="2E2D64EA" w14:textId="4B368D82" w:rsidR="000A6381" w:rsidRDefault="000A6381" w:rsidP="00A67F1F">
      <w:pPr>
        <w:pStyle w:val="110"/>
        <w:rPr>
          <w:rtl/>
        </w:rPr>
      </w:pPr>
    </w:p>
    <w:p w14:paraId="06DF9F27" w14:textId="7382B829" w:rsidR="000A6381" w:rsidRDefault="000A6381" w:rsidP="00A67F1F">
      <w:pPr>
        <w:pStyle w:val="110"/>
        <w:rPr>
          <w:rtl/>
        </w:rPr>
      </w:pPr>
    </w:p>
    <w:p w14:paraId="78DFF1B4" w14:textId="77777777" w:rsidR="000A6381" w:rsidRDefault="000A6381" w:rsidP="00A67F1F">
      <w:pPr>
        <w:pStyle w:val="110"/>
        <w:rPr>
          <w:rtl/>
        </w:rPr>
      </w:pPr>
    </w:p>
    <w:p w14:paraId="1927853D" w14:textId="4908E47A" w:rsidR="005B7A97" w:rsidRDefault="005B7A97" w:rsidP="005B7A97">
      <w:pPr>
        <w:pStyle w:val="1"/>
        <w:rPr>
          <w:rtl/>
        </w:rPr>
      </w:pPr>
      <w:bookmarkStart w:id="120" w:name="_Toc108218276"/>
      <w:r>
        <w:rPr>
          <w:rFonts w:hint="cs"/>
          <w:rtl/>
        </w:rPr>
        <w:lastRenderedPageBreak/>
        <w:t>זכויות נפגעי עבירה</w:t>
      </w:r>
      <w:bookmarkEnd w:id="120"/>
    </w:p>
    <w:p w14:paraId="7531F568" w14:textId="7CFCD45A" w:rsidR="005B7A97" w:rsidRPr="00910D6B" w:rsidRDefault="00AF17CA" w:rsidP="00F14373">
      <w:pPr>
        <w:bidi/>
        <w:spacing w:after="0" w:line="276" w:lineRule="auto"/>
        <w:jc w:val="both"/>
        <w:rPr>
          <w:rFonts w:ascii="Segoe UI" w:hAnsi="Segoe UI" w:cs="Segoe UI"/>
          <w:rtl/>
          <w:lang w:val="en-US"/>
        </w:rPr>
      </w:pPr>
      <w:r w:rsidRPr="00910D6B">
        <w:rPr>
          <w:rFonts w:ascii="Segoe UI" w:hAnsi="Segoe UI" w:cs="Segoe UI" w:hint="cs"/>
          <w:rtl/>
          <w:lang w:val="en-US"/>
        </w:rPr>
        <w:t>בחברות קודמות המשפחה הייתה התא החברתי המרכזי ובני המשפחה היו אלה שטיפלו בענייניהם של נפגעי העבירה.</w:t>
      </w:r>
    </w:p>
    <w:p w14:paraId="0A6B8386" w14:textId="11FC9088" w:rsidR="00AF17CA" w:rsidRPr="00910D6B" w:rsidRDefault="00AF17CA" w:rsidP="00F14373">
      <w:pPr>
        <w:bidi/>
        <w:spacing w:after="0" w:line="276" w:lineRule="auto"/>
        <w:jc w:val="both"/>
        <w:rPr>
          <w:rFonts w:ascii="Segoe UI" w:hAnsi="Segoe UI" w:cs="Segoe UI"/>
          <w:rtl/>
          <w:lang w:val="en-US"/>
        </w:rPr>
      </w:pPr>
      <w:r w:rsidRPr="00910D6B">
        <w:rPr>
          <w:rFonts w:ascii="Segoe UI" w:hAnsi="Segoe UI" w:cs="Segoe UI" w:hint="cs"/>
          <w:rtl/>
          <w:lang w:val="en-US"/>
        </w:rPr>
        <w:t>בימי קדם, בעיקר בשבטים פרימיטיביי</w:t>
      </w:r>
      <w:r w:rsidRPr="00910D6B">
        <w:rPr>
          <w:rFonts w:ascii="Segoe UI" w:hAnsi="Segoe UI" w:cs="Segoe UI" w:hint="eastAsia"/>
          <w:rtl/>
          <w:lang w:val="en-US"/>
        </w:rPr>
        <w:t>ם</w:t>
      </w:r>
      <w:r w:rsidRPr="00910D6B">
        <w:rPr>
          <w:rFonts w:ascii="Segoe UI" w:hAnsi="Segoe UI" w:cs="Segoe UI" w:hint="cs"/>
          <w:rtl/>
          <w:lang w:val="en-US"/>
        </w:rPr>
        <w:t xml:space="preserve">, </w:t>
      </w:r>
      <w:r w:rsidRPr="00910D6B">
        <w:rPr>
          <w:rFonts w:ascii="Segoe UI" w:hAnsi="Segoe UI" w:cs="Segoe UI" w:hint="cs"/>
          <w:b/>
          <w:bCs/>
          <w:rtl/>
          <w:lang w:val="en-US"/>
        </w:rPr>
        <w:t>המשפט הפלילי היה חלק מהמשפט הפרטי.</w:t>
      </w:r>
      <w:r w:rsidRPr="00910D6B">
        <w:rPr>
          <w:rFonts w:ascii="Segoe UI" w:hAnsi="Segoe UI" w:cs="Segoe UI" w:hint="cs"/>
          <w:rtl/>
          <w:lang w:val="en-US"/>
        </w:rPr>
        <w:t xml:space="preserve"> לפני תקומתו של המלך, </w:t>
      </w:r>
      <w:r w:rsidR="00CC22D7" w:rsidRPr="00910D6B">
        <w:rPr>
          <w:rFonts w:ascii="Segoe UI" w:hAnsi="Segoe UI" w:cs="Segoe UI" w:hint="cs"/>
          <w:color w:val="7030A0"/>
          <w:rtl/>
          <w:lang w:val="en-US"/>
        </w:rPr>
        <w:t xml:space="preserve">מי שבעצם </w:t>
      </w:r>
      <w:r w:rsidR="00A5414C" w:rsidRPr="00910D6B">
        <w:rPr>
          <w:rFonts w:ascii="Segoe UI" w:hAnsi="Segoe UI" w:cs="Segoe UI" w:hint="cs"/>
          <w:color w:val="7030A0"/>
          <w:rtl/>
          <w:lang w:val="en-US"/>
        </w:rPr>
        <w:t>היו</w:t>
      </w:r>
      <w:r w:rsidR="00CC22D7" w:rsidRPr="00910D6B">
        <w:rPr>
          <w:rFonts w:ascii="Segoe UI" w:hAnsi="Segoe UI" w:cs="Segoe UI" w:hint="cs"/>
          <w:color w:val="7030A0"/>
          <w:rtl/>
          <w:lang w:val="en-US"/>
        </w:rPr>
        <w:t xml:space="preserve"> אחרא</w:t>
      </w:r>
      <w:r w:rsidR="00A5414C" w:rsidRPr="00910D6B">
        <w:rPr>
          <w:rFonts w:ascii="Segoe UI" w:hAnsi="Segoe UI" w:cs="Segoe UI" w:hint="cs"/>
          <w:color w:val="7030A0"/>
          <w:rtl/>
          <w:lang w:val="en-US"/>
        </w:rPr>
        <w:t>י</w:t>
      </w:r>
      <w:r w:rsidR="00CC22D7" w:rsidRPr="00910D6B">
        <w:rPr>
          <w:rFonts w:ascii="Segoe UI" w:hAnsi="Segoe UI" w:cs="Segoe UI" w:hint="cs"/>
          <w:color w:val="7030A0"/>
          <w:rtl/>
          <w:lang w:val="en-US"/>
        </w:rPr>
        <w:t>י</w:t>
      </w:r>
      <w:r w:rsidR="00A5414C" w:rsidRPr="00910D6B">
        <w:rPr>
          <w:rFonts w:ascii="Segoe UI" w:hAnsi="Segoe UI" w:cs="Segoe UI" w:hint="cs"/>
          <w:color w:val="7030A0"/>
          <w:rtl/>
          <w:lang w:val="en-US"/>
        </w:rPr>
        <w:t>ם</w:t>
      </w:r>
      <w:r w:rsidR="00CC22D7" w:rsidRPr="00910D6B">
        <w:rPr>
          <w:rFonts w:ascii="Segoe UI" w:hAnsi="Segoe UI" w:cs="Segoe UI" w:hint="cs"/>
          <w:color w:val="7030A0"/>
          <w:rtl/>
          <w:lang w:val="en-US"/>
        </w:rPr>
        <w:t xml:space="preserve"> </w:t>
      </w:r>
      <w:r w:rsidR="00A5414C" w:rsidRPr="00910D6B">
        <w:rPr>
          <w:rFonts w:ascii="Segoe UI" w:hAnsi="Segoe UI" w:cs="Segoe UI" w:hint="cs"/>
          <w:color w:val="7030A0"/>
          <w:rtl/>
          <w:lang w:val="en-US"/>
        </w:rPr>
        <w:t>היו</w:t>
      </w:r>
      <w:r w:rsidR="00CC22D7" w:rsidRPr="00910D6B">
        <w:rPr>
          <w:rFonts w:ascii="Segoe UI" w:hAnsi="Segoe UI" w:cs="Segoe UI" w:hint="cs"/>
          <w:color w:val="7030A0"/>
          <w:rtl/>
          <w:lang w:val="en-US"/>
        </w:rPr>
        <w:t xml:space="preserve"> </w:t>
      </w:r>
      <w:r w:rsidRPr="00910D6B">
        <w:rPr>
          <w:rFonts w:ascii="Segoe UI" w:hAnsi="Segoe UI" w:cs="Segoe UI" w:hint="cs"/>
          <w:rtl/>
          <w:lang w:val="en-US"/>
        </w:rPr>
        <w:t>זקן השבט או כ</w:t>
      </w:r>
      <w:r w:rsidR="00CC22D7" w:rsidRPr="00910D6B">
        <w:rPr>
          <w:rFonts w:ascii="Segoe UI" w:hAnsi="Segoe UI" w:cs="Segoe UI" w:hint="cs"/>
          <w:rtl/>
          <w:lang w:val="en-US"/>
        </w:rPr>
        <w:t>וח שלטוני אחר.</w:t>
      </w:r>
    </w:p>
    <w:p w14:paraId="4C605653" w14:textId="6ADC11C7" w:rsidR="00CC22D7" w:rsidRPr="00910D6B" w:rsidRDefault="00CC22D7" w:rsidP="00F14373">
      <w:pPr>
        <w:bidi/>
        <w:spacing w:after="0" w:line="276" w:lineRule="auto"/>
        <w:jc w:val="both"/>
        <w:rPr>
          <w:rFonts w:ascii="Segoe UI" w:hAnsi="Segoe UI" w:cs="Segoe UI"/>
          <w:rtl/>
          <w:lang w:val="en-US"/>
        </w:rPr>
      </w:pPr>
      <w:r w:rsidRPr="00910D6B">
        <w:rPr>
          <w:rFonts w:ascii="Segoe UI" w:hAnsi="Segoe UI" w:cs="Segoe UI" w:hint="cs"/>
          <w:rtl/>
          <w:lang w:val="en-US"/>
        </w:rPr>
        <w:t xml:space="preserve">הסכסוכים הפליליים נדונו </w:t>
      </w:r>
      <w:r w:rsidRPr="00910D6B">
        <w:rPr>
          <w:rFonts w:ascii="Segoe UI" w:hAnsi="Segoe UI" w:cs="Segoe UI" w:hint="cs"/>
          <w:u w:val="single"/>
          <w:rtl/>
          <w:lang w:val="en-US"/>
        </w:rPr>
        <w:t xml:space="preserve">בין </w:t>
      </w:r>
      <w:r w:rsidRPr="00910D6B">
        <w:rPr>
          <w:rFonts w:ascii="Segoe UI" w:hAnsi="Segoe UI" w:cs="Segoe UI" w:hint="cs"/>
          <w:b/>
          <w:bCs/>
          <w:u w:val="single"/>
          <w:rtl/>
          <w:lang w:val="en-US"/>
        </w:rPr>
        <w:t>משפחת</w:t>
      </w:r>
      <w:r w:rsidRPr="00910D6B">
        <w:rPr>
          <w:rFonts w:ascii="Segoe UI" w:hAnsi="Segoe UI" w:cs="Segoe UI" w:hint="cs"/>
          <w:u w:val="single"/>
          <w:rtl/>
          <w:lang w:val="en-US"/>
        </w:rPr>
        <w:t xml:space="preserve"> הנפגע </w:t>
      </w:r>
      <w:r w:rsidRPr="00910D6B">
        <w:rPr>
          <w:rFonts w:ascii="Segoe UI" w:hAnsi="Segoe UI" w:cs="Segoe UI" w:hint="cs"/>
          <w:b/>
          <w:bCs/>
          <w:u w:val="single"/>
          <w:rtl/>
          <w:lang w:val="en-US"/>
        </w:rPr>
        <w:t>למשפחת</w:t>
      </w:r>
      <w:r w:rsidRPr="00910D6B">
        <w:rPr>
          <w:rFonts w:ascii="Segoe UI" w:hAnsi="Segoe UI" w:cs="Segoe UI" w:hint="cs"/>
          <w:u w:val="single"/>
          <w:rtl/>
          <w:lang w:val="en-US"/>
        </w:rPr>
        <w:t xml:space="preserve"> הפוגע</w:t>
      </w:r>
      <w:r w:rsidRPr="00910D6B">
        <w:rPr>
          <w:rFonts w:ascii="Segoe UI" w:hAnsi="Segoe UI" w:cs="Segoe UI" w:hint="cs"/>
          <w:rtl/>
          <w:lang w:val="en-US"/>
        </w:rPr>
        <w:t xml:space="preserve">. </w:t>
      </w:r>
    </w:p>
    <w:p w14:paraId="718A4D6C" w14:textId="1D81E2CD" w:rsidR="006F4AFB" w:rsidRPr="00910D6B" w:rsidRDefault="005D20CC" w:rsidP="00F14373">
      <w:pPr>
        <w:bidi/>
        <w:spacing w:after="0" w:line="276" w:lineRule="auto"/>
        <w:jc w:val="both"/>
        <w:rPr>
          <w:rFonts w:ascii="Segoe UI" w:hAnsi="Segoe UI" w:cs="Segoe UI"/>
          <w:rtl/>
          <w:lang w:val="en-US"/>
        </w:rPr>
      </w:pPr>
      <w:r w:rsidRPr="00910D6B">
        <w:rPr>
          <w:rFonts w:ascii="Segoe UI" w:hAnsi="Segoe UI" w:cs="Segoe UI" w:hint="cs"/>
          <w:rtl/>
          <w:lang w:val="en-US"/>
        </w:rPr>
        <w:t>התפתחות המשפט הפלילי קשורה למגמות שניסו לשכנע את הנתינים שלא לקחת את החוק לידיים: תחילה, באמצעות החלפת מוסד נקמת הדם בתביעה פרטית ולאחר מכן בהחלפת</w:t>
      </w:r>
      <w:r w:rsidR="006F4AFB" w:rsidRPr="00910D6B">
        <w:rPr>
          <w:rFonts w:ascii="Segoe UI" w:hAnsi="Segoe UI" w:cs="Segoe UI" w:hint="cs"/>
          <w:rtl/>
          <w:lang w:val="en-US"/>
        </w:rPr>
        <w:t xml:space="preserve"> </w:t>
      </w:r>
      <w:r w:rsidR="006F4AFB" w:rsidRPr="00910D6B">
        <w:rPr>
          <w:rFonts w:ascii="Segoe UI" w:hAnsi="Segoe UI" w:cs="Segoe UI" w:hint="cs"/>
          <w:color w:val="7030A0"/>
          <w:rtl/>
          <w:lang w:val="en-US"/>
        </w:rPr>
        <w:t xml:space="preserve">התביעה הפרטית לתביעה ציבורית. </w:t>
      </w:r>
      <w:r w:rsidR="006F4AFB" w:rsidRPr="00910D6B">
        <w:rPr>
          <w:rFonts w:ascii="Segoe UI" w:hAnsi="Segoe UI" w:cs="Segoe UI" w:hint="cs"/>
          <w:rtl/>
          <w:lang w:val="en-US"/>
        </w:rPr>
        <w:t xml:space="preserve">עם עליית קרנה של המדינה הריבונית, עברה בהדרגה האחריות לידי רשויות אכיפת החוק מטעם הריבון. </w:t>
      </w:r>
    </w:p>
    <w:p w14:paraId="1AE689FF" w14:textId="77777777" w:rsidR="00910D6B" w:rsidRPr="00910D6B" w:rsidRDefault="00910D6B" w:rsidP="00910D6B">
      <w:pPr>
        <w:bidi/>
        <w:spacing w:after="0"/>
        <w:jc w:val="both"/>
        <w:rPr>
          <w:rFonts w:ascii="Segoe UI" w:hAnsi="Segoe UI" w:cs="Segoe UI"/>
          <w:sz w:val="24"/>
          <w:szCs w:val="24"/>
          <w:lang w:val="en-US"/>
        </w:rPr>
      </w:pPr>
    </w:p>
    <w:p w14:paraId="798F0B8F" w14:textId="37134EA6" w:rsidR="006F4AFB" w:rsidRDefault="006F4AFB" w:rsidP="00F14373">
      <w:pPr>
        <w:pStyle w:val="2"/>
        <w:rPr>
          <w:rtl/>
        </w:rPr>
      </w:pPr>
      <w:bookmarkStart w:id="121" w:name="_Toc108218277"/>
      <w:r>
        <w:rPr>
          <w:rFonts w:hint="cs"/>
          <w:rtl/>
        </w:rPr>
        <w:t xml:space="preserve">תוצאות </w:t>
      </w:r>
      <w:r w:rsidR="00910D6B">
        <w:rPr>
          <w:rFonts w:hint="cs"/>
          <w:rtl/>
        </w:rPr>
        <w:t>העברת אכיפת החוק לריבון</w:t>
      </w:r>
      <w:bookmarkEnd w:id="121"/>
      <w:r w:rsidR="00910D6B">
        <w:rPr>
          <w:rFonts w:hint="cs"/>
          <w:rtl/>
        </w:rPr>
        <w:t xml:space="preserve"> </w:t>
      </w:r>
    </w:p>
    <w:p w14:paraId="7ABCF637" w14:textId="32FB66D4" w:rsidR="00910D6B" w:rsidRDefault="00910D6B" w:rsidP="00F14373">
      <w:pPr>
        <w:pStyle w:val="ab"/>
        <w:numPr>
          <w:ilvl w:val="0"/>
          <w:numId w:val="111"/>
        </w:numPr>
        <w:bidi/>
        <w:spacing w:after="0" w:line="276" w:lineRule="auto"/>
        <w:jc w:val="both"/>
        <w:rPr>
          <w:rFonts w:ascii="Segoe UI" w:hAnsi="Segoe UI" w:cs="Segoe UI"/>
          <w:lang w:val="en-ZW"/>
        </w:rPr>
      </w:pPr>
      <w:r w:rsidRPr="00910D6B">
        <w:rPr>
          <w:rFonts w:ascii="Segoe UI" w:hAnsi="Segoe UI" w:cs="Segoe UI"/>
          <w:rtl/>
          <w:lang w:val="en-ZW"/>
        </w:rPr>
        <w:t xml:space="preserve">כתוצאה מתהליך זה, הורחקו נפגעי העבירה ממרכז </w:t>
      </w:r>
      <w:r>
        <w:rPr>
          <w:rFonts w:ascii="Segoe UI" w:hAnsi="Segoe UI" w:cs="Segoe UI" w:hint="cs"/>
          <w:rtl/>
          <w:lang w:val="en-ZW"/>
        </w:rPr>
        <w:t>הבמה של ההליך הפלילי והם נותרו ללא מעמד פורמלי בהליכים.</w:t>
      </w:r>
    </w:p>
    <w:p w14:paraId="71A4AC07" w14:textId="3F132347" w:rsidR="00910D6B" w:rsidRDefault="00910D6B" w:rsidP="00F14373">
      <w:pPr>
        <w:pStyle w:val="ab"/>
        <w:numPr>
          <w:ilvl w:val="0"/>
          <w:numId w:val="111"/>
        </w:numPr>
        <w:bidi/>
        <w:spacing w:after="0" w:line="276" w:lineRule="auto"/>
        <w:jc w:val="both"/>
        <w:rPr>
          <w:rFonts w:ascii="Segoe UI" w:hAnsi="Segoe UI" w:cs="Segoe UI"/>
          <w:lang w:val="en-ZW"/>
        </w:rPr>
      </w:pPr>
      <w:r>
        <w:rPr>
          <w:rFonts w:ascii="Segoe UI" w:hAnsi="Segoe UI" w:cs="Segoe UI" w:hint="cs"/>
          <w:rtl/>
          <w:lang w:val="en-ZW"/>
        </w:rPr>
        <w:t>לא רק שמעמדם בהליך נלקח מהם אלא במקרים רבים אפילו חובת הפיצויים הומרה בגביית תשלום לריבון ולא לנפגעים.</w:t>
      </w:r>
    </w:p>
    <w:p w14:paraId="5C3D421E" w14:textId="69F692A1" w:rsidR="00910D6B" w:rsidRDefault="00910D6B" w:rsidP="00F14373">
      <w:pPr>
        <w:pStyle w:val="ab"/>
        <w:numPr>
          <w:ilvl w:val="0"/>
          <w:numId w:val="111"/>
        </w:numPr>
        <w:bidi/>
        <w:spacing w:after="0" w:line="276" w:lineRule="auto"/>
        <w:jc w:val="both"/>
        <w:rPr>
          <w:rFonts w:ascii="Segoe UI" w:hAnsi="Segoe UI" w:cs="Segoe UI"/>
          <w:lang w:val="en-ZW"/>
        </w:rPr>
      </w:pPr>
      <w:r>
        <w:rPr>
          <w:rFonts w:ascii="Segoe UI" w:hAnsi="Segoe UI" w:cs="Segoe UI" w:hint="cs"/>
          <w:rtl/>
          <w:lang w:val="en-ZW"/>
        </w:rPr>
        <w:t>המדינה הריבונית הלאימה את הפגיעה בקורבן, השתלטה על ההליך הפלילי באופן טוטאלי והדירה את הנפגעים מנטילת חלק פעיל בהליך הפלילי.</w:t>
      </w:r>
    </w:p>
    <w:p w14:paraId="336428E5" w14:textId="425F021E" w:rsidR="00910D6B" w:rsidRDefault="00910D6B" w:rsidP="00F14373">
      <w:pPr>
        <w:pStyle w:val="ab"/>
        <w:numPr>
          <w:ilvl w:val="0"/>
          <w:numId w:val="111"/>
        </w:numPr>
        <w:bidi/>
        <w:spacing w:after="0" w:line="276" w:lineRule="auto"/>
        <w:jc w:val="both"/>
        <w:rPr>
          <w:rFonts w:ascii="Segoe UI" w:hAnsi="Segoe UI" w:cs="Segoe UI"/>
          <w:lang w:val="en-ZW"/>
        </w:rPr>
      </w:pPr>
      <w:r>
        <w:rPr>
          <w:rFonts w:ascii="Segoe UI" w:hAnsi="Segoe UI" w:cs="Segoe UI" w:hint="cs"/>
          <w:rtl/>
          <w:lang w:val="en-ZW"/>
        </w:rPr>
        <w:t>נחלש משמעותית מעמדם של נפגעי העבירה בהליך הפלילי ותפקידם הצטמצם</w:t>
      </w:r>
      <w:r w:rsidR="0039052F">
        <w:rPr>
          <w:rFonts w:ascii="Segoe UI" w:hAnsi="Segoe UI" w:cs="Segoe UI" w:hint="cs"/>
          <w:rtl/>
          <w:lang w:val="en-ZW"/>
        </w:rPr>
        <w:t xml:space="preserve"> רק למסירת תלונה ועדות בביהמ"ש.</w:t>
      </w:r>
    </w:p>
    <w:p w14:paraId="51E11655" w14:textId="51B2EC21" w:rsidR="0039052F" w:rsidRDefault="0039052F" w:rsidP="00F14373">
      <w:pPr>
        <w:pStyle w:val="ab"/>
        <w:numPr>
          <w:ilvl w:val="0"/>
          <w:numId w:val="111"/>
        </w:numPr>
        <w:bidi/>
        <w:spacing w:after="0" w:line="276" w:lineRule="auto"/>
        <w:jc w:val="both"/>
        <w:rPr>
          <w:rFonts w:ascii="Segoe UI" w:hAnsi="Segoe UI" w:cs="Segoe UI"/>
          <w:lang w:val="en-ZW"/>
        </w:rPr>
      </w:pPr>
      <w:r>
        <w:rPr>
          <w:rFonts w:ascii="Segoe UI" w:hAnsi="Segoe UI" w:cs="Segoe UI" w:hint="cs"/>
          <w:rtl/>
          <w:lang w:val="en-ZW"/>
        </w:rPr>
        <w:t>השתלטות המדינה על ההליך הפלילי והדרת נפגע העבירה מההליך קשורים, בין השאר, למניעים כלכליים.</w:t>
      </w:r>
    </w:p>
    <w:p w14:paraId="58198A00" w14:textId="5DCA0D09" w:rsidR="0039052F" w:rsidRDefault="0039052F" w:rsidP="00F14373">
      <w:pPr>
        <w:pStyle w:val="ab"/>
        <w:numPr>
          <w:ilvl w:val="0"/>
          <w:numId w:val="111"/>
        </w:numPr>
        <w:bidi/>
        <w:spacing w:after="0" w:line="276" w:lineRule="auto"/>
        <w:jc w:val="both"/>
        <w:rPr>
          <w:rFonts w:ascii="Segoe UI" w:hAnsi="Segoe UI" w:cs="Segoe UI"/>
          <w:lang w:val="en-ZW"/>
        </w:rPr>
      </w:pPr>
      <w:r>
        <w:rPr>
          <w:rFonts w:ascii="Segoe UI" w:hAnsi="Segoe UI" w:cs="Segoe UI" w:hint="cs"/>
          <w:rtl/>
          <w:lang w:val="en-ZW"/>
        </w:rPr>
        <w:t>כלומר, רצונו של המלל או האצילים להשיג כוח פוליטי ולהעשיר את קופתם באמצעות העברת כספי הפיצויים אליהם ולא לנפגעים.</w:t>
      </w:r>
    </w:p>
    <w:p w14:paraId="2B62E8AA" w14:textId="25244FE0" w:rsidR="0039052F" w:rsidRDefault="0039052F" w:rsidP="00F14373">
      <w:pPr>
        <w:bidi/>
        <w:spacing w:after="0" w:line="276" w:lineRule="auto"/>
        <w:jc w:val="both"/>
        <w:rPr>
          <w:rFonts w:ascii="Segoe UI" w:hAnsi="Segoe UI" w:cs="Segoe UI"/>
          <w:rtl/>
          <w:lang w:val="en-ZW"/>
        </w:rPr>
      </w:pPr>
    </w:p>
    <w:p w14:paraId="5F28DF3D" w14:textId="11A4FBD3" w:rsidR="00AD6772" w:rsidRDefault="00AD6772" w:rsidP="00F14373">
      <w:pPr>
        <w:pStyle w:val="2"/>
        <w:rPr>
          <w:rtl/>
        </w:rPr>
      </w:pPr>
      <w:bookmarkStart w:id="122" w:name="_Toc108218278"/>
      <w:r>
        <w:rPr>
          <w:rFonts w:hint="cs"/>
          <w:rtl/>
        </w:rPr>
        <w:t>התפתחות החקיקה</w:t>
      </w:r>
      <w:bookmarkEnd w:id="122"/>
    </w:p>
    <w:p w14:paraId="7D191D3D" w14:textId="691C83FC" w:rsidR="0039052F" w:rsidRDefault="00BC3882" w:rsidP="00F14373">
      <w:pPr>
        <w:bidi/>
        <w:spacing w:after="0" w:line="276" w:lineRule="auto"/>
        <w:jc w:val="both"/>
        <w:rPr>
          <w:rFonts w:ascii="Segoe UI" w:hAnsi="Segoe UI" w:cs="Segoe UI"/>
          <w:rtl/>
          <w:lang w:val="en-ZW"/>
        </w:rPr>
      </w:pPr>
      <w:r>
        <w:rPr>
          <w:rFonts w:ascii="Segoe UI" w:hAnsi="Segoe UI" w:cs="Segoe UI" w:hint="cs"/>
          <w:rtl/>
          <w:lang w:val="en-ZW"/>
        </w:rPr>
        <w:t xml:space="preserve">הוגי דעות, קרימינולוגים ומשפטנים הביעו לאורך השנים מורת רוח מהדרת נפגעי העבירה מההליך הפלילי. מורת רוח זו, לצד התפתחות מדינת הרווחה המודרנית, תרמה לכך שהחל מהמאה ה-19 נחקקו במדינות שונות, בהדרגה, חוקים רבים שהסדירו זכויות שונות הקשורות לאספקטים שונים של צרכי נפגעי העבירה. </w:t>
      </w:r>
    </w:p>
    <w:p w14:paraId="06004A7E" w14:textId="5436857C" w:rsidR="00A74294" w:rsidRDefault="00A74294" w:rsidP="00F14373">
      <w:pPr>
        <w:bidi/>
        <w:spacing w:after="0" w:line="276" w:lineRule="auto"/>
        <w:jc w:val="both"/>
        <w:rPr>
          <w:rFonts w:ascii="Segoe UI" w:hAnsi="Segoe UI" w:cs="Segoe UI"/>
          <w:rtl/>
          <w:lang w:val="en-ZW"/>
        </w:rPr>
      </w:pPr>
    </w:p>
    <w:p w14:paraId="4AABCB59" w14:textId="562BE702" w:rsidR="00A74294" w:rsidRDefault="00A74294" w:rsidP="00F14373">
      <w:pPr>
        <w:bidi/>
        <w:spacing w:after="0" w:line="276" w:lineRule="auto"/>
        <w:jc w:val="both"/>
        <w:rPr>
          <w:rFonts w:ascii="Segoe UI" w:hAnsi="Segoe UI" w:cs="Segoe UI"/>
          <w:rtl/>
          <w:lang w:val="en-ZW"/>
        </w:rPr>
      </w:pPr>
      <w:r w:rsidRPr="00A74294">
        <w:rPr>
          <w:rFonts w:ascii="Segoe UI" w:hAnsi="Segoe UI" w:cs="Segoe UI" w:hint="cs"/>
          <w:b/>
          <w:bCs/>
          <w:rtl/>
          <w:lang w:val="en-ZW"/>
        </w:rPr>
        <w:t>השינוי בעולם</w:t>
      </w:r>
      <w:r>
        <w:rPr>
          <w:rFonts w:ascii="Segoe UI" w:hAnsi="Segoe UI" w:cs="Segoe UI" w:hint="cs"/>
          <w:rtl/>
          <w:lang w:val="en-ZW"/>
        </w:rPr>
        <w:t xml:space="preserve">: הצהרת האומות המאוחדות מיום  11.12.1985 בדבר "עקרונות הצדק היסודיים ביחס לקורבנות עבירה ושימוש לרעה בכוח" </w:t>
      </w:r>
      <w:r>
        <w:rPr>
          <w:rFonts w:ascii="Segoe UI" w:hAnsi="Segoe UI" w:cs="Segoe UI"/>
          <w:rtl/>
          <w:lang w:val="en-ZW"/>
        </w:rPr>
        <w:t>–</w:t>
      </w:r>
      <w:r>
        <w:rPr>
          <w:rFonts w:ascii="Segoe UI" w:hAnsi="Segoe UI" w:cs="Segoe UI" w:hint="cs"/>
          <w:rtl/>
          <w:lang w:val="en-ZW"/>
        </w:rPr>
        <w:t xml:space="preserve"> ס'4 להצהרה קורא למדינות העולם "לקדם את הטיפול בנפגעי עבירות, ולהבטיח שקורבנות יטופלו בחמלה ובהקפדה על שמירת כבודם, באמצעות מתן מידע לנפגעים אודות השירותים המשפטיים והטיפוליים להם זכאים, הנגשת הליכי המשפט וזכות עמידה, הגנה על הפרטיות, הבטחת ביטחונם ופיצוי כספי". </w:t>
      </w:r>
    </w:p>
    <w:p w14:paraId="6D4A29FD" w14:textId="62613691" w:rsidR="00A74294" w:rsidRDefault="00A74294" w:rsidP="00F14373">
      <w:pPr>
        <w:bidi/>
        <w:spacing w:after="0" w:line="276" w:lineRule="auto"/>
        <w:jc w:val="both"/>
        <w:rPr>
          <w:rFonts w:ascii="Segoe UI" w:hAnsi="Segoe UI" w:cs="Segoe UI"/>
          <w:rtl/>
          <w:lang w:val="en-ZW"/>
        </w:rPr>
      </w:pPr>
      <w:r>
        <w:rPr>
          <w:rFonts w:ascii="Segoe UI" w:hAnsi="Segoe UI" w:cs="Segoe UI" w:hint="cs"/>
          <w:rtl/>
          <w:lang w:val="en-ZW"/>
        </w:rPr>
        <w:t xml:space="preserve">מוסדות האיחוד האירופי הנחו את המדינות החברות להעביר חוקים שונים בנושא נפגעי עבירה. </w:t>
      </w:r>
    </w:p>
    <w:p w14:paraId="0674ED2E" w14:textId="586BB81D" w:rsidR="0036348E" w:rsidRDefault="0036348E" w:rsidP="00F14373">
      <w:pPr>
        <w:bidi/>
        <w:spacing w:after="0" w:line="276" w:lineRule="auto"/>
        <w:jc w:val="both"/>
        <w:rPr>
          <w:rFonts w:ascii="Segoe UI" w:hAnsi="Segoe UI" w:cs="Segoe UI"/>
          <w:rtl/>
          <w:lang w:val="en-ZW"/>
        </w:rPr>
      </w:pPr>
      <w:r w:rsidRPr="00B965F9">
        <w:rPr>
          <w:rFonts w:ascii="Segoe UI" w:hAnsi="Segoe UI" w:cs="Segoe UI" w:hint="cs"/>
          <w:u w:val="single"/>
          <w:rtl/>
          <w:lang w:val="en-ZW"/>
        </w:rPr>
        <w:t>בצרפת</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חוקים ששיפרו את הטיפול בנפגעי העבירה ביחידות המשטרה, משרד הפנים ומשרד המשפטים. בכל אחת מהיחידות הללו קיימות מחלקות העוסקות בסיוע לקורבנות והנפגעים מופנים לעובדים סוציאליים ופסיכולוגים בשירות הציבורי. </w:t>
      </w:r>
    </w:p>
    <w:p w14:paraId="3783080D" w14:textId="74A11400" w:rsidR="00B965F9" w:rsidRDefault="00B965F9" w:rsidP="00F14373">
      <w:pPr>
        <w:bidi/>
        <w:spacing w:after="0" w:line="276" w:lineRule="auto"/>
        <w:jc w:val="both"/>
        <w:rPr>
          <w:rFonts w:ascii="Segoe UI" w:hAnsi="Segoe UI" w:cs="Segoe UI"/>
          <w:rtl/>
          <w:lang w:val="en-ZW"/>
        </w:rPr>
      </w:pPr>
      <w:r w:rsidRPr="00B965F9">
        <w:rPr>
          <w:rFonts w:ascii="Segoe UI" w:hAnsi="Segoe UI" w:cs="Segoe UI" w:hint="cs"/>
          <w:u w:val="single"/>
          <w:rtl/>
          <w:lang w:val="en-ZW"/>
        </w:rPr>
        <w:t xml:space="preserve">באנגליה, </w:t>
      </w:r>
      <w:proofErr w:type="spellStart"/>
      <w:r w:rsidRPr="00B965F9">
        <w:rPr>
          <w:rFonts w:ascii="Segoe UI" w:hAnsi="Segoe UI" w:cs="Segoe UI" w:hint="cs"/>
          <w:u w:val="single"/>
          <w:rtl/>
          <w:lang w:val="en-ZW"/>
        </w:rPr>
        <w:t>ווילס</w:t>
      </w:r>
      <w:proofErr w:type="spellEnd"/>
      <w:r w:rsidRPr="00B965F9">
        <w:rPr>
          <w:rFonts w:ascii="Segoe UI" w:hAnsi="Segoe UI" w:cs="Segoe UI" w:hint="cs"/>
          <w:u w:val="single"/>
          <w:rtl/>
          <w:lang w:val="en-ZW"/>
        </w:rPr>
        <w:t xml:space="preserve"> וסקוטלנד</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קיימות רשויות ממשלתיות המפעילות תוכניות לטיפול ופיצוי נפגעי עבירות חמורות או אלימות (נכנסות בנעלי הקורבן וגובות את הפיצויים). </w:t>
      </w:r>
    </w:p>
    <w:p w14:paraId="62892781" w14:textId="50967AD8" w:rsidR="00B965F9" w:rsidRDefault="00B965F9" w:rsidP="00F14373">
      <w:pPr>
        <w:bidi/>
        <w:spacing w:after="0" w:line="276" w:lineRule="auto"/>
        <w:jc w:val="both"/>
        <w:rPr>
          <w:rFonts w:ascii="Segoe UI" w:hAnsi="Segoe UI" w:cs="Segoe UI"/>
          <w:rtl/>
          <w:lang w:val="en-ZW"/>
        </w:rPr>
      </w:pPr>
      <w:r w:rsidRPr="007A0B6C">
        <w:rPr>
          <w:rFonts w:ascii="Segoe UI" w:hAnsi="Segoe UI" w:cs="Segoe UI" w:hint="cs"/>
          <w:u w:val="single"/>
          <w:rtl/>
          <w:lang w:val="en-ZW"/>
        </w:rPr>
        <w:t>בקנדה</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נקבע במגילת זכויות הקורבן משנת 2015 שורה של זכויות לנפגעי העבירה. בין שאר התכליות הקלאסיות של המשפט הפלילי, הודגש בחקיקה </w:t>
      </w:r>
      <w:r w:rsidR="007A0B6C">
        <w:rPr>
          <w:rFonts w:ascii="Segoe UI" w:hAnsi="Segoe UI" w:cs="Segoe UI" w:hint="cs"/>
          <w:rtl/>
          <w:lang w:val="en-ZW"/>
        </w:rPr>
        <w:t>הקנדית</w:t>
      </w:r>
      <w:r>
        <w:rPr>
          <w:rFonts w:ascii="Segoe UI" w:hAnsi="Segoe UI" w:cs="Segoe UI" w:hint="cs"/>
          <w:rtl/>
          <w:lang w:val="en-ZW"/>
        </w:rPr>
        <w:t xml:space="preserve"> תכליות </w:t>
      </w:r>
      <w:r w:rsidR="007A0B6C">
        <w:rPr>
          <w:rFonts w:ascii="Segoe UI" w:hAnsi="Segoe UI" w:cs="Segoe UI" w:hint="cs"/>
          <w:rtl/>
          <w:lang w:val="en-ZW"/>
        </w:rPr>
        <w:t xml:space="preserve">הקשורות לנפגעי העבירה </w:t>
      </w:r>
      <w:r w:rsidR="007A0B6C">
        <w:rPr>
          <w:rFonts w:ascii="Segoe UI" w:hAnsi="Segoe UI" w:cs="Segoe UI"/>
          <w:rtl/>
          <w:lang w:val="en-ZW"/>
        </w:rPr>
        <w:t>–</w:t>
      </w:r>
      <w:r w:rsidR="007A0B6C">
        <w:rPr>
          <w:rFonts w:ascii="Segoe UI" w:hAnsi="Segoe UI" w:cs="Segoe UI" w:hint="cs"/>
          <w:rtl/>
          <w:lang w:val="en-ZW"/>
        </w:rPr>
        <w:t xml:space="preserve"> חיזוק תחושת האחריות של הנאשם לנזק שגרם לנפגעי העבירה ותיקון מהיר וצודק של הנזק שנגרם לנפגע העבירה. </w:t>
      </w:r>
    </w:p>
    <w:p w14:paraId="7C54D377" w14:textId="3E3B4534" w:rsidR="00AD6772" w:rsidRDefault="00AA531D" w:rsidP="00F14373">
      <w:pPr>
        <w:bidi/>
        <w:spacing w:after="0" w:line="276" w:lineRule="auto"/>
        <w:jc w:val="both"/>
        <w:rPr>
          <w:rFonts w:ascii="Segoe UI" w:hAnsi="Segoe UI" w:cs="Segoe UI"/>
          <w:lang w:val="en-ZW"/>
        </w:rPr>
      </w:pPr>
      <w:r w:rsidRPr="00AA531D">
        <w:rPr>
          <w:rFonts w:ascii="Segoe UI" w:hAnsi="Segoe UI" w:cs="Segoe UI" w:hint="cs"/>
          <w:u w:val="single"/>
          <w:rtl/>
          <w:lang w:val="en-ZW"/>
        </w:rPr>
        <w:lastRenderedPageBreak/>
        <w:t>בארה"ב</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משנות השמונים ואילך כזכויות </w:t>
      </w:r>
      <w:r w:rsidRPr="00AA531D">
        <w:rPr>
          <w:rFonts w:ascii="Segoe UI" w:hAnsi="Segoe UI" w:cs="Segoe UI" w:hint="cs"/>
          <w:b/>
          <w:bCs/>
          <w:rtl/>
          <w:lang w:val="en-ZW"/>
        </w:rPr>
        <w:t>חוקתיות</w:t>
      </w:r>
      <w:r>
        <w:rPr>
          <w:rFonts w:ascii="Segoe UI" w:hAnsi="Segoe UI" w:cs="Segoe UI" w:hint="cs"/>
          <w:rtl/>
          <w:lang w:val="en-ZW"/>
        </w:rPr>
        <w:t xml:space="preserve"> במרבית מדינות ארה"ב. ארגוני זכויות נפגעי עבירה שונים ובעלי שליטה בקונגרס; חקיקת 'חוק זכויות הקורבנות' </w:t>
      </w:r>
      <w:r>
        <w:rPr>
          <w:rFonts w:ascii="Segoe UI" w:hAnsi="Segoe UI" w:cs="Segoe UI"/>
          <w:rtl/>
          <w:lang w:val="en-ZW"/>
        </w:rPr>
        <w:t>–</w:t>
      </w:r>
      <w:r>
        <w:rPr>
          <w:rFonts w:ascii="Segoe UI" w:hAnsi="Segoe UI" w:cs="Segoe UI" w:hint="cs"/>
          <w:rtl/>
          <w:lang w:val="en-ZW"/>
        </w:rPr>
        <w:t xml:space="preserve"> הזכות להגנה מפני הנאשם, הזכות ליידוע, הזכות שלא להיכלל בהליכים, הזכות לדבר בהליכים פליליים, הזכות להתייעץ עם התובע, הזכות להליכים בתוך פרק זמן סביר, הזכות</w:t>
      </w:r>
      <w:r w:rsidR="00863008">
        <w:rPr>
          <w:rFonts w:ascii="Segoe UI" w:hAnsi="Segoe UI" w:cs="Segoe UI" w:hint="cs"/>
          <w:rtl/>
          <w:lang w:val="en-ZW"/>
        </w:rPr>
        <w:t xml:space="preserve"> להתייחסות הוגנת והזכות לפרטיותם של הקורבנות. </w:t>
      </w:r>
    </w:p>
    <w:p w14:paraId="02DAB1B0" w14:textId="4E062896" w:rsidR="00494FDB" w:rsidRPr="00494FDB" w:rsidRDefault="00494FDB" w:rsidP="00F14373">
      <w:pPr>
        <w:bidi/>
        <w:spacing w:after="0" w:line="276" w:lineRule="auto"/>
        <w:jc w:val="both"/>
        <w:rPr>
          <w:rFonts w:ascii="Segoe UI" w:hAnsi="Segoe UI" w:cs="Segoe UI"/>
          <w:lang w:val="en-ZW"/>
        </w:rPr>
      </w:pPr>
      <w:r w:rsidRPr="001D7772">
        <w:rPr>
          <w:rFonts w:ascii="Segoe UI" w:hAnsi="Segoe UI" w:cs="Segoe UI" w:hint="cs"/>
          <w:b/>
          <w:bCs/>
          <w:highlight w:val="yellow"/>
          <w:rtl/>
          <w:lang w:val="en-ZW"/>
        </w:rPr>
        <w:t>ישראל</w:t>
      </w:r>
      <w:r>
        <w:rPr>
          <w:rFonts w:ascii="Segoe UI" w:hAnsi="Segoe UI" w:cs="Segoe UI" w:hint="cs"/>
          <w:b/>
          <w:bCs/>
          <w:rtl/>
          <w:lang w:val="en-ZW"/>
        </w:rPr>
        <w:t xml:space="preserve"> </w:t>
      </w:r>
      <w:r>
        <w:rPr>
          <w:rFonts w:ascii="Segoe UI" w:hAnsi="Segoe UI" w:cs="Segoe UI"/>
          <w:b/>
          <w:bCs/>
          <w:rtl/>
          <w:lang w:val="en-ZW"/>
        </w:rPr>
        <w:t>–</w:t>
      </w:r>
      <w:r>
        <w:rPr>
          <w:rFonts w:ascii="Segoe UI" w:hAnsi="Segoe UI" w:cs="Segoe UI" w:hint="cs"/>
          <w:b/>
          <w:bCs/>
          <w:rtl/>
          <w:lang w:val="en-ZW"/>
        </w:rPr>
        <w:t xml:space="preserve"> </w:t>
      </w:r>
      <w:r>
        <w:rPr>
          <w:rFonts w:ascii="Segoe UI" w:hAnsi="Segoe UI" w:cs="Segoe UI" w:hint="cs"/>
          <w:rtl/>
          <w:lang w:val="en-ZW"/>
        </w:rPr>
        <w:t xml:space="preserve">בישראל חוקק חוק זכויות נפגעי עבירה, החוק מתייחס לשורה של זכויות להם זכאים נפגעי העבירה במהלך ההליך הפלילי: זכות להגנה פיזית, זכות לחסיון בדבר פרטיהם האישיים, זכות עיון בכתבי אישום נגד הנאשם, </w:t>
      </w:r>
      <w:r w:rsidR="00867604">
        <w:rPr>
          <w:rFonts w:ascii="Segoe UI" w:hAnsi="Segoe UI" w:cs="Segoe UI" w:hint="cs"/>
          <w:rtl/>
          <w:lang w:val="en-ZW"/>
        </w:rPr>
        <w:t>זכות לקבל מידע על מאסר, זכות לניהול הליכים בעבירות מין ואלימות בזמן סביר, זכות לקבל מידע על ההליך הפלילי, זכות לנוכחות מלווה בחקירה ובדיונים בדלתיים סגורות וזכות להבעת עמדה באשר להליך הפלילי המתקיים כנגד הנאשם.</w:t>
      </w:r>
    </w:p>
    <w:p w14:paraId="0662F59C" w14:textId="77777777" w:rsidR="00494FDB" w:rsidRDefault="00494FDB" w:rsidP="00F14373">
      <w:pPr>
        <w:bidi/>
        <w:spacing w:after="0" w:line="276" w:lineRule="auto"/>
        <w:jc w:val="both"/>
        <w:rPr>
          <w:rFonts w:ascii="Segoe UI" w:hAnsi="Segoe UI" w:cs="Segoe UI"/>
          <w:rtl/>
          <w:lang w:val="en-ZW"/>
        </w:rPr>
      </w:pPr>
    </w:p>
    <w:p w14:paraId="347D898B" w14:textId="2BD69BA7" w:rsidR="00AD6772" w:rsidRDefault="00AD6772" w:rsidP="00F14373">
      <w:pPr>
        <w:pStyle w:val="2"/>
        <w:rPr>
          <w:rtl/>
        </w:rPr>
      </w:pPr>
      <w:bookmarkStart w:id="123" w:name="_Toc108218279"/>
      <w:r>
        <w:rPr>
          <w:rFonts w:hint="cs"/>
          <w:rtl/>
        </w:rPr>
        <w:t>הגורמים המרכזיים לשינוי</w:t>
      </w:r>
      <w:bookmarkEnd w:id="123"/>
    </w:p>
    <w:p w14:paraId="026F77FE" w14:textId="099A2E95" w:rsidR="00BC3882" w:rsidRDefault="00EA1CD9" w:rsidP="00F14373">
      <w:pPr>
        <w:pStyle w:val="ab"/>
        <w:numPr>
          <w:ilvl w:val="0"/>
          <w:numId w:val="112"/>
        </w:numPr>
        <w:bidi/>
        <w:spacing w:after="0" w:line="276" w:lineRule="auto"/>
        <w:jc w:val="both"/>
        <w:rPr>
          <w:rFonts w:ascii="Segoe UI" w:hAnsi="Segoe UI" w:cs="Segoe UI"/>
          <w:lang w:val="en-ZW"/>
        </w:rPr>
      </w:pPr>
      <w:r>
        <w:rPr>
          <w:rFonts w:ascii="Segoe UI" w:hAnsi="Segoe UI" w:cs="Segoe UI" w:hint="cs"/>
          <w:rtl/>
          <w:lang w:val="en-ZW"/>
        </w:rPr>
        <w:t>התפכחות מהצלחתן של דרכי הענישה המסורתיות</w:t>
      </w:r>
    </w:p>
    <w:p w14:paraId="7AF9B4C3" w14:textId="2EC91ADA" w:rsidR="00EA1CD9" w:rsidRDefault="00EA1CD9" w:rsidP="00F14373">
      <w:pPr>
        <w:pStyle w:val="ab"/>
        <w:numPr>
          <w:ilvl w:val="0"/>
          <w:numId w:val="112"/>
        </w:numPr>
        <w:bidi/>
        <w:spacing w:after="0" w:line="276" w:lineRule="auto"/>
        <w:jc w:val="both"/>
        <w:rPr>
          <w:rFonts w:ascii="Segoe UI" w:hAnsi="Segoe UI" w:cs="Segoe UI"/>
          <w:lang w:val="en-ZW"/>
        </w:rPr>
      </w:pPr>
      <w:r>
        <w:rPr>
          <w:rFonts w:ascii="Segoe UI" w:hAnsi="Segoe UI" w:cs="Segoe UI" w:hint="cs"/>
          <w:rtl/>
          <w:lang w:val="en-ZW"/>
        </w:rPr>
        <w:t>עליה במגוון הדרכים החלופיות להליך הפלילי ולענישה בפרט</w:t>
      </w:r>
    </w:p>
    <w:p w14:paraId="7417E1E7" w14:textId="10A1E681" w:rsidR="00EA1CD9" w:rsidRDefault="00EA1CD9" w:rsidP="00F14373">
      <w:pPr>
        <w:pStyle w:val="ab"/>
        <w:numPr>
          <w:ilvl w:val="0"/>
          <w:numId w:val="112"/>
        </w:numPr>
        <w:bidi/>
        <w:spacing w:after="0" w:line="276" w:lineRule="auto"/>
        <w:jc w:val="both"/>
        <w:rPr>
          <w:rFonts w:ascii="Segoe UI" w:hAnsi="Segoe UI" w:cs="Segoe UI"/>
          <w:lang w:val="en-ZW"/>
        </w:rPr>
      </w:pPr>
      <w:r>
        <w:rPr>
          <w:rFonts w:ascii="Segoe UI" w:hAnsi="Segoe UI" w:cs="Segoe UI" w:hint="cs"/>
          <w:rtl/>
          <w:lang w:val="en-ZW"/>
        </w:rPr>
        <w:t>התחזקות כוחם של ארגוני נפגעי עבירה (בעיקר בארה"ב)</w:t>
      </w:r>
    </w:p>
    <w:p w14:paraId="2E14A89F" w14:textId="24F96C60" w:rsidR="00EA1CD9" w:rsidRDefault="00EA1CD9" w:rsidP="00F14373">
      <w:pPr>
        <w:bidi/>
        <w:spacing w:after="0" w:line="276" w:lineRule="auto"/>
        <w:jc w:val="both"/>
        <w:rPr>
          <w:rFonts w:ascii="Segoe UI" w:hAnsi="Segoe UI" w:cs="Segoe UI"/>
          <w:rtl/>
          <w:lang w:val="en-ZW"/>
        </w:rPr>
      </w:pPr>
    </w:p>
    <w:p w14:paraId="0FBF769F" w14:textId="6A9FF800" w:rsidR="00EA1CD9" w:rsidRDefault="009E0AE9" w:rsidP="00F14373">
      <w:pPr>
        <w:pStyle w:val="2"/>
        <w:rPr>
          <w:rtl/>
        </w:rPr>
      </w:pPr>
      <w:bookmarkStart w:id="124" w:name="_Toc108218280"/>
      <w:r>
        <w:rPr>
          <w:rFonts w:hint="cs"/>
          <w:rtl/>
        </w:rPr>
        <w:t>מושגים מעולם נפגעי העבירה</w:t>
      </w:r>
      <w:bookmarkEnd w:id="124"/>
    </w:p>
    <w:p w14:paraId="15FA17E8" w14:textId="65FE56A7" w:rsidR="009E0AE9" w:rsidRDefault="00752BEC" w:rsidP="00F14373">
      <w:pPr>
        <w:bidi/>
        <w:spacing w:line="276" w:lineRule="auto"/>
        <w:jc w:val="both"/>
        <w:rPr>
          <w:rFonts w:ascii="Segoe UI" w:hAnsi="Segoe UI" w:cs="Segoe UI"/>
          <w:rtl/>
          <w:lang w:val="en-ZW"/>
        </w:rPr>
      </w:pPr>
      <w:r w:rsidRPr="00752BEC">
        <w:rPr>
          <w:rFonts w:ascii="Segoe UI" w:hAnsi="Segoe UI" w:cs="Segoe UI" w:hint="cs"/>
          <w:u w:val="single"/>
          <w:rtl/>
          <w:lang w:val="en-ZW"/>
        </w:rPr>
        <w:t>הצהרת נפגע עבירה</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נפגע העבירה עורך בכתב את הדברים שהתרחשו בעבר ומגיש אותם לתובע בתיק המתנהל בעניינו. מדובר בעניינים קונקרטיים הקשורים לאירוע הספציפי בגינו מתנהל ההליך, ייתכן שהנפגע ייקרא להעיד על ההצרה שנתן ואף ייחקר עליה בחקירה נגדית. התובע </w:t>
      </w:r>
      <w:r>
        <w:rPr>
          <w:rFonts w:ascii="Segoe UI" w:hAnsi="Segoe UI" w:cs="Segoe UI" w:hint="cs"/>
          <w:b/>
          <w:bCs/>
          <w:rtl/>
          <w:lang w:val="en-ZW"/>
        </w:rPr>
        <w:t>מחויב</w:t>
      </w:r>
      <w:r>
        <w:rPr>
          <w:rFonts w:ascii="Segoe UI" w:hAnsi="Segoe UI" w:cs="Segoe UI" w:hint="cs"/>
          <w:rtl/>
          <w:lang w:val="en-ZW"/>
        </w:rPr>
        <w:t xml:space="preserve"> להגיש לביהמ"ש את ההצרה כחלק מהראיות בשלב הטיעונים לעונש. </w:t>
      </w:r>
    </w:p>
    <w:p w14:paraId="3B660627" w14:textId="0CB833C2" w:rsidR="00752BEC" w:rsidRDefault="00752BEC" w:rsidP="00F14373">
      <w:pPr>
        <w:bidi/>
        <w:spacing w:after="0" w:line="276" w:lineRule="auto"/>
        <w:jc w:val="both"/>
        <w:rPr>
          <w:rFonts w:ascii="Segoe UI" w:hAnsi="Segoe UI" w:cs="Segoe UI"/>
          <w:rtl/>
          <w:lang w:val="en-ZW"/>
        </w:rPr>
      </w:pPr>
      <w:r w:rsidRPr="00752BEC">
        <w:rPr>
          <w:rFonts w:ascii="Segoe UI" w:hAnsi="Segoe UI" w:cs="Segoe UI" w:hint="cs"/>
          <w:u w:val="single"/>
          <w:rtl/>
          <w:lang w:val="en-ZW"/>
        </w:rPr>
        <w:t>תסקיר נפגעי עבירה</w:t>
      </w:r>
      <w:r>
        <w:rPr>
          <w:rFonts w:ascii="Segoe UI" w:hAnsi="Segoe UI" w:cs="Segoe UI" w:hint="cs"/>
          <w:rtl/>
          <w:lang w:val="en-ZW"/>
        </w:rPr>
        <w:t xml:space="preserve"> </w:t>
      </w:r>
      <w:r>
        <w:rPr>
          <w:rFonts w:ascii="Segoe UI" w:hAnsi="Segoe UI" w:cs="Segoe UI"/>
          <w:rtl/>
          <w:lang w:val="en-ZW"/>
        </w:rPr>
        <w:t>–</w:t>
      </w:r>
      <w:r>
        <w:rPr>
          <w:rFonts w:ascii="Segoe UI" w:hAnsi="Segoe UI" w:cs="Segoe UI" w:hint="cs"/>
          <w:rtl/>
          <w:lang w:val="en-ZW"/>
        </w:rPr>
        <w:t xml:space="preserve"> במסגרת טיעוני התביעה לעונש, יכול בית המשפט להורות על עריכת תסקיר לנפגע העבירה </w:t>
      </w:r>
      <w:r>
        <w:rPr>
          <w:rFonts w:ascii="Segoe UI" w:hAnsi="Segoe UI" w:cs="Segoe UI" w:hint="cs"/>
          <w:b/>
          <w:bCs/>
          <w:rtl/>
          <w:lang w:val="en-ZW"/>
        </w:rPr>
        <w:t>במקרים של עבירות מין, אלימות חמורה והמתה.</w:t>
      </w:r>
      <w:r>
        <w:rPr>
          <w:rFonts w:ascii="Segoe UI" w:hAnsi="Segoe UI" w:cs="Segoe UI" w:hint="cs"/>
          <w:rtl/>
          <w:lang w:val="en-ZW"/>
        </w:rPr>
        <w:t xml:space="preserve"> התסקיר ייערך רק בהסכמתו של הנפגע. במסגרת התסקיר תיערך סקירה על מצבו של נפגע העבירה. התסקיר יבחן, בין היתר, את הנזק שנגרם לנפגע בין אם נפשי, פיזי, משפחתי וכו'. במקרה שהעבירה גרמה למותו של אדם, יתייחס התסקיר לאחד או יותר מבני משפחתו של מי שהעבירה גרמה למותו. </w:t>
      </w:r>
    </w:p>
    <w:p w14:paraId="11A64E61" w14:textId="0FF6932D" w:rsidR="00752BEC" w:rsidRDefault="00752BEC" w:rsidP="00F14373">
      <w:pPr>
        <w:bidi/>
        <w:spacing w:after="0" w:line="276" w:lineRule="auto"/>
        <w:jc w:val="both"/>
        <w:rPr>
          <w:rFonts w:ascii="Segoe UI" w:hAnsi="Segoe UI" w:cs="Segoe UI"/>
          <w:rtl/>
          <w:lang w:val="en-ZW"/>
        </w:rPr>
      </w:pPr>
      <w:r>
        <w:rPr>
          <w:rFonts w:ascii="Segoe UI" w:hAnsi="Segoe UI" w:cs="Segoe UI" w:hint="cs"/>
          <w:rtl/>
          <w:lang w:val="en-ZW"/>
        </w:rPr>
        <w:t xml:space="preserve">התסקיר נערך ע"י עובד סוציאלי שמונה במיוחד ע"י שר הרווחה והשירותים החברתיים. </w:t>
      </w:r>
      <w:r w:rsidR="000B1632">
        <w:rPr>
          <w:rFonts w:ascii="Segoe UI" w:hAnsi="Segoe UI" w:cs="Segoe UI" w:hint="cs"/>
          <w:rtl/>
          <w:lang w:val="en-ZW"/>
        </w:rPr>
        <w:t xml:space="preserve">העובד מתמחה באבחון והערכת טראומה ופוסט טראומה והוסמך לערוך תסקירי נפגע. </w:t>
      </w:r>
    </w:p>
    <w:p w14:paraId="0178E737" w14:textId="051ED58C" w:rsidR="000B1632" w:rsidRDefault="000B1632" w:rsidP="00F14373">
      <w:pPr>
        <w:bidi/>
        <w:spacing w:after="0" w:line="276" w:lineRule="auto"/>
        <w:jc w:val="both"/>
        <w:rPr>
          <w:rFonts w:ascii="Segoe UI" w:hAnsi="Segoe UI" w:cs="Segoe UI"/>
          <w:rtl/>
          <w:lang w:val="en-ZW"/>
        </w:rPr>
      </w:pPr>
      <w:r>
        <w:rPr>
          <w:rFonts w:ascii="Segoe UI" w:hAnsi="Segoe UI" w:cs="Segoe UI" w:hint="cs"/>
          <w:rtl/>
          <w:lang w:val="en-ZW"/>
        </w:rPr>
        <w:t>תסקיר לנפגע קטין (עד גיל 18) ייערך ע"י מפקח בשירות לילד ולנוער, במשרד העבודה, הרווחה והשירותים החברתיים.</w:t>
      </w:r>
    </w:p>
    <w:p w14:paraId="0AF312C9" w14:textId="7C06D575" w:rsidR="000B1632" w:rsidRDefault="000B1632" w:rsidP="00F14373">
      <w:pPr>
        <w:bidi/>
        <w:spacing w:after="0" w:line="276" w:lineRule="auto"/>
        <w:jc w:val="both"/>
        <w:rPr>
          <w:rFonts w:ascii="Segoe UI" w:hAnsi="Segoe UI" w:cs="Segoe UI"/>
          <w:rtl/>
          <w:lang w:val="en-ZW"/>
        </w:rPr>
      </w:pPr>
      <w:r>
        <w:rPr>
          <w:rFonts w:ascii="Segoe UI" w:hAnsi="Segoe UI" w:cs="Segoe UI" w:hint="cs"/>
          <w:rtl/>
          <w:lang w:val="en-ZW"/>
        </w:rPr>
        <w:t>תסקיר לנפגע עבירה בגיר (מגיל 18 ומעלה) ייערך ע"י עובד שירות המבחן למבוגרים.</w:t>
      </w:r>
    </w:p>
    <w:p w14:paraId="2D37E5BD" w14:textId="5475545B" w:rsidR="00DC6F24" w:rsidRDefault="00DC6F24" w:rsidP="00F14373">
      <w:pPr>
        <w:bidi/>
        <w:spacing w:after="0" w:line="276" w:lineRule="auto"/>
        <w:jc w:val="both"/>
        <w:rPr>
          <w:rFonts w:ascii="Segoe UI" w:hAnsi="Segoe UI" w:cs="Segoe UI"/>
          <w:rtl/>
          <w:lang w:val="en-ZW"/>
        </w:rPr>
      </w:pPr>
    </w:p>
    <w:p w14:paraId="343218F3" w14:textId="2740F060" w:rsidR="00DC6F24" w:rsidRDefault="00DC6F24" w:rsidP="00F14373">
      <w:pPr>
        <w:pStyle w:val="ab"/>
        <w:numPr>
          <w:ilvl w:val="0"/>
          <w:numId w:val="113"/>
        </w:numPr>
        <w:bidi/>
        <w:spacing w:after="0" w:line="276" w:lineRule="auto"/>
        <w:jc w:val="both"/>
        <w:rPr>
          <w:rFonts w:ascii="Segoe UI" w:hAnsi="Segoe UI" w:cs="Segoe UI"/>
          <w:lang w:val="en-ZW"/>
        </w:rPr>
      </w:pPr>
      <w:r>
        <w:rPr>
          <w:rFonts w:ascii="Segoe UI" w:hAnsi="Segoe UI" w:cs="Segoe UI" w:hint="cs"/>
          <w:rtl/>
          <w:lang w:val="en-ZW"/>
        </w:rPr>
        <w:t>לפני גזר הדין הקובע את עונשו של הנאשם, יביאו הצדדים טיעונים לעניין העונש</w:t>
      </w:r>
      <w:r w:rsidR="0039790A">
        <w:rPr>
          <w:rFonts w:ascii="Segoe UI" w:hAnsi="Segoe UI" w:cs="Segoe UI" w:hint="cs"/>
          <w:rtl/>
          <w:lang w:val="en-ZW"/>
        </w:rPr>
        <w:t xml:space="preserve">. קולו של נפגע העבירה בשלב הטיעונים לעונש ניתן להשמיע באמצעות שלוש דרכים: הצהרת נפגע, תסקיר נפגע או עדות לעונש. </w:t>
      </w:r>
    </w:p>
    <w:p w14:paraId="015250C5" w14:textId="37A74B87" w:rsidR="0039790A" w:rsidRDefault="0039790A" w:rsidP="00F14373">
      <w:pPr>
        <w:bidi/>
        <w:spacing w:after="0" w:line="276" w:lineRule="auto"/>
        <w:jc w:val="both"/>
        <w:rPr>
          <w:rFonts w:ascii="Segoe UI" w:hAnsi="Segoe UI" w:cs="Segoe UI"/>
          <w:rtl/>
          <w:lang w:val="en-ZW"/>
        </w:rPr>
      </w:pPr>
    </w:p>
    <w:p w14:paraId="2809548F" w14:textId="47FAE6C2" w:rsidR="0039790A" w:rsidRPr="0039790A" w:rsidRDefault="0039790A" w:rsidP="00F14373">
      <w:pPr>
        <w:pStyle w:val="2"/>
        <w:rPr>
          <w:rtl/>
        </w:rPr>
      </w:pPr>
      <w:bookmarkStart w:id="125" w:name="_Toc108218281"/>
      <w:r>
        <w:rPr>
          <w:rFonts w:hint="cs"/>
          <w:rtl/>
        </w:rPr>
        <w:t>הגורמים לחקיקת חוק זכויות נפגעי עבירה בישראל</w:t>
      </w:r>
      <w:bookmarkEnd w:id="125"/>
      <w:r>
        <w:rPr>
          <w:rFonts w:hint="cs"/>
          <w:rtl/>
        </w:rPr>
        <w:t xml:space="preserve"> </w:t>
      </w:r>
    </w:p>
    <w:p w14:paraId="2F3E8670" w14:textId="7E702E43" w:rsidR="00752BEC" w:rsidRDefault="00C63889" w:rsidP="00F14373">
      <w:pPr>
        <w:pStyle w:val="ab"/>
        <w:numPr>
          <w:ilvl w:val="0"/>
          <w:numId w:val="114"/>
        </w:numPr>
        <w:bidi/>
        <w:spacing w:after="0" w:line="276" w:lineRule="auto"/>
        <w:jc w:val="both"/>
        <w:rPr>
          <w:rFonts w:ascii="Segoe UI" w:hAnsi="Segoe UI" w:cs="Segoe UI"/>
          <w:lang w:val="en-ZW"/>
        </w:rPr>
      </w:pPr>
      <w:r>
        <w:rPr>
          <w:rFonts w:ascii="Segoe UI" w:hAnsi="Segoe UI" w:cs="Segoe UI" w:hint="cs"/>
          <w:rtl/>
          <w:lang w:val="en-ZW"/>
        </w:rPr>
        <w:t>מחויבות מוסרית של החברה כלפי נפגעי העבירה</w:t>
      </w:r>
    </w:p>
    <w:p w14:paraId="30ABAC9D" w14:textId="002E459B" w:rsidR="00C63889" w:rsidRDefault="00C63889" w:rsidP="00F14373">
      <w:pPr>
        <w:pStyle w:val="ab"/>
        <w:numPr>
          <w:ilvl w:val="0"/>
          <w:numId w:val="114"/>
        </w:numPr>
        <w:bidi/>
        <w:spacing w:after="0" w:line="276" w:lineRule="auto"/>
        <w:jc w:val="both"/>
        <w:rPr>
          <w:rFonts w:ascii="Segoe UI" w:hAnsi="Segoe UI" w:cs="Segoe UI"/>
          <w:lang w:val="en-ZW"/>
        </w:rPr>
      </w:pPr>
      <w:r>
        <w:rPr>
          <w:rFonts w:ascii="Segoe UI" w:hAnsi="Segoe UI" w:cs="Segoe UI" w:hint="cs"/>
          <w:rtl/>
          <w:lang w:val="en-ZW"/>
        </w:rPr>
        <w:t xml:space="preserve">נימוק תועלתני </w:t>
      </w:r>
      <w:r>
        <w:rPr>
          <w:rFonts w:ascii="Segoe UI" w:hAnsi="Segoe UI" w:cs="Segoe UI"/>
          <w:rtl/>
          <w:lang w:val="en-ZW"/>
        </w:rPr>
        <w:t>–</w:t>
      </w:r>
      <w:r>
        <w:rPr>
          <w:rFonts w:ascii="Segoe UI" w:hAnsi="Segoe UI" w:cs="Segoe UI" w:hint="cs"/>
          <w:rtl/>
          <w:lang w:val="en-ZW"/>
        </w:rPr>
        <w:t xml:space="preserve"> חשיבות ההכרה בקורבן ובשיתוף הפעולה בינו לבין המדינה על מנת למגר את העבריינות</w:t>
      </w:r>
    </w:p>
    <w:p w14:paraId="0713C0E9" w14:textId="49E0D61D" w:rsidR="00C63889" w:rsidRPr="0095290F" w:rsidRDefault="00C63889" w:rsidP="00F14373">
      <w:pPr>
        <w:pStyle w:val="ab"/>
        <w:numPr>
          <w:ilvl w:val="0"/>
          <w:numId w:val="114"/>
        </w:numPr>
        <w:bidi/>
        <w:spacing w:after="0" w:line="276" w:lineRule="auto"/>
        <w:jc w:val="both"/>
        <w:rPr>
          <w:rFonts w:ascii="Segoe UI" w:hAnsi="Segoe UI" w:cs="Segoe UI"/>
          <w:lang w:val="en-ZW"/>
        </w:rPr>
      </w:pPr>
      <w:r>
        <w:rPr>
          <w:rFonts w:ascii="Segoe UI" w:hAnsi="Segoe UI" w:cs="Segoe UI" w:hint="cs"/>
          <w:rtl/>
          <w:lang w:val="en-ZW"/>
        </w:rPr>
        <w:t>זכותו של האדם לכבוד</w:t>
      </w:r>
      <w:r w:rsidR="0095290F">
        <w:rPr>
          <w:rFonts w:ascii="Segoe UI" w:hAnsi="Segoe UI" w:cs="Segoe UI" w:hint="cs"/>
          <w:rtl/>
          <w:lang w:val="en-ZW"/>
        </w:rPr>
        <w:t xml:space="preserve">, </w:t>
      </w:r>
      <w:r w:rsidRPr="0095290F">
        <w:rPr>
          <w:rFonts w:ascii="Segoe UI" w:hAnsi="Segoe UI" w:cs="Segoe UI" w:hint="cs"/>
          <w:rtl/>
          <w:lang w:val="en-ZW"/>
        </w:rPr>
        <w:t xml:space="preserve">הבטחת הזכות להליך הוגן </w:t>
      </w:r>
      <w:r w:rsidRPr="0095290F">
        <w:rPr>
          <w:rFonts w:ascii="Segoe UI" w:hAnsi="Segoe UI" w:cs="Segoe UI"/>
          <w:rtl/>
          <w:lang w:val="en-ZW"/>
        </w:rPr>
        <w:t>–</w:t>
      </w:r>
      <w:r w:rsidRPr="0095290F">
        <w:rPr>
          <w:rFonts w:ascii="Segoe UI" w:hAnsi="Segoe UI" w:cs="Segoe UI" w:hint="cs"/>
          <w:rtl/>
          <w:lang w:val="en-ZW"/>
        </w:rPr>
        <w:t xml:space="preserve"> פרוצדורלית ומהותית </w:t>
      </w:r>
      <w:r w:rsidRPr="0095290F">
        <w:rPr>
          <w:rFonts w:ascii="Segoe UI" w:hAnsi="Segoe UI" w:cs="Segoe UI"/>
          <w:rtl/>
          <w:lang w:val="en-ZW"/>
        </w:rPr>
        <w:t>–</w:t>
      </w:r>
      <w:r w:rsidRPr="0095290F">
        <w:rPr>
          <w:rFonts w:ascii="Segoe UI" w:hAnsi="Segoe UI" w:cs="Segoe UI" w:hint="cs"/>
          <w:rtl/>
          <w:lang w:val="en-ZW"/>
        </w:rPr>
        <w:t xml:space="preserve"> תבטיח את זכותו של הנפגע לכבוד </w:t>
      </w:r>
      <w:r w:rsidR="0095290F" w:rsidRPr="0095290F">
        <w:rPr>
          <w:rFonts w:ascii="Segoe UI" w:hAnsi="Segoe UI" w:cs="Segoe UI" w:hint="cs"/>
          <w:rtl/>
          <w:lang w:val="en-ZW"/>
        </w:rPr>
        <w:t>כאדם</w:t>
      </w:r>
      <w:r w:rsidRPr="0095290F">
        <w:rPr>
          <w:rFonts w:ascii="Segoe UI" w:hAnsi="Segoe UI" w:cs="Segoe UI" w:hint="cs"/>
          <w:rtl/>
          <w:lang w:val="en-ZW"/>
        </w:rPr>
        <w:t xml:space="preserve"> </w:t>
      </w:r>
    </w:p>
    <w:p w14:paraId="59212326" w14:textId="25B98323" w:rsidR="0095290F" w:rsidRDefault="0095290F" w:rsidP="00F14373">
      <w:pPr>
        <w:pStyle w:val="ab"/>
        <w:numPr>
          <w:ilvl w:val="0"/>
          <w:numId w:val="114"/>
        </w:numPr>
        <w:bidi/>
        <w:spacing w:after="0" w:line="276" w:lineRule="auto"/>
        <w:jc w:val="both"/>
        <w:rPr>
          <w:rFonts w:ascii="Segoe UI" w:hAnsi="Segoe UI" w:cs="Segoe UI"/>
          <w:lang w:val="en-ZW"/>
        </w:rPr>
      </w:pPr>
      <w:r>
        <w:rPr>
          <w:rFonts w:ascii="Segoe UI" w:hAnsi="Segoe UI" w:cs="Segoe UI" w:hint="cs"/>
          <w:rtl/>
          <w:lang w:val="en-ZW"/>
        </w:rPr>
        <w:t>מניעת חווית "הקורבנות המשנית"</w:t>
      </w:r>
      <w:r w:rsidR="003F63DE">
        <w:rPr>
          <w:rFonts w:ascii="Segoe UI" w:hAnsi="Segoe UI" w:cs="Segoe UI" w:hint="cs"/>
          <w:rtl/>
          <w:lang w:val="en-ZW"/>
        </w:rPr>
        <w:t xml:space="preserve"> </w:t>
      </w:r>
      <w:r w:rsidR="003F63DE">
        <w:rPr>
          <w:rFonts w:ascii="Segoe UI" w:hAnsi="Segoe UI" w:cs="Segoe UI"/>
          <w:rtl/>
          <w:lang w:val="en-ZW"/>
        </w:rPr>
        <w:t>–</w:t>
      </w:r>
      <w:r w:rsidR="003F63DE">
        <w:rPr>
          <w:rFonts w:ascii="Segoe UI" w:hAnsi="Segoe UI" w:cs="Segoe UI" w:hint="cs"/>
          <w:rtl/>
          <w:lang w:val="en-ZW"/>
        </w:rPr>
        <w:t xml:space="preserve"> </w:t>
      </w:r>
      <w:r w:rsidR="003F63DE" w:rsidRPr="003F63DE">
        <w:rPr>
          <w:rFonts w:ascii="Segoe UI" w:hAnsi="Segoe UI" w:cs="Segoe UI" w:hint="cs"/>
          <w:color w:val="7030A0"/>
          <w:rtl/>
          <w:lang w:val="en-ZW"/>
        </w:rPr>
        <w:t xml:space="preserve">מתוך הצעת </w:t>
      </w:r>
      <w:r w:rsidR="003F63DE">
        <w:rPr>
          <w:rFonts w:ascii="Segoe UI" w:hAnsi="Segoe UI" w:cs="Segoe UI" w:hint="cs"/>
          <w:color w:val="7030A0"/>
          <w:rtl/>
          <w:lang w:val="en-ZW"/>
        </w:rPr>
        <w:t>חוק לזכויות נפגעי עבירה</w:t>
      </w:r>
      <w:r w:rsidR="003F63DE" w:rsidRPr="003F63DE">
        <w:rPr>
          <w:rFonts w:ascii="Segoe UI" w:hAnsi="Segoe UI" w:cs="Segoe UI" w:hint="cs"/>
          <w:color w:val="7030A0"/>
          <w:rtl/>
          <w:lang w:val="en-ZW"/>
        </w:rPr>
        <w:t xml:space="preserve">: </w:t>
      </w:r>
      <w:r w:rsidR="003F63DE" w:rsidRPr="003F63DE">
        <w:rPr>
          <w:rFonts w:ascii="Segoe UI" w:hAnsi="Segoe UI" w:cs="Segoe UI"/>
          <w:color w:val="7030A0"/>
          <w:rtl/>
          <w:lang w:val="en-ZW"/>
        </w:rPr>
        <w:t>טראומה שנייה לקורבן, המתווספת לפגיעה הישירה מן העבירה.</w:t>
      </w:r>
    </w:p>
    <w:p w14:paraId="6B178CA5" w14:textId="37A13AF4" w:rsidR="00FB43A6" w:rsidRDefault="0095290F" w:rsidP="00F14373">
      <w:pPr>
        <w:pStyle w:val="ab"/>
        <w:numPr>
          <w:ilvl w:val="0"/>
          <w:numId w:val="114"/>
        </w:numPr>
        <w:bidi/>
        <w:spacing w:after="0" w:line="276" w:lineRule="auto"/>
        <w:jc w:val="both"/>
        <w:rPr>
          <w:rFonts w:ascii="Segoe UI" w:hAnsi="Segoe UI" w:cs="Segoe UI"/>
          <w:lang w:val="en-ZW"/>
        </w:rPr>
      </w:pPr>
      <w:r>
        <w:rPr>
          <w:rFonts w:ascii="Segoe UI" w:hAnsi="Segoe UI" w:cs="Segoe UI" w:hint="cs"/>
          <w:rtl/>
          <w:lang w:val="en-ZW"/>
        </w:rPr>
        <w:t>השפעות גלובליות</w:t>
      </w:r>
    </w:p>
    <w:p w14:paraId="3F5F75A9" w14:textId="60D0D233" w:rsidR="00FB43A6" w:rsidRPr="00E95FBE" w:rsidRDefault="00FB43A6" w:rsidP="00F14373">
      <w:pPr>
        <w:bidi/>
        <w:spacing w:after="0" w:line="276" w:lineRule="auto"/>
        <w:jc w:val="both"/>
        <w:rPr>
          <w:rFonts w:ascii="Segoe UI" w:hAnsi="Segoe UI" w:cs="Segoe UI"/>
          <w:rtl/>
          <w:lang w:val="en-ZW"/>
        </w:rPr>
      </w:pPr>
    </w:p>
    <w:p w14:paraId="461CE07E" w14:textId="6E69F55E" w:rsidR="00FB43A6" w:rsidRPr="00FB43A6" w:rsidRDefault="00FB43A6" w:rsidP="00F14373">
      <w:pPr>
        <w:pStyle w:val="2"/>
        <w:rPr>
          <w:color w:val="7030A0"/>
        </w:rPr>
      </w:pPr>
      <w:bookmarkStart w:id="126" w:name="_Toc108218282"/>
      <w:r w:rsidRPr="00FB43A6">
        <w:rPr>
          <w:rFonts w:hint="cs"/>
          <w:color w:val="7030A0"/>
          <w:rtl/>
        </w:rPr>
        <w:t>הזכות להביע עמדה לעניין הסדר טיעון</w:t>
      </w:r>
      <w:bookmarkEnd w:id="126"/>
      <w:r w:rsidRPr="00FB43A6">
        <w:rPr>
          <w:rFonts w:hint="cs"/>
          <w:color w:val="7030A0"/>
          <w:rtl/>
        </w:rPr>
        <w:t xml:space="preserve"> </w:t>
      </w:r>
    </w:p>
    <w:p w14:paraId="23DE5682" w14:textId="48DBD4EE" w:rsidR="00FB43A6" w:rsidRPr="00F3635E" w:rsidRDefault="00FB43A6" w:rsidP="00F14373">
      <w:pPr>
        <w:pStyle w:val="ab"/>
        <w:numPr>
          <w:ilvl w:val="0"/>
          <w:numId w:val="113"/>
        </w:numPr>
        <w:bidi/>
        <w:spacing w:after="0" w:line="276" w:lineRule="auto"/>
        <w:jc w:val="both"/>
        <w:rPr>
          <w:rFonts w:ascii="Segoe UI" w:hAnsi="Segoe UI" w:cs="Segoe UI"/>
          <w:rtl/>
          <w:lang w:val="en-ZW"/>
        </w:rPr>
      </w:pPr>
      <w:r w:rsidRPr="00F3635E">
        <w:rPr>
          <w:rFonts w:ascii="Segoe UI" w:hAnsi="Segoe UI" w:cs="Segoe UI" w:hint="cs"/>
          <w:rtl/>
          <w:lang w:val="en-ZW"/>
        </w:rPr>
        <w:t xml:space="preserve">לנפגעי </w:t>
      </w:r>
      <w:r w:rsidRPr="00F3635E">
        <w:rPr>
          <w:rFonts w:ascii="Segoe UI" w:hAnsi="Segoe UI" w:cs="Segoe UI" w:hint="cs"/>
          <w:b/>
          <w:bCs/>
          <w:rtl/>
          <w:lang w:val="en-ZW"/>
        </w:rPr>
        <w:t>עבירות מין או עבירות אלימות חמורות</w:t>
      </w:r>
      <w:r w:rsidRPr="00F3635E">
        <w:rPr>
          <w:rFonts w:ascii="Segoe UI" w:hAnsi="Segoe UI" w:cs="Segoe UI" w:hint="cs"/>
          <w:rtl/>
          <w:lang w:val="en-ZW"/>
        </w:rPr>
        <w:t xml:space="preserve"> קיימת הזכות להביע את עמדתם בעניין הסדר הטיעון. </w:t>
      </w:r>
    </w:p>
    <w:p w14:paraId="34849B42" w14:textId="6A72A936" w:rsidR="00F3635E" w:rsidRDefault="00F3635E" w:rsidP="00F14373">
      <w:pPr>
        <w:pStyle w:val="ab"/>
        <w:numPr>
          <w:ilvl w:val="0"/>
          <w:numId w:val="113"/>
        </w:numPr>
        <w:bidi/>
        <w:spacing w:after="0" w:line="276" w:lineRule="auto"/>
        <w:jc w:val="both"/>
        <w:rPr>
          <w:rFonts w:ascii="Segoe UI" w:hAnsi="Segoe UI" w:cs="Segoe UI"/>
          <w:lang w:val="en-ZW"/>
        </w:rPr>
      </w:pPr>
      <w:r>
        <w:rPr>
          <w:rFonts w:ascii="Segoe UI" w:hAnsi="Segoe UI" w:cs="Segoe UI" w:hint="cs"/>
          <w:rtl/>
          <w:lang w:val="en-ZW"/>
        </w:rPr>
        <w:t xml:space="preserve">במקרה שמתגבש הסדר טיעון, על התביעה להודיע לנפגע על ההסדר </w:t>
      </w:r>
      <w:r w:rsidRPr="00F3635E">
        <w:rPr>
          <w:rFonts w:ascii="Segoe UI" w:hAnsi="Segoe UI" w:cs="Segoe UI" w:hint="cs"/>
          <w:b/>
          <w:bCs/>
          <w:rtl/>
          <w:lang w:val="en-ZW"/>
        </w:rPr>
        <w:t>טרם קבלת החלטה בעניין</w:t>
      </w:r>
      <w:r>
        <w:rPr>
          <w:rFonts w:ascii="Segoe UI" w:hAnsi="Segoe UI" w:cs="Segoe UI" w:hint="cs"/>
          <w:rtl/>
          <w:lang w:val="en-ZW"/>
        </w:rPr>
        <w:t xml:space="preserve">. </w:t>
      </w:r>
    </w:p>
    <w:p w14:paraId="4BD25F86" w14:textId="331DEBD4" w:rsidR="00F3635E" w:rsidRDefault="00F3635E" w:rsidP="00F14373">
      <w:pPr>
        <w:pStyle w:val="ab"/>
        <w:numPr>
          <w:ilvl w:val="0"/>
          <w:numId w:val="113"/>
        </w:numPr>
        <w:bidi/>
        <w:spacing w:after="0" w:line="276" w:lineRule="auto"/>
        <w:jc w:val="both"/>
        <w:rPr>
          <w:rFonts w:ascii="Segoe UI" w:hAnsi="Segoe UI" w:cs="Segoe UI"/>
          <w:lang w:val="en-ZW"/>
        </w:rPr>
      </w:pPr>
      <w:r>
        <w:rPr>
          <w:rFonts w:ascii="Segoe UI" w:hAnsi="Segoe UI" w:cs="Segoe UI" w:hint="cs"/>
          <w:rtl/>
          <w:lang w:val="en-ZW"/>
        </w:rPr>
        <w:t>הנפגע יכול לפנות ישירות אל פרקליט מחוז או ממונה בכיר בפרקליטות בכתב או בע"פ ולהשמיע את עמדתו.</w:t>
      </w:r>
    </w:p>
    <w:p w14:paraId="1DECFD1C" w14:textId="388AB030" w:rsidR="00F3635E" w:rsidRDefault="00F4156B" w:rsidP="00F14373">
      <w:pPr>
        <w:pStyle w:val="ab"/>
        <w:numPr>
          <w:ilvl w:val="0"/>
          <w:numId w:val="113"/>
        </w:numPr>
        <w:bidi/>
        <w:spacing w:after="0" w:line="276" w:lineRule="auto"/>
        <w:jc w:val="both"/>
        <w:rPr>
          <w:rFonts w:ascii="Segoe UI" w:hAnsi="Segoe UI" w:cs="Segoe UI"/>
          <w:lang w:val="en-ZW"/>
        </w:rPr>
      </w:pPr>
      <w:r>
        <w:rPr>
          <w:rFonts w:ascii="Segoe UI" w:hAnsi="Segoe UI" w:cs="Segoe UI" w:hint="cs"/>
          <w:rtl/>
          <w:lang w:val="en-ZW"/>
        </w:rPr>
        <w:t xml:space="preserve">התביעה חייבת להביא את עמדת הנפגע להסדר בין כלל שיקוליה, </w:t>
      </w:r>
      <w:r>
        <w:rPr>
          <w:rFonts w:ascii="Segoe UI" w:hAnsi="Segoe UI" w:cs="Segoe UI" w:hint="cs"/>
          <w:b/>
          <w:bCs/>
          <w:rtl/>
          <w:lang w:val="en-ZW"/>
        </w:rPr>
        <w:t>אולם אין מדובר בזכות וטו</w:t>
      </w:r>
      <w:r>
        <w:rPr>
          <w:rFonts w:ascii="Segoe UI" w:hAnsi="Segoe UI" w:cs="Segoe UI" w:hint="cs"/>
          <w:rtl/>
          <w:lang w:val="en-ZW"/>
        </w:rPr>
        <w:t>.</w:t>
      </w:r>
    </w:p>
    <w:p w14:paraId="3B95F775" w14:textId="2D8592F7" w:rsidR="00F4156B" w:rsidRDefault="00F4156B" w:rsidP="00F14373">
      <w:pPr>
        <w:pStyle w:val="ab"/>
        <w:numPr>
          <w:ilvl w:val="0"/>
          <w:numId w:val="113"/>
        </w:numPr>
        <w:bidi/>
        <w:spacing w:after="0" w:line="276" w:lineRule="auto"/>
        <w:jc w:val="both"/>
        <w:rPr>
          <w:rFonts w:ascii="Segoe UI" w:hAnsi="Segoe UI" w:cs="Segoe UI"/>
          <w:lang w:val="en-ZW"/>
        </w:rPr>
      </w:pPr>
      <w:r>
        <w:rPr>
          <w:rFonts w:ascii="Segoe UI" w:hAnsi="Segoe UI" w:cs="Segoe UI" w:hint="cs"/>
          <w:rtl/>
          <w:lang w:val="en-ZW"/>
        </w:rPr>
        <w:t>כשהתובע מציג את הסדר הטיעון לפני ביהמ"ש, ביהמ"ש צריך לברר האם נמסרו לנפגע פרטי הסדר הטיעון והאם קוימו זכויותיו לפי החוק.</w:t>
      </w:r>
    </w:p>
    <w:p w14:paraId="7863E2FF" w14:textId="7C85D29D" w:rsidR="00F4156B" w:rsidRDefault="00F4156B" w:rsidP="00F14373">
      <w:pPr>
        <w:pStyle w:val="ab"/>
        <w:numPr>
          <w:ilvl w:val="0"/>
          <w:numId w:val="113"/>
        </w:numPr>
        <w:bidi/>
        <w:spacing w:after="0" w:line="276" w:lineRule="auto"/>
        <w:jc w:val="both"/>
        <w:rPr>
          <w:rFonts w:ascii="Segoe UI" w:hAnsi="Segoe UI" w:cs="Segoe UI"/>
          <w:lang w:val="en-ZW"/>
        </w:rPr>
      </w:pPr>
      <w:r w:rsidRPr="001D7772">
        <w:rPr>
          <w:rFonts w:ascii="Segoe UI" w:hAnsi="Segoe UI" w:cs="Segoe UI" w:hint="cs"/>
          <w:b/>
          <w:bCs/>
          <w:color w:val="7030A0"/>
          <w:rtl/>
          <w:lang w:val="en-ZW"/>
        </w:rPr>
        <w:t>חריג</w:t>
      </w:r>
      <w:r w:rsidR="001D7772" w:rsidRPr="001D7772">
        <w:rPr>
          <w:rFonts w:ascii="Segoe UI" w:hAnsi="Segoe UI" w:cs="Segoe UI" w:hint="cs"/>
          <w:b/>
          <w:bCs/>
          <w:color w:val="7030A0"/>
          <w:rtl/>
          <w:lang w:val="en-ZW"/>
        </w:rPr>
        <w:t xml:space="preserve"> לזכות הבעת העמדה</w:t>
      </w:r>
      <w:r>
        <w:rPr>
          <w:rFonts w:ascii="Segoe UI" w:hAnsi="Segoe UI" w:cs="Segoe UI" w:hint="cs"/>
          <w:rtl/>
          <w:lang w:val="en-ZW"/>
        </w:rPr>
        <w:t xml:space="preserve">: במקרים שבהם </w:t>
      </w:r>
      <w:r w:rsidR="001D7772">
        <w:rPr>
          <w:rFonts w:ascii="Segoe UI" w:hAnsi="Segoe UI" w:cs="Segoe UI" w:hint="cs"/>
          <w:rtl/>
          <w:lang w:val="en-ZW"/>
        </w:rPr>
        <w:t xml:space="preserve">תהיה פגיעה ממשית בניהול ההליך, בסמכות פרקליט המחוז הרלוונטי שלא לאפשר לנפגע להביע את עמדתו. </w:t>
      </w:r>
    </w:p>
    <w:p w14:paraId="34EDDCA1" w14:textId="3E7761A9" w:rsidR="001D7772" w:rsidRDefault="001D7772" w:rsidP="00F14373">
      <w:pPr>
        <w:bidi/>
        <w:spacing w:after="0" w:line="276" w:lineRule="auto"/>
        <w:jc w:val="both"/>
        <w:rPr>
          <w:rFonts w:ascii="Segoe UI" w:hAnsi="Segoe UI" w:cs="Segoe UI"/>
          <w:rtl/>
          <w:lang w:val="en-ZW"/>
        </w:rPr>
      </w:pPr>
    </w:p>
    <w:p w14:paraId="04EA76C0" w14:textId="5951E95D" w:rsidR="001D7772" w:rsidRDefault="001D7772" w:rsidP="00F14373">
      <w:pPr>
        <w:pStyle w:val="2"/>
        <w:rPr>
          <w:rtl/>
        </w:rPr>
      </w:pPr>
      <w:bookmarkStart w:id="127" w:name="_Toc108218283"/>
      <w:r>
        <w:rPr>
          <w:rFonts w:hint="cs"/>
          <w:rtl/>
        </w:rPr>
        <w:t xml:space="preserve">חוקים נוספים לטובת נפגעי עבירה בישראל </w:t>
      </w:r>
      <w:r>
        <w:rPr>
          <w:rtl/>
        </w:rPr>
        <w:t>–</w:t>
      </w:r>
      <w:r>
        <w:rPr>
          <w:rFonts w:hint="cs"/>
          <w:rtl/>
        </w:rPr>
        <w:t xml:space="preserve"> התפתחויות אחרונות</w:t>
      </w:r>
      <w:bookmarkEnd w:id="127"/>
    </w:p>
    <w:p w14:paraId="5AF09C49" w14:textId="5BA88DA9" w:rsidR="00453873" w:rsidRPr="00C81B84" w:rsidRDefault="00C81B84" w:rsidP="00F14373">
      <w:pPr>
        <w:bidi/>
        <w:spacing w:after="0" w:line="276" w:lineRule="auto"/>
        <w:jc w:val="both"/>
        <w:rPr>
          <w:rFonts w:ascii="Segoe UI" w:hAnsi="Segoe UI" w:cs="Segoe UI"/>
          <w:rtl/>
          <w:lang w:val="en-ZW"/>
        </w:rPr>
      </w:pPr>
      <w:r>
        <w:rPr>
          <w:rFonts w:ascii="Segoe UI" w:hAnsi="Segoe UI" w:cs="Segoe UI" w:hint="cs"/>
          <w:rtl/>
          <w:lang w:val="en-ZW"/>
        </w:rPr>
        <w:t>מתן פיצוי כספי מהמרכז לגביית קנסות לקטין נפגע עבירה; הגשת חו"ד מומחה מטעם ביהמ"ש בתביעה אזרחית בגין עבירות מין; הקמת מרכזי סיוע לקטינים נפגעי עבירות מין או אלימות; זכאות נפגעות עבירות מין לסיוע משפטי להוצאת צווי הרחקה נגד עברייני מין לאחר שחרורם מהכלא; ביטול הסמכת הורה לטיפול רפואי לקטין כאשר מתקיים נגד ההורה ה</w:t>
      </w:r>
      <w:r w:rsidR="00453873">
        <w:rPr>
          <w:rFonts w:ascii="Segoe UI" w:hAnsi="Segoe UI" w:cs="Segoe UI" w:hint="cs"/>
          <w:rtl/>
          <w:lang w:val="en-ZW"/>
        </w:rPr>
        <w:t>ליך פלילי בעבירות נגד הקטין.</w:t>
      </w:r>
    </w:p>
    <w:p w14:paraId="2C46EA8F" w14:textId="6C4F70DF" w:rsidR="00FB43A6" w:rsidRDefault="00FB43A6" w:rsidP="001E066B">
      <w:pPr>
        <w:bidi/>
        <w:spacing w:after="0" w:line="276" w:lineRule="auto"/>
        <w:jc w:val="both"/>
        <w:rPr>
          <w:rFonts w:ascii="Segoe UI" w:hAnsi="Segoe UI" w:cs="Segoe UI"/>
          <w:rtl/>
          <w:lang w:val="en-ZW"/>
        </w:rPr>
      </w:pPr>
    </w:p>
    <w:p w14:paraId="3EAA0B1B" w14:textId="70CFF47E" w:rsidR="00453873" w:rsidRDefault="00453873" w:rsidP="001E066B">
      <w:pPr>
        <w:pStyle w:val="2"/>
        <w:rPr>
          <w:rtl/>
        </w:rPr>
      </w:pPr>
      <w:bookmarkStart w:id="128" w:name="_Toc108218284"/>
      <w:r>
        <w:rPr>
          <w:rFonts w:hint="cs"/>
          <w:rtl/>
        </w:rPr>
        <w:t>פסקי דין מרכזיים בתחום נפגעי העבירה</w:t>
      </w:r>
      <w:bookmarkEnd w:id="128"/>
    </w:p>
    <w:p w14:paraId="74E37BA2" w14:textId="5DB289EF" w:rsidR="00453873" w:rsidRDefault="00453873" w:rsidP="001E066B">
      <w:pPr>
        <w:bidi/>
        <w:spacing w:after="0" w:line="276" w:lineRule="auto"/>
        <w:rPr>
          <w:rFonts w:ascii="Segoe UI" w:hAnsi="Segoe UI" w:cs="Segoe UI"/>
          <w:rtl/>
          <w:lang w:val="en-ZW"/>
        </w:rPr>
      </w:pPr>
      <w:r>
        <w:rPr>
          <w:rFonts w:ascii="Segoe UI" w:hAnsi="Segoe UI" w:cs="Segoe UI" w:hint="cs"/>
          <w:rtl/>
          <w:lang w:val="en-ZW"/>
        </w:rPr>
        <w:t>מעמדו של נפגע העבירה בהליכים לחשיפת חומרי חקירה</w:t>
      </w:r>
    </w:p>
    <w:p w14:paraId="256284F2" w14:textId="7FD59C7A" w:rsidR="00453873" w:rsidRDefault="00453873" w:rsidP="001E066B">
      <w:pPr>
        <w:bidi/>
        <w:spacing w:after="0" w:line="276" w:lineRule="auto"/>
        <w:rPr>
          <w:rFonts w:ascii="Segoe UI" w:hAnsi="Segoe UI" w:cs="Segoe UI"/>
          <w:rtl/>
          <w:lang w:val="en-ZW"/>
        </w:rPr>
      </w:pPr>
      <w:r>
        <w:rPr>
          <w:rFonts w:ascii="Segoe UI" w:hAnsi="Segoe UI" w:cs="Segoe UI" w:hint="cs"/>
          <w:rtl/>
          <w:lang w:val="en-ZW"/>
        </w:rPr>
        <w:t>זכותם של נפגעי העבירה לפרטיות</w:t>
      </w:r>
    </w:p>
    <w:p w14:paraId="0A859984" w14:textId="77777777" w:rsidR="0039052F" w:rsidRPr="00C81B84" w:rsidRDefault="0039052F" w:rsidP="001E066B">
      <w:pPr>
        <w:bidi/>
        <w:spacing w:after="0" w:line="276" w:lineRule="auto"/>
        <w:jc w:val="both"/>
        <w:rPr>
          <w:rFonts w:ascii="Segoe UI" w:hAnsi="Segoe UI" w:cs="Segoe UI"/>
          <w:rtl/>
          <w:lang w:val="en-ZW"/>
        </w:rPr>
      </w:pPr>
    </w:p>
    <w:p w14:paraId="420DD81A" w14:textId="6DE7F703" w:rsidR="007B1662" w:rsidRPr="00591904" w:rsidRDefault="007B1662" w:rsidP="001E066B">
      <w:pPr>
        <w:pBdr>
          <w:top w:val="single" w:sz="4" w:space="1" w:color="auto"/>
          <w:left w:val="single" w:sz="4" w:space="1" w:color="auto"/>
          <w:bottom w:val="single" w:sz="4" w:space="1" w:color="auto"/>
          <w:right w:val="single" w:sz="4" w:space="1" w:color="auto"/>
        </w:pBdr>
        <w:shd w:val="clear" w:color="auto" w:fill="E7E6E6" w:themeFill="background2"/>
        <w:bidi/>
        <w:spacing w:after="0" w:line="276" w:lineRule="auto"/>
        <w:ind w:left="363" w:right="363"/>
        <w:jc w:val="center"/>
        <w:rPr>
          <w:rFonts w:ascii="Segoe UI" w:hAnsi="Segoe UI" w:cs="Segoe UI"/>
          <w:b/>
          <w:bCs/>
          <w:color w:val="7030A0"/>
          <w:rtl/>
          <w:lang w:val="en-US"/>
        </w:rPr>
      </w:pPr>
      <w:r w:rsidRPr="00591904">
        <w:rPr>
          <w:rFonts w:ascii="Segoe UI" w:hAnsi="Segoe UI" w:cs="Segoe UI"/>
          <w:highlight w:val="yellow"/>
          <w:rtl/>
        </w:rPr>
        <w:t>רע"פ 2976/01</w:t>
      </w:r>
      <w:r w:rsidRPr="00591904">
        <w:rPr>
          <w:rFonts w:ascii="Segoe UI" w:hAnsi="Segoe UI" w:cs="Segoe UI"/>
          <w:b/>
          <w:bCs/>
          <w:highlight w:val="yellow"/>
          <w:rtl/>
        </w:rPr>
        <w:t xml:space="preserve"> אסף נ' מדינת ישראל</w:t>
      </w:r>
    </w:p>
    <w:p w14:paraId="4B1E2754" w14:textId="11258CA1" w:rsidR="00453873" w:rsidRPr="00897FD1" w:rsidRDefault="00D41DCD" w:rsidP="001E066B">
      <w:pPr>
        <w:pBdr>
          <w:top w:val="single" w:sz="4" w:space="1" w:color="auto"/>
          <w:left w:val="single" w:sz="4" w:space="1" w:color="auto"/>
          <w:bottom w:val="single" w:sz="4" w:space="1" w:color="auto"/>
          <w:right w:val="single" w:sz="4" w:space="1" w:color="auto"/>
        </w:pBdr>
        <w:bidi/>
        <w:spacing w:after="0" w:line="276" w:lineRule="auto"/>
        <w:ind w:left="363" w:right="363"/>
        <w:rPr>
          <w:rFonts w:ascii="Segoe UI" w:hAnsi="Segoe UI" w:cs="Segoe UI"/>
          <w:color w:val="7030A0"/>
          <w:rtl/>
        </w:rPr>
      </w:pPr>
      <w:r>
        <w:rPr>
          <w:rFonts w:ascii="Segoe UI" w:hAnsi="Segoe UI" w:cs="Segoe UI" w:hint="cs"/>
          <w:color w:val="7030A0"/>
          <w:rtl/>
          <w:lang w:val="en-US"/>
        </w:rPr>
        <w:t xml:space="preserve">מתוך נבו: </w:t>
      </w:r>
      <w:r w:rsidR="00C90AEE" w:rsidRPr="00897FD1">
        <w:rPr>
          <w:rFonts w:ascii="Segoe UI" w:hAnsi="Segoe UI" w:cs="Segoe UI"/>
          <w:color w:val="7030A0"/>
          <w:rtl/>
          <w:lang w:val="en-US"/>
        </w:rPr>
        <w:t>השאלה נושא הערעור היא אם מוסמך בית</w:t>
      </w:r>
      <w:r w:rsidR="00C90AEE" w:rsidRPr="00897FD1">
        <w:rPr>
          <w:rFonts w:ascii="Segoe UI" w:hAnsi="Segoe UI" w:cs="Segoe UI"/>
          <w:color w:val="7030A0"/>
          <w:vertAlign w:val="superscript"/>
        </w:rPr>
        <w:t>-</w:t>
      </w:r>
      <w:r w:rsidR="00C90AEE" w:rsidRPr="00897FD1">
        <w:rPr>
          <w:rFonts w:ascii="Segoe UI" w:hAnsi="Segoe UI" w:cs="Segoe UI"/>
          <w:color w:val="7030A0"/>
          <w:rtl/>
          <w:lang w:val="en-US"/>
        </w:rPr>
        <w:t>המשפט להורות על תשלום פיצוי לניזוק לפי סעיף 77 ל</w:t>
      </w:r>
      <w:hyperlink r:id="rId52" w:tgtFrame="blank" w:history="1">
        <w:r w:rsidR="00C90AEE" w:rsidRPr="00897FD1">
          <w:rPr>
            <w:rStyle w:val="Hyperlink"/>
            <w:rFonts w:ascii="Segoe UI" w:hAnsi="Segoe UI" w:cs="Segoe UI"/>
            <w:color w:val="7030A0"/>
            <w:u w:val="none"/>
            <w:rtl/>
            <w:lang w:val="en-US"/>
          </w:rPr>
          <w:t>חוק העונשין</w:t>
        </w:r>
      </w:hyperlink>
      <w:r w:rsidR="00897FD1">
        <w:rPr>
          <w:rFonts w:ascii="Segoe UI" w:hAnsi="Segoe UI" w:cs="Segoe UI"/>
          <w:color w:val="7030A0"/>
          <w:lang w:val="en-US"/>
        </w:rPr>
        <w:t xml:space="preserve"> </w:t>
      </w:r>
      <w:r w:rsidR="00C90AEE" w:rsidRPr="00897FD1">
        <w:rPr>
          <w:rFonts w:ascii="Segoe UI" w:hAnsi="Segoe UI" w:cs="Segoe UI"/>
          <w:color w:val="7030A0"/>
          <w:rtl/>
          <w:lang w:val="en-US"/>
        </w:rPr>
        <w:t>כאשר הוטל על הנאשם צו שירות לתועלת הציבור</w:t>
      </w:r>
      <w:r w:rsidR="00C90AEE" w:rsidRPr="00897FD1">
        <w:rPr>
          <w:rFonts w:ascii="Segoe UI" w:hAnsi="Segoe UI" w:cs="Segoe UI" w:hint="cs"/>
          <w:color w:val="7030A0"/>
        </w:rPr>
        <w:t xml:space="preserve"> </w:t>
      </w:r>
      <w:r w:rsidR="00C90AEE" w:rsidRPr="00897FD1">
        <w:rPr>
          <w:rFonts w:ascii="Segoe UI" w:hAnsi="Segoe UI" w:cs="Segoe UI"/>
          <w:color w:val="7030A0"/>
          <w:rtl/>
          <w:lang w:val="en-US"/>
        </w:rPr>
        <w:t>ללא הרשעה</w:t>
      </w:r>
      <w:r w:rsidR="00C90AEE" w:rsidRPr="00897FD1">
        <w:rPr>
          <w:rFonts w:ascii="Segoe UI" w:hAnsi="Segoe UI" w:cs="Segoe UI"/>
          <w:color w:val="7030A0"/>
        </w:rPr>
        <w:t>.</w:t>
      </w:r>
    </w:p>
    <w:p w14:paraId="260DF2E0" w14:textId="77777777" w:rsidR="00D41DCD" w:rsidRDefault="00D41DCD" w:rsidP="001E066B">
      <w:pPr>
        <w:pBdr>
          <w:top w:val="single" w:sz="4" w:space="1" w:color="auto"/>
          <w:left w:val="single" w:sz="4" w:space="1" w:color="auto"/>
          <w:bottom w:val="single" w:sz="4" w:space="1" w:color="auto"/>
          <w:right w:val="single" w:sz="4" w:space="1" w:color="auto"/>
        </w:pBdr>
        <w:bidi/>
        <w:spacing w:after="0" w:line="276" w:lineRule="auto"/>
        <w:ind w:left="363" w:right="363"/>
        <w:rPr>
          <w:rFonts w:ascii="Segoe UI" w:hAnsi="Segoe UI" w:cs="Segoe UI"/>
          <w:color w:val="7030A0"/>
          <w:rtl/>
        </w:rPr>
      </w:pPr>
      <w:r>
        <w:rPr>
          <w:rFonts w:ascii="Segoe UI" w:hAnsi="Segoe UI" w:cs="Segoe UI" w:hint="cs"/>
          <w:color w:val="7030A0"/>
          <w:rtl/>
        </w:rPr>
        <w:t>ניסוח שלי:</w:t>
      </w:r>
    </w:p>
    <w:p w14:paraId="1ADD9317" w14:textId="290453C2" w:rsidR="00C90AEE" w:rsidRPr="00897FD1" w:rsidRDefault="00C90AEE" w:rsidP="001E066B">
      <w:pPr>
        <w:pBdr>
          <w:top w:val="single" w:sz="4" w:space="1" w:color="auto"/>
          <w:left w:val="single" w:sz="4" w:space="1" w:color="auto"/>
          <w:bottom w:val="single" w:sz="4" w:space="1" w:color="auto"/>
          <w:right w:val="single" w:sz="4" w:space="1" w:color="auto"/>
        </w:pBdr>
        <w:bidi/>
        <w:spacing w:after="0" w:line="276" w:lineRule="auto"/>
        <w:ind w:left="363" w:right="363"/>
        <w:rPr>
          <w:rFonts w:ascii="Segoe UI" w:hAnsi="Segoe UI" w:cs="Segoe UI"/>
          <w:color w:val="7030A0"/>
          <w:rtl/>
        </w:rPr>
      </w:pPr>
      <w:r w:rsidRPr="00897FD1">
        <w:rPr>
          <w:rFonts w:ascii="Segoe UI" w:hAnsi="Segoe UI" w:cs="Segoe UI" w:hint="cs"/>
          <w:color w:val="7030A0"/>
          <w:rtl/>
        </w:rPr>
        <w:t xml:space="preserve">דעת הרוב [חשין וריבלין] </w:t>
      </w:r>
      <w:r w:rsidRPr="00897FD1">
        <w:rPr>
          <w:rFonts w:ascii="Segoe UI" w:hAnsi="Segoe UI" w:cs="Segoe UI"/>
          <w:color w:val="7030A0"/>
          <w:rtl/>
        </w:rPr>
        <w:t>–</w:t>
      </w:r>
      <w:r w:rsidRPr="00897FD1">
        <w:rPr>
          <w:rFonts w:ascii="Segoe UI" w:hAnsi="Segoe UI" w:cs="Segoe UI" w:hint="cs"/>
          <w:color w:val="7030A0"/>
          <w:rtl/>
        </w:rPr>
        <w:t xml:space="preserve"> </w:t>
      </w:r>
      <w:r w:rsidR="005A5FF2" w:rsidRPr="00897FD1">
        <w:rPr>
          <w:rFonts w:ascii="Segoe UI" w:hAnsi="Segoe UI" w:cs="Segoe UI" w:hint="cs"/>
          <w:color w:val="7030A0"/>
          <w:rtl/>
        </w:rPr>
        <w:t>יש לפרש את מושג ההרשעה שבסעיף הפיצויים כפורס עצמו גם על החלטות ביהמ"ש הקובעות כי הנאשם ביצע את העבירה אך הוא מוצא שלא להרשיעו בדין. הבחירה לא להרשיע נאשם משקפת בחירת ביהמ"ש לנקוט כנגדו בדרך של שיקום ולא בדרך של גמול. בהיעדר הרשעה קיימים אמצעים אחרים כגון צו מבחן, עבודות שירות ו</w:t>
      </w:r>
      <w:r w:rsidR="00897FD1">
        <w:rPr>
          <w:rFonts w:ascii="Segoe UI" w:hAnsi="Segoe UI" w:cs="Segoe UI" w:hint="cs"/>
          <w:color w:val="7030A0"/>
          <w:rtl/>
        </w:rPr>
        <w:t xml:space="preserve">צו </w:t>
      </w:r>
      <w:r w:rsidR="005A5FF2" w:rsidRPr="00897FD1">
        <w:rPr>
          <w:rFonts w:ascii="Segoe UI" w:hAnsi="Segoe UI" w:cs="Segoe UI" w:hint="cs"/>
          <w:color w:val="7030A0"/>
          <w:rtl/>
        </w:rPr>
        <w:t>שירות לתועלת הציבור, טבעי ש</w:t>
      </w:r>
      <w:r w:rsidR="00BB7449" w:rsidRPr="00897FD1">
        <w:rPr>
          <w:rFonts w:ascii="Segoe UI" w:hAnsi="Segoe UI" w:cs="Segoe UI" w:hint="cs"/>
          <w:color w:val="7030A0"/>
          <w:rtl/>
        </w:rPr>
        <w:t xml:space="preserve">באמצעים אלה </w:t>
      </w:r>
      <w:r w:rsidR="00897FD1" w:rsidRPr="00897FD1">
        <w:rPr>
          <w:rFonts w:ascii="Segoe UI" w:hAnsi="Segoe UI" w:cs="Segoe UI" w:hint="cs"/>
          <w:color w:val="7030A0"/>
          <w:rtl/>
        </w:rPr>
        <w:t>ייכל</w:t>
      </w:r>
      <w:r w:rsidR="00897FD1" w:rsidRPr="00897FD1">
        <w:rPr>
          <w:rFonts w:ascii="Segoe UI" w:hAnsi="Segoe UI" w:cs="Segoe UI" w:hint="eastAsia"/>
          <w:color w:val="7030A0"/>
          <w:rtl/>
        </w:rPr>
        <w:t>ל</w:t>
      </w:r>
      <w:r w:rsidR="00BB7449" w:rsidRPr="00897FD1">
        <w:rPr>
          <w:rFonts w:ascii="Segoe UI" w:hAnsi="Segoe UI" w:cs="Segoe UI" w:hint="cs"/>
          <w:color w:val="7030A0"/>
          <w:rtl/>
        </w:rPr>
        <w:t xml:space="preserve"> גם הפיצוי. לאור זאת, ניתן לכלול פיצוי גם אם יש אי הרשעה. </w:t>
      </w:r>
    </w:p>
    <w:p w14:paraId="229E5D49" w14:textId="77B25569" w:rsidR="00C90AEE" w:rsidRPr="00897FD1" w:rsidRDefault="00C90AEE" w:rsidP="001E066B">
      <w:pPr>
        <w:pBdr>
          <w:top w:val="single" w:sz="4" w:space="1" w:color="auto"/>
          <w:left w:val="single" w:sz="4" w:space="1" w:color="auto"/>
          <w:bottom w:val="single" w:sz="4" w:space="1" w:color="auto"/>
          <w:right w:val="single" w:sz="4" w:space="1" w:color="auto"/>
        </w:pBdr>
        <w:bidi/>
        <w:spacing w:after="0" w:line="276" w:lineRule="auto"/>
        <w:ind w:left="363" w:right="363"/>
        <w:rPr>
          <w:rFonts w:ascii="Segoe UI" w:hAnsi="Segoe UI" w:cs="Segoe UI"/>
          <w:color w:val="7030A0"/>
          <w:rtl/>
        </w:rPr>
      </w:pPr>
      <w:r w:rsidRPr="00897FD1">
        <w:rPr>
          <w:rFonts w:ascii="Segoe UI" w:hAnsi="Segoe UI" w:cs="Segoe UI" w:hint="cs"/>
          <w:color w:val="7030A0"/>
          <w:rtl/>
        </w:rPr>
        <w:t>דעת מיעוט [</w:t>
      </w:r>
      <w:r w:rsidR="00897FD1">
        <w:rPr>
          <w:rFonts w:ascii="Segoe UI" w:hAnsi="Segoe UI" w:cs="Segoe UI" w:hint="cs"/>
          <w:color w:val="7030A0"/>
          <w:rtl/>
        </w:rPr>
        <w:t>נאור</w:t>
      </w:r>
      <w:r w:rsidRPr="00897FD1">
        <w:rPr>
          <w:rFonts w:ascii="Segoe UI" w:hAnsi="Segoe UI" w:cs="Segoe UI" w:hint="cs"/>
          <w:color w:val="7030A0"/>
          <w:rtl/>
        </w:rPr>
        <w:t xml:space="preserve">] </w:t>
      </w:r>
      <w:r w:rsidR="00E4026C">
        <w:rPr>
          <w:rFonts w:ascii="Segoe UI" w:hAnsi="Segoe UI" w:cs="Segoe UI"/>
          <w:color w:val="7030A0"/>
          <w:rtl/>
        </w:rPr>
        <w:t>–</w:t>
      </w:r>
      <w:r w:rsidRPr="00897FD1">
        <w:rPr>
          <w:rFonts w:ascii="Segoe UI" w:hAnsi="Segoe UI" w:cs="Segoe UI" w:hint="cs"/>
          <w:color w:val="7030A0"/>
          <w:rtl/>
        </w:rPr>
        <w:t xml:space="preserve"> </w:t>
      </w:r>
      <w:r w:rsidR="00E6778A">
        <w:rPr>
          <w:rFonts w:ascii="Segoe UI" w:hAnsi="Segoe UI" w:cs="Segoe UI" w:hint="cs"/>
          <w:color w:val="7030A0"/>
          <w:rtl/>
        </w:rPr>
        <w:t>הפיצוי לפי ס'77 הוא עונש ויש להחיל עליו את ס'1 בחוק העונשין שלפיו אין ענישה אלא לפי חוק ולכן</w:t>
      </w:r>
      <w:r w:rsidR="004038D3">
        <w:rPr>
          <w:rFonts w:ascii="Segoe UI" w:hAnsi="Segoe UI" w:cs="Segoe UI" w:hint="cs"/>
          <w:color w:val="7030A0"/>
          <w:rtl/>
        </w:rPr>
        <w:t xml:space="preserve"> לביהמ"ש אין סמכות לקבוע פיצויים משום שבס'77 נרשם "</w:t>
      </w:r>
      <w:r w:rsidR="00915648">
        <w:rPr>
          <w:rFonts w:ascii="Segoe UI" w:hAnsi="Segoe UI" w:cs="Segoe UI" w:hint="cs"/>
          <w:color w:val="7030A0"/>
          <w:rtl/>
        </w:rPr>
        <w:t>הורשע אדם</w:t>
      </w:r>
      <w:r w:rsidR="004038D3">
        <w:rPr>
          <w:rFonts w:ascii="Segoe UI" w:hAnsi="Segoe UI" w:cs="Segoe UI" w:hint="cs"/>
          <w:color w:val="7030A0"/>
          <w:rtl/>
        </w:rPr>
        <w:t xml:space="preserve">". אי הרשעה אינה נכללת תחת מרשיע הוא נאשם בדין. </w:t>
      </w:r>
      <w:r w:rsidR="00E4026C">
        <w:rPr>
          <w:rFonts w:ascii="Segoe UI" w:hAnsi="Segoe UI" w:cs="Segoe UI" w:hint="cs"/>
          <w:color w:val="7030A0"/>
          <w:rtl/>
        </w:rPr>
        <w:t xml:space="preserve"> </w:t>
      </w:r>
    </w:p>
    <w:p w14:paraId="44D3C036" w14:textId="77777777" w:rsidR="00C90AEE" w:rsidRPr="00C90AEE" w:rsidRDefault="00C90AEE" w:rsidP="001E066B">
      <w:pPr>
        <w:bidi/>
        <w:spacing w:after="0" w:line="276" w:lineRule="auto"/>
        <w:rPr>
          <w:rFonts w:ascii="Segoe UI" w:hAnsi="Segoe UI" w:cs="Segoe UI"/>
          <w:rtl/>
        </w:rPr>
      </w:pPr>
    </w:p>
    <w:p w14:paraId="10308694" w14:textId="68E4EC9D" w:rsidR="00453873" w:rsidRDefault="008422E8" w:rsidP="001E066B">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b/>
          <w:bCs/>
          <w:rtl/>
          <w:lang w:val="en-US"/>
        </w:rPr>
      </w:pPr>
      <w:r w:rsidRPr="00D41DCD">
        <w:rPr>
          <w:rFonts w:ascii="Segoe UI" w:hAnsi="Segoe UI" w:cs="Segoe UI" w:hint="cs"/>
          <w:highlight w:val="yellow"/>
          <w:rtl/>
          <w:lang w:val="en-US"/>
        </w:rPr>
        <w:t>תפ"ח 10514-03-10</w:t>
      </w:r>
      <w:r w:rsidRPr="00D41DCD">
        <w:rPr>
          <w:rFonts w:ascii="Segoe UI" w:hAnsi="Segoe UI" w:cs="Segoe UI" w:hint="cs"/>
          <w:b/>
          <w:bCs/>
          <w:highlight w:val="yellow"/>
          <w:rtl/>
          <w:lang w:val="en-US"/>
        </w:rPr>
        <w:t xml:space="preserve"> מדינת ישראל נ' </w:t>
      </w:r>
      <w:proofErr w:type="spellStart"/>
      <w:r w:rsidR="00D41DCD" w:rsidRPr="00D41DCD">
        <w:rPr>
          <w:rFonts w:ascii="Segoe UI" w:hAnsi="Segoe UI" w:cs="Segoe UI" w:hint="cs"/>
          <w:b/>
          <w:bCs/>
          <w:highlight w:val="yellow"/>
          <w:rtl/>
          <w:lang w:val="en-US"/>
        </w:rPr>
        <w:t>בראנולי</w:t>
      </w:r>
      <w:proofErr w:type="spellEnd"/>
    </w:p>
    <w:p w14:paraId="67F0991A" w14:textId="3EC48F55" w:rsidR="008422E8" w:rsidRDefault="00F14373" w:rsidP="001E066B">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rtl/>
          <w:lang w:val="en-US"/>
        </w:rPr>
      </w:pPr>
      <w:r w:rsidRPr="00F14373">
        <w:rPr>
          <w:rFonts w:ascii="Segoe UI" w:hAnsi="Segoe UI" w:cs="Segoe UI" w:hint="cs"/>
          <w:rtl/>
          <w:lang w:val="en-US"/>
        </w:rPr>
        <w:t>זכות עיון בתיקי בית משפט שיש להם השלכה עליהם</w:t>
      </w:r>
    </w:p>
    <w:p w14:paraId="15BB757D" w14:textId="53970C6F" w:rsidR="00563A6A" w:rsidRDefault="00563A6A" w:rsidP="001E066B">
      <w:pPr>
        <w:bidi/>
        <w:spacing w:after="0" w:line="276" w:lineRule="auto"/>
        <w:jc w:val="both"/>
        <w:rPr>
          <w:rFonts w:ascii="Segoe UI" w:hAnsi="Segoe UI" w:cs="Segoe UI"/>
          <w:rtl/>
          <w:lang w:val="en-US"/>
        </w:rPr>
      </w:pPr>
    </w:p>
    <w:p w14:paraId="2730179B" w14:textId="76FC1F87" w:rsidR="00C35AE3" w:rsidRDefault="00563A6A" w:rsidP="001E066B">
      <w:pPr>
        <w:pBdr>
          <w:top w:val="single" w:sz="4" w:space="1" w:color="auto"/>
          <w:left w:val="single" w:sz="4" w:space="4" w:color="auto"/>
          <w:bottom w:val="single" w:sz="4" w:space="1" w:color="auto"/>
          <w:right w:val="single" w:sz="4" w:space="4" w:color="auto"/>
        </w:pBdr>
        <w:shd w:val="clear" w:color="auto" w:fill="E7E6E6" w:themeFill="background2"/>
        <w:bidi/>
        <w:spacing w:after="0" w:line="276" w:lineRule="auto"/>
        <w:ind w:left="363" w:right="363"/>
        <w:jc w:val="center"/>
        <w:rPr>
          <w:rFonts w:ascii="Segoe UI" w:hAnsi="Segoe UI" w:cs="Segoe UI"/>
          <w:b/>
          <w:bCs/>
          <w:rtl/>
          <w:lang w:val="en-US"/>
        </w:rPr>
      </w:pPr>
      <w:r>
        <w:rPr>
          <w:rFonts w:ascii="Segoe UI" w:hAnsi="Segoe UI" w:cs="Segoe UI"/>
          <w:rtl/>
          <w:lang w:val="en-US"/>
        </w:rPr>
        <w:tab/>
      </w:r>
      <w:r w:rsidRPr="00591904">
        <w:rPr>
          <w:rFonts w:ascii="Segoe UI" w:hAnsi="Segoe UI" w:cs="Segoe UI" w:hint="cs"/>
          <w:highlight w:val="yellow"/>
          <w:rtl/>
          <w:lang w:val="en-US"/>
        </w:rPr>
        <w:t>ע"פ 5289/17</w:t>
      </w:r>
      <w:r w:rsidRPr="00563A6A">
        <w:rPr>
          <w:rFonts w:ascii="Segoe UI" w:hAnsi="Segoe UI" w:cs="Segoe UI" w:hint="cs"/>
          <w:b/>
          <w:bCs/>
          <w:highlight w:val="yellow"/>
          <w:rtl/>
          <w:lang w:val="en-US"/>
        </w:rPr>
        <w:t xml:space="preserve"> </w:t>
      </w:r>
      <w:proofErr w:type="spellStart"/>
      <w:r w:rsidRPr="00563A6A">
        <w:rPr>
          <w:rFonts w:ascii="Segoe UI" w:hAnsi="Segoe UI" w:cs="Segoe UI" w:hint="cs"/>
          <w:b/>
          <w:bCs/>
          <w:highlight w:val="yellow"/>
          <w:rtl/>
          <w:lang w:val="en-US"/>
        </w:rPr>
        <w:t>חסארמה</w:t>
      </w:r>
      <w:proofErr w:type="spellEnd"/>
      <w:r w:rsidRPr="00563A6A">
        <w:rPr>
          <w:rFonts w:ascii="Segoe UI" w:hAnsi="Segoe UI" w:cs="Segoe UI" w:hint="cs"/>
          <w:b/>
          <w:bCs/>
          <w:highlight w:val="yellow"/>
          <w:rtl/>
          <w:lang w:val="en-US"/>
        </w:rPr>
        <w:t xml:space="preserve"> נ' מדינת ישראל</w:t>
      </w:r>
    </w:p>
    <w:p w14:paraId="56364EBE" w14:textId="2E5B8AD9" w:rsidR="00FD261F" w:rsidRDefault="000E66DB" w:rsidP="001E066B">
      <w:pPr>
        <w:pBdr>
          <w:top w:val="single" w:sz="4" w:space="1" w:color="auto"/>
          <w:left w:val="single" w:sz="4" w:space="4" w:color="auto"/>
          <w:bottom w:val="single" w:sz="4" w:space="1" w:color="auto"/>
          <w:right w:val="single" w:sz="4" w:space="4" w:color="auto"/>
        </w:pBdr>
        <w:bidi/>
        <w:spacing w:after="0" w:line="276" w:lineRule="auto"/>
        <w:ind w:left="363" w:right="363"/>
        <w:jc w:val="both"/>
        <w:rPr>
          <w:rFonts w:ascii="Segoe UI" w:hAnsi="Segoe UI" w:cs="Segoe UI"/>
          <w:b/>
          <w:bCs/>
          <w:color w:val="7030A0"/>
          <w:rtl/>
        </w:rPr>
      </w:pPr>
      <w:r w:rsidRPr="000E66DB">
        <w:rPr>
          <w:rFonts w:ascii="Segoe UI" w:hAnsi="Segoe UI" w:cs="Segoe UI" w:hint="cs"/>
          <w:color w:val="7030A0"/>
          <w:rtl/>
          <w:lang w:val="en-US"/>
        </w:rPr>
        <w:t xml:space="preserve">רציו מנבו: </w:t>
      </w:r>
      <w:r w:rsidRPr="000E66DB">
        <w:rPr>
          <w:rFonts w:ascii="Segoe UI" w:hAnsi="Segoe UI" w:cs="Segoe UI"/>
          <w:color w:val="7030A0"/>
          <w:rtl/>
          <w:lang w:val="en-US"/>
        </w:rPr>
        <w:t>גדר התערבות ערכאת הערעור במקרים בהם העונש נגזר בתוך גבולות טווח ענישה שהובנה בהסדר טיעון תהא מצומצמת במיוחד, וכדי להצדיקה נדרשות נסיבות מיוחדות וחריגות עוד יותר מהרגיל; סכום הפיצוי לנפגע העבירה נתון לשיקול דעת ביהמ"ש, ואין הוא מוגבל לסכום שנקצב ע"י הצדדים, גם אם בחרו "לוותר</w:t>
      </w:r>
      <w:r w:rsidRPr="000E66DB">
        <w:rPr>
          <w:rFonts w:ascii="Segoe UI" w:hAnsi="Segoe UI" w:cs="Segoe UI"/>
          <w:color w:val="7030A0"/>
        </w:rPr>
        <w:t xml:space="preserve">" </w:t>
      </w:r>
      <w:r w:rsidRPr="000E66DB">
        <w:rPr>
          <w:rFonts w:ascii="Segoe UI" w:hAnsi="Segoe UI" w:cs="Segoe UI"/>
          <w:color w:val="7030A0"/>
          <w:rtl/>
          <w:lang w:val="en-US"/>
        </w:rPr>
        <w:t>עליו</w:t>
      </w:r>
      <w:r w:rsidRPr="000E66DB">
        <w:rPr>
          <w:rFonts w:ascii="Segoe UI" w:hAnsi="Segoe UI" w:cs="Segoe UI"/>
          <w:color w:val="7030A0"/>
        </w:rPr>
        <w:t>.</w:t>
      </w:r>
    </w:p>
    <w:p w14:paraId="16F1C850" w14:textId="097B96D9" w:rsidR="00FD261F" w:rsidRDefault="00FD261F" w:rsidP="00CF2AE9">
      <w:pPr>
        <w:pStyle w:val="2"/>
        <w:rPr>
          <w:rtl/>
        </w:rPr>
      </w:pPr>
      <w:bookmarkStart w:id="129" w:name="_Toc108218285"/>
      <w:r>
        <w:rPr>
          <w:rFonts w:hint="cs"/>
          <w:rtl/>
        </w:rPr>
        <w:lastRenderedPageBreak/>
        <w:t>תהליכים נוספים בישראל בקשר לנפגעי עבירה</w:t>
      </w:r>
      <w:bookmarkEnd w:id="129"/>
    </w:p>
    <w:p w14:paraId="6556C1FF" w14:textId="2344470F" w:rsidR="00FD261F" w:rsidRDefault="00FD261F" w:rsidP="00C31545">
      <w:pPr>
        <w:pStyle w:val="ab"/>
        <w:numPr>
          <w:ilvl w:val="0"/>
          <w:numId w:val="115"/>
        </w:numPr>
        <w:bidi/>
        <w:spacing w:after="0" w:line="276" w:lineRule="auto"/>
        <w:jc w:val="both"/>
        <w:rPr>
          <w:rFonts w:ascii="Segoe UI" w:hAnsi="Segoe UI" w:cs="Segoe UI"/>
        </w:rPr>
      </w:pPr>
      <w:r>
        <w:rPr>
          <w:rFonts w:ascii="Segoe UI" w:hAnsi="Segoe UI" w:cs="Segoe UI" w:hint="cs"/>
          <w:rtl/>
        </w:rPr>
        <w:t>הקמת יחידות סיוע לנפגעי עבירה, שתפקידן לפעול למימוש זכויות נפגעי העבירה. היחידות אינן מייצגות נפגעים אלא נותנות מענה לפניות וכן מנחות את הפרקליטים במישור המקצועי של זכויות נפגעי העבירה.</w:t>
      </w:r>
    </w:p>
    <w:p w14:paraId="0D66D275" w14:textId="310FD43A" w:rsidR="00FD261F" w:rsidRDefault="001E066B" w:rsidP="00C31545">
      <w:pPr>
        <w:pStyle w:val="ab"/>
        <w:numPr>
          <w:ilvl w:val="0"/>
          <w:numId w:val="115"/>
        </w:numPr>
        <w:bidi/>
        <w:spacing w:after="0" w:line="276" w:lineRule="auto"/>
        <w:jc w:val="both"/>
        <w:rPr>
          <w:rFonts w:ascii="Segoe UI" w:hAnsi="Segoe UI" w:cs="Segoe UI"/>
        </w:rPr>
      </w:pPr>
      <w:r>
        <w:rPr>
          <w:rFonts w:ascii="Segoe UI" w:hAnsi="Segoe UI" w:cs="Segoe UI" w:hint="cs"/>
          <w:rtl/>
        </w:rPr>
        <w:t>בפרקליטות המדינה הוקמה יחידת סיוע ארצית שתפקידה לרכז את הנושא ברמה הארצית.</w:t>
      </w:r>
    </w:p>
    <w:p w14:paraId="33179AF2" w14:textId="474D72E3" w:rsidR="001E066B" w:rsidRDefault="001E066B" w:rsidP="00C31545">
      <w:pPr>
        <w:pStyle w:val="ab"/>
        <w:numPr>
          <w:ilvl w:val="0"/>
          <w:numId w:val="115"/>
        </w:numPr>
        <w:bidi/>
        <w:spacing w:after="0" w:line="276" w:lineRule="auto"/>
        <w:jc w:val="both"/>
        <w:rPr>
          <w:rFonts w:ascii="Segoe UI" w:hAnsi="Segoe UI" w:cs="Segoe UI"/>
        </w:rPr>
      </w:pPr>
      <w:r>
        <w:rPr>
          <w:rFonts w:ascii="Segoe UI" w:hAnsi="Segoe UI" w:cs="Segoe UI" w:hint="cs"/>
          <w:rtl/>
        </w:rPr>
        <w:t>אוגדו הנחיות פרקליט המדינה והנחיות משטרת ישראל המטילות חובות שונות על רשויות המדינה.</w:t>
      </w:r>
    </w:p>
    <w:p w14:paraId="013D42B0" w14:textId="0A1B4923" w:rsidR="001E066B" w:rsidRDefault="001E066B" w:rsidP="00C31545">
      <w:pPr>
        <w:pStyle w:val="ab"/>
        <w:numPr>
          <w:ilvl w:val="0"/>
          <w:numId w:val="115"/>
        </w:numPr>
        <w:bidi/>
        <w:spacing w:after="0" w:line="276" w:lineRule="auto"/>
        <w:jc w:val="both"/>
        <w:rPr>
          <w:rFonts w:ascii="Segoe UI" w:hAnsi="Segoe UI" w:cs="Segoe UI"/>
        </w:rPr>
      </w:pPr>
      <w:r>
        <w:rPr>
          <w:rFonts w:ascii="Segoe UI" w:hAnsi="Segoe UI" w:cs="Segoe UI" w:hint="cs"/>
          <w:rtl/>
        </w:rPr>
        <w:t>הקמת מרכזי סיוע לנפגעי עבירות המתה (</w:t>
      </w:r>
      <w:proofErr w:type="spellStart"/>
      <w:r>
        <w:rPr>
          <w:rFonts w:ascii="Segoe UI" w:hAnsi="Segoe UI" w:cs="Segoe UI" w:hint="cs"/>
          <w:rtl/>
        </w:rPr>
        <w:t>סנ"ה</w:t>
      </w:r>
      <w:proofErr w:type="spellEnd"/>
      <w:r>
        <w:rPr>
          <w:rFonts w:ascii="Segoe UI" w:hAnsi="Segoe UI" w:cs="Segoe UI" w:hint="cs"/>
          <w:rtl/>
        </w:rPr>
        <w:t xml:space="preserve">) </w:t>
      </w:r>
      <w:r>
        <w:rPr>
          <w:rFonts w:ascii="Segoe UI" w:hAnsi="Segoe UI" w:cs="Segoe UI"/>
          <w:rtl/>
        </w:rPr>
        <w:t>–</w:t>
      </w:r>
      <w:r>
        <w:rPr>
          <w:rFonts w:ascii="Segoe UI" w:hAnsi="Segoe UI" w:cs="Segoe UI" w:hint="cs"/>
          <w:rtl/>
        </w:rPr>
        <w:t xml:space="preserve"> בשנת 2011 הוקמו ע"י משרד הרווחה מרכזי סיוע ברחבי הארץ למיצוי זכויותיהם של נפגעי עבירות המתה ע"י מתן שירותים טיפוליים ומשפטיים. האגף לסיוע משפטי מלווה ומייצג את המשפחות בהליכים משפטיים הקשורים לעבירה שגרמה למות המנוח, הן בהליך הפלילי והן בהליך האזרחי. </w:t>
      </w:r>
    </w:p>
    <w:p w14:paraId="53D1679B" w14:textId="40F0FD76" w:rsidR="001E066B" w:rsidRDefault="001E066B" w:rsidP="00CF2AE9">
      <w:pPr>
        <w:bidi/>
        <w:spacing w:after="0" w:line="276" w:lineRule="auto"/>
        <w:rPr>
          <w:rFonts w:ascii="Segoe UI" w:hAnsi="Segoe UI" w:cs="Segoe UI"/>
          <w:rtl/>
        </w:rPr>
      </w:pPr>
    </w:p>
    <w:p w14:paraId="78386C3C" w14:textId="74A505F2" w:rsidR="001E066B" w:rsidRDefault="001E066B" w:rsidP="00DD7619">
      <w:pPr>
        <w:pStyle w:val="2"/>
        <w:rPr>
          <w:rtl/>
        </w:rPr>
      </w:pPr>
      <w:bookmarkStart w:id="130" w:name="_Toc108218286"/>
      <w:r>
        <w:rPr>
          <w:rFonts w:hint="cs"/>
          <w:rtl/>
        </w:rPr>
        <w:t>צו למניעת הטרדה מאיימת</w:t>
      </w:r>
      <w:bookmarkEnd w:id="130"/>
      <w:r>
        <w:rPr>
          <w:rFonts w:hint="cs"/>
          <w:rtl/>
        </w:rPr>
        <w:t xml:space="preserve"> </w:t>
      </w:r>
    </w:p>
    <w:p w14:paraId="79E200BC" w14:textId="1642E34F" w:rsidR="001E066B" w:rsidRDefault="001E066B" w:rsidP="00DD7619">
      <w:pPr>
        <w:bidi/>
        <w:spacing w:after="0" w:line="276" w:lineRule="auto"/>
        <w:jc w:val="both"/>
        <w:rPr>
          <w:rFonts w:ascii="Segoe UI" w:hAnsi="Segoe UI" w:cs="Segoe UI"/>
          <w:rtl/>
          <w:lang w:val="en-US"/>
        </w:rPr>
      </w:pPr>
      <w:r>
        <w:rPr>
          <w:rFonts w:ascii="Segoe UI" w:hAnsi="Segoe UI" w:cs="Segoe UI" w:hint="cs"/>
          <w:rtl/>
          <w:lang w:val="en-US"/>
        </w:rPr>
        <w:t>עפ"י חוק מניעת הטרדה מאיימת, התשס"ב-2001:</w:t>
      </w:r>
    </w:p>
    <w:p w14:paraId="78BFA22E" w14:textId="33BF8BCD" w:rsidR="00322B45" w:rsidRDefault="00322B45" w:rsidP="00DD7619">
      <w:pPr>
        <w:tabs>
          <w:tab w:val="left" w:pos="8882"/>
        </w:tabs>
        <w:bidi/>
        <w:spacing w:after="0" w:line="276" w:lineRule="auto"/>
        <w:jc w:val="both"/>
        <w:rPr>
          <w:rFonts w:ascii="Segoe UI" w:hAnsi="Segoe UI" w:cs="Segoe UI"/>
          <w:rtl/>
          <w:lang w:val="en-US"/>
        </w:rPr>
      </w:pPr>
      <w:r w:rsidRPr="00322B45">
        <w:rPr>
          <w:rFonts w:ascii="Segoe UI" w:hAnsi="Segoe UI" w:cs="Segoe UI"/>
          <w:noProof/>
          <w:rtl/>
          <w:lang w:val="en-US"/>
        </w:rPr>
        <w:drawing>
          <wp:inline distT="0" distB="0" distL="0" distR="0" wp14:anchorId="6DD48567" wp14:editId="14A908B4">
            <wp:extent cx="6479540" cy="2109470"/>
            <wp:effectExtent l="19050" t="19050" r="16510" b="24130"/>
            <wp:docPr id="11" name="תמונה 1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תמונה שמכילה טקסט&#10;&#10;התיאור נוצר באופן אוטומטי"/>
                    <pic:cNvPicPr/>
                  </pic:nvPicPr>
                  <pic:blipFill>
                    <a:blip r:embed="rId53"/>
                    <a:stretch>
                      <a:fillRect/>
                    </a:stretch>
                  </pic:blipFill>
                  <pic:spPr>
                    <a:xfrm>
                      <a:off x="0" y="0"/>
                      <a:ext cx="6479540" cy="2109470"/>
                    </a:xfrm>
                    <a:prstGeom prst="rect">
                      <a:avLst/>
                    </a:prstGeom>
                    <a:ln>
                      <a:solidFill>
                        <a:schemeClr val="tx1"/>
                      </a:solidFill>
                    </a:ln>
                  </pic:spPr>
                </pic:pic>
              </a:graphicData>
            </a:graphic>
          </wp:inline>
        </w:drawing>
      </w:r>
    </w:p>
    <w:p w14:paraId="566309F8" w14:textId="67002769" w:rsidR="001A759E" w:rsidRDefault="00C242E7" w:rsidP="00DD7619">
      <w:pPr>
        <w:tabs>
          <w:tab w:val="left" w:pos="8882"/>
        </w:tabs>
        <w:bidi/>
        <w:spacing w:after="0" w:line="276" w:lineRule="auto"/>
        <w:jc w:val="both"/>
        <w:rPr>
          <w:rFonts w:ascii="Segoe UI" w:hAnsi="Segoe UI" w:cs="Segoe UI"/>
          <w:lang w:val="en-US"/>
        </w:rPr>
      </w:pPr>
      <w:r w:rsidRPr="00C242E7">
        <w:rPr>
          <w:rFonts w:ascii="Segoe UI" w:hAnsi="Segoe UI" w:cs="Segoe UI"/>
          <w:noProof/>
          <w:rtl/>
          <w:lang w:val="en-US"/>
        </w:rPr>
        <w:drawing>
          <wp:inline distT="0" distB="0" distL="0" distR="0" wp14:anchorId="6E726E16" wp14:editId="03AAC86F">
            <wp:extent cx="6479540" cy="1795145"/>
            <wp:effectExtent l="19050" t="19050" r="16510" b="14605"/>
            <wp:docPr id="17" name="תמונה 1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10;&#10;התיאור נוצר באופן אוטומטי"/>
                    <pic:cNvPicPr/>
                  </pic:nvPicPr>
                  <pic:blipFill>
                    <a:blip r:embed="rId54"/>
                    <a:stretch>
                      <a:fillRect/>
                    </a:stretch>
                  </pic:blipFill>
                  <pic:spPr>
                    <a:xfrm>
                      <a:off x="0" y="0"/>
                      <a:ext cx="6479540" cy="1795145"/>
                    </a:xfrm>
                    <a:prstGeom prst="rect">
                      <a:avLst/>
                    </a:prstGeom>
                    <a:ln>
                      <a:solidFill>
                        <a:schemeClr val="tx1"/>
                      </a:solidFill>
                    </a:ln>
                  </pic:spPr>
                </pic:pic>
              </a:graphicData>
            </a:graphic>
          </wp:inline>
        </w:drawing>
      </w:r>
    </w:p>
    <w:p w14:paraId="59390D59" w14:textId="3B976BC2" w:rsidR="00C242E7" w:rsidRDefault="00C242E7" w:rsidP="00DD7619">
      <w:pPr>
        <w:bidi/>
        <w:spacing w:after="0" w:line="276" w:lineRule="auto"/>
        <w:jc w:val="both"/>
        <w:rPr>
          <w:rFonts w:ascii="Segoe UI" w:hAnsi="Segoe UI" w:cs="Segoe UI"/>
          <w:color w:val="7030A0"/>
          <w:rtl/>
          <w:lang w:val="en-US"/>
        </w:rPr>
      </w:pPr>
      <w:r w:rsidRPr="00C242E7">
        <w:rPr>
          <w:rFonts w:ascii="Segoe UI" w:hAnsi="Segoe UI" w:cs="Segoe UI" w:hint="cs"/>
          <w:b/>
          <w:bCs/>
          <w:rtl/>
          <w:lang w:val="en-US"/>
        </w:rPr>
        <w:t>בפרקטיקה</w:t>
      </w:r>
      <w:r>
        <w:rPr>
          <w:rFonts w:ascii="Segoe UI" w:hAnsi="Segoe UI" w:cs="Segoe UI" w:hint="cs"/>
          <w:rtl/>
          <w:lang w:val="en-US"/>
        </w:rPr>
        <w:t xml:space="preserve"> על הנפגע לגשת לביהמ"ש השלום על מנת לבקש את הצו. במקרה שהפוגע הוא בן משפחתו של הנפגע, ניתן לפנות גם לביהמ"ש לענייני משפחה. אם הפוגע או הנפגע קטינים ניתן לפנות גם לבית משפט לנוער.</w:t>
      </w:r>
      <w:r w:rsidR="00E36EE3">
        <w:rPr>
          <w:rFonts w:ascii="Segoe UI" w:hAnsi="Segoe UI" w:cs="Segoe UI" w:hint="cs"/>
          <w:rtl/>
          <w:lang w:val="en-US"/>
        </w:rPr>
        <w:t xml:space="preserve"> </w:t>
      </w:r>
      <w:r w:rsidRPr="00C242E7">
        <w:rPr>
          <w:rFonts w:ascii="Segoe UI" w:hAnsi="Segoe UI" w:cs="Segoe UI" w:hint="cs"/>
          <w:b/>
          <w:bCs/>
          <w:rtl/>
          <w:lang w:val="en-US"/>
        </w:rPr>
        <w:t xml:space="preserve">ניתן לבקש צו זמני עד ל-7 ימים </w:t>
      </w:r>
      <w:r w:rsidRPr="00E36EE3">
        <w:rPr>
          <w:rFonts w:ascii="Segoe UI" w:hAnsi="Segoe UI" w:cs="Segoe UI" w:hint="cs"/>
          <w:b/>
          <w:bCs/>
          <w:highlight w:val="lightGray"/>
          <w:rtl/>
          <w:lang w:val="en-US"/>
        </w:rPr>
        <w:t>במעמד צד אחד</w:t>
      </w:r>
      <w:r w:rsidRPr="00C242E7">
        <w:rPr>
          <w:rFonts w:ascii="Segoe UI" w:hAnsi="Segoe UI" w:cs="Segoe UI" w:hint="cs"/>
          <w:b/>
          <w:bCs/>
          <w:rtl/>
          <w:lang w:val="en-US"/>
        </w:rPr>
        <w:t xml:space="preserve">. </w:t>
      </w:r>
      <w:r w:rsidR="00E36EE3">
        <w:rPr>
          <w:rFonts w:ascii="Segoe UI" w:hAnsi="Segoe UI" w:cs="Segoe UI" w:hint="cs"/>
          <w:color w:val="7030A0"/>
          <w:rtl/>
          <w:lang w:val="en-US"/>
        </w:rPr>
        <w:t xml:space="preserve">ככלל, צו שניתן </w:t>
      </w:r>
      <w:r w:rsidR="00E36EE3" w:rsidRPr="00E36EE3">
        <w:rPr>
          <w:rFonts w:ascii="Segoe UI" w:hAnsi="Segoe UI" w:cs="Segoe UI" w:hint="cs"/>
          <w:color w:val="7030A0"/>
          <w:highlight w:val="lightGray"/>
          <w:rtl/>
          <w:lang w:val="en-US"/>
        </w:rPr>
        <w:t>במעמד 2 הצדדים</w:t>
      </w:r>
      <w:r w:rsidR="00E36EE3">
        <w:rPr>
          <w:rFonts w:ascii="Segoe UI" w:hAnsi="Segoe UI" w:cs="Segoe UI" w:hint="cs"/>
          <w:color w:val="7030A0"/>
          <w:rtl/>
          <w:lang w:val="en-US"/>
        </w:rPr>
        <w:t xml:space="preserve"> יהיה תקף ל-6 חודשים וניתן להאריכו בהתאם למגבלות בחוק. </w:t>
      </w:r>
    </w:p>
    <w:p w14:paraId="3B0DD655" w14:textId="1CE44117" w:rsidR="00E36EE3" w:rsidRDefault="00E36EE3" w:rsidP="00DD7619">
      <w:pPr>
        <w:bidi/>
        <w:spacing w:after="0" w:line="276" w:lineRule="auto"/>
        <w:jc w:val="both"/>
        <w:rPr>
          <w:rFonts w:ascii="Segoe UI" w:hAnsi="Segoe UI" w:cs="Segoe UI"/>
          <w:color w:val="7030A0"/>
          <w:rtl/>
          <w:lang w:val="en-US"/>
        </w:rPr>
      </w:pPr>
    </w:p>
    <w:p w14:paraId="7BA1CA65" w14:textId="0F225C4F" w:rsidR="00E36EE3" w:rsidRDefault="00555999" w:rsidP="00DD7619">
      <w:pPr>
        <w:pStyle w:val="2"/>
        <w:rPr>
          <w:rtl/>
        </w:rPr>
      </w:pPr>
      <w:bookmarkStart w:id="131" w:name="_Toc108218287"/>
      <w:r>
        <w:rPr>
          <w:rFonts w:hint="cs"/>
          <w:rtl/>
        </w:rPr>
        <w:t>צו הגנה למניעת אלימות במשפחה</w:t>
      </w:r>
      <w:bookmarkEnd w:id="131"/>
    </w:p>
    <w:p w14:paraId="343C00F7" w14:textId="5B301743" w:rsidR="00555999" w:rsidRPr="00C31545" w:rsidRDefault="00CF2AE9" w:rsidP="00DD7619">
      <w:pPr>
        <w:bidi/>
        <w:spacing w:after="0" w:line="276" w:lineRule="auto"/>
        <w:jc w:val="both"/>
        <w:rPr>
          <w:rFonts w:ascii="Segoe UI" w:hAnsi="Segoe UI" w:cs="Segoe UI"/>
          <w:rtl/>
          <w:lang w:val="en-US"/>
        </w:rPr>
      </w:pPr>
      <w:r w:rsidRPr="00C31545">
        <w:rPr>
          <w:rFonts w:ascii="Segoe UI" w:hAnsi="Segoe UI" w:cs="Segoe UI"/>
          <w:rtl/>
          <w:lang w:val="en-US"/>
        </w:rPr>
        <w:t xml:space="preserve">החוק למניעת אלימות במשפחה </w:t>
      </w:r>
      <w:r w:rsidR="00C31545" w:rsidRPr="00C31545">
        <w:rPr>
          <w:rFonts w:ascii="Segoe UI" w:hAnsi="Segoe UI" w:cs="Segoe UI"/>
          <w:rtl/>
          <w:lang w:val="en-US"/>
        </w:rPr>
        <w:t>–</w:t>
      </w:r>
      <w:r w:rsidRPr="00C31545">
        <w:rPr>
          <w:rFonts w:ascii="Segoe UI" w:hAnsi="Segoe UI" w:cs="Segoe UI"/>
          <w:rtl/>
          <w:lang w:val="en-US"/>
        </w:rPr>
        <w:t xml:space="preserve"> </w:t>
      </w:r>
      <w:r w:rsidR="00C31545" w:rsidRPr="00C31545">
        <w:rPr>
          <w:rFonts w:ascii="Segoe UI" w:hAnsi="Segoe UI" w:cs="Segoe UI"/>
          <w:rtl/>
          <w:lang w:val="en-US"/>
        </w:rPr>
        <w:t xml:space="preserve">ביהמ"ש יכול להוציא צו הגנה במקרים </w:t>
      </w:r>
      <w:r w:rsidR="00C31545" w:rsidRPr="00C31545">
        <w:rPr>
          <w:rFonts w:ascii="Segoe UI" w:hAnsi="Segoe UI" w:cs="Segoe UI"/>
          <w:b/>
          <w:bCs/>
          <w:rtl/>
          <w:lang w:val="en-US"/>
        </w:rPr>
        <w:t>של אלימות או חשש לאלימות במשפחה.</w:t>
      </w:r>
    </w:p>
    <w:p w14:paraId="5531ADA9" w14:textId="77777777" w:rsidR="00883C89" w:rsidRDefault="00883C89" w:rsidP="00DD7619">
      <w:pPr>
        <w:bidi/>
        <w:spacing w:after="0" w:line="276" w:lineRule="auto"/>
        <w:jc w:val="both"/>
        <w:rPr>
          <w:lang w:val="en-US"/>
        </w:rPr>
      </w:pPr>
    </w:p>
    <w:p w14:paraId="5EF939EF" w14:textId="71A705F6" w:rsidR="00C31545" w:rsidRDefault="00C31545" w:rsidP="00DD7619">
      <w:pPr>
        <w:bidi/>
        <w:spacing w:after="0" w:line="276" w:lineRule="auto"/>
        <w:jc w:val="both"/>
        <w:rPr>
          <w:lang w:val="en-US"/>
        </w:rPr>
      </w:pPr>
      <w:r w:rsidRPr="00C31545">
        <w:rPr>
          <w:noProof/>
          <w:lang w:val="en-US"/>
        </w:rPr>
        <w:lastRenderedPageBreak/>
        <w:drawing>
          <wp:inline distT="0" distB="0" distL="0" distR="0" wp14:anchorId="14B594F0" wp14:editId="6298A1C7">
            <wp:extent cx="6479540" cy="995680"/>
            <wp:effectExtent l="19050" t="19050" r="16510" b="13970"/>
            <wp:docPr id="19" name="תמונה 1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טקסט&#10;&#10;התיאור נוצר באופן אוטומטי"/>
                    <pic:cNvPicPr/>
                  </pic:nvPicPr>
                  <pic:blipFill>
                    <a:blip r:embed="rId55"/>
                    <a:stretch>
                      <a:fillRect/>
                    </a:stretch>
                  </pic:blipFill>
                  <pic:spPr>
                    <a:xfrm>
                      <a:off x="0" y="0"/>
                      <a:ext cx="6479540" cy="995680"/>
                    </a:xfrm>
                    <a:prstGeom prst="rect">
                      <a:avLst/>
                    </a:prstGeom>
                    <a:ln>
                      <a:solidFill>
                        <a:schemeClr val="tx1"/>
                      </a:solidFill>
                    </a:ln>
                  </pic:spPr>
                </pic:pic>
              </a:graphicData>
            </a:graphic>
          </wp:inline>
        </w:drawing>
      </w:r>
    </w:p>
    <w:p w14:paraId="600A0496" w14:textId="1B894DC8" w:rsidR="00883C89" w:rsidRDefault="00883C89" w:rsidP="00DD7619">
      <w:pPr>
        <w:bidi/>
        <w:spacing w:after="0"/>
        <w:jc w:val="both"/>
        <w:rPr>
          <w:lang w:val="en-US"/>
        </w:rPr>
      </w:pPr>
      <w:r w:rsidRPr="00883C89">
        <w:rPr>
          <w:noProof/>
          <w:lang w:val="en-US"/>
        </w:rPr>
        <w:drawing>
          <wp:inline distT="0" distB="0" distL="0" distR="0" wp14:anchorId="43363DC9" wp14:editId="1FA25D3B">
            <wp:extent cx="6479540" cy="518160"/>
            <wp:effectExtent l="19050" t="19050" r="16510" b="1524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518160"/>
                    </a:xfrm>
                    <a:prstGeom prst="rect">
                      <a:avLst/>
                    </a:prstGeom>
                    <a:ln>
                      <a:solidFill>
                        <a:schemeClr val="tx1"/>
                      </a:solidFill>
                    </a:ln>
                  </pic:spPr>
                </pic:pic>
              </a:graphicData>
            </a:graphic>
          </wp:inline>
        </w:drawing>
      </w:r>
    </w:p>
    <w:p w14:paraId="47440F45" w14:textId="77777777" w:rsidR="00DD7619" w:rsidRDefault="00DD7619" w:rsidP="00DD7619">
      <w:pPr>
        <w:pStyle w:val="110"/>
        <w:rPr>
          <w:rtl/>
        </w:rPr>
      </w:pPr>
    </w:p>
    <w:p w14:paraId="7B8F11FB" w14:textId="190A92D3" w:rsidR="00DD7619" w:rsidRDefault="00883C89" w:rsidP="00DD7619">
      <w:pPr>
        <w:pStyle w:val="110"/>
      </w:pPr>
      <w:r>
        <w:rPr>
          <w:rFonts w:hint="cs"/>
          <w:rtl/>
        </w:rPr>
        <w:t>תנאים לקבלת הצו</w:t>
      </w:r>
    </w:p>
    <w:p w14:paraId="3897DB5E" w14:textId="42562916" w:rsidR="00883C89" w:rsidRDefault="00C96D20" w:rsidP="00DD7619">
      <w:pPr>
        <w:bidi/>
        <w:spacing w:after="0"/>
        <w:jc w:val="both"/>
      </w:pPr>
      <w:r w:rsidRPr="00C96D20">
        <w:rPr>
          <w:noProof/>
        </w:rPr>
        <w:drawing>
          <wp:inline distT="0" distB="0" distL="0" distR="0" wp14:anchorId="0CC9D633" wp14:editId="0B8245D2">
            <wp:extent cx="6480000" cy="3540398"/>
            <wp:effectExtent l="19050" t="19050" r="16510" b="22225"/>
            <wp:docPr id="22" name="תמונה 2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טקסט&#10;&#10;התיאור נוצר באופן אוטומטי"/>
                    <pic:cNvPicPr/>
                  </pic:nvPicPr>
                  <pic:blipFill>
                    <a:blip r:embed="rId57"/>
                    <a:stretch>
                      <a:fillRect/>
                    </a:stretch>
                  </pic:blipFill>
                  <pic:spPr>
                    <a:xfrm>
                      <a:off x="0" y="0"/>
                      <a:ext cx="6480000" cy="3540398"/>
                    </a:xfrm>
                    <a:prstGeom prst="rect">
                      <a:avLst/>
                    </a:prstGeom>
                    <a:ln>
                      <a:solidFill>
                        <a:schemeClr val="tx1"/>
                      </a:solidFill>
                    </a:ln>
                  </pic:spPr>
                </pic:pic>
              </a:graphicData>
            </a:graphic>
          </wp:inline>
        </w:drawing>
      </w:r>
    </w:p>
    <w:p w14:paraId="1D620016" w14:textId="471BBD87" w:rsidR="00DD7619" w:rsidRDefault="00DD7619" w:rsidP="00DD7619">
      <w:pPr>
        <w:tabs>
          <w:tab w:val="left" w:pos="8911"/>
        </w:tabs>
        <w:spacing w:after="0"/>
      </w:pPr>
      <w:r w:rsidRPr="00DD7619">
        <w:rPr>
          <w:noProof/>
        </w:rPr>
        <w:drawing>
          <wp:inline distT="0" distB="0" distL="0" distR="0" wp14:anchorId="29CA2654" wp14:editId="06014C1A">
            <wp:extent cx="6479540" cy="464820"/>
            <wp:effectExtent l="19050" t="19050" r="16510" b="1143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79540" cy="464820"/>
                    </a:xfrm>
                    <a:prstGeom prst="rect">
                      <a:avLst/>
                    </a:prstGeom>
                    <a:ln>
                      <a:solidFill>
                        <a:schemeClr val="tx1"/>
                      </a:solidFill>
                    </a:ln>
                  </pic:spPr>
                </pic:pic>
              </a:graphicData>
            </a:graphic>
          </wp:inline>
        </w:drawing>
      </w:r>
    </w:p>
    <w:p w14:paraId="774CA02B" w14:textId="51A98FA6" w:rsidR="002D4308" w:rsidRPr="008A6575" w:rsidRDefault="002D4308" w:rsidP="008A6575">
      <w:pPr>
        <w:bidi/>
        <w:spacing w:after="0" w:line="276" w:lineRule="auto"/>
        <w:jc w:val="both"/>
        <w:rPr>
          <w:rFonts w:ascii="Segoe UI" w:hAnsi="Segoe UI" w:cs="Segoe UI"/>
        </w:rPr>
      </w:pPr>
    </w:p>
    <w:p w14:paraId="70F8C139" w14:textId="2A51339F" w:rsidR="002D4308" w:rsidRPr="008A6575" w:rsidRDefault="002D4308" w:rsidP="008A6575">
      <w:pPr>
        <w:pStyle w:val="ab"/>
        <w:numPr>
          <w:ilvl w:val="0"/>
          <w:numId w:val="116"/>
        </w:numPr>
        <w:bidi/>
        <w:spacing w:after="0" w:line="276" w:lineRule="auto"/>
        <w:ind w:left="0"/>
        <w:jc w:val="both"/>
        <w:rPr>
          <w:rFonts w:ascii="Segoe UI" w:hAnsi="Segoe UI" w:cs="Segoe UI"/>
          <w:rtl/>
          <w:lang w:val="en-US"/>
        </w:rPr>
      </w:pPr>
      <w:r w:rsidRPr="008A6575">
        <w:rPr>
          <w:rFonts w:ascii="Segoe UI" w:hAnsi="Segoe UI" w:cs="Segoe UI"/>
          <w:rtl/>
          <w:lang w:val="en-US"/>
        </w:rPr>
        <w:t xml:space="preserve">בקשה לצו הגנה ניתן להגיש לביהמ"ש השלום, בתי דין רבניים וביהמ"ש לענייני המשפחה. </w:t>
      </w:r>
    </w:p>
    <w:p w14:paraId="08361D14" w14:textId="726F2493" w:rsidR="002D4308" w:rsidRPr="008A6575" w:rsidRDefault="002D4308" w:rsidP="008A6575">
      <w:pPr>
        <w:pStyle w:val="ab"/>
        <w:numPr>
          <w:ilvl w:val="0"/>
          <w:numId w:val="116"/>
        </w:numPr>
        <w:bidi/>
        <w:spacing w:after="0" w:line="276" w:lineRule="auto"/>
        <w:ind w:left="0"/>
        <w:jc w:val="both"/>
        <w:rPr>
          <w:rFonts w:ascii="Segoe UI" w:hAnsi="Segoe UI" w:cs="Segoe UI"/>
          <w:rtl/>
          <w:lang w:val="en-US"/>
        </w:rPr>
      </w:pPr>
      <w:r w:rsidRPr="008A6575">
        <w:rPr>
          <w:rFonts w:ascii="Segoe UI" w:hAnsi="Segoe UI" w:cs="Segoe UI"/>
          <w:rtl/>
          <w:lang w:val="en-US"/>
        </w:rPr>
        <w:t>תוקף הצו – עד 3 חודשים ואפשר להאריך בהתאם לחריגים בחוק.</w:t>
      </w:r>
    </w:p>
    <w:p w14:paraId="2CDB1EC1" w14:textId="3B05ECD7" w:rsidR="00CF3070" w:rsidRDefault="00CF3070" w:rsidP="008A6575">
      <w:pPr>
        <w:pStyle w:val="ab"/>
        <w:numPr>
          <w:ilvl w:val="0"/>
          <w:numId w:val="116"/>
        </w:numPr>
        <w:bidi/>
        <w:spacing w:after="0" w:line="276" w:lineRule="auto"/>
        <w:ind w:left="0"/>
        <w:jc w:val="both"/>
        <w:rPr>
          <w:rFonts w:ascii="Segoe UI" w:hAnsi="Segoe UI" w:cs="Segoe UI"/>
          <w:lang w:val="en-US"/>
        </w:rPr>
      </w:pPr>
      <w:r w:rsidRPr="008A6575">
        <w:rPr>
          <w:rFonts w:ascii="Segoe UI" w:hAnsi="Segoe UI" w:cs="Segoe UI"/>
          <w:rtl/>
          <w:lang w:val="en-US"/>
        </w:rPr>
        <w:t xml:space="preserve">פסק דין – אפשר לפסוק פיצויים אם הבקשה היא "נקמנית" </w:t>
      </w:r>
    </w:p>
    <w:p w14:paraId="6D5BCB2B" w14:textId="35E9DEAF" w:rsidR="008A6575" w:rsidRDefault="008A6575" w:rsidP="008A6575">
      <w:pPr>
        <w:pStyle w:val="ab"/>
        <w:numPr>
          <w:ilvl w:val="0"/>
          <w:numId w:val="116"/>
        </w:numPr>
        <w:bidi/>
        <w:spacing w:after="0" w:line="276" w:lineRule="auto"/>
        <w:ind w:left="0"/>
        <w:jc w:val="both"/>
        <w:rPr>
          <w:rFonts w:ascii="Segoe UI" w:hAnsi="Segoe UI" w:cs="Segoe UI"/>
          <w:lang w:val="en-US"/>
        </w:rPr>
      </w:pPr>
      <w:r>
        <w:rPr>
          <w:rFonts w:ascii="Segoe UI" w:hAnsi="Segoe UI" w:cs="Segoe UI" w:hint="cs"/>
          <w:rtl/>
          <w:lang w:val="en-US"/>
        </w:rPr>
        <w:t xml:space="preserve">הפרת הצו </w:t>
      </w:r>
      <w:r>
        <w:rPr>
          <w:rFonts w:ascii="Segoe UI" w:hAnsi="Segoe UI" w:cs="Segoe UI"/>
          <w:rtl/>
          <w:lang w:val="en-US"/>
        </w:rPr>
        <w:t>–</w:t>
      </w:r>
      <w:r>
        <w:rPr>
          <w:rFonts w:ascii="Segoe UI" w:hAnsi="Segoe UI" w:cs="Segoe UI" w:hint="cs"/>
          <w:rtl/>
          <w:lang w:val="en-US"/>
        </w:rPr>
        <w:t xml:space="preserve"> עבירה פלילית</w:t>
      </w:r>
      <w:r w:rsidR="00A86422">
        <w:rPr>
          <w:rFonts w:ascii="Segoe UI" w:hAnsi="Segoe UI" w:cs="Segoe UI" w:hint="cs"/>
          <w:rtl/>
          <w:lang w:val="en-US"/>
        </w:rPr>
        <w:t xml:space="preserve"> </w:t>
      </w:r>
      <w:r w:rsidR="00A86422" w:rsidRPr="00A86422">
        <w:rPr>
          <w:rFonts w:ascii="Segoe UI" w:hAnsi="Segoe UI" w:cs="Segoe UI" w:hint="cs"/>
          <w:color w:val="7030A0"/>
          <w:rtl/>
          <w:lang w:val="en-US"/>
        </w:rPr>
        <w:t>(ס'287 לחוק העונשין)</w:t>
      </w:r>
      <w:r w:rsidRPr="00A86422">
        <w:rPr>
          <w:rFonts w:ascii="Segoe UI" w:hAnsi="Segoe UI" w:cs="Segoe UI" w:hint="cs"/>
          <w:color w:val="7030A0"/>
          <w:rtl/>
          <w:lang w:val="en-US"/>
        </w:rPr>
        <w:t xml:space="preserve"> </w:t>
      </w:r>
      <w:r>
        <w:rPr>
          <w:rFonts w:ascii="Segoe UI" w:hAnsi="Segoe UI" w:cs="Segoe UI" w:hint="cs"/>
          <w:rtl/>
          <w:lang w:val="en-US"/>
        </w:rPr>
        <w:t>+ מעצר</w:t>
      </w:r>
      <w:r w:rsidR="00A86422">
        <w:rPr>
          <w:rFonts w:ascii="Segoe UI" w:hAnsi="Segoe UI" w:cs="Segoe UI" w:hint="cs"/>
          <w:rtl/>
          <w:lang w:val="en-US"/>
        </w:rPr>
        <w:t xml:space="preserve"> </w:t>
      </w:r>
      <w:r w:rsidR="00A86422" w:rsidRPr="00A86422">
        <w:rPr>
          <w:rFonts w:ascii="Segoe UI" w:hAnsi="Segoe UI" w:cs="Segoe UI" w:hint="cs"/>
          <w:color w:val="7030A0"/>
          <w:rtl/>
          <w:lang w:val="en-US"/>
        </w:rPr>
        <w:t xml:space="preserve">(על הפרת הוראה חוקית) </w:t>
      </w:r>
    </w:p>
    <w:p w14:paraId="6810BF55" w14:textId="655D7606" w:rsidR="00A86422" w:rsidRDefault="00A86422" w:rsidP="00A86422">
      <w:pPr>
        <w:bidi/>
        <w:spacing w:after="0" w:line="276" w:lineRule="auto"/>
        <w:jc w:val="both"/>
        <w:rPr>
          <w:rFonts w:ascii="Segoe UI" w:hAnsi="Segoe UI" w:cs="Segoe UI"/>
          <w:rtl/>
          <w:lang w:val="en-US"/>
        </w:rPr>
      </w:pPr>
    </w:p>
    <w:p w14:paraId="4D85BA1E" w14:textId="1E41E6FE" w:rsidR="00A86422" w:rsidRDefault="00A86422" w:rsidP="00A86422">
      <w:pPr>
        <w:bidi/>
        <w:spacing w:after="0" w:line="276" w:lineRule="auto"/>
        <w:jc w:val="both"/>
        <w:rPr>
          <w:rFonts w:ascii="Segoe UI" w:hAnsi="Segoe UI" w:cs="Segoe UI"/>
          <w:rtl/>
          <w:lang w:val="en-US"/>
        </w:rPr>
      </w:pPr>
    </w:p>
    <w:p w14:paraId="61476CCC" w14:textId="0C25B5BD" w:rsidR="00A86422" w:rsidRDefault="00A86422" w:rsidP="00A86422">
      <w:pPr>
        <w:bidi/>
        <w:spacing w:after="0" w:line="276" w:lineRule="auto"/>
        <w:jc w:val="both"/>
        <w:rPr>
          <w:rFonts w:ascii="Segoe UI" w:hAnsi="Segoe UI" w:cs="Segoe UI"/>
          <w:rtl/>
          <w:lang w:val="en-US"/>
        </w:rPr>
      </w:pPr>
    </w:p>
    <w:p w14:paraId="1DB9CF28" w14:textId="7C4CED8C" w:rsidR="00A86422" w:rsidRDefault="00A86422" w:rsidP="00A86422">
      <w:pPr>
        <w:bidi/>
        <w:spacing w:after="0" w:line="276" w:lineRule="auto"/>
        <w:jc w:val="both"/>
        <w:rPr>
          <w:rFonts w:ascii="Segoe UI" w:hAnsi="Segoe UI" w:cs="Segoe UI"/>
          <w:rtl/>
          <w:lang w:val="en-US"/>
        </w:rPr>
      </w:pPr>
    </w:p>
    <w:p w14:paraId="2E4200A8" w14:textId="351FFCFB" w:rsidR="00A86422" w:rsidRDefault="00A86422" w:rsidP="00A86422">
      <w:pPr>
        <w:bidi/>
        <w:spacing w:after="0" w:line="276" w:lineRule="auto"/>
        <w:jc w:val="both"/>
        <w:rPr>
          <w:rFonts w:ascii="Segoe UI" w:hAnsi="Segoe UI" w:cs="Segoe UI"/>
          <w:rtl/>
          <w:lang w:val="en-US"/>
        </w:rPr>
      </w:pPr>
    </w:p>
    <w:p w14:paraId="2738FBC2" w14:textId="501EFB65" w:rsidR="00A86422" w:rsidRDefault="00A86422" w:rsidP="00A86422">
      <w:pPr>
        <w:bidi/>
        <w:spacing w:after="0" w:line="276" w:lineRule="auto"/>
        <w:jc w:val="both"/>
        <w:rPr>
          <w:rFonts w:ascii="Segoe UI" w:hAnsi="Segoe UI" w:cs="Segoe UI"/>
          <w:rtl/>
          <w:lang w:val="en-US"/>
        </w:rPr>
      </w:pPr>
    </w:p>
    <w:p w14:paraId="4F9F3B31" w14:textId="2AAE970D" w:rsidR="00A86422" w:rsidRDefault="00A86422" w:rsidP="00A86422">
      <w:pPr>
        <w:bidi/>
        <w:spacing w:after="0" w:line="276" w:lineRule="auto"/>
        <w:jc w:val="both"/>
        <w:rPr>
          <w:rFonts w:ascii="Segoe UI" w:hAnsi="Segoe UI" w:cs="Segoe UI"/>
          <w:rtl/>
          <w:lang w:val="en-US"/>
        </w:rPr>
      </w:pPr>
    </w:p>
    <w:p w14:paraId="06E595CF" w14:textId="30B0CFA3" w:rsidR="00A86422" w:rsidRDefault="00A86422" w:rsidP="00A86422">
      <w:pPr>
        <w:bidi/>
        <w:spacing w:after="0" w:line="276" w:lineRule="auto"/>
        <w:jc w:val="both"/>
        <w:rPr>
          <w:rFonts w:ascii="Segoe UI" w:hAnsi="Segoe UI" w:cs="Segoe UI"/>
          <w:rtl/>
          <w:lang w:val="en-US"/>
        </w:rPr>
      </w:pPr>
    </w:p>
    <w:p w14:paraId="0A1A64DA" w14:textId="319BC15C" w:rsidR="00A86422" w:rsidRDefault="00A86422" w:rsidP="00A86422">
      <w:pPr>
        <w:bidi/>
        <w:spacing w:after="0" w:line="276" w:lineRule="auto"/>
        <w:jc w:val="both"/>
        <w:rPr>
          <w:rFonts w:ascii="Segoe UI" w:hAnsi="Segoe UI" w:cs="Segoe UI"/>
          <w:rtl/>
          <w:lang w:val="en-US"/>
        </w:rPr>
      </w:pPr>
    </w:p>
    <w:p w14:paraId="3F55A8CF" w14:textId="6B9B35D0" w:rsidR="00A86422" w:rsidRDefault="00A86422" w:rsidP="00A86422">
      <w:pPr>
        <w:pStyle w:val="1"/>
        <w:rPr>
          <w:rtl/>
        </w:rPr>
      </w:pPr>
      <w:bookmarkStart w:id="132" w:name="_Toc108218288"/>
      <w:r>
        <w:rPr>
          <w:rFonts w:hint="cs"/>
          <w:rtl/>
        </w:rPr>
        <w:lastRenderedPageBreak/>
        <w:t>זכויות אסירים</w:t>
      </w:r>
      <w:bookmarkEnd w:id="132"/>
      <w:r>
        <w:rPr>
          <w:rFonts w:hint="cs"/>
          <w:rtl/>
        </w:rPr>
        <w:t xml:space="preserve"> </w:t>
      </w:r>
    </w:p>
    <w:p w14:paraId="3C6C57DC" w14:textId="07C3F284" w:rsidR="008147F0" w:rsidRPr="00606C7C" w:rsidRDefault="008147F0" w:rsidP="00D14063">
      <w:pPr>
        <w:pStyle w:val="2"/>
        <w:rPr>
          <w:rtl/>
        </w:rPr>
      </w:pPr>
      <w:bookmarkStart w:id="133" w:name="_Toc108218289"/>
      <w:r w:rsidRPr="00606C7C">
        <w:rPr>
          <w:rtl/>
        </w:rPr>
        <w:t>כאבי מאסר</w:t>
      </w:r>
      <w:bookmarkEnd w:id="133"/>
    </w:p>
    <w:p w14:paraId="06DA8CCF" w14:textId="77777777" w:rsidR="00606C7C" w:rsidRPr="00606C7C" w:rsidRDefault="00606C7C" w:rsidP="00D14063">
      <w:pPr>
        <w:bidi/>
        <w:spacing w:after="0" w:line="276" w:lineRule="auto"/>
        <w:jc w:val="both"/>
        <w:rPr>
          <w:rFonts w:ascii="Segoe UI" w:hAnsi="Segoe UI" w:cs="Segoe UI"/>
          <w:lang w:val="en-US"/>
        </w:rPr>
      </w:pPr>
      <w:r w:rsidRPr="00606C7C">
        <w:rPr>
          <w:rFonts w:ascii="Segoe UI" w:hAnsi="Segoe UI" w:cs="Segoe UI"/>
          <w:rtl/>
          <w:lang w:val="en-US"/>
        </w:rPr>
        <w:t>המרכיב המרכזי בחייהם של האסירים הוא "כאבי מאסר</w:t>
      </w:r>
      <w:r w:rsidRPr="00606C7C">
        <w:rPr>
          <w:rFonts w:ascii="Segoe UI" w:hAnsi="Segoe UI" w:cs="Segoe UI"/>
          <w:lang w:val="en-US"/>
        </w:rPr>
        <w:t xml:space="preserve">". </w:t>
      </w:r>
    </w:p>
    <w:p w14:paraId="095883AB" w14:textId="77777777" w:rsidR="00606C7C" w:rsidRPr="00606C7C" w:rsidRDefault="00606C7C" w:rsidP="00D14063">
      <w:pPr>
        <w:bidi/>
        <w:spacing w:after="0" w:line="276" w:lineRule="auto"/>
        <w:jc w:val="both"/>
        <w:rPr>
          <w:rFonts w:ascii="Segoe UI" w:hAnsi="Segoe UI" w:cs="Segoe UI"/>
          <w:lang w:val="en-US"/>
        </w:rPr>
      </w:pPr>
      <w:r w:rsidRPr="00606C7C">
        <w:rPr>
          <w:rFonts w:ascii="Segoe UI" w:hAnsi="Segoe UI" w:cs="Segoe UI"/>
          <w:rtl/>
          <w:lang w:val="en-US"/>
        </w:rPr>
        <w:t>עם כניסתו לבית הסוהר, חווה האסיר "הלם ראשוני" שנובע מהמוסד הכוללני ומתת-תרבות לוחצת ותובענית</w:t>
      </w:r>
      <w:r w:rsidRPr="00606C7C">
        <w:rPr>
          <w:rFonts w:ascii="Segoe UI" w:hAnsi="Segoe UI" w:cs="Segoe UI"/>
          <w:lang w:val="en-US"/>
        </w:rPr>
        <w:t xml:space="preserve">. </w:t>
      </w:r>
    </w:p>
    <w:p w14:paraId="23BFFFE1" w14:textId="77777777" w:rsidR="00606C7C" w:rsidRPr="00606C7C" w:rsidRDefault="00606C7C" w:rsidP="00D14063">
      <w:pPr>
        <w:bidi/>
        <w:spacing w:after="0" w:line="276" w:lineRule="auto"/>
        <w:jc w:val="both"/>
        <w:rPr>
          <w:rFonts w:ascii="Segoe UI" w:hAnsi="Segoe UI" w:cs="Segoe UI"/>
          <w:lang w:val="en-US"/>
        </w:rPr>
      </w:pPr>
      <w:r w:rsidRPr="00606C7C">
        <w:rPr>
          <w:rFonts w:ascii="Segoe UI" w:hAnsi="Segoe UI" w:cs="Segoe UI"/>
          <w:rtl/>
          <w:lang w:val="en-US"/>
        </w:rPr>
        <w:t>הוותיקים עורכים לאסיר החדש "טקסי קבלה" משפילים, שמטרתם לבחון את עמידותו לכאב, ביטחונו העצמי, חוסנו הנפשי, ערנותו, פיקחותו וערמומיותו</w:t>
      </w:r>
      <w:r w:rsidRPr="00606C7C">
        <w:rPr>
          <w:rFonts w:ascii="Segoe UI" w:hAnsi="Segoe UI" w:cs="Segoe UI"/>
          <w:lang w:val="en-US"/>
        </w:rPr>
        <w:t xml:space="preserve">. </w:t>
      </w:r>
    </w:p>
    <w:p w14:paraId="033B782A" w14:textId="7416F54F" w:rsidR="008147F0" w:rsidRDefault="00606C7C" w:rsidP="00D14063">
      <w:pPr>
        <w:bidi/>
        <w:spacing w:after="0" w:line="276" w:lineRule="auto"/>
        <w:jc w:val="both"/>
        <w:rPr>
          <w:rFonts w:ascii="Segoe UI" w:hAnsi="Segoe UI" w:cs="Segoe UI"/>
          <w:rtl/>
          <w:lang w:val="en-US"/>
        </w:rPr>
      </w:pPr>
      <w:r w:rsidRPr="00606C7C">
        <w:rPr>
          <w:rFonts w:ascii="Segoe UI" w:hAnsi="Segoe UI" w:cs="Segoe UI"/>
          <w:lang w:val="en-US"/>
        </w:rPr>
        <w:t>"</w:t>
      </w:r>
      <w:r w:rsidRPr="00606C7C">
        <w:rPr>
          <w:rFonts w:ascii="Segoe UI" w:hAnsi="Segoe UI" w:cs="Segoe UI"/>
          <w:rtl/>
          <w:lang w:val="en-US"/>
        </w:rPr>
        <w:t>חוק הג'ונגל", לפיו לחזק ולקשור יש יתרון על פני החלש ("החזק שורד")</w:t>
      </w:r>
      <w:r w:rsidRPr="00606C7C">
        <w:rPr>
          <w:rFonts w:ascii="Segoe UI" w:hAnsi="Segoe UI" w:cs="Segoe UI"/>
          <w:lang w:val="en-US"/>
        </w:rPr>
        <w:t>.</w:t>
      </w:r>
    </w:p>
    <w:p w14:paraId="2FCDBE21" w14:textId="0303B728" w:rsidR="00606C7C" w:rsidRDefault="00606C7C" w:rsidP="00D14063">
      <w:pPr>
        <w:bidi/>
        <w:spacing w:after="0" w:line="276" w:lineRule="auto"/>
        <w:jc w:val="both"/>
        <w:rPr>
          <w:rFonts w:ascii="Segoe UI" w:hAnsi="Segoe UI" w:cs="Segoe UI"/>
          <w:rtl/>
          <w:lang w:val="en-US"/>
        </w:rPr>
      </w:pPr>
    </w:p>
    <w:p w14:paraId="6E46DB60" w14:textId="77777777" w:rsidR="00C80B06" w:rsidRDefault="00606C7C" w:rsidP="00D14063">
      <w:pPr>
        <w:pStyle w:val="110"/>
        <w:spacing w:line="276" w:lineRule="auto"/>
        <w:rPr>
          <w:rtl/>
        </w:rPr>
      </w:pPr>
      <w:proofErr w:type="spellStart"/>
      <w:r w:rsidRPr="001C13C8">
        <w:rPr>
          <w:rFonts w:hint="cs"/>
          <w:highlight w:val="green"/>
          <w:rtl/>
        </w:rPr>
        <w:t>סייקס</w:t>
      </w:r>
      <w:proofErr w:type="spellEnd"/>
      <w:r>
        <w:rPr>
          <w:rFonts w:hint="cs"/>
          <w:rtl/>
        </w:rPr>
        <w:t xml:space="preserve"> (</w:t>
      </w:r>
      <w:r>
        <w:rPr>
          <w:lang w:val="en-ZW"/>
        </w:rPr>
        <w:t>Sykes</w:t>
      </w:r>
      <w:r>
        <w:rPr>
          <w:rFonts w:hint="cs"/>
          <w:rtl/>
        </w:rPr>
        <w:t xml:space="preserve">, 1958) </w:t>
      </w:r>
    </w:p>
    <w:p w14:paraId="409631BA" w14:textId="134C3982" w:rsidR="00606C7C" w:rsidRDefault="00606C7C" w:rsidP="00D14063">
      <w:pPr>
        <w:bidi/>
        <w:spacing w:after="0" w:line="276" w:lineRule="auto"/>
        <w:jc w:val="both"/>
        <w:rPr>
          <w:rFonts w:ascii="Segoe UI" w:hAnsi="Segoe UI" w:cs="Segoe UI"/>
          <w:rtl/>
          <w:lang w:val="en-US"/>
        </w:rPr>
      </w:pPr>
      <w:r>
        <w:rPr>
          <w:rFonts w:ascii="Segoe UI" w:hAnsi="Segoe UI" w:cs="Segoe UI" w:hint="cs"/>
          <w:rtl/>
          <w:lang w:val="en-US"/>
        </w:rPr>
        <w:t xml:space="preserve">היה הראשון שטבע את המונח "כאבי מאסר" בהתייחס לפגיעות רגשיות ואישיות באסיר ולא בגופו. </w:t>
      </w:r>
    </w:p>
    <w:p w14:paraId="1D92510F" w14:textId="54F77E58" w:rsidR="00606C7C" w:rsidRDefault="00606C7C" w:rsidP="00D14063">
      <w:pPr>
        <w:bidi/>
        <w:spacing w:after="0" w:line="276" w:lineRule="auto"/>
        <w:jc w:val="both"/>
        <w:rPr>
          <w:rFonts w:ascii="Segoe UI" w:hAnsi="Segoe UI" w:cs="Segoe UI"/>
          <w:rtl/>
          <w:lang w:val="en-US"/>
        </w:rPr>
      </w:pPr>
      <w:r>
        <w:rPr>
          <w:rFonts w:ascii="Segoe UI" w:hAnsi="Segoe UI" w:cs="Segoe UI" w:hint="cs"/>
          <w:rtl/>
          <w:lang w:val="en-US"/>
        </w:rPr>
        <w:t>כאבי המאסר פוגעים במטרותיו של האסיר, במערכות ההגנה שלו, בהערכתו העצמית</w:t>
      </w:r>
      <w:r w:rsidR="006D0BDC">
        <w:rPr>
          <w:rFonts w:ascii="Segoe UI" w:hAnsi="Segoe UI" w:cs="Segoe UI" w:hint="cs"/>
          <w:rtl/>
          <w:lang w:val="en-US"/>
        </w:rPr>
        <w:t xml:space="preserve">, בתחושת הביטחון שלו וכן משפיעים על התנהגותו. </w:t>
      </w:r>
    </w:p>
    <w:p w14:paraId="35B6E0D1" w14:textId="4BC68393" w:rsidR="006D0BDC" w:rsidRDefault="006D0BDC" w:rsidP="00D14063">
      <w:pPr>
        <w:bidi/>
        <w:spacing w:after="0" w:line="276" w:lineRule="auto"/>
        <w:jc w:val="both"/>
        <w:rPr>
          <w:rFonts w:ascii="Segoe UI" w:hAnsi="Segoe UI" w:cs="Segoe UI"/>
          <w:rtl/>
          <w:lang w:val="en-US"/>
        </w:rPr>
      </w:pPr>
    </w:p>
    <w:p w14:paraId="19B2832F" w14:textId="541D5DE8" w:rsidR="002901FE" w:rsidRDefault="00FE33D3" w:rsidP="00D14063">
      <w:pPr>
        <w:pStyle w:val="110"/>
        <w:spacing w:line="276" w:lineRule="auto"/>
        <w:rPr>
          <w:rtl/>
        </w:rPr>
      </w:pPr>
      <w:r>
        <w:rPr>
          <w:rFonts w:hint="cs"/>
          <w:rtl/>
        </w:rPr>
        <w:t>גורמים</w:t>
      </w:r>
      <w:r w:rsidR="002901FE">
        <w:rPr>
          <w:rFonts w:hint="cs"/>
          <w:rtl/>
        </w:rPr>
        <w:t xml:space="preserve"> לכאבי מאסר</w:t>
      </w:r>
    </w:p>
    <w:p w14:paraId="58AA6E95" w14:textId="16A2652A" w:rsidR="006D0BDC" w:rsidRDefault="006D0BDC" w:rsidP="00D14063">
      <w:pPr>
        <w:pStyle w:val="ab"/>
        <w:numPr>
          <w:ilvl w:val="0"/>
          <w:numId w:val="117"/>
        </w:numPr>
        <w:bidi/>
        <w:spacing w:after="0" w:line="276" w:lineRule="auto"/>
        <w:jc w:val="both"/>
        <w:rPr>
          <w:rFonts w:ascii="Segoe UI" w:hAnsi="Segoe UI" w:cs="Segoe UI"/>
          <w:lang w:val="en-US"/>
        </w:rPr>
      </w:pPr>
      <w:r w:rsidRPr="002901FE">
        <w:rPr>
          <w:rFonts w:ascii="Segoe UI" w:hAnsi="Segoe UI" w:cs="Segoe UI" w:hint="cs"/>
          <w:u w:val="single"/>
          <w:rtl/>
          <w:lang w:val="en-US"/>
        </w:rPr>
        <w:t>שלילת חירות</w:t>
      </w:r>
      <w:r>
        <w:rPr>
          <w:rFonts w:ascii="Segoe UI" w:hAnsi="Segoe UI" w:cs="Segoe UI" w:hint="cs"/>
          <w:rtl/>
          <w:lang w:val="en-US"/>
        </w:rPr>
        <w:t xml:space="preserve"> </w:t>
      </w:r>
      <w:r>
        <w:rPr>
          <w:rFonts w:ascii="Segoe UI" w:hAnsi="Segoe UI" w:cs="Segoe UI"/>
          <w:rtl/>
          <w:lang w:val="en-US"/>
        </w:rPr>
        <w:t>–</w:t>
      </w:r>
      <w:r>
        <w:rPr>
          <w:rFonts w:ascii="Segoe UI" w:hAnsi="Segoe UI" w:cs="Segoe UI" w:hint="cs"/>
          <w:rtl/>
          <w:lang w:val="en-US"/>
        </w:rPr>
        <w:t xml:space="preserve"> כולל ניתוק מהמשפחה</w:t>
      </w:r>
      <w:r w:rsidR="00BD3311">
        <w:rPr>
          <w:rFonts w:ascii="Segoe UI" w:hAnsi="Segoe UI" w:cs="Segoe UI" w:hint="cs"/>
          <w:rtl/>
          <w:lang w:val="en-US"/>
        </w:rPr>
        <w:t>, מהקרובים והחברים וכן הגינוי החברתי הקשור בעצם הכליאה והבידוד הכפוי</w:t>
      </w:r>
      <w:r w:rsidR="002901FE">
        <w:rPr>
          <w:rFonts w:ascii="Segoe UI" w:hAnsi="Segoe UI" w:cs="Segoe UI" w:hint="cs"/>
          <w:rtl/>
          <w:lang w:val="en-US"/>
        </w:rPr>
        <w:t>.</w:t>
      </w:r>
    </w:p>
    <w:p w14:paraId="363E5998" w14:textId="6F0FCA08" w:rsidR="00BD3311" w:rsidRDefault="00BD3311" w:rsidP="00D14063">
      <w:pPr>
        <w:pStyle w:val="ab"/>
        <w:numPr>
          <w:ilvl w:val="0"/>
          <w:numId w:val="117"/>
        </w:numPr>
        <w:bidi/>
        <w:spacing w:after="0" w:line="276" w:lineRule="auto"/>
        <w:jc w:val="both"/>
        <w:rPr>
          <w:rFonts w:ascii="Segoe UI" w:hAnsi="Segoe UI" w:cs="Segoe UI"/>
          <w:lang w:val="en-US"/>
        </w:rPr>
      </w:pPr>
      <w:r w:rsidRPr="002901FE">
        <w:rPr>
          <w:rFonts w:ascii="Segoe UI" w:hAnsi="Segoe UI" w:cs="Segoe UI" w:hint="cs"/>
          <w:u w:val="single"/>
          <w:rtl/>
          <w:lang w:val="en-US"/>
        </w:rPr>
        <w:t>שלילת מצרכים ושירותים</w:t>
      </w:r>
      <w:r>
        <w:rPr>
          <w:rFonts w:ascii="Segoe UI" w:hAnsi="Segoe UI" w:cs="Segoe UI" w:hint="cs"/>
          <w:rtl/>
          <w:lang w:val="en-US"/>
        </w:rPr>
        <w:t xml:space="preserve"> </w:t>
      </w:r>
      <w:r>
        <w:rPr>
          <w:rFonts w:ascii="Segoe UI" w:hAnsi="Segoe UI" w:cs="Segoe UI"/>
          <w:rtl/>
          <w:lang w:val="en-US"/>
        </w:rPr>
        <w:t>–</w:t>
      </w:r>
      <w:r>
        <w:rPr>
          <w:rFonts w:ascii="Segoe UI" w:hAnsi="Segoe UI" w:cs="Segoe UI" w:hint="cs"/>
          <w:rtl/>
          <w:lang w:val="en-US"/>
        </w:rPr>
        <w:t xml:space="preserve"> לאסירים אין גישה חופשית למצרכים ושירותים כמו לאדם חופשי</w:t>
      </w:r>
      <w:r w:rsidR="002901FE">
        <w:rPr>
          <w:rFonts w:ascii="Segoe UI" w:hAnsi="Segoe UI" w:cs="Segoe UI" w:hint="cs"/>
          <w:rtl/>
          <w:lang w:val="en-US"/>
        </w:rPr>
        <w:t>.</w:t>
      </w:r>
    </w:p>
    <w:p w14:paraId="44BEA5B1" w14:textId="51151F49" w:rsidR="00BD3311" w:rsidRDefault="00BD3311" w:rsidP="00D14063">
      <w:pPr>
        <w:pStyle w:val="ab"/>
        <w:numPr>
          <w:ilvl w:val="0"/>
          <w:numId w:val="117"/>
        </w:numPr>
        <w:bidi/>
        <w:spacing w:after="0" w:line="276" w:lineRule="auto"/>
        <w:jc w:val="both"/>
        <w:rPr>
          <w:rFonts w:ascii="Segoe UI" w:hAnsi="Segoe UI" w:cs="Segoe UI"/>
          <w:lang w:val="en-US"/>
        </w:rPr>
      </w:pPr>
      <w:r w:rsidRPr="002901FE">
        <w:rPr>
          <w:rFonts w:ascii="Segoe UI" w:hAnsi="Segoe UI" w:cs="Segoe UI" w:hint="cs"/>
          <w:u w:val="single"/>
          <w:rtl/>
          <w:lang w:val="en-US"/>
        </w:rPr>
        <w:t>שלילת יחסי מין הטרוסקסואלים</w:t>
      </w:r>
      <w:r>
        <w:rPr>
          <w:rFonts w:ascii="Segoe UI" w:hAnsi="Segoe UI" w:cs="Segoe UI" w:hint="cs"/>
          <w:rtl/>
          <w:lang w:val="en-US"/>
        </w:rPr>
        <w:t xml:space="preserve"> </w:t>
      </w:r>
      <w:r>
        <w:rPr>
          <w:rFonts w:ascii="Segoe UI" w:hAnsi="Segoe UI" w:cs="Segoe UI"/>
          <w:rtl/>
          <w:lang w:val="en-US"/>
        </w:rPr>
        <w:t>–</w:t>
      </w:r>
      <w:r>
        <w:rPr>
          <w:rFonts w:ascii="Segoe UI" w:hAnsi="Segoe UI" w:cs="Segoe UI" w:hint="cs"/>
          <w:rtl/>
          <w:lang w:val="en-US"/>
        </w:rPr>
        <w:t xml:space="preserve"> מתבטא בקושי גופני ונפשי כאחת. בחברה המורכבת מגברים בלבד, קיים איום מתמיד על "גבריות" האסירים, הנובע מהחשש שיתעוררו בהם נטיות הומוסקסואליות. על כן, עלולות להיווצר </w:t>
      </w:r>
      <w:r w:rsidR="002901FE">
        <w:rPr>
          <w:rFonts w:ascii="Segoe UI" w:hAnsi="Segoe UI" w:cs="Segoe UI" w:hint="cs"/>
          <w:rtl/>
          <w:lang w:val="en-US"/>
        </w:rPr>
        <w:t xml:space="preserve">אצל האסיר בלבול ועיוות של מושג הגבריות. זאת בשל היעדר מגע עם נשים שמעניק לגבר תחושה של שייכות, כוח, אוריינטציה, משמעות ורגישות. </w:t>
      </w:r>
    </w:p>
    <w:p w14:paraId="325E1DEB" w14:textId="73FAADCF" w:rsidR="005F2D20" w:rsidRDefault="005F2D20" w:rsidP="00D14063">
      <w:pPr>
        <w:pStyle w:val="ab"/>
        <w:numPr>
          <w:ilvl w:val="0"/>
          <w:numId w:val="117"/>
        </w:numPr>
        <w:bidi/>
        <w:spacing w:after="0" w:line="276" w:lineRule="auto"/>
        <w:jc w:val="both"/>
        <w:rPr>
          <w:rFonts w:ascii="Segoe UI" w:hAnsi="Segoe UI" w:cs="Segoe UI"/>
          <w:lang w:val="en-US"/>
        </w:rPr>
      </w:pPr>
      <w:r>
        <w:rPr>
          <w:rFonts w:ascii="Segoe UI" w:hAnsi="Segoe UI" w:cs="Segoe UI" w:hint="cs"/>
          <w:u w:val="single"/>
          <w:rtl/>
          <w:lang w:val="en-US"/>
        </w:rPr>
        <w:t>שלילת אוטונומיה</w:t>
      </w:r>
      <w:r>
        <w:rPr>
          <w:rFonts w:ascii="Segoe UI" w:hAnsi="Segoe UI" w:cs="Segoe UI" w:hint="cs"/>
          <w:rtl/>
          <w:lang w:val="en-US"/>
        </w:rPr>
        <w:t xml:space="preserve"> </w:t>
      </w:r>
      <w:r>
        <w:rPr>
          <w:rFonts w:ascii="Segoe UI" w:hAnsi="Segoe UI" w:cs="Segoe UI"/>
          <w:rtl/>
          <w:lang w:val="en-US"/>
        </w:rPr>
        <w:t>–</w:t>
      </w:r>
      <w:r>
        <w:rPr>
          <w:rFonts w:ascii="Segoe UI" w:hAnsi="Segoe UI" w:cs="Segoe UI" w:hint="cs"/>
          <w:rtl/>
          <w:lang w:val="en-US"/>
        </w:rPr>
        <w:t xml:space="preserve"> האסירים נאלצים להישמע לחוקים, לכללים ולנורמות של אחרים הקובעים את התנהגותם, מה שמפחית את תחושת העצמאות שלהם, מגביר את תסכולם ומאיים על הדימוי העצמי ועל תדמיתו של האסיר כאדם בוגר.</w:t>
      </w:r>
    </w:p>
    <w:p w14:paraId="72EACDFD" w14:textId="3F1FF452" w:rsidR="005F2D20" w:rsidRDefault="005F2D20" w:rsidP="00D14063">
      <w:pPr>
        <w:pStyle w:val="ab"/>
        <w:numPr>
          <w:ilvl w:val="0"/>
          <w:numId w:val="117"/>
        </w:numPr>
        <w:bidi/>
        <w:spacing w:after="0" w:line="276" w:lineRule="auto"/>
        <w:jc w:val="both"/>
        <w:rPr>
          <w:rFonts w:ascii="Segoe UI" w:hAnsi="Segoe UI" w:cs="Segoe UI"/>
          <w:lang w:val="en-US"/>
        </w:rPr>
      </w:pPr>
      <w:r>
        <w:rPr>
          <w:rFonts w:ascii="Segoe UI" w:hAnsi="Segoe UI" w:cs="Segoe UI" w:hint="cs"/>
          <w:u w:val="single"/>
          <w:rtl/>
          <w:lang w:val="en-US"/>
        </w:rPr>
        <w:t>שלילת ביטחון</w:t>
      </w:r>
      <w:r>
        <w:rPr>
          <w:rFonts w:ascii="Segoe UI" w:hAnsi="Segoe UI" w:cs="Segoe UI" w:hint="cs"/>
          <w:rtl/>
          <w:lang w:val="en-US"/>
        </w:rPr>
        <w:t xml:space="preserve"> </w:t>
      </w:r>
      <w:r>
        <w:rPr>
          <w:rFonts w:ascii="Segoe UI" w:hAnsi="Segoe UI" w:cs="Segoe UI"/>
          <w:rtl/>
          <w:lang w:val="en-US"/>
        </w:rPr>
        <w:t>–</w:t>
      </w:r>
      <w:r>
        <w:rPr>
          <w:rFonts w:ascii="Segoe UI" w:hAnsi="Segoe UI" w:cs="Segoe UI" w:hint="cs"/>
          <w:rtl/>
          <w:lang w:val="en-US"/>
        </w:rPr>
        <w:t xml:space="preserve"> האסיר נמצא תחת עינם הבוחנת של אסירים אחרים המתגרים בו, מאיימים עליו במישרין או בעקיפין ובאופן כללי בוחנים  את גבולותיו וסבלנותו. מצב זה מעמיד את האסיר בעמדה של חוסר ביטחון תמידי המצריך עמידה על המשמר לשם הגנה על ביטחונו האישי, על גופו ועל רכושו המועט. </w:t>
      </w:r>
    </w:p>
    <w:p w14:paraId="47ECD617" w14:textId="024B7AB9" w:rsidR="005F2D20" w:rsidRDefault="005F2D20" w:rsidP="00D14063">
      <w:pPr>
        <w:bidi/>
        <w:spacing w:after="0" w:line="276" w:lineRule="auto"/>
        <w:jc w:val="both"/>
        <w:rPr>
          <w:rFonts w:ascii="Segoe UI" w:hAnsi="Segoe UI" w:cs="Segoe UI"/>
          <w:rtl/>
          <w:lang w:val="en-US"/>
        </w:rPr>
      </w:pPr>
    </w:p>
    <w:p w14:paraId="494FFCCC" w14:textId="77777777" w:rsidR="00C80B06" w:rsidRDefault="00FE33D3" w:rsidP="00D14063">
      <w:pPr>
        <w:pStyle w:val="110"/>
        <w:spacing w:line="276" w:lineRule="auto"/>
        <w:rPr>
          <w:rtl/>
        </w:rPr>
      </w:pPr>
      <w:proofErr w:type="spellStart"/>
      <w:r w:rsidRPr="001C13C8">
        <w:rPr>
          <w:rFonts w:hint="cs"/>
          <w:highlight w:val="green"/>
          <w:rtl/>
        </w:rPr>
        <w:t>פריסי</w:t>
      </w:r>
      <w:proofErr w:type="spellEnd"/>
      <w:r>
        <w:rPr>
          <w:rFonts w:hint="cs"/>
          <w:rtl/>
        </w:rPr>
        <w:t xml:space="preserve"> (</w:t>
      </w:r>
      <w:proofErr w:type="spellStart"/>
      <w:r>
        <w:rPr>
          <w:lang w:val="en-ZW"/>
        </w:rPr>
        <w:t>Parisi</w:t>
      </w:r>
      <w:proofErr w:type="spellEnd"/>
      <w:r>
        <w:rPr>
          <w:rFonts w:hint="cs"/>
          <w:rtl/>
        </w:rPr>
        <w:t xml:space="preserve">, 1982) </w:t>
      </w:r>
    </w:p>
    <w:p w14:paraId="24AFB16C" w14:textId="098B8A94" w:rsidR="005F2D20" w:rsidRDefault="00FE33D3" w:rsidP="00D14063">
      <w:pPr>
        <w:bidi/>
        <w:spacing w:after="0" w:line="276" w:lineRule="auto"/>
        <w:jc w:val="both"/>
        <w:rPr>
          <w:rFonts w:ascii="Segoe UI" w:hAnsi="Segoe UI" w:cs="Segoe UI"/>
          <w:rtl/>
          <w:lang w:val="en-US"/>
        </w:rPr>
      </w:pPr>
      <w:r>
        <w:rPr>
          <w:rFonts w:ascii="Segoe UI" w:hAnsi="Segoe UI" w:cs="Segoe UI" w:hint="cs"/>
          <w:rtl/>
          <w:lang w:val="en-US"/>
        </w:rPr>
        <w:t xml:space="preserve">הצביע על </w:t>
      </w:r>
      <w:r>
        <w:rPr>
          <w:rFonts w:ascii="Segoe UI" w:hAnsi="Segoe UI" w:cs="Segoe UI" w:hint="cs"/>
          <w:b/>
          <w:bCs/>
          <w:rtl/>
          <w:lang w:val="en-US"/>
        </w:rPr>
        <w:t>ארבעה</w:t>
      </w:r>
      <w:r>
        <w:rPr>
          <w:rFonts w:ascii="Segoe UI" w:hAnsi="Segoe UI" w:cs="Segoe UI" w:hint="cs"/>
          <w:rtl/>
          <w:lang w:val="en-US"/>
        </w:rPr>
        <w:t xml:space="preserve"> גורמי לחץ נוספים הקשורים למכאובי המאסר ומשפיעים על תפיסותיו והתנהגותו של האסיר</w:t>
      </w:r>
    </w:p>
    <w:p w14:paraId="74DA4AD3" w14:textId="77777777" w:rsidR="001C13C8" w:rsidRDefault="001C13C8" w:rsidP="00D14063">
      <w:pPr>
        <w:bidi/>
        <w:spacing w:after="0" w:line="276" w:lineRule="auto"/>
        <w:jc w:val="both"/>
        <w:rPr>
          <w:rFonts w:ascii="Segoe UI" w:hAnsi="Segoe UI" w:cs="Segoe UI"/>
          <w:rtl/>
          <w:lang w:val="en-US"/>
        </w:rPr>
      </w:pPr>
    </w:p>
    <w:p w14:paraId="29CAD373" w14:textId="65E4AA56" w:rsidR="00FE33D3" w:rsidRDefault="00FE33D3" w:rsidP="00D14063">
      <w:pPr>
        <w:pStyle w:val="ab"/>
        <w:numPr>
          <w:ilvl w:val="0"/>
          <w:numId w:val="117"/>
        </w:numPr>
        <w:bidi/>
        <w:spacing w:after="0" w:line="276" w:lineRule="auto"/>
        <w:jc w:val="both"/>
        <w:rPr>
          <w:rFonts w:ascii="Segoe UI" w:hAnsi="Segoe UI" w:cs="Segoe UI"/>
          <w:lang w:val="en-US"/>
        </w:rPr>
      </w:pPr>
      <w:r w:rsidRPr="001C13C8">
        <w:rPr>
          <w:rFonts w:ascii="Segoe UI" w:hAnsi="Segoe UI" w:cs="Segoe UI" w:hint="cs"/>
          <w:u w:val="single"/>
          <w:rtl/>
          <w:lang w:val="en-US"/>
        </w:rPr>
        <w:t>ה</w:t>
      </w:r>
      <w:r w:rsidR="001C13C8" w:rsidRPr="001C13C8">
        <w:rPr>
          <w:rFonts w:ascii="Segoe UI" w:hAnsi="Segoe UI" w:cs="Segoe UI" w:hint="cs"/>
          <w:u w:val="single"/>
          <w:rtl/>
          <w:lang w:val="en-US"/>
        </w:rPr>
        <w:t>יעדר יציבות</w:t>
      </w:r>
      <w:r w:rsidR="001C13C8">
        <w:rPr>
          <w:rFonts w:ascii="Segoe UI" w:hAnsi="Segoe UI" w:cs="Segoe UI" w:hint="cs"/>
          <w:rtl/>
          <w:lang w:val="en-US"/>
        </w:rPr>
        <w:t xml:space="preserve"> </w:t>
      </w:r>
      <w:r w:rsidR="001C13C8">
        <w:rPr>
          <w:rFonts w:ascii="Segoe UI" w:hAnsi="Segoe UI" w:cs="Segoe UI"/>
          <w:rtl/>
          <w:lang w:val="en-US"/>
        </w:rPr>
        <w:t>–</w:t>
      </w:r>
      <w:r w:rsidR="001C13C8">
        <w:rPr>
          <w:rFonts w:ascii="Segoe UI" w:hAnsi="Segoe UI" w:cs="Segoe UI" w:hint="cs"/>
          <w:rtl/>
          <w:lang w:val="en-US"/>
        </w:rPr>
        <w:t xml:space="preserve"> בית הסוהר מאופיין בספק תמידי ובחוסר ביטחון תמידי, הנובעים מחוסר בהירות בנושאים משפטיים ואחרים (שחרור מוקדם, אי שוויון בענישה), אשר מגבירים תחושות של חוסר אונים ותסכול הפוגעים ביכולתו של האסיר לקבל החלטות הגיוניות. </w:t>
      </w:r>
    </w:p>
    <w:p w14:paraId="10678920" w14:textId="3736B88F" w:rsidR="001C13C8" w:rsidRDefault="001C13C8" w:rsidP="00D14063">
      <w:pPr>
        <w:pStyle w:val="ab"/>
        <w:numPr>
          <w:ilvl w:val="0"/>
          <w:numId w:val="117"/>
        </w:numPr>
        <w:bidi/>
        <w:spacing w:after="0" w:line="276" w:lineRule="auto"/>
        <w:jc w:val="both"/>
        <w:rPr>
          <w:rFonts w:ascii="Segoe UI" w:hAnsi="Segoe UI" w:cs="Segoe UI"/>
          <w:lang w:val="en-US"/>
        </w:rPr>
      </w:pPr>
      <w:r w:rsidRPr="00B50064">
        <w:rPr>
          <w:rFonts w:ascii="Segoe UI" w:hAnsi="Segoe UI" w:cs="Segoe UI" w:hint="cs"/>
          <w:u w:val="single"/>
          <w:rtl/>
          <w:lang w:val="en-US"/>
        </w:rPr>
        <w:t>שעמום</w:t>
      </w:r>
      <w:r>
        <w:rPr>
          <w:rFonts w:ascii="Segoe UI" w:hAnsi="Segoe UI" w:cs="Segoe UI" w:hint="cs"/>
          <w:rtl/>
          <w:lang w:val="en-US"/>
        </w:rPr>
        <w:t xml:space="preserve"> </w:t>
      </w:r>
      <w:r>
        <w:rPr>
          <w:rFonts w:ascii="Segoe UI" w:hAnsi="Segoe UI" w:cs="Segoe UI"/>
          <w:rtl/>
          <w:lang w:val="en-US"/>
        </w:rPr>
        <w:t>–</w:t>
      </w:r>
      <w:r>
        <w:rPr>
          <w:rFonts w:ascii="Segoe UI" w:hAnsi="Segoe UI" w:cs="Segoe UI" w:hint="cs"/>
          <w:rtl/>
          <w:lang w:val="en-US"/>
        </w:rPr>
        <w:t xml:space="preserve"> בית הסוהר מאופיין בשגרת חיים רוטינית עם הרבה שעות פנאי, המובילות לתחושת שעמום. מצב זה אומנם מופחת באמצעות מתן אפשרויות תעסוקה ואחר</w:t>
      </w:r>
      <w:r w:rsidR="00266FA2">
        <w:rPr>
          <w:rFonts w:ascii="Segoe UI" w:hAnsi="Segoe UI" w:cs="Segoe UI" w:hint="cs"/>
          <w:rtl/>
          <w:lang w:val="en-US"/>
        </w:rPr>
        <w:t>יות לאסירים (עבודה, לימודים, ספורט וכו'), אלא שגם הן לרוב רוטיניות ולא מגוונות.</w:t>
      </w:r>
    </w:p>
    <w:p w14:paraId="49531333" w14:textId="3E27F18F" w:rsidR="00266FA2" w:rsidRDefault="00266FA2" w:rsidP="00D14063">
      <w:pPr>
        <w:pStyle w:val="ab"/>
        <w:numPr>
          <w:ilvl w:val="0"/>
          <w:numId w:val="117"/>
        </w:numPr>
        <w:bidi/>
        <w:spacing w:after="0" w:line="276" w:lineRule="auto"/>
        <w:jc w:val="both"/>
        <w:rPr>
          <w:rFonts w:ascii="Segoe UI" w:hAnsi="Segoe UI" w:cs="Segoe UI"/>
          <w:lang w:val="en-US"/>
        </w:rPr>
      </w:pPr>
      <w:r w:rsidRPr="00B50064">
        <w:rPr>
          <w:rFonts w:ascii="Segoe UI" w:hAnsi="Segoe UI" w:cs="Segoe UI" w:hint="cs"/>
          <w:u w:val="single"/>
          <w:rtl/>
          <w:lang w:val="en-US"/>
        </w:rPr>
        <w:t>דאגה בנוגע לעתיד</w:t>
      </w:r>
      <w:r>
        <w:rPr>
          <w:rFonts w:ascii="Segoe UI" w:hAnsi="Segoe UI" w:cs="Segoe UI" w:hint="cs"/>
          <w:rtl/>
          <w:lang w:val="en-US"/>
        </w:rPr>
        <w:t xml:space="preserve"> </w:t>
      </w:r>
      <w:r>
        <w:rPr>
          <w:rFonts w:ascii="Segoe UI" w:hAnsi="Segoe UI" w:cs="Segoe UI"/>
          <w:rtl/>
          <w:lang w:val="en-US"/>
        </w:rPr>
        <w:t>–</w:t>
      </w:r>
      <w:r>
        <w:rPr>
          <w:rFonts w:ascii="Segoe UI" w:hAnsi="Segoe UI" w:cs="Segoe UI" w:hint="cs"/>
          <w:rtl/>
          <w:lang w:val="en-US"/>
        </w:rPr>
        <w:t xml:space="preserve"> דאגת האסירים לגבי עתידם ויכולתם להשתלב מחדש בחברה, מגבירה אף היא את לחציהם. שני תחומים עיקריים נמצאו בראש סדר הדאגות של אסירים: מציאת תעסוקה הולמת ויכולתם לחזור למסגרת המשפחתית הקודמת/מקום מגוריהם הקודם. </w:t>
      </w:r>
    </w:p>
    <w:p w14:paraId="1D6ACA9A" w14:textId="222C67D3" w:rsidR="00266FA2" w:rsidRDefault="00241C69" w:rsidP="00D14063">
      <w:pPr>
        <w:pStyle w:val="ab"/>
        <w:numPr>
          <w:ilvl w:val="0"/>
          <w:numId w:val="117"/>
        </w:numPr>
        <w:bidi/>
        <w:spacing w:after="0" w:line="276" w:lineRule="auto"/>
        <w:jc w:val="both"/>
        <w:rPr>
          <w:rFonts w:ascii="Segoe UI" w:hAnsi="Segoe UI" w:cs="Segoe UI"/>
          <w:lang w:val="en-US"/>
        </w:rPr>
      </w:pPr>
      <w:r w:rsidRPr="00B50064">
        <w:rPr>
          <w:rFonts w:ascii="Segoe UI" w:hAnsi="Segoe UI" w:cs="Segoe UI" w:hint="cs"/>
          <w:u w:val="single"/>
          <w:rtl/>
          <w:lang w:val="en-US"/>
        </w:rPr>
        <w:lastRenderedPageBreak/>
        <w:t>פחד מתקיפות מיניות</w:t>
      </w:r>
      <w:r>
        <w:rPr>
          <w:rFonts w:ascii="Segoe UI" w:hAnsi="Segoe UI" w:cs="Segoe UI" w:hint="cs"/>
          <w:rtl/>
          <w:lang w:val="en-US"/>
        </w:rPr>
        <w:t xml:space="preserve"> </w:t>
      </w:r>
      <w:r>
        <w:rPr>
          <w:rFonts w:ascii="Segoe UI" w:hAnsi="Segoe UI" w:cs="Segoe UI"/>
          <w:rtl/>
          <w:lang w:val="en-US"/>
        </w:rPr>
        <w:t>–</w:t>
      </w:r>
      <w:r>
        <w:rPr>
          <w:rFonts w:ascii="Segoe UI" w:hAnsi="Segoe UI" w:cs="Segoe UI" w:hint="cs"/>
          <w:rtl/>
          <w:lang w:val="en-US"/>
        </w:rPr>
        <w:t xml:space="preserve"> פחד מאונס, מפיתוי ומהטרדות מיניות גם הם חלק מדאגותיהם של האסירים. ידוע כי אסירים יחידים או קבוצות של אסירים נוהגים לאנוס ולנצל אסירים אחרים בקביעות ולפיכך כל אסיר חייב לעמוד על המשמר. </w:t>
      </w:r>
    </w:p>
    <w:p w14:paraId="1C97D1F6" w14:textId="34932787" w:rsidR="00241C69" w:rsidRDefault="00241C69" w:rsidP="00D14063">
      <w:pPr>
        <w:pStyle w:val="ab"/>
        <w:numPr>
          <w:ilvl w:val="1"/>
          <w:numId w:val="117"/>
        </w:numPr>
        <w:bidi/>
        <w:spacing w:after="0" w:line="276" w:lineRule="auto"/>
        <w:jc w:val="both"/>
        <w:rPr>
          <w:rFonts w:ascii="Segoe UI" w:hAnsi="Segoe UI" w:cs="Segoe UI"/>
          <w:lang w:val="en-US"/>
        </w:rPr>
      </w:pPr>
      <w:r>
        <w:rPr>
          <w:rFonts w:ascii="Segoe UI" w:hAnsi="Segoe UI" w:cs="Segoe UI" w:hint="cs"/>
          <w:rtl/>
          <w:lang w:val="en-US"/>
        </w:rPr>
        <w:t xml:space="preserve">יחסי מין בכלא </w:t>
      </w:r>
      <w:r>
        <w:rPr>
          <w:rFonts w:ascii="Segoe UI" w:hAnsi="Segoe UI" w:cs="Segoe UI"/>
          <w:rtl/>
          <w:lang w:val="en-US"/>
        </w:rPr>
        <w:t>–</w:t>
      </w:r>
      <w:r>
        <w:rPr>
          <w:rFonts w:ascii="Segoe UI" w:hAnsi="Segoe UI" w:cs="Segoe UI" w:hint="cs"/>
          <w:rtl/>
          <w:lang w:val="en-US"/>
        </w:rPr>
        <w:t xml:space="preserve"> נתונים</w:t>
      </w:r>
    </w:p>
    <w:p w14:paraId="0CD724B7" w14:textId="276DC948" w:rsidR="00241C69" w:rsidRDefault="00241C69" w:rsidP="00D14063">
      <w:pPr>
        <w:pStyle w:val="ab"/>
        <w:numPr>
          <w:ilvl w:val="2"/>
          <w:numId w:val="117"/>
        </w:numPr>
        <w:bidi/>
        <w:spacing w:after="0" w:line="276" w:lineRule="auto"/>
        <w:jc w:val="both"/>
        <w:rPr>
          <w:rFonts w:ascii="Segoe UI" w:hAnsi="Segoe UI" w:cs="Segoe UI"/>
          <w:lang w:val="en-US"/>
        </w:rPr>
      </w:pPr>
      <w:r>
        <w:rPr>
          <w:rFonts w:ascii="Segoe UI" w:hAnsi="Segoe UI" w:cs="Segoe UI" w:hint="cs"/>
          <w:rtl/>
          <w:lang w:val="en-US"/>
        </w:rPr>
        <w:t>במחקר אחד שנערך בשני בתי סוהר במדינת ניו יורק נמצא כי 28</w:t>
      </w:r>
      <w:r w:rsidR="00B50064">
        <w:rPr>
          <w:rFonts w:ascii="Segoe UI" w:hAnsi="Segoe UI" w:cs="Segoe UI" w:hint="cs"/>
          <w:rtl/>
          <w:lang w:val="en-US"/>
        </w:rPr>
        <w:t>% מהאסירים היו מטרות לתקיפה מינית, אך רק 1.3% מתוכם נאנסו בפועל.</w:t>
      </w:r>
    </w:p>
    <w:p w14:paraId="39CF8734" w14:textId="5588F8AF" w:rsidR="00B50064" w:rsidRDefault="00B50064" w:rsidP="00D14063">
      <w:pPr>
        <w:pStyle w:val="ab"/>
        <w:numPr>
          <w:ilvl w:val="2"/>
          <w:numId w:val="117"/>
        </w:numPr>
        <w:bidi/>
        <w:spacing w:after="0" w:line="276" w:lineRule="auto"/>
        <w:jc w:val="both"/>
        <w:rPr>
          <w:rFonts w:ascii="Segoe UI" w:hAnsi="Segoe UI" w:cs="Segoe UI"/>
          <w:lang w:val="en-US"/>
        </w:rPr>
      </w:pPr>
      <w:r>
        <w:rPr>
          <w:rFonts w:ascii="Segoe UI" w:hAnsi="Segoe UI" w:cs="Segoe UI" w:hint="cs"/>
          <w:rtl/>
          <w:lang w:val="en-US"/>
        </w:rPr>
        <w:t>מחקר אחר מצא כי 2% מהאסירים שהשתתפו במחקר דיווחו כי נאנסו או שניסו לאנוס אותם.</w:t>
      </w:r>
    </w:p>
    <w:p w14:paraId="02B93469" w14:textId="7B5290FD" w:rsidR="00B50064" w:rsidRDefault="00B50064" w:rsidP="00D14063">
      <w:pPr>
        <w:pStyle w:val="ab"/>
        <w:numPr>
          <w:ilvl w:val="2"/>
          <w:numId w:val="117"/>
        </w:numPr>
        <w:bidi/>
        <w:spacing w:after="0" w:line="276" w:lineRule="auto"/>
        <w:jc w:val="both"/>
        <w:rPr>
          <w:rFonts w:ascii="Segoe UI" w:hAnsi="Segoe UI" w:cs="Segoe UI"/>
          <w:lang w:val="en-US"/>
        </w:rPr>
      </w:pPr>
      <w:r>
        <w:rPr>
          <w:rFonts w:ascii="Segoe UI" w:hAnsi="Segoe UI" w:cs="Segoe UI" w:hint="cs"/>
          <w:rtl/>
          <w:lang w:val="en-US"/>
        </w:rPr>
        <w:t xml:space="preserve">מחקר נוסף מצא כי 14% מהאסירים שהשתתפו במחקר אולצו לקיים יחסי מין הומוסקסואליים. </w:t>
      </w:r>
    </w:p>
    <w:p w14:paraId="299138D7" w14:textId="44DA61B3" w:rsidR="0011132E" w:rsidRDefault="0011132E" w:rsidP="00D14063">
      <w:pPr>
        <w:bidi/>
        <w:spacing w:after="0" w:line="276" w:lineRule="auto"/>
        <w:jc w:val="both"/>
        <w:rPr>
          <w:rFonts w:ascii="Segoe UI" w:hAnsi="Segoe UI" w:cs="Segoe UI"/>
          <w:rtl/>
          <w:lang w:val="en-US"/>
        </w:rPr>
      </w:pPr>
    </w:p>
    <w:p w14:paraId="08E2DC62" w14:textId="7B0B33AE" w:rsidR="0011132E" w:rsidRPr="00757D3E" w:rsidRDefault="00C80B06" w:rsidP="00D14063">
      <w:pPr>
        <w:pStyle w:val="110"/>
        <w:spacing w:line="276" w:lineRule="auto"/>
        <w:rPr>
          <w:color w:val="7030A0"/>
          <w:rtl/>
        </w:rPr>
      </w:pPr>
      <w:proofErr w:type="spellStart"/>
      <w:r w:rsidRPr="00757D3E">
        <w:rPr>
          <w:rFonts w:hint="cs"/>
          <w:color w:val="7030A0"/>
          <w:highlight w:val="green"/>
          <w:rtl/>
        </w:rPr>
        <w:t>טוך</w:t>
      </w:r>
      <w:proofErr w:type="spellEnd"/>
      <w:r w:rsidRPr="00757D3E">
        <w:rPr>
          <w:rFonts w:hint="cs"/>
          <w:color w:val="7030A0"/>
          <w:rtl/>
        </w:rPr>
        <w:t xml:space="preserve"> (</w:t>
      </w:r>
      <w:r w:rsidRPr="00757D3E">
        <w:rPr>
          <w:color w:val="7030A0"/>
          <w:lang w:val="en-ZW"/>
        </w:rPr>
        <w:t>Toch</w:t>
      </w:r>
      <w:r w:rsidRPr="00757D3E">
        <w:rPr>
          <w:rFonts w:hint="cs"/>
          <w:color w:val="7030A0"/>
          <w:rtl/>
        </w:rPr>
        <w:t xml:space="preserve">, 1992) </w:t>
      </w:r>
    </w:p>
    <w:p w14:paraId="77CA813C" w14:textId="4276414B" w:rsidR="00C80B06" w:rsidRDefault="00C80B06" w:rsidP="00D14063">
      <w:pPr>
        <w:bidi/>
        <w:spacing w:after="0" w:line="276" w:lineRule="auto"/>
        <w:jc w:val="both"/>
        <w:rPr>
          <w:rFonts w:ascii="Segoe UI" w:hAnsi="Segoe UI" w:cs="Segoe UI"/>
          <w:rtl/>
          <w:lang w:val="en-US"/>
        </w:rPr>
      </w:pPr>
      <w:r>
        <w:rPr>
          <w:rFonts w:ascii="Segoe UI" w:hAnsi="Segoe UI" w:cs="Segoe UI" w:hint="cs"/>
          <w:rtl/>
          <w:lang w:val="en-US"/>
        </w:rPr>
        <w:t xml:space="preserve">8 מאפייני מאסר לפי </w:t>
      </w:r>
      <w:proofErr w:type="spellStart"/>
      <w:r>
        <w:rPr>
          <w:rFonts w:ascii="Segoe UI" w:hAnsi="Segoe UI" w:cs="Segoe UI" w:hint="cs"/>
          <w:rtl/>
          <w:lang w:val="en-US"/>
        </w:rPr>
        <w:t>טוך</w:t>
      </w:r>
      <w:proofErr w:type="spellEnd"/>
    </w:p>
    <w:p w14:paraId="255F4960" w14:textId="77777777" w:rsidR="00BC1574" w:rsidRPr="00BC1574" w:rsidRDefault="00BC1574" w:rsidP="00F45776">
      <w:pPr>
        <w:pStyle w:val="ab"/>
        <w:numPr>
          <w:ilvl w:val="0"/>
          <w:numId w:val="118"/>
        </w:numPr>
        <w:bidi/>
        <w:spacing w:after="0" w:line="276" w:lineRule="auto"/>
        <w:ind w:left="360"/>
        <w:jc w:val="both"/>
        <w:rPr>
          <w:rFonts w:ascii="Segoe UI" w:hAnsi="Segoe UI" w:cs="Segoe UI"/>
          <w:lang w:val="en-US"/>
        </w:rPr>
      </w:pPr>
      <w:r w:rsidRPr="00BC1574">
        <w:rPr>
          <w:rFonts w:ascii="Segoe UI" w:hAnsi="Segoe UI" w:cs="Segoe UI"/>
          <w:u w:val="single"/>
          <w:rtl/>
          <w:lang w:val="en-US"/>
        </w:rPr>
        <w:t>היעדר פרטיות</w:t>
      </w:r>
      <w:r w:rsidRPr="00BC1574">
        <w:rPr>
          <w:rFonts w:ascii="Segoe UI" w:hAnsi="Segoe UI" w:cs="Segoe UI"/>
          <w:rtl/>
          <w:lang w:val="en-US"/>
        </w:rPr>
        <w:t xml:space="preserve"> – הצורך בפרטיות מתבטא בהימנעות מחיכוך פיזי ונפשי עם אסירים אחרים שאינם חביבים עליו. הדבר עלול להוביל להסתגרות ארוכה של האסיר בתאו ולהתבודדותו, תוך מיעוט מגע אנושי בתוך מוסד מבודד ממילא. </w:t>
      </w:r>
    </w:p>
    <w:p w14:paraId="038A0F0C" w14:textId="77777777" w:rsidR="00BC1574" w:rsidRPr="00BC1574" w:rsidRDefault="00BC1574" w:rsidP="00F45776">
      <w:pPr>
        <w:pStyle w:val="ab"/>
        <w:numPr>
          <w:ilvl w:val="0"/>
          <w:numId w:val="118"/>
        </w:numPr>
        <w:bidi/>
        <w:spacing w:after="0" w:line="276" w:lineRule="auto"/>
        <w:ind w:left="360"/>
        <w:jc w:val="both"/>
        <w:rPr>
          <w:rFonts w:ascii="Segoe UI" w:hAnsi="Segoe UI" w:cs="Segoe UI"/>
          <w:lang w:val="en-US"/>
        </w:rPr>
      </w:pPr>
      <w:proofErr w:type="spellStart"/>
      <w:r w:rsidRPr="00BC1574">
        <w:rPr>
          <w:rFonts w:ascii="Segoe UI" w:hAnsi="Segoe UI" w:cs="Segoe UI"/>
          <w:u w:val="single"/>
          <w:rtl/>
          <w:lang w:val="en-US"/>
        </w:rPr>
        <w:t>אוכלוסיה</w:t>
      </w:r>
      <w:proofErr w:type="spellEnd"/>
      <w:r w:rsidRPr="00BC1574">
        <w:rPr>
          <w:rFonts w:ascii="Segoe UI" w:hAnsi="Segoe UI" w:cs="Segoe UI"/>
          <w:u w:val="single"/>
          <w:rtl/>
          <w:lang w:val="en-US"/>
        </w:rPr>
        <w:t xml:space="preserve"> הטרוגנית</w:t>
      </w:r>
      <w:r w:rsidRPr="00BC1574">
        <w:rPr>
          <w:rFonts w:ascii="Segoe UI" w:hAnsi="Segoe UI" w:cs="Segoe UI"/>
          <w:rtl/>
          <w:lang w:val="en-US"/>
        </w:rPr>
        <w:t xml:space="preserve"> – בית הסוהר מאוכלס במגוון של אסירים, השונים זה מזה בתרבות שלהם, בצרכים האישיים, בכישורים שלהם, ברמת בגרותם הנפשית וכיו"ב. הטרוגניות זו גורמת לאסירים רבים לבחור בדרכי הסתגלות המגבירים את בידודם החברתי. </w:t>
      </w:r>
    </w:p>
    <w:p w14:paraId="43A0A251" w14:textId="77777777" w:rsidR="00757D3E" w:rsidRPr="00757D3E" w:rsidRDefault="00757D3E" w:rsidP="00F45776">
      <w:pPr>
        <w:pStyle w:val="ab"/>
        <w:numPr>
          <w:ilvl w:val="0"/>
          <w:numId w:val="118"/>
        </w:numPr>
        <w:bidi/>
        <w:spacing w:after="0" w:line="276" w:lineRule="auto"/>
        <w:ind w:left="360"/>
        <w:jc w:val="both"/>
        <w:rPr>
          <w:rFonts w:ascii="Segoe UI" w:hAnsi="Segoe UI" w:cs="Segoe UI"/>
          <w:lang w:val="en-US"/>
        </w:rPr>
      </w:pPr>
      <w:r w:rsidRPr="00757D3E">
        <w:rPr>
          <w:rFonts w:ascii="Segoe UI" w:hAnsi="Segoe UI" w:cs="Segoe UI"/>
          <w:u w:val="single"/>
          <w:rtl/>
          <w:lang w:val="en-US"/>
        </w:rPr>
        <w:t>היררכיית בית הסוהר</w:t>
      </w:r>
      <w:r w:rsidRPr="00757D3E">
        <w:rPr>
          <w:rFonts w:ascii="Segoe UI" w:hAnsi="Segoe UI" w:cs="Segoe UI"/>
          <w:rtl/>
          <w:lang w:val="en-US"/>
        </w:rPr>
        <w:t xml:space="preserve"> – האסירים תופסים את צוות הסוהרים כ"רודן" השולט בהם ובהתנהגותם, מצב שמגביר את חוסר האונים, חוסר העצמאות והחולשה שלהם. </w:t>
      </w:r>
    </w:p>
    <w:p w14:paraId="1B5336B8" w14:textId="77777777" w:rsidR="006A13ED" w:rsidRPr="006A13ED" w:rsidRDefault="006A13ED" w:rsidP="00F45776">
      <w:pPr>
        <w:pStyle w:val="ab"/>
        <w:numPr>
          <w:ilvl w:val="0"/>
          <w:numId w:val="118"/>
        </w:numPr>
        <w:bidi/>
        <w:spacing w:after="0" w:line="276" w:lineRule="auto"/>
        <w:ind w:left="360"/>
        <w:jc w:val="both"/>
        <w:rPr>
          <w:rFonts w:ascii="Segoe UI" w:hAnsi="Segoe UI" w:cs="Segoe UI"/>
          <w:lang w:val="en-US"/>
        </w:rPr>
      </w:pPr>
      <w:r w:rsidRPr="006A13ED">
        <w:rPr>
          <w:rFonts w:ascii="Segoe UI" w:hAnsi="Segoe UI" w:cs="Segoe UI"/>
          <w:u w:val="single"/>
          <w:rtl/>
          <w:lang w:val="en-US"/>
        </w:rPr>
        <w:t>בידוד חברתי</w:t>
      </w:r>
      <w:r w:rsidRPr="006A13ED">
        <w:rPr>
          <w:rFonts w:ascii="Segoe UI" w:hAnsi="Segoe UI" w:cs="Segoe UI"/>
          <w:b/>
          <w:bCs/>
          <w:rtl/>
          <w:lang w:val="en-US"/>
        </w:rPr>
        <w:t xml:space="preserve"> </w:t>
      </w:r>
      <w:r w:rsidRPr="006A13ED">
        <w:rPr>
          <w:rFonts w:ascii="Segoe UI" w:hAnsi="Segoe UI" w:cs="Segoe UI"/>
          <w:rtl/>
          <w:lang w:val="en-US"/>
        </w:rPr>
        <w:t xml:space="preserve">– לאסירים רבים יש סיבולת נמוכה לבידוד. בכלא הם מרגישים לא כבני אנוש אלא כחיות בכלובים; הם חשים כמי שננטשו מעולם החברתי הקודם; חשים לא מבודדים אלא חנוקים. </w:t>
      </w:r>
    </w:p>
    <w:p w14:paraId="69BBFA6B" w14:textId="77777777" w:rsidR="006A13ED" w:rsidRPr="006A13ED" w:rsidRDefault="006A13ED" w:rsidP="00F45776">
      <w:pPr>
        <w:pStyle w:val="ab"/>
        <w:numPr>
          <w:ilvl w:val="0"/>
          <w:numId w:val="118"/>
        </w:numPr>
        <w:bidi/>
        <w:spacing w:after="0" w:line="276" w:lineRule="auto"/>
        <w:ind w:left="360"/>
        <w:jc w:val="both"/>
        <w:rPr>
          <w:rFonts w:ascii="Segoe UI" w:hAnsi="Segoe UI" w:cs="Segoe UI"/>
          <w:lang w:val="en-US"/>
        </w:rPr>
      </w:pPr>
      <w:r w:rsidRPr="006A13ED">
        <w:rPr>
          <w:rFonts w:ascii="Segoe UI" w:hAnsi="Segoe UI" w:cs="Segoe UI"/>
          <w:u w:val="single"/>
          <w:rtl/>
          <w:lang w:val="en-US"/>
        </w:rPr>
        <w:t>היעדר תמיכה</w:t>
      </w:r>
      <w:r w:rsidRPr="006A13ED">
        <w:rPr>
          <w:rFonts w:ascii="Segoe UI" w:hAnsi="Segoe UI" w:cs="Segoe UI"/>
          <w:rtl/>
          <w:lang w:val="en-US"/>
        </w:rPr>
        <w:t xml:space="preserve"> – אסירים רבים מתקשים לבקש עזרה מחבריהם למאסר או מקרוביהם בחוץ, מה שמותיר אותם נטולי תמיכה, מה שמקשה עליהם להתגבר על מצוקותיהם. </w:t>
      </w:r>
    </w:p>
    <w:p w14:paraId="5765CC40" w14:textId="77777777" w:rsidR="006A13ED" w:rsidRPr="006A13ED" w:rsidRDefault="006A13ED" w:rsidP="00F45776">
      <w:pPr>
        <w:pStyle w:val="ab"/>
        <w:numPr>
          <w:ilvl w:val="0"/>
          <w:numId w:val="118"/>
        </w:numPr>
        <w:bidi/>
        <w:spacing w:after="0" w:line="276" w:lineRule="auto"/>
        <w:ind w:left="360"/>
        <w:jc w:val="both"/>
        <w:rPr>
          <w:rFonts w:ascii="Segoe UI" w:hAnsi="Segoe UI" w:cs="Segoe UI"/>
          <w:lang w:val="en-US"/>
        </w:rPr>
      </w:pPr>
      <w:r w:rsidRPr="006A13ED">
        <w:rPr>
          <w:rFonts w:ascii="Segoe UI" w:hAnsi="Segoe UI" w:cs="Segoe UI"/>
          <w:u w:val="single"/>
          <w:rtl/>
          <w:lang w:val="en-US"/>
        </w:rPr>
        <w:t>היעדר תמיכה</w:t>
      </w:r>
      <w:r w:rsidRPr="006A13ED">
        <w:rPr>
          <w:rFonts w:ascii="Segoe UI" w:hAnsi="Segoe UI" w:cs="Segoe UI"/>
          <w:rtl/>
          <w:lang w:val="en-US"/>
        </w:rPr>
        <w:t xml:space="preserve"> – אסירים רבים מתקשים לבקש עזרה מחבריהם למאסר או מקרוביהם בחוץ, מה שמותיר אותם נטולי תמיכה, מה שמקשה עליהם להתגבר על מצוקותיהם. </w:t>
      </w:r>
    </w:p>
    <w:p w14:paraId="24F07FDF" w14:textId="77777777" w:rsidR="00636A45" w:rsidRPr="00636A45" w:rsidRDefault="00636A45" w:rsidP="00F45776">
      <w:pPr>
        <w:pStyle w:val="ab"/>
        <w:numPr>
          <w:ilvl w:val="0"/>
          <w:numId w:val="118"/>
        </w:numPr>
        <w:bidi/>
        <w:spacing w:after="0" w:line="276" w:lineRule="auto"/>
        <w:ind w:left="360"/>
        <w:jc w:val="both"/>
        <w:rPr>
          <w:rFonts w:ascii="Segoe UI" w:hAnsi="Segoe UI" w:cs="Segoe UI"/>
          <w:lang w:val="en-US"/>
        </w:rPr>
      </w:pPr>
      <w:r w:rsidRPr="00636A45">
        <w:rPr>
          <w:rFonts w:ascii="Segoe UI" w:hAnsi="Segoe UI" w:cs="Segoe UI"/>
          <w:u w:val="single"/>
          <w:rtl/>
          <w:lang w:val="en-US"/>
        </w:rPr>
        <w:t>בלבול</w:t>
      </w:r>
      <w:r w:rsidRPr="00636A45">
        <w:rPr>
          <w:rFonts w:ascii="Segoe UI" w:hAnsi="Segoe UI" w:cs="Segoe UI"/>
          <w:b/>
          <w:bCs/>
          <w:rtl/>
          <w:lang w:val="en-US"/>
        </w:rPr>
        <w:t xml:space="preserve"> </w:t>
      </w:r>
      <w:r w:rsidRPr="00636A45">
        <w:rPr>
          <w:rFonts w:ascii="Segoe UI" w:hAnsi="Segoe UI" w:cs="Segoe UI"/>
          <w:rtl/>
          <w:lang w:val="en-US"/>
        </w:rPr>
        <w:t xml:space="preserve">– הטשטוש בין העולם בחוץ לבין חיי הכלא, עלול להוביל לבלבול אצל האסיר ולחוסר הסתגלות שלו לחיי החוץ. </w:t>
      </w:r>
    </w:p>
    <w:p w14:paraId="6DF7B89B" w14:textId="77777777" w:rsidR="00636A45" w:rsidRPr="00636A45" w:rsidRDefault="00636A45" w:rsidP="00F45776">
      <w:pPr>
        <w:pStyle w:val="ab"/>
        <w:numPr>
          <w:ilvl w:val="0"/>
          <w:numId w:val="118"/>
        </w:numPr>
        <w:bidi/>
        <w:spacing w:after="0" w:line="276" w:lineRule="auto"/>
        <w:ind w:left="360"/>
        <w:jc w:val="both"/>
        <w:rPr>
          <w:rFonts w:ascii="Segoe UI" w:hAnsi="Segoe UI" w:cs="Segoe UI"/>
          <w:lang w:val="en-US"/>
        </w:rPr>
      </w:pPr>
      <w:r w:rsidRPr="00636A45">
        <w:rPr>
          <w:rFonts w:ascii="Segoe UI" w:hAnsi="Segoe UI" w:cs="Segoe UI"/>
          <w:u w:val="single"/>
          <w:rtl/>
          <w:lang w:val="en-US"/>
        </w:rPr>
        <w:t>צפיפות</w:t>
      </w:r>
      <w:r w:rsidRPr="00636A45">
        <w:rPr>
          <w:rFonts w:ascii="Segoe UI" w:hAnsi="Segoe UI" w:cs="Segoe UI"/>
          <w:rtl/>
          <w:lang w:val="en-US"/>
        </w:rPr>
        <w:t xml:space="preserve"> – בתי הסוהר בעולם הופכים לצפופים יותר ויותר, עקב הגידול המתמיד באוכלוסייה לצד היעדר הגדלה והוספה של בתי סוהר חדשים, בשל בעיות תקציביות. צפיפות זו – המתבטאת גם באופן פיזי וגם חברתי, עלולה להוביל (ביחד עם גורמים נוספים) לאלימות</w:t>
      </w:r>
    </w:p>
    <w:p w14:paraId="4DB3B895" w14:textId="1409F009" w:rsidR="00C80B06" w:rsidRDefault="00C80B06" w:rsidP="00D14063">
      <w:pPr>
        <w:bidi/>
        <w:spacing w:after="0" w:line="276" w:lineRule="auto"/>
        <w:jc w:val="both"/>
        <w:rPr>
          <w:rFonts w:ascii="Segoe UI" w:hAnsi="Segoe UI" w:cs="Segoe UI"/>
          <w:rtl/>
          <w:lang w:val="en-US"/>
        </w:rPr>
      </w:pPr>
    </w:p>
    <w:p w14:paraId="5C4A50E6" w14:textId="7D4808D3" w:rsidR="0096165D" w:rsidRDefault="0096165D" w:rsidP="00D14063">
      <w:pPr>
        <w:pStyle w:val="2"/>
        <w:rPr>
          <w:rtl/>
        </w:rPr>
      </w:pPr>
      <w:bookmarkStart w:id="134" w:name="_Toc108218290"/>
      <w:r>
        <w:rPr>
          <w:rFonts w:hint="cs"/>
          <w:rtl/>
        </w:rPr>
        <w:t>קוד התנהגות אסירים</w:t>
      </w:r>
      <w:bookmarkEnd w:id="134"/>
    </w:p>
    <w:p w14:paraId="4F877865" w14:textId="250091A8" w:rsidR="008663CD" w:rsidRDefault="008663CD" w:rsidP="00D14063">
      <w:pPr>
        <w:bidi/>
        <w:spacing w:after="0" w:line="276" w:lineRule="auto"/>
        <w:jc w:val="both"/>
        <w:rPr>
          <w:rFonts w:ascii="Segoe UI" w:hAnsi="Segoe UI" w:cs="Segoe UI"/>
          <w:rtl/>
          <w:lang w:val="en-ZW"/>
        </w:rPr>
      </w:pPr>
      <w:r>
        <w:rPr>
          <w:rFonts w:ascii="Segoe UI" w:hAnsi="Segoe UI" w:cs="Segoe UI" w:hint="cs"/>
          <w:rtl/>
          <w:lang w:val="en-ZW"/>
        </w:rPr>
        <w:t>מספר כללים בסיסיים, המאפשרים לאסיר להעביר את תקופת שהייתו בבית הסוהר בצורה בטוחה ושקטה יחסית.</w:t>
      </w:r>
    </w:p>
    <w:p w14:paraId="21E0A2F0" w14:textId="37075523" w:rsidR="008663CD" w:rsidRDefault="008663CD" w:rsidP="00D14063">
      <w:pPr>
        <w:bidi/>
        <w:spacing w:after="0" w:line="276" w:lineRule="auto"/>
        <w:jc w:val="both"/>
        <w:rPr>
          <w:rFonts w:ascii="Segoe UI" w:hAnsi="Segoe UI" w:cs="Segoe UI"/>
          <w:rtl/>
          <w:lang w:val="en-ZW"/>
        </w:rPr>
      </w:pPr>
      <w:r>
        <w:rPr>
          <w:rFonts w:ascii="Segoe UI" w:hAnsi="Segoe UI" w:cs="Segoe UI" w:hint="cs"/>
          <w:rtl/>
          <w:lang w:val="en-ZW"/>
        </w:rPr>
        <w:t xml:space="preserve">קוד ההתנהגות יוצר סולידריות ומחויבות בין האסירים, קרי "קולקטיביות פונקציונאלית". </w:t>
      </w:r>
    </w:p>
    <w:p w14:paraId="2F59F356" w14:textId="77777777" w:rsidR="000B4EB2" w:rsidRDefault="000B4EB2" w:rsidP="00D14063">
      <w:pPr>
        <w:bidi/>
        <w:spacing w:after="0" w:line="276" w:lineRule="auto"/>
        <w:jc w:val="both"/>
        <w:rPr>
          <w:rFonts w:ascii="Segoe UI" w:hAnsi="Segoe UI" w:cs="Segoe UI"/>
          <w:rtl/>
          <w:lang w:val="en-ZW"/>
        </w:rPr>
      </w:pPr>
    </w:p>
    <w:p w14:paraId="371EDEBD" w14:textId="73C68946" w:rsidR="000B4EB2" w:rsidRPr="000B4EB2" w:rsidRDefault="000B4EB2" w:rsidP="00F45776">
      <w:pPr>
        <w:pStyle w:val="ab"/>
        <w:numPr>
          <w:ilvl w:val="0"/>
          <w:numId w:val="119"/>
        </w:numPr>
        <w:bidi/>
        <w:spacing w:after="0" w:line="276" w:lineRule="auto"/>
        <w:ind w:left="360"/>
        <w:jc w:val="both"/>
        <w:rPr>
          <w:rFonts w:ascii="Segoe UI" w:hAnsi="Segoe UI" w:cs="Segoe UI"/>
          <w:lang w:val="en-US"/>
        </w:rPr>
      </w:pPr>
      <w:r w:rsidRPr="000B4EB2">
        <w:rPr>
          <w:rFonts w:ascii="Segoe UI" w:hAnsi="Segoe UI" w:cs="Segoe UI"/>
          <w:u w:val="single"/>
          <w:rtl/>
          <w:lang w:val="en-ZW"/>
        </w:rPr>
        <w:t>לא לקבל ולא לבקש טובות מאסיר אחר</w:t>
      </w:r>
      <w:r w:rsidR="00AC4EA9">
        <w:rPr>
          <w:rFonts w:ascii="Segoe UI" w:hAnsi="Segoe UI" w:cs="Segoe UI" w:hint="cs"/>
          <w:b/>
          <w:bCs/>
          <w:rtl/>
          <w:lang w:val="en-ZW"/>
        </w:rPr>
        <w:t xml:space="preserve"> - </w:t>
      </w:r>
      <w:r w:rsidRPr="000B4EB2">
        <w:rPr>
          <w:rFonts w:ascii="Segoe UI" w:hAnsi="Segoe UI" w:cs="Segoe UI"/>
          <w:rtl/>
          <w:lang w:val="en-ZW"/>
        </w:rPr>
        <w:t xml:space="preserve">אסיר מנוסה אינו נותן דבר ללא תמורה. לכל דבר בבית הסוהר יש מחיר. כך למשל, קבלה תמימה של סיגריה מאסיר אחר, יכולה להציב את האסיר המקבל על מדרון חלקלק של מחויבות הולכת וגדלה לאסיר שנתן את ה"מתנה". </w:t>
      </w:r>
    </w:p>
    <w:p w14:paraId="4D6B7A4B" w14:textId="77777777" w:rsidR="000B4EB2" w:rsidRPr="000B4EB2" w:rsidRDefault="000B4EB2" w:rsidP="00F45776">
      <w:pPr>
        <w:pStyle w:val="ab"/>
        <w:numPr>
          <w:ilvl w:val="0"/>
          <w:numId w:val="119"/>
        </w:numPr>
        <w:bidi/>
        <w:spacing w:after="0" w:line="276" w:lineRule="auto"/>
        <w:ind w:left="360"/>
        <w:jc w:val="both"/>
        <w:rPr>
          <w:rFonts w:ascii="Segoe UI" w:hAnsi="Segoe UI" w:cs="Segoe UI"/>
          <w:lang w:val="en-US"/>
        </w:rPr>
      </w:pPr>
      <w:r w:rsidRPr="000B4EB2">
        <w:rPr>
          <w:rFonts w:ascii="Segoe UI" w:hAnsi="Segoe UI" w:cs="Segoe UI"/>
          <w:u w:val="single"/>
          <w:rtl/>
          <w:lang w:val="en-ZW"/>
        </w:rPr>
        <w:t>לא לנדב מידע אישי ומידע אודות נסיבות המאסר</w:t>
      </w:r>
      <w:r w:rsidRPr="000B4EB2">
        <w:rPr>
          <w:rFonts w:ascii="Segoe UI" w:hAnsi="Segoe UI" w:cs="Segoe UI"/>
          <w:b/>
          <w:bCs/>
          <w:rtl/>
          <w:lang w:val="en-ZW"/>
        </w:rPr>
        <w:t xml:space="preserve"> - </w:t>
      </w:r>
      <w:r w:rsidRPr="000B4EB2">
        <w:rPr>
          <w:rFonts w:ascii="Segoe UI" w:hAnsi="Segoe UI" w:cs="Segoe UI"/>
          <w:rtl/>
          <w:lang w:val="en-ZW"/>
        </w:rPr>
        <w:t>כל נתון ועובדה שיספק האסיר, עלולים להיות כלי לניצול בידי אסירים אחרים. ככל שנותנים פחות מידע, פחות חשופים לסכנות של ניצול ובגידה</w:t>
      </w:r>
    </w:p>
    <w:p w14:paraId="09C3A8A2" w14:textId="77777777" w:rsidR="00AC4EA9" w:rsidRPr="00AC4EA9" w:rsidRDefault="00AC4EA9" w:rsidP="00F45776">
      <w:pPr>
        <w:pStyle w:val="ab"/>
        <w:numPr>
          <w:ilvl w:val="0"/>
          <w:numId w:val="119"/>
        </w:numPr>
        <w:bidi/>
        <w:spacing w:after="0" w:line="276" w:lineRule="auto"/>
        <w:ind w:left="360"/>
        <w:jc w:val="both"/>
        <w:rPr>
          <w:rFonts w:ascii="Segoe UI" w:hAnsi="Segoe UI" w:cs="Segoe UI"/>
          <w:lang w:val="en-US"/>
        </w:rPr>
      </w:pPr>
      <w:r w:rsidRPr="00AC4EA9">
        <w:rPr>
          <w:rFonts w:ascii="Segoe UI" w:hAnsi="Segoe UI" w:cs="Segoe UI"/>
          <w:u w:val="single"/>
          <w:rtl/>
          <w:lang w:val="en-ZW"/>
        </w:rPr>
        <w:lastRenderedPageBreak/>
        <w:t xml:space="preserve">הפגנת ביטחון </w:t>
      </w:r>
      <w:r w:rsidRPr="00AC4EA9">
        <w:rPr>
          <w:rFonts w:ascii="Segoe UI" w:hAnsi="Segoe UI" w:cs="Segoe UI"/>
          <w:b/>
          <w:bCs/>
          <w:rtl/>
          <w:lang w:val="en-ZW"/>
        </w:rPr>
        <w:t xml:space="preserve">- </w:t>
      </w:r>
      <w:r w:rsidRPr="00AC4EA9">
        <w:rPr>
          <w:rFonts w:ascii="Segoe UI" w:hAnsi="Segoe UI" w:cs="Segoe UI"/>
          <w:rtl/>
          <w:lang w:val="en-ZW"/>
        </w:rPr>
        <w:t>האסיר צריך להפגין ביטחון ולעולם לא להסגיר פחד, הנתפשים כחולשה שיכולה להוביל לניצולו או להכנעתו. האסיר צריך להקרין שקט נפשי, ביטחון עצמי ונחרצות, ולהפגין כי מי ש"יתעסק" עמו, ישלם מחיר יקר</w:t>
      </w:r>
    </w:p>
    <w:p w14:paraId="6090EC72" w14:textId="77777777" w:rsidR="00AC4EA9" w:rsidRPr="00AC4EA9" w:rsidRDefault="00AC4EA9" w:rsidP="00F45776">
      <w:pPr>
        <w:pStyle w:val="ab"/>
        <w:numPr>
          <w:ilvl w:val="0"/>
          <w:numId w:val="119"/>
        </w:numPr>
        <w:bidi/>
        <w:spacing w:after="0" w:line="276" w:lineRule="auto"/>
        <w:ind w:left="360"/>
        <w:jc w:val="both"/>
        <w:rPr>
          <w:rFonts w:ascii="Segoe UI" w:hAnsi="Segoe UI" w:cs="Segoe UI"/>
          <w:lang w:val="en-US"/>
        </w:rPr>
      </w:pPr>
      <w:r w:rsidRPr="00AC4EA9">
        <w:rPr>
          <w:rFonts w:ascii="Segoe UI" w:hAnsi="Segoe UI" w:cs="Segoe UI"/>
          <w:u w:val="single"/>
          <w:rtl/>
          <w:lang w:val="en-ZW"/>
        </w:rPr>
        <w:t>איסור הלשנה ובגידה</w:t>
      </w:r>
      <w:r w:rsidRPr="00AC4EA9">
        <w:rPr>
          <w:rFonts w:ascii="Segoe UI" w:hAnsi="Segoe UI" w:cs="Segoe UI"/>
          <w:b/>
          <w:bCs/>
          <w:rtl/>
          <w:lang w:val="en-ZW"/>
        </w:rPr>
        <w:t xml:space="preserve"> - </w:t>
      </w:r>
      <w:r w:rsidRPr="00AC4EA9">
        <w:rPr>
          <w:rFonts w:ascii="Segoe UI" w:hAnsi="Segoe UI" w:cs="Segoe UI"/>
          <w:rtl/>
          <w:lang w:val="en-ZW"/>
        </w:rPr>
        <w:t xml:space="preserve">"בגידה" בחוקים הבלתי כתובים של כללי האסירים מובילה למיני עונשים, החל ממבטי בוז, נידוי וכלה במעשי אלימות ואף מוות. </w:t>
      </w:r>
    </w:p>
    <w:p w14:paraId="6A34EBF7" w14:textId="7BEBE292" w:rsidR="008663CD" w:rsidRDefault="008663CD" w:rsidP="00D14063">
      <w:pPr>
        <w:bidi/>
        <w:spacing w:after="0" w:line="276" w:lineRule="auto"/>
        <w:jc w:val="both"/>
        <w:rPr>
          <w:rFonts w:ascii="Segoe UI" w:hAnsi="Segoe UI" w:cs="Segoe UI"/>
          <w:rtl/>
          <w:lang w:val="en-ZW"/>
        </w:rPr>
      </w:pPr>
    </w:p>
    <w:p w14:paraId="236004D6" w14:textId="65A5C5D6" w:rsidR="00024A3A" w:rsidRDefault="00024A3A" w:rsidP="00D14063">
      <w:pPr>
        <w:pStyle w:val="2"/>
        <w:rPr>
          <w:rtl/>
        </w:rPr>
      </w:pPr>
      <w:bookmarkStart w:id="135" w:name="_Toc108218291"/>
      <w:r>
        <w:rPr>
          <w:rFonts w:hint="cs"/>
          <w:rtl/>
        </w:rPr>
        <w:t>זכויות אסירים בסיסיות מול טובות הנאה</w:t>
      </w:r>
      <w:bookmarkEnd w:id="135"/>
    </w:p>
    <w:p w14:paraId="23A38247" w14:textId="1635C306" w:rsidR="00024A3A" w:rsidRDefault="001439BA" w:rsidP="00D14063">
      <w:pPr>
        <w:bidi/>
        <w:spacing w:line="276" w:lineRule="auto"/>
        <w:jc w:val="both"/>
        <w:rPr>
          <w:rFonts w:ascii="Segoe UI" w:hAnsi="Segoe UI" w:cs="Segoe UI"/>
          <w:rtl/>
          <w:lang w:val="en-ZW"/>
        </w:rPr>
      </w:pPr>
      <w:r>
        <w:rPr>
          <w:rFonts w:ascii="Segoe UI" w:hAnsi="Segoe UI" w:cs="Segoe UI" w:hint="cs"/>
          <w:rtl/>
          <w:lang w:val="en-ZW"/>
        </w:rPr>
        <w:t xml:space="preserve">טובות הנאה הן תנאים שמנהל בית הסוהר רשאי לתת לאסיר נוסף על הזכויות שמוקנות לו לפי חוק, והן מותנות בהתנהגות טובה, הענקתן או שלילתן של טובות הנאה נתונות לשיקול דעתו של מנהל בית הסוהר. </w:t>
      </w:r>
    </w:p>
    <w:p w14:paraId="278770A8" w14:textId="1434DF27" w:rsidR="00E503BD" w:rsidRDefault="00E503BD" w:rsidP="00D14063">
      <w:pPr>
        <w:bidi/>
        <w:spacing w:line="276" w:lineRule="auto"/>
        <w:jc w:val="both"/>
        <w:rPr>
          <w:rFonts w:ascii="Segoe UI" w:hAnsi="Segoe UI" w:cs="Segoe UI"/>
          <w:rtl/>
          <w:lang w:val="en-ZW"/>
        </w:rPr>
      </w:pPr>
      <w:r>
        <w:rPr>
          <w:rFonts w:ascii="Segoe UI" w:hAnsi="Segoe UI" w:cs="Segoe UI" w:hint="cs"/>
          <w:rtl/>
          <w:lang w:val="en-ZW"/>
        </w:rPr>
        <w:t xml:space="preserve">זכויות האסירים מעוגנות בפקודת בתי הסוהר ובתקנות בתי הסוהר </w:t>
      </w:r>
      <w:r>
        <w:rPr>
          <w:rFonts w:ascii="Segoe UI" w:hAnsi="Segoe UI" w:cs="Segoe UI"/>
          <w:rtl/>
          <w:lang w:val="en-ZW"/>
        </w:rPr>
        <w:t>–</w:t>
      </w:r>
      <w:r>
        <w:rPr>
          <w:rFonts w:ascii="Segoe UI" w:hAnsi="Segoe UI" w:cs="Segoe UI" w:hint="cs"/>
          <w:rtl/>
          <w:lang w:val="en-ZW"/>
        </w:rPr>
        <w:t xml:space="preserve"> ישנם הסדרים ספציפיים בנוגע לכבילת אסירים במקומות ציבוריים; החזקת אסירים בהפרדה; פגישות של אסירים עם עורך דינם ומניעתן; טיפול רפואי באסירים; עבירות משמעת וענישה.</w:t>
      </w:r>
    </w:p>
    <w:p w14:paraId="4B618A26" w14:textId="232E70A5" w:rsidR="00E503BD" w:rsidRDefault="00E503BD" w:rsidP="00D14063">
      <w:pPr>
        <w:bidi/>
        <w:spacing w:line="276" w:lineRule="auto"/>
        <w:jc w:val="both"/>
        <w:rPr>
          <w:rFonts w:ascii="Segoe UI" w:hAnsi="Segoe UI" w:cs="Segoe UI"/>
          <w:rtl/>
          <w:lang w:val="en-ZW"/>
        </w:rPr>
      </w:pPr>
      <w:r>
        <w:rPr>
          <w:rFonts w:ascii="Segoe UI" w:hAnsi="Segoe UI" w:cs="Segoe UI" w:hint="cs"/>
          <w:rtl/>
          <w:lang w:val="en-ZW"/>
        </w:rPr>
        <w:t>זכויות בסיסיות המעוגנות בחוק: קורת גג; שתייה; לבוש בסיסי; מיטה ומזרון; תנאי תברואה הולמים; טיפול רפואי [גופני ונפשי]; ייצוג משפטי; הגשת עתירות לביהמ"ש;</w:t>
      </w:r>
      <w:r>
        <w:rPr>
          <w:rFonts w:ascii="Segoe UI" w:hAnsi="Segoe UI" w:cs="Segoe UI" w:hint="cs"/>
          <w:lang w:val="en-ZW"/>
        </w:rPr>
        <w:t xml:space="preserve"> </w:t>
      </w:r>
      <w:r>
        <w:rPr>
          <w:rFonts w:ascii="Segoe UI" w:hAnsi="Segoe UI" w:cs="Segoe UI" w:hint="cs"/>
          <w:rtl/>
          <w:lang w:val="en-ZW"/>
        </w:rPr>
        <w:t xml:space="preserve">הליכה באוויר הפתוח. </w:t>
      </w:r>
    </w:p>
    <w:p w14:paraId="47A41F84" w14:textId="51E5A1B6" w:rsidR="002376C8" w:rsidRDefault="002376C8" w:rsidP="00D14063">
      <w:pPr>
        <w:bidi/>
        <w:spacing w:after="0" w:line="276" w:lineRule="auto"/>
        <w:jc w:val="both"/>
        <w:rPr>
          <w:rFonts w:ascii="Segoe UI" w:hAnsi="Segoe UI" w:cs="Segoe UI"/>
          <w:rtl/>
          <w:lang w:val="en-ZW"/>
        </w:rPr>
      </w:pPr>
      <w:r>
        <w:rPr>
          <w:rFonts w:ascii="Segoe UI" w:hAnsi="Segoe UI" w:cs="Segoe UI" w:hint="cs"/>
          <w:rtl/>
          <w:lang w:val="en-ZW"/>
        </w:rPr>
        <w:t xml:space="preserve">טובות הנאה הן זכויות המוענקות עפ"י פקודת ונוהלי שב"ס </w:t>
      </w:r>
      <w:r>
        <w:rPr>
          <w:rFonts w:ascii="Segoe UI" w:hAnsi="Segoe UI" w:cs="Segoe UI"/>
          <w:rtl/>
          <w:lang w:val="en-ZW"/>
        </w:rPr>
        <w:t>–</w:t>
      </w:r>
      <w:r>
        <w:rPr>
          <w:rFonts w:ascii="Segoe UI" w:hAnsi="Segoe UI" w:cs="Segoe UI" w:hint="cs"/>
          <w:rtl/>
          <w:lang w:val="en-ZW"/>
        </w:rPr>
        <w:t xml:space="preserve"> חינוך (לימודים); רכישות בחנות מכר (קנטינה); החזקת חפצים אישיים; משלוח וקבלת מכתבים; שיחות טלפון; ביקורי משפחות; חופשות; </w:t>
      </w:r>
      <w:proofErr w:type="spellStart"/>
      <w:r>
        <w:rPr>
          <w:rFonts w:ascii="Segoe UI" w:hAnsi="Segoe UI" w:cs="Segoe UI" w:hint="cs"/>
          <w:rtl/>
          <w:lang w:val="en-ZW"/>
        </w:rPr>
        <w:t>התייחדויות</w:t>
      </w:r>
      <w:proofErr w:type="spellEnd"/>
      <w:r>
        <w:rPr>
          <w:rFonts w:ascii="Segoe UI" w:hAnsi="Segoe UI" w:cs="Segoe UI" w:hint="cs"/>
          <w:rtl/>
          <w:lang w:val="en-ZW"/>
        </w:rPr>
        <w:t xml:space="preserve">; שחרור מוקדם מהכלא. </w:t>
      </w:r>
    </w:p>
    <w:p w14:paraId="7179B3E2" w14:textId="64F6CD1A" w:rsidR="00491AFF" w:rsidRDefault="00491AFF" w:rsidP="00D14063">
      <w:pPr>
        <w:bidi/>
        <w:spacing w:after="0" w:line="276" w:lineRule="auto"/>
        <w:jc w:val="both"/>
        <w:rPr>
          <w:rFonts w:ascii="Segoe UI" w:hAnsi="Segoe UI" w:cs="Segoe UI"/>
          <w:rtl/>
          <w:lang w:val="en-ZW"/>
        </w:rPr>
      </w:pPr>
    </w:p>
    <w:p w14:paraId="6B273CC7" w14:textId="47A5EA40" w:rsidR="00491AFF" w:rsidRDefault="00491AFF" w:rsidP="00D14063">
      <w:pPr>
        <w:pStyle w:val="2"/>
        <w:rPr>
          <w:rtl/>
        </w:rPr>
      </w:pPr>
      <w:bookmarkStart w:id="136" w:name="_Toc108218292"/>
      <w:r>
        <w:rPr>
          <w:rFonts w:hint="cs"/>
          <w:rtl/>
        </w:rPr>
        <w:t>עתירות אסירים</w:t>
      </w:r>
      <w:bookmarkEnd w:id="136"/>
    </w:p>
    <w:p w14:paraId="634FE791" w14:textId="3A0E8D82" w:rsidR="00491AFF" w:rsidRPr="00491AFF" w:rsidRDefault="00491AFF" w:rsidP="00D14063">
      <w:pPr>
        <w:bidi/>
        <w:spacing w:line="276" w:lineRule="auto"/>
        <w:jc w:val="both"/>
        <w:rPr>
          <w:rFonts w:ascii="Segoe UI" w:hAnsi="Segoe UI" w:cs="Segoe UI"/>
          <w:lang w:val="en-US"/>
        </w:rPr>
      </w:pPr>
      <w:r w:rsidRPr="00491AFF">
        <w:rPr>
          <w:rFonts w:ascii="Segoe UI" w:hAnsi="Segoe UI" w:cs="Segoe UI"/>
          <w:b/>
          <w:bCs/>
          <w:rtl/>
          <w:lang w:val="en-ZW"/>
        </w:rPr>
        <w:t xml:space="preserve">עתירה </w:t>
      </w:r>
      <w:r w:rsidRPr="00491AFF">
        <w:rPr>
          <w:rFonts w:ascii="Segoe UI" w:hAnsi="Segoe UI" w:cs="Segoe UI" w:hint="cs"/>
          <w:b/>
          <w:bCs/>
          <w:rtl/>
          <w:lang w:val="en-ZW"/>
        </w:rPr>
        <w:t>מנהלית</w:t>
      </w:r>
      <w:r w:rsidRPr="00491AFF">
        <w:rPr>
          <w:rFonts w:ascii="Segoe UI" w:hAnsi="Segoe UI" w:cs="Segoe UI"/>
          <w:b/>
          <w:bCs/>
          <w:rtl/>
          <w:lang w:val="en-ZW"/>
        </w:rPr>
        <w:t xml:space="preserve"> נגד שב"ס - אסיר או עציר רשאי להגיש עתירה בנושא הנוגע לתנאי מאסרו או מעצרו. (בי</w:t>
      </w:r>
      <w:r>
        <w:rPr>
          <w:rFonts w:ascii="Segoe UI" w:hAnsi="Segoe UI" w:cs="Segoe UI" w:hint="cs"/>
          <w:b/>
          <w:bCs/>
          <w:rtl/>
          <w:lang w:val="en-ZW"/>
        </w:rPr>
        <w:t>ה</w:t>
      </w:r>
      <w:r w:rsidRPr="00491AFF">
        <w:rPr>
          <w:rFonts w:ascii="Segoe UI" w:hAnsi="Segoe UI" w:cs="Segoe UI"/>
          <w:b/>
          <w:bCs/>
          <w:rtl/>
          <w:lang w:val="en-ZW"/>
        </w:rPr>
        <w:t>מ"ש מחוזי)</w:t>
      </w:r>
    </w:p>
    <w:p w14:paraId="2127BBE5" w14:textId="3B86B6F2" w:rsidR="00491AFF" w:rsidRDefault="00491AFF" w:rsidP="00D14063">
      <w:pPr>
        <w:bidi/>
        <w:spacing w:after="0" w:line="276" w:lineRule="auto"/>
        <w:jc w:val="both"/>
        <w:rPr>
          <w:rFonts w:ascii="Segoe UI" w:hAnsi="Segoe UI" w:cs="Segoe UI"/>
          <w:rtl/>
          <w:lang w:val="en-ZW"/>
        </w:rPr>
      </w:pPr>
      <w:r w:rsidRPr="00491AFF">
        <w:rPr>
          <w:rFonts w:ascii="Segoe UI" w:hAnsi="Segoe UI" w:cs="Segoe UI"/>
          <w:rtl/>
          <w:lang w:val="en-ZW"/>
        </w:rPr>
        <w:t>החלטת שב"ס בנוגע ליציאתו לחופשה</w:t>
      </w:r>
      <w:r w:rsidR="00D7086E">
        <w:rPr>
          <w:rFonts w:ascii="Segoe UI" w:hAnsi="Segoe UI" w:cs="Segoe UI" w:hint="cs"/>
          <w:rtl/>
          <w:lang w:val="en-ZW"/>
        </w:rPr>
        <w:t xml:space="preserve">; </w:t>
      </w:r>
      <w:r w:rsidRPr="00491AFF">
        <w:rPr>
          <w:rFonts w:ascii="Segoe UI" w:hAnsi="Segoe UI" w:cs="Segoe UI"/>
          <w:rtl/>
          <w:lang w:val="en-ZW"/>
        </w:rPr>
        <w:t>החלטת שב"ס בנוגע למתן טיפול רפואי או נפשי</w:t>
      </w:r>
      <w:r w:rsidR="00D7086E">
        <w:rPr>
          <w:rFonts w:ascii="Segoe UI" w:hAnsi="Segoe UI" w:cs="Segoe UI" w:hint="cs"/>
          <w:rtl/>
          <w:lang w:val="en-ZW"/>
        </w:rPr>
        <w:t xml:space="preserve">; </w:t>
      </w:r>
      <w:r w:rsidRPr="00491AFF">
        <w:rPr>
          <w:rFonts w:ascii="Segoe UI" w:hAnsi="Segoe UI" w:cs="Segoe UI"/>
          <w:rtl/>
          <w:lang w:val="en-ZW"/>
        </w:rPr>
        <w:t>החלטת שב"ס בנושא שילובו של אסיר בטיפול המתאים לצרכיו בין כתלי הכלא (כגון החלטה שלא לשלבו בטיפול לעברייני מין)</w:t>
      </w:r>
      <w:r w:rsidR="00D7086E">
        <w:rPr>
          <w:rFonts w:ascii="Segoe UI" w:hAnsi="Segoe UI" w:cs="Segoe UI" w:hint="cs"/>
          <w:rtl/>
          <w:lang w:val="en-ZW"/>
        </w:rPr>
        <w:t xml:space="preserve">; </w:t>
      </w:r>
      <w:r w:rsidRPr="00491AFF">
        <w:rPr>
          <w:rFonts w:ascii="Segoe UI" w:hAnsi="Segoe UI" w:cs="Segoe UI"/>
          <w:rtl/>
          <w:lang w:val="en-ZW"/>
        </w:rPr>
        <w:t>החלטת שב"ס לגבי קיום התייחדות</w:t>
      </w:r>
      <w:r w:rsidR="00D7086E">
        <w:rPr>
          <w:rFonts w:ascii="Segoe UI" w:hAnsi="Segoe UI" w:cs="Segoe UI" w:hint="cs"/>
          <w:rtl/>
          <w:lang w:val="en-ZW"/>
        </w:rPr>
        <w:t>;</w:t>
      </w:r>
      <w:r w:rsidR="00D7086E">
        <w:rPr>
          <w:rFonts w:ascii="Segoe UI" w:hAnsi="Segoe UI" w:cs="Segoe UI" w:hint="cs"/>
          <w:lang w:val="en-ZW"/>
        </w:rPr>
        <w:t xml:space="preserve"> </w:t>
      </w:r>
      <w:r w:rsidRPr="00491AFF">
        <w:rPr>
          <w:rFonts w:ascii="Segoe UI" w:hAnsi="Segoe UI" w:cs="Segoe UI"/>
          <w:rtl/>
          <w:lang w:val="en-ZW"/>
        </w:rPr>
        <w:t xml:space="preserve">החלטת שב"ס בנוגע לתנאי מאסרו הנוספים (כגון החלטה על החזקתו בכלא או אגף </w:t>
      </w:r>
      <w:proofErr w:type="spellStart"/>
      <w:r w:rsidRPr="00491AFF">
        <w:rPr>
          <w:rFonts w:ascii="Segoe UI" w:hAnsi="Segoe UI" w:cs="Segoe UI"/>
          <w:rtl/>
          <w:lang w:val="en-ZW"/>
        </w:rPr>
        <w:t>מסויימים</w:t>
      </w:r>
      <w:proofErr w:type="spellEnd"/>
      <w:r w:rsidRPr="00491AFF">
        <w:rPr>
          <w:rFonts w:ascii="Segoe UI" w:hAnsi="Segoe UI" w:cs="Segoe UI"/>
          <w:rtl/>
          <w:lang w:val="en-ZW"/>
        </w:rPr>
        <w:t>; החלטה בנוגע לשילובו בעבודה)</w:t>
      </w:r>
      <w:r w:rsidR="00D7086E">
        <w:rPr>
          <w:rFonts w:ascii="Segoe UI" w:hAnsi="Segoe UI" w:cs="Segoe UI" w:hint="cs"/>
          <w:rtl/>
          <w:lang w:val="en-ZW"/>
        </w:rPr>
        <w:t>.</w:t>
      </w:r>
    </w:p>
    <w:p w14:paraId="3A2546C5" w14:textId="4318B9C6" w:rsidR="00D7086E" w:rsidRDefault="00D7086E" w:rsidP="00D14063">
      <w:pPr>
        <w:bidi/>
        <w:spacing w:after="0" w:line="276" w:lineRule="auto"/>
        <w:jc w:val="both"/>
        <w:rPr>
          <w:rFonts w:ascii="Segoe UI" w:hAnsi="Segoe UI" w:cs="Segoe UI"/>
          <w:rtl/>
          <w:lang w:val="en-ZW"/>
        </w:rPr>
      </w:pPr>
    </w:p>
    <w:p w14:paraId="269BC257" w14:textId="0773E129" w:rsidR="00D7086E" w:rsidRDefault="00D7086E" w:rsidP="00D14063">
      <w:pPr>
        <w:pStyle w:val="2"/>
        <w:rPr>
          <w:rtl/>
        </w:rPr>
      </w:pPr>
      <w:bookmarkStart w:id="137" w:name="_Toc108218293"/>
      <w:r>
        <w:rPr>
          <w:rFonts w:hint="cs"/>
          <w:rtl/>
        </w:rPr>
        <w:t xml:space="preserve">חנינות </w:t>
      </w:r>
      <w:r>
        <w:rPr>
          <w:rtl/>
        </w:rPr>
        <w:t>–</w:t>
      </w:r>
      <w:r>
        <w:rPr>
          <w:rFonts w:hint="cs"/>
          <w:rtl/>
        </w:rPr>
        <w:t xml:space="preserve"> רחמים לאחר משפט</w:t>
      </w:r>
      <w:bookmarkEnd w:id="137"/>
    </w:p>
    <w:p w14:paraId="07D86C75" w14:textId="29D4E8E2" w:rsidR="00043BB8" w:rsidRPr="00043BB8" w:rsidRDefault="00043BB8" w:rsidP="00D14063">
      <w:pPr>
        <w:bidi/>
        <w:spacing w:after="0" w:line="276" w:lineRule="auto"/>
        <w:rPr>
          <w:rFonts w:ascii="Segoe UI" w:hAnsi="Segoe UI" w:cs="Segoe UI"/>
          <w:rtl/>
          <w:lang w:val="en-US"/>
        </w:rPr>
      </w:pPr>
      <w:r w:rsidRPr="00043BB8">
        <w:rPr>
          <w:rFonts w:ascii="Segoe UI" w:hAnsi="Segoe UI" w:cs="Segoe UI"/>
          <w:rtl/>
          <w:lang w:val="en-US"/>
        </w:rPr>
        <w:t xml:space="preserve">על פי סעיף 11(ב) לחוק יסוד: נשיא המדינה, לנשיא המדינה נתונה הסמכות </w:t>
      </w:r>
      <w:proofErr w:type="spellStart"/>
      <w:r w:rsidRPr="00043BB8">
        <w:rPr>
          <w:rFonts w:ascii="Segoe UI" w:hAnsi="Segoe UI" w:cs="Segoe UI"/>
          <w:rtl/>
          <w:lang w:val="en-US"/>
        </w:rPr>
        <w:t>לחון</w:t>
      </w:r>
      <w:proofErr w:type="spellEnd"/>
      <w:r w:rsidRPr="00043BB8">
        <w:rPr>
          <w:rFonts w:ascii="Segoe UI" w:hAnsi="Segoe UI" w:cs="Segoe UI"/>
          <w:rtl/>
          <w:lang w:val="en-US"/>
        </w:rPr>
        <w:t xml:space="preserve"> עבריינים ולהקל בעונשם על ידי הפחתת העונש או המרתו לעונש אחר</w:t>
      </w:r>
      <w:r w:rsidRPr="00043BB8">
        <w:rPr>
          <w:rFonts w:ascii="Segoe UI" w:hAnsi="Segoe UI" w:cs="Segoe UI"/>
          <w:lang w:val="en-US"/>
        </w:rPr>
        <w:t>.</w:t>
      </w:r>
    </w:p>
    <w:p w14:paraId="26E9EC1F" w14:textId="490CF60F" w:rsidR="00752C6F" w:rsidRDefault="00752C6F" w:rsidP="00D14063">
      <w:pPr>
        <w:bidi/>
        <w:spacing w:after="0" w:line="276" w:lineRule="auto"/>
        <w:rPr>
          <w:rFonts w:ascii="Segoe UI" w:hAnsi="Segoe UI" w:cs="Segoe UI"/>
          <w:rtl/>
          <w:lang w:val="en-US"/>
        </w:rPr>
      </w:pPr>
      <w:r w:rsidRPr="00752C6F">
        <w:rPr>
          <w:rFonts w:ascii="Segoe UI" w:hAnsi="Segoe UI" w:cs="Segoe UI"/>
          <w:rtl/>
          <w:lang w:val="en-US"/>
        </w:rPr>
        <w:t>סמכות של חסד ורחמים, המופעלת בנסיבות חריגות ומיוחדות ובמשורה, השמורה לנשיא המדינה.</w:t>
      </w:r>
    </w:p>
    <w:p w14:paraId="114884EE" w14:textId="26204C05" w:rsidR="00730C5C" w:rsidRDefault="00730C5C" w:rsidP="00D14063">
      <w:pPr>
        <w:bidi/>
        <w:spacing w:after="0" w:line="276" w:lineRule="auto"/>
        <w:rPr>
          <w:rFonts w:ascii="Segoe UI" w:hAnsi="Segoe UI" w:cs="Segoe UI"/>
          <w:rtl/>
          <w:lang w:val="en-US"/>
        </w:rPr>
      </w:pPr>
    </w:p>
    <w:p w14:paraId="6C0864F2" w14:textId="77777777" w:rsidR="00730C5C" w:rsidRPr="00741847" w:rsidRDefault="00730C5C" w:rsidP="00D14063">
      <w:pPr>
        <w:bidi/>
        <w:spacing w:after="0" w:line="276" w:lineRule="auto"/>
        <w:rPr>
          <w:rFonts w:ascii="Segoe UI" w:hAnsi="Segoe UI" w:cs="Segoe UI"/>
          <w:lang w:val="en-US"/>
        </w:rPr>
      </w:pPr>
      <w:r w:rsidRPr="00741847">
        <w:rPr>
          <w:rFonts w:ascii="Segoe UI" w:hAnsi="Segoe UI" w:cs="Segoe UI"/>
          <w:rtl/>
          <w:lang w:val="en-US"/>
        </w:rPr>
        <w:t xml:space="preserve">חוק יסוד הנשיא קובע: </w:t>
      </w:r>
    </w:p>
    <w:p w14:paraId="19159546" w14:textId="77777777" w:rsidR="00730C5C" w:rsidRPr="00741847" w:rsidRDefault="00730C5C" w:rsidP="00D14063">
      <w:pPr>
        <w:bidi/>
        <w:spacing w:after="0" w:line="276" w:lineRule="auto"/>
        <w:rPr>
          <w:rFonts w:ascii="Segoe UI" w:hAnsi="Segoe UI" w:cs="Segoe UI"/>
          <w:rtl/>
          <w:lang w:val="en-US"/>
        </w:rPr>
      </w:pPr>
      <w:r w:rsidRPr="00741847">
        <w:rPr>
          <w:rFonts w:ascii="Segoe UI" w:hAnsi="Segoe UI" w:cs="Segoe UI"/>
          <w:rtl/>
          <w:lang w:val="en-US"/>
        </w:rPr>
        <w:t>אדם שמתקיימים בעניינו </w:t>
      </w:r>
      <w:r w:rsidRPr="00741847">
        <w:rPr>
          <w:rFonts w:ascii="Segoe UI" w:hAnsi="Segoe UI" w:cs="Segoe UI"/>
          <w:b/>
          <w:bCs/>
          <w:rtl/>
          <w:lang w:val="en-US"/>
        </w:rPr>
        <w:t>כל התנאים הבאים</w:t>
      </w:r>
      <w:r w:rsidRPr="00741847">
        <w:rPr>
          <w:rFonts w:ascii="Segoe UI" w:hAnsi="Segoe UI" w:cs="Segoe UI"/>
          <w:rtl/>
          <w:lang w:val="en-US"/>
        </w:rPr>
        <w:t>:</w:t>
      </w:r>
    </w:p>
    <w:p w14:paraId="6C0C4D8F" w14:textId="77777777" w:rsidR="00730C5C" w:rsidRPr="00741847" w:rsidRDefault="00730C5C" w:rsidP="00F45776">
      <w:pPr>
        <w:pStyle w:val="ab"/>
        <w:numPr>
          <w:ilvl w:val="0"/>
          <w:numId w:val="121"/>
        </w:numPr>
        <w:bidi/>
        <w:spacing w:after="0" w:line="276" w:lineRule="auto"/>
        <w:rPr>
          <w:rFonts w:ascii="Segoe UI" w:hAnsi="Segoe UI" w:cs="Segoe UI"/>
          <w:rtl/>
          <w:lang w:val="en-US"/>
        </w:rPr>
      </w:pPr>
      <w:r w:rsidRPr="00741847">
        <w:rPr>
          <w:rFonts w:ascii="Segoe UI" w:hAnsi="Segoe UI" w:cs="Segoe UI"/>
          <w:rtl/>
          <w:lang w:val="en-US"/>
        </w:rPr>
        <w:t>נגזר דינו לעונש מאסר בפועל (בבית כלא או בדרך של עבודות שירות).</w:t>
      </w:r>
    </w:p>
    <w:p w14:paraId="2F084A75" w14:textId="77777777" w:rsidR="00730C5C" w:rsidRPr="00741847" w:rsidRDefault="00730C5C" w:rsidP="00F45776">
      <w:pPr>
        <w:pStyle w:val="ab"/>
        <w:numPr>
          <w:ilvl w:val="0"/>
          <w:numId w:val="121"/>
        </w:numPr>
        <w:bidi/>
        <w:spacing w:after="0" w:line="276" w:lineRule="auto"/>
        <w:rPr>
          <w:rFonts w:ascii="Segoe UI" w:hAnsi="Segoe UI" w:cs="Segoe UI"/>
          <w:rtl/>
          <w:lang w:val="en-US"/>
        </w:rPr>
      </w:pPr>
      <w:r w:rsidRPr="00741847">
        <w:rPr>
          <w:rFonts w:ascii="Segoe UI" w:hAnsi="Segoe UI" w:cs="Segoe UI"/>
          <w:rtl/>
          <w:lang w:val="en-US"/>
        </w:rPr>
        <w:t>מוצו עד תום כל ההליכים המשפטיים בתיק (ערעורים, בקשות למשפט חוזר, בקשות לדיונים נוספים).</w:t>
      </w:r>
    </w:p>
    <w:p w14:paraId="40112014" w14:textId="60C3A5CB" w:rsidR="00730C5C" w:rsidRPr="00730C5C" w:rsidRDefault="00730C5C" w:rsidP="00F45776">
      <w:pPr>
        <w:pStyle w:val="ab"/>
        <w:numPr>
          <w:ilvl w:val="0"/>
          <w:numId w:val="121"/>
        </w:numPr>
        <w:bidi/>
        <w:spacing w:after="0" w:line="276" w:lineRule="auto"/>
        <w:rPr>
          <w:rFonts w:ascii="Segoe UI" w:hAnsi="Segoe UI" w:cs="Segoe UI"/>
          <w:rtl/>
          <w:lang w:val="en-US"/>
        </w:rPr>
      </w:pPr>
      <w:r w:rsidRPr="00741847">
        <w:rPr>
          <w:rFonts w:ascii="Segoe UI" w:hAnsi="Segoe UI" w:cs="Segoe UI"/>
          <w:rtl/>
          <w:lang w:val="en-US"/>
        </w:rPr>
        <w:t>ישנן נסיבות מיוחדות ויוצאות דופן המצדיקות את קבלת הבקשה להקלה בעונש או המרתו.</w:t>
      </w:r>
    </w:p>
    <w:p w14:paraId="07DFC815" w14:textId="77777777" w:rsidR="00752C6F" w:rsidRPr="00752C6F" w:rsidRDefault="00752C6F" w:rsidP="00D14063">
      <w:pPr>
        <w:bidi/>
        <w:spacing w:after="0" w:line="276" w:lineRule="auto"/>
        <w:rPr>
          <w:rFonts w:ascii="Segoe UI" w:hAnsi="Segoe UI" w:cs="Segoe UI"/>
          <w:lang w:val="en-US"/>
        </w:rPr>
      </w:pPr>
    </w:p>
    <w:p w14:paraId="771430C2" w14:textId="5C47B7EE" w:rsidR="00752C6F" w:rsidRPr="00752C6F" w:rsidRDefault="00752C6F" w:rsidP="00F45776">
      <w:pPr>
        <w:pStyle w:val="ab"/>
        <w:numPr>
          <w:ilvl w:val="0"/>
          <w:numId w:val="122"/>
        </w:numPr>
        <w:bidi/>
        <w:spacing w:after="0" w:line="276" w:lineRule="auto"/>
        <w:rPr>
          <w:rFonts w:ascii="Segoe UI" w:hAnsi="Segoe UI" w:cs="Segoe UI"/>
          <w:rtl/>
          <w:lang w:val="en-US"/>
        </w:rPr>
      </w:pPr>
      <w:r w:rsidRPr="00752C6F">
        <w:rPr>
          <w:rFonts w:ascii="Segoe UI" w:hAnsi="Segoe UI" w:cs="Segoe UI"/>
          <w:u w:val="single"/>
          <w:rtl/>
          <w:lang w:val="en-US"/>
        </w:rPr>
        <w:t>הש</w:t>
      </w:r>
      <w:r w:rsidRPr="00752C6F">
        <w:rPr>
          <w:rFonts w:ascii="Segoe UI" w:hAnsi="Segoe UI" w:cs="Segoe UI" w:hint="cs"/>
          <w:u w:val="single"/>
          <w:rtl/>
          <w:lang w:val="en-US"/>
        </w:rPr>
        <w:t xml:space="preserve">' </w:t>
      </w:r>
      <w:r w:rsidRPr="00752C6F">
        <w:rPr>
          <w:rFonts w:ascii="Segoe UI" w:hAnsi="Segoe UI" w:cs="Segoe UI"/>
          <w:u w:val="single"/>
          <w:rtl/>
          <w:lang w:val="en-US"/>
        </w:rPr>
        <w:t>חיים כהן</w:t>
      </w:r>
      <w:r w:rsidRPr="00752C6F">
        <w:rPr>
          <w:rFonts w:ascii="Segoe UI" w:hAnsi="Segoe UI" w:cs="Segoe UI"/>
          <w:rtl/>
          <w:lang w:val="en-US"/>
        </w:rPr>
        <w:t>: "..משום שרואים אותו כשומר החסד, הדוחה בנדיבות-לבו את מידת הדין מפני מידת הרחמים, והדואג דאגות אנוש בשעות צרה ומצוקה, שבתי-המשפט אינם מוסמכים או אינם מסוגלים לדאוג".</w:t>
      </w:r>
    </w:p>
    <w:p w14:paraId="3694415C" w14:textId="77777777" w:rsidR="00752C6F" w:rsidRPr="00752C6F" w:rsidRDefault="00752C6F" w:rsidP="00F45776">
      <w:pPr>
        <w:pStyle w:val="ab"/>
        <w:numPr>
          <w:ilvl w:val="0"/>
          <w:numId w:val="122"/>
        </w:numPr>
        <w:bidi/>
        <w:spacing w:after="0" w:line="276" w:lineRule="auto"/>
        <w:rPr>
          <w:rFonts w:ascii="Segoe UI" w:hAnsi="Segoe UI" w:cs="Segoe UI"/>
          <w:lang w:val="en-US"/>
        </w:rPr>
      </w:pPr>
      <w:r w:rsidRPr="00752C6F">
        <w:rPr>
          <w:rFonts w:ascii="Segoe UI" w:hAnsi="Segoe UI" w:cs="Segoe UI"/>
          <w:u w:val="single"/>
          <w:rtl/>
          <w:lang w:val="en-US"/>
        </w:rPr>
        <w:lastRenderedPageBreak/>
        <w:t>השופט אגרנט</w:t>
      </w:r>
      <w:r w:rsidRPr="00752C6F">
        <w:rPr>
          <w:rFonts w:ascii="Segoe UI" w:hAnsi="Segoe UI" w:cs="Segoe UI"/>
          <w:rtl/>
          <w:lang w:val="en-US"/>
        </w:rPr>
        <w:t xml:space="preserve">: טמונה בחובה של החנינה נימה של סליחה או כפרה. מדת הרחמים, ולא מדת הדין, היא העולה במחשבתנו כשאנו משווים לנגדנו את העבריין העומד, כשהוא 'מלא עוון', ומפיל תחינתו לחנינה לפני הריבון, </w:t>
      </w:r>
      <w:proofErr w:type="spellStart"/>
      <w:r w:rsidRPr="00752C6F">
        <w:rPr>
          <w:rFonts w:ascii="Segoe UI" w:hAnsi="Segoe UI" w:cs="Segoe UI"/>
          <w:rtl/>
          <w:lang w:val="en-US"/>
        </w:rPr>
        <w:t>שהנהו</w:t>
      </w:r>
      <w:proofErr w:type="spellEnd"/>
      <w:r w:rsidRPr="00752C6F">
        <w:rPr>
          <w:rFonts w:ascii="Segoe UI" w:hAnsi="Segoe UI" w:cs="Segoe UI"/>
          <w:rtl/>
          <w:lang w:val="en-US"/>
        </w:rPr>
        <w:t xml:space="preserve"> בבחינת 'מלא רחמים'...</w:t>
      </w:r>
    </w:p>
    <w:p w14:paraId="4667FCAD" w14:textId="77777777" w:rsidR="00752C6F" w:rsidRPr="00752C6F" w:rsidRDefault="00752C6F" w:rsidP="00D14063">
      <w:pPr>
        <w:bidi/>
        <w:spacing w:after="0" w:line="276" w:lineRule="auto"/>
        <w:rPr>
          <w:rFonts w:ascii="Segoe UI" w:hAnsi="Segoe UI" w:cs="Segoe UI"/>
          <w:rtl/>
          <w:lang w:val="en-US"/>
        </w:rPr>
      </w:pPr>
    </w:p>
    <w:p w14:paraId="26BBEBBA" w14:textId="77777777" w:rsidR="00741847" w:rsidRPr="00741847" w:rsidRDefault="00741847" w:rsidP="00F45776">
      <w:pPr>
        <w:pStyle w:val="ab"/>
        <w:numPr>
          <w:ilvl w:val="0"/>
          <w:numId w:val="120"/>
        </w:numPr>
        <w:bidi/>
        <w:spacing w:after="0" w:line="276" w:lineRule="auto"/>
        <w:rPr>
          <w:rFonts w:ascii="Segoe UI" w:hAnsi="Segoe UI" w:cs="Segoe UI"/>
          <w:lang w:val="en-US"/>
        </w:rPr>
      </w:pPr>
      <w:r w:rsidRPr="00741847">
        <w:rPr>
          <w:rFonts w:ascii="Segoe UI" w:hAnsi="Segoe UI" w:cs="Segoe UI"/>
          <w:rtl/>
          <w:lang w:val="en-US"/>
        </w:rPr>
        <w:t>אדם שהוטל עליו עונש של מאסר בפועל (בכלא או בעבודות שירות), רשאי בתנאים מסוימים, לפנות לנשיא המדינה בבקשה להקל בעונש או להמיר אותו (חנינה)</w:t>
      </w:r>
    </w:p>
    <w:p w14:paraId="124F0E72" w14:textId="77777777" w:rsidR="00741847" w:rsidRPr="00741847" w:rsidRDefault="00741847" w:rsidP="00F45776">
      <w:pPr>
        <w:pStyle w:val="ab"/>
        <w:numPr>
          <w:ilvl w:val="0"/>
          <w:numId w:val="120"/>
        </w:numPr>
        <w:bidi/>
        <w:spacing w:after="0" w:line="276" w:lineRule="auto"/>
        <w:rPr>
          <w:rFonts w:ascii="Segoe UI" w:hAnsi="Segoe UI" w:cs="Segoe UI"/>
          <w:rtl/>
          <w:lang w:val="en-US"/>
        </w:rPr>
      </w:pPr>
      <w:r w:rsidRPr="00741847">
        <w:rPr>
          <w:rFonts w:ascii="Segoe UI" w:hAnsi="Segoe UI" w:cs="Segoe UI"/>
          <w:rtl/>
          <w:lang w:val="en-US"/>
        </w:rPr>
        <w:t>ככלל, בקשת חנינה תתקבל במקרים חריגים במיוחד בהם מתקיימות נסיבות ייחודיות</w:t>
      </w:r>
    </w:p>
    <w:p w14:paraId="7DE9F703" w14:textId="73A762CE" w:rsidR="00741847" w:rsidRDefault="00741847" w:rsidP="00F45776">
      <w:pPr>
        <w:pStyle w:val="ab"/>
        <w:numPr>
          <w:ilvl w:val="0"/>
          <w:numId w:val="120"/>
        </w:numPr>
        <w:bidi/>
        <w:spacing w:after="0" w:line="276" w:lineRule="auto"/>
        <w:rPr>
          <w:rFonts w:ascii="Segoe UI" w:hAnsi="Segoe UI" w:cs="Segoe UI"/>
          <w:lang w:val="en-US"/>
        </w:rPr>
      </w:pPr>
      <w:r w:rsidRPr="00741847">
        <w:rPr>
          <w:rFonts w:ascii="Segoe UI" w:hAnsi="Segoe UI" w:cs="Segoe UI"/>
          <w:rtl/>
          <w:lang w:val="en-US"/>
        </w:rPr>
        <w:t>הבקשה תוגש רק לאחר מיצוי כל ההליכים המשפטיים האפשריים בתיק שבמסגרתו הוטל העונש</w:t>
      </w:r>
    </w:p>
    <w:p w14:paraId="778676CA" w14:textId="5A63EB91" w:rsidR="00741847" w:rsidRDefault="00741847" w:rsidP="00D14063">
      <w:pPr>
        <w:bidi/>
        <w:spacing w:after="0" w:line="276" w:lineRule="auto"/>
        <w:rPr>
          <w:rFonts w:ascii="Segoe UI" w:hAnsi="Segoe UI" w:cs="Segoe UI"/>
          <w:rtl/>
          <w:lang w:val="en-US"/>
        </w:rPr>
      </w:pPr>
    </w:p>
    <w:p w14:paraId="542C6788" w14:textId="77777777" w:rsidR="00D14063" w:rsidRPr="00D14063" w:rsidRDefault="00D14063" w:rsidP="00D14063">
      <w:pPr>
        <w:bidi/>
        <w:spacing w:after="0" w:line="276" w:lineRule="auto"/>
        <w:rPr>
          <w:rFonts w:ascii="Segoe UI" w:hAnsi="Segoe UI" w:cs="Segoe UI"/>
          <w:lang w:val="en-US"/>
        </w:rPr>
      </w:pPr>
      <w:r w:rsidRPr="00D14063">
        <w:rPr>
          <w:rFonts w:ascii="Segoe UI" w:hAnsi="Segoe UI" w:cs="Segoe UI"/>
          <w:rtl/>
          <w:lang w:val="en-US"/>
        </w:rPr>
        <w:t xml:space="preserve">לאור אופיו ההומניטרי של מוסד החנינה ניתן משקל מיוחד לנסיבותיו האישיות של המבקש: מצב רפואי, מצב כלכלי, שיקום, פעילות תורמת לחברה, ונסיבות מיוחדות אחרות. </w:t>
      </w:r>
    </w:p>
    <w:p w14:paraId="1BBE9CFA" w14:textId="28F0FF6D" w:rsidR="00D14063" w:rsidRPr="00D14063" w:rsidRDefault="00D14063" w:rsidP="00D14063">
      <w:pPr>
        <w:bidi/>
        <w:spacing w:after="0" w:line="276" w:lineRule="auto"/>
        <w:rPr>
          <w:rFonts w:ascii="Segoe UI" w:hAnsi="Segoe UI" w:cs="Segoe UI"/>
          <w:rtl/>
          <w:lang w:val="en-US"/>
        </w:rPr>
      </w:pPr>
      <w:r w:rsidRPr="00D14063">
        <w:rPr>
          <w:rFonts w:ascii="Segoe UI" w:hAnsi="Segoe UI" w:cs="Segoe UI"/>
          <w:b/>
          <w:bCs/>
          <w:rtl/>
          <w:lang w:val="en-US"/>
        </w:rPr>
        <w:t>במישור המשפטי נבחנים</w:t>
      </w:r>
      <w:r>
        <w:rPr>
          <w:rFonts w:ascii="Segoe UI" w:hAnsi="Segoe UI" w:cs="Segoe UI" w:hint="cs"/>
          <w:b/>
          <w:bCs/>
          <w:rtl/>
          <w:lang w:val="en-US"/>
        </w:rPr>
        <w:t>:</w:t>
      </w:r>
      <w:r>
        <w:rPr>
          <w:rFonts w:ascii="Segoe UI" w:hAnsi="Segoe UI" w:cs="Segoe UI" w:hint="cs"/>
          <w:rtl/>
          <w:lang w:val="en-US"/>
        </w:rPr>
        <w:t xml:space="preserve"> </w:t>
      </w:r>
      <w:r w:rsidRPr="00D14063">
        <w:rPr>
          <w:rFonts w:ascii="Segoe UI" w:hAnsi="Segoe UI" w:cs="Segoe UI"/>
          <w:rtl/>
          <w:lang w:val="en-US"/>
        </w:rPr>
        <w:t>הרשעות קודמות,  תיקים תלויים ועומדים; מסוכנות פוטנציאלית, נימוקי בית המשפט בהכרעת הדין ובגזר הדין</w:t>
      </w:r>
      <w:r>
        <w:rPr>
          <w:rFonts w:ascii="Segoe UI" w:hAnsi="Segoe UI" w:cs="Segoe UI" w:hint="cs"/>
          <w:rtl/>
          <w:lang w:val="en-US"/>
        </w:rPr>
        <w:t xml:space="preserve">. </w:t>
      </w:r>
    </w:p>
    <w:p w14:paraId="4651041D" w14:textId="77777777" w:rsidR="00741847" w:rsidRPr="00741847" w:rsidRDefault="00741847" w:rsidP="00741847">
      <w:pPr>
        <w:bidi/>
        <w:spacing w:after="0"/>
        <w:rPr>
          <w:rFonts w:ascii="Segoe UI" w:hAnsi="Segoe UI" w:cs="Segoe UI"/>
          <w:rtl/>
          <w:lang w:val="en-US"/>
        </w:rPr>
      </w:pPr>
    </w:p>
    <w:p w14:paraId="14C57164" w14:textId="77777777" w:rsidR="00043BB8" w:rsidRPr="00043BB8" w:rsidRDefault="00043BB8" w:rsidP="00043BB8">
      <w:pPr>
        <w:bidi/>
        <w:spacing w:after="0"/>
        <w:rPr>
          <w:rFonts w:ascii="Segoe UI" w:hAnsi="Segoe UI" w:cs="Segoe UI"/>
          <w:rtl/>
          <w:lang w:val="en-US"/>
        </w:rPr>
      </w:pPr>
    </w:p>
    <w:p w14:paraId="0391906E" w14:textId="77777777" w:rsidR="00D7086E" w:rsidRPr="00043BB8" w:rsidRDefault="00D7086E" w:rsidP="00043BB8">
      <w:pPr>
        <w:bidi/>
        <w:spacing w:after="0"/>
        <w:rPr>
          <w:rFonts w:ascii="Segoe UI" w:hAnsi="Segoe UI" w:cs="Segoe UI"/>
          <w:rtl/>
          <w:lang w:val="en-US"/>
        </w:rPr>
      </w:pPr>
    </w:p>
    <w:p w14:paraId="5E668018" w14:textId="77777777" w:rsidR="00E503BD" w:rsidRPr="00043BB8" w:rsidRDefault="00E503BD" w:rsidP="00043BB8">
      <w:pPr>
        <w:bidi/>
        <w:spacing w:after="0"/>
        <w:jc w:val="both"/>
        <w:rPr>
          <w:rFonts w:ascii="Segoe UI" w:hAnsi="Segoe UI" w:cs="Segoe UI"/>
          <w:rtl/>
          <w:lang w:val="en-ZW"/>
        </w:rPr>
      </w:pPr>
    </w:p>
    <w:sectPr w:rsidR="00E503BD" w:rsidRPr="00043BB8" w:rsidSect="00E47DC8">
      <w:pgSz w:w="11906" w:h="16838"/>
      <w:pgMar w:top="567" w:right="851" w:bottom="567" w:left="851" w:header="708" w:footer="708" w:gutter="0"/>
      <w:pgBorders w:display="notFirstPage" w:offsetFrom="page">
        <w:top w:val="single" w:sz="18" w:space="10" w:color="7F7F7F" w:themeColor="text1" w:themeTint="80"/>
        <w:left w:val="single" w:sz="18" w:space="10" w:color="7F7F7F" w:themeColor="text1" w:themeTint="80"/>
        <w:bottom w:val="single" w:sz="18" w:space="10" w:color="7F7F7F" w:themeColor="text1" w:themeTint="80"/>
        <w:right w:val="single" w:sz="18" w:space="10" w:color="7F7F7F" w:themeColor="text1" w:themeTint="8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C75D" w14:textId="77777777" w:rsidR="00044FCC" w:rsidRDefault="00044FCC" w:rsidP="00940F66">
      <w:pPr>
        <w:spacing w:after="0" w:line="240" w:lineRule="auto"/>
      </w:pPr>
      <w:r>
        <w:separator/>
      </w:r>
    </w:p>
    <w:p w14:paraId="10C313CE" w14:textId="77777777" w:rsidR="00044FCC" w:rsidRDefault="00044FCC"/>
  </w:endnote>
  <w:endnote w:type="continuationSeparator" w:id="0">
    <w:p w14:paraId="4B9351B3" w14:textId="77777777" w:rsidR="00044FCC" w:rsidRDefault="00044FCC" w:rsidP="00940F66">
      <w:pPr>
        <w:spacing w:after="0" w:line="240" w:lineRule="auto"/>
      </w:pPr>
      <w:r>
        <w:continuationSeparator/>
      </w:r>
    </w:p>
    <w:p w14:paraId="6DB2307E" w14:textId="77777777" w:rsidR="00044FCC" w:rsidRDefault="00044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matica SC">
    <w:panose1 w:val="00000500000000000000"/>
    <w:charset w:val="00"/>
    <w:family w:val="auto"/>
    <w:pitch w:val="variable"/>
    <w:sig w:usb0="0000080F" w:usb1="40000000" w:usb2="00000000" w:usb3="00000000" w:csb0="000000B3" w:csb1="00000000"/>
  </w:font>
  <w:font w:name="Time New Roman">
    <w:panose1 w:val="00000000000000000000"/>
    <w:charset w:val="00"/>
    <w:family w:val="roman"/>
    <w:notTrueType/>
    <w:pitch w:val="default"/>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799471"/>
      <w:docPartObj>
        <w:docPartGallery w:val="Page Numbers (Bottom of Page)"/>
        <w:docPartUnique/>
      </w:docPartObj>
    </w:sdtPr>
    <w:sdtContent>
      <w:p w14:paraId="15DF512C" w14:textId="1A06D2EB" w:rsidR="00B06BF8" w:rsidRDefault="00B06BF8">
        <w:pPr>
          <w:pStyle w:val="a6"/>
          <w:jc w:val="center"/>
        </w:pPr>
        <w:r>
          <w:fldChar w:fldCharType="begin"/>
        </w:r>
        <w:r>
          <w:instrText>PAGE   \* MERGEFORMAT</w:instrText>
        </w:r>
        <w:r>
          <w:fldChar w:fldCharType="separate"/>
        </w:r>
        <w:r>
          <w:rPr>
            <w:rtl/>
            <w:lang w:val="he-IL"/>
          </w:rPr>
          <w:t>2</w:t>
        </w:r>
        <w:r>
          <w:fldChar w:fldCharType="end"/>
        </w:r>
      </w:p>
    </w:sdtContent>
  </w:sdt>
  <w:p w14:paraId="041F36E8" w14:textId="3C8A2053" w:rsidR="00D62490" w:rsidRDefault="00D6249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28"/>
        <w:szCs w:val="28"/>
      </w:rPr>
      <w:id w:val="1816444835"/>
      <w:docPartObj>
        <w:docPartGallery w:val="Page Numbers (Bottom of Page)"/>
        <w:docPartUnique/>
      </w:docPartObj>
    </w:sdtPr>
    <w:sdtContent>
      <w:p w14:paraId="04970C27" w14:textId="41F02E05" w:rsidR="00E47DC8" w:rsidRPr="008128C2" w:rsidRDefault="00E47DC8">
        <w:pPr>
          <w:pStyle w:val="a6"/>
          <w:jc w:val="center"/>
          <w:rPr>
            <w:b/>
            <w:bCs/>
            <w:sz w:val="28"/>
            <w:szCs w:val="28"/>
          </w:rPr>
        </w:pPr>
        <w:r w:rsidRPr="008128C2">
          <w:rPr>
            <w:b/>
            <w:bCs/>
            <w:sz w:val="28"/>
            <w:szCs w:val="28"/>
          </w:rPr>
          <w:fldChar w:fldCharType="begin"/>
        </w:r>
        <w:r w:rsidRPr="008128C2">
          <w:rPr>
            <w:b/>
            <w:bCs/>
            <w:sz w:val="28"/>
            <w:szCs w:val="28"/>
          </w:rPr>
          <w:instrText>PAGE   \* MERGEFORMAT</w:instrText>
        </w:r>
        <w:r w:rsidRPr="008128C2">
          <w:rPr>
            <w:b/>
            <w:bCs/>
            <w:sz w:val="28"/>
            <w:szCs w:val="28"/>
          </w:rPr>
          <w:fldChar w:fldCharType="separate"/>
        </w:r>
        <w:r w:rsidRPr="008128C2">
          <w:rPr>
            <w:b/>
            <w:bCs/>
            <w:sz w:val="28"/>
            <w:szCs w:val="28"/>
            <w:rtl/>
            <w:lang w:val="he-IL"/>
          </w:rPr>
          <w:t>2</w:t>
        </w:r>
        <w:r w:rsidRPr="008128C2">
          <w:rPr>
            <w:b/>
            <w:bCs/>
            <w:sz w:val="28"/>
            <w:szCs w:val="28"/>
          </w:rPr>
          <w:fldChar w:fldCharType="end"/>
        </w:r>
      </w:p>
    </w:sdtContent>
  </w:sdt>
  <w:p w14:paraId="7C316D38" w14:textId="0769CF15" w:rsidR="001925F9" w:rsidRPr="00E47DC8" w:rsidRDefault="001925F9" w:rsidP="00E47DC8">
    <w:pPr>
      <w:pStyle w:val="a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1DB4B" w14:textId="77777777" w:rsidR="00044FCC" w:rsidRDefault="00044FCC" w:rsidP="00940F66">
      <w:pPr>
        <w:spacing w:after="0" w:line="240" w:lineRule="auto"/>
      </w:pPr>
      <w:r>
        <w:separator/>
      </w:r>
    </w:p>
    <w:p w14:paraId="0E96BD9E" w14:textId="77777777" w:rsidR="00044FCC" w:rsidRDefault="00044FCC"/>
  </w:footnote>
  <w:footnote w:type="continuationSeparator" w:id="0">
    <w:p w14:paraId="1D85F3B0" w14:textId="77777777" w:rsidR="00044FCC" w:rsidRDefault="00044FCC" w:rsidP="00940F66">
      <w:pPr>
        <w:spacing w:after="0" w:line="240" w:lineRule="auto"/>
      </w:pPr>
      <w:r>
        <w:continuationSeparator/>
      </w:r>
    </w:p>
    <w:p w14:paraId="36E27397" w14:textId="77777777" w:rsidR="00044FCC" w:rsidRDefault="00044F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E633" w14:textId="00292566" w:rsidR="00CE09F7" w:rsidRPr="00431015" w:rsidRDefault="00CE09F7" w:rsidP="000C5F6D">
    <w:pPr>
      <w:pStyle w:val="a4"/>
      <w:bidi/>
      <w:spacing w:after="120"/>
      <w:jc w:val="both"/>
      <w:rPr>
        <w:rFonts w:ascii="Segoe UI" w:hAnsi="Segoe UI" w:cs="Segoe UI"/>
        <w:sz w:val="20"/>
        <w:szCs w:val="20"/>
        <w:lang w:val="en-US"/>
      </w:rPr>
    </w:pPr>
    <w:r w:rsidRPr="00431015">
      <w:rPr>
        <w:rFonts w:ascii="Segoe UI" w:hAnsi="Segoe UI" w:cs="Segoe UI"/>
        <w:sz w:val="20"/>
        <w:szCs w:val="20"/>
        <w:rtl/>
        <w:lang w:val="en-US"/>
      </w:rPr>
      <w:t>לק"י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64F7" w14:textId="2421EC90" w:rsidR="00A5624B" w:rsidRPr="00A5624B" w:rsidRDefault="00A5624B" w:rsidP="00A5624B">
    <w:pPr>
      <w:pStyle w:val="a4"/>
      <w:bidi/>
      <w:spacing w:after="240"/>
      <w:jc w:val="both"/>
      <w:rPr>
        <w:rFonts w:ascii="Segoe UI" w:hAnsi="Segoe UI" w:cs="Segoe UI"/>
        <w:b/>
        <w:bCs/>
        <w:sz w:val="20"/>
        <w:szCs w:val="20"/>
        <w:rtl/>
        <w:lang w:val="en-ZW"/>
      </w:rPr>
    </w:pPr>
    <w:r w:rsidRPr="00A5624B">
      <w:rPr>
        <w:rFonts w:ascii="Segoe UI" w:hAnsi="Segoe UI" w:cs="Segoe UI"/>
        <w:b/>
        <w:bCs/>
        <w:sz w:val="20"/>
        <w:szCs w:val="20"/>
        <w:rtl/>
        <w:lang w:val="en-ZW"/>
      </w:rPr>
      <w:t>לק"י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384"/>
    <w:multiLevelType w:val="hybridMultilevel"/>
    <w:tmpl w:val="4A28357A"/>
    <w:lvl w:ilvl="0" w:tplc="2000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584A29"/>
    <w:multiLevelType w:val="hybridMultilevel"/>
    <w:tmpl w:val="9BA24150"/>
    <w:lvl w:ilvl="0" w:tplc="94782C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E55068"/>
    <w:multiLevelType w:val="hybridMultilevel"/>
    <w:tmpl w:val="B6B6FF68"/>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D0741B"/>
    <w:multiLevelType w:val="hybridMultilevel"/>
    <w:tmpl w:val="278C8640"/>
    <w:lvl w:ilvl="0" w:tplc="200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5B16BA"/>
    <w:multiLevelType w:val="hybridMultilevel"/>
    <w:tmpl w:val="E79014EE"/>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D43944"/>
    <w:multiLevelType w:val="hybridMultilevel"/>
    <w:tmpl w:val="5A4A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82628A"/>
    <w:multiLevelType w:val="hybridMultilevel"/>
    <w:tmpl w:val="2B2A680E"/>
    <w:lvl w:ilvl="0" w:tplc="2000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68B2C8C"/>
    <w:multiLevelType w:val="hybridMultilevel"/>
    <w:tmpl w:val="7B0AD442"/>
    <w:lvl w:ilvl="0" w:tplc="2000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A774B2"/>
    <w:multiLevelType w:val="hybridMultilevel"/>
    <w:tmpl w:val="2924B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0F61B9"/>
    <w:multiLevelType w:val="hybridMultilevel"/>
    <w:tmpl w:val="7D48B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584F1D"/>
    <w:multiLevelType w:val="hybridMultilevel"/>
    <w:tmpl w:val="993AB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A11926"/>
    <w:multiLevelType w:val="hybridMultilevel"/>
    <w:tmpl w:val="C368059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2000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9DF6CBD"/>
    <w:multiLevelType w:val="hybridMultilevel"/>
    <w:tmpl w:val="9656F1A0"/>
    <w:lvl w:ilvl="0" w:tplc="200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C69543C"/>
    <w:multiLevelType w:val="hybridMultilevel"/>
    <w:tmpl w:val="75C2199E"/>
    <w:lvl w:ilvl="0" w:tplc="3BE2AD6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C6C3ACA"/>
    <w:multiLevelType w:val="hybridMultilevel"/>
    <w:tmpl w:val="10BC3C1C"/>
    <w:lvl w:ilvl="0" w:tplc="2000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5" w15:restartNumberingAfterBreak="0">
    <w:nsid w:val="0D3A1F0E"/>
    <w:multiLevelType w:val="hybridMultilevel"/>
    <w:tmpl w:val="02CC8D32"/>
    <w:lvl w:ilvl="0" w:tplc="2000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DC14529"/>
    <w:multiLevelType w:val="hybridMultilevel"/>
    <w:tmpl w:val="CF94E66A"/>
    <w:lvl w:ilvl="0" w:tplc="200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E3C52D6"/>
    <w:multiLevelType w:val="hybridMultilevel"/>
    <w:tmpl w:val="5DB8F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E623B8"/>
    <w:multiLevelType w:val="hybridMultilevel"/>
    <w:tmpl w:val="F300E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F95FF3"/>
    <w:multiLevelType w:val="hybridMultilevel"/>
    <w:tmpl w:val="71986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1DE13E7"/>
    <w:multiLevelType w:val="hybridMultilevel"/>
    <w:tmpl w:val="716A869C"/>
    <w:lvl w:ilvl="0" w:tplc="94782CAA">
      <w:start w:val="1"/>
      <w:numFmt w:val="decimal"/>
      <w:lvlText w:val="(%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1" w15:restartNumberingAfterBreak="0">
    <w:nsid w:val="125028EE"/>
    <w:multiLevelType w:val="hybridMultilevel"/>
    <w:tmpl w:val="341EEDF4"/>
    <w:lvl w:ilvl="0" w:tplc="4D2874DA">
      <w:start w:val="1"/>
      <w:numFmt w:val="bullet"/>
      <w:lvlText w:val=""/>
      <w:lvlJc w:val="left"/>
      <w:pPr>
        <w:tabs>
          <w:tab w:val="num" w:pos="360"/>
        </w:tabs>
        <w:ind w:left="360" w:hanging="360"/>
      </w:pPr>
      <w:rPr>
        <w:rFonts w:ascii="Symbol" w:hAnsi="Symbol" w:hint="default"/>
        <w:color w:val="auto"/>
      </w:rPr>
    </w:lvl>
    <w:lvl w:ilvl="1" w:tplc="FFFFFFFF" w:tentative="1">
      <w:start w:val="1"/>
      <w:numFmt w:val="hebrew2"/>
      <w:lvlText w:val="%2-"/>
      <w:lvlJc w:val="left"/>
      <w:pPr>
        <w:tabs>
          <w:tab w:val="num" w:pos="1080"/>
        </w:tabs>
        <w:ind w:left="1080" w:hanging="360"/>
      </w:pPr>
    </w:lvl>
    <w:lvl w:ilvl="2" w:tplc="FFFFFFFF" w:tentative="1">
      <w:start w:val="1"/>
      <w:numFmt w:val="hebrew2"/>
      <w:lvlText w:val="%3-"/>
      <w:lvlJc w:val="left"/>
      <w:pPr>
        <w:tabs>
          <w:tab w:val="num" w:pos="1800"/>
        </w:tabs>
        <w:ind w:left="1800" w:hanging="360"/>
      </w:pPr>
    </w:lvl>
    <w:lvl w:ilvl="3" w:tplc="FFFFFFFF" w:tentative="1">
      <w:start w:val="1"/>
      <w:numFmt w:val="hebrew2"/>
      <w:lvlText w:val="%4-"/>
      <w:lvlJc w:val="left"/>
      <w:pPr>
        <w:tabs>
          <w:tab w:val="num" w:pos="2520"/>
        </w:tabs>
        <w:ind w:left="2520" w:hanging="360"/>
      </w:pPr>
    </w:lvl>
    <w:lvl w:ilvl="4" w:tplc="FFFFFFFF" w:tentative="1">
      <w:start w:val="1"/>
      <w:numFmt w:val="hebrew2"/>
      <w:lvlText w:val="%5-"/>
      <w:lvlJc w:val="left"/>
      <w:pPr>
        <w:tabs>
          <w:tab w:val="num" w:pos="3240"/>
        </w:tabs>
        <w:ind w:left="3240" w:hanging="360"/>
      </w:pPr>
    </w:lvl>
    <w:lvl w:ilvl="5" w:tplc="FFFFFFFF" w:tentative="1">
      <w:start w:val="1"/>
      <w:numFmt w:val="hebrew2"/>
      <w:lvlText w:val="%6-"/>
      <w:lvlJc w:val="left"/>
      <w:pPr>
        <w:tabs>
          <w:tab w:val="num" w:pos="3960"/>
        </w:tabs>
        <w:ind w:left="3960" w:hanging="360"/>
      </w:pPr>
    </w:lvl>
    <w:lvl w:ilvl="6" w:tplc="FFFFFFFF" w:tentative="1">
      <w:start w:val="1"/>
      <w:numFmt w:val="hebrew2"/>
      <w:lvlText w:val="%7-"/>
      <w:lvlJc w:val="left"/>
      <w:pPr>
        <w:tabs>
          <w:tab w:val="num" w:pos="4680"/>
        </w:tabs>
        <w:ind w:left="4680" w:hanging="360"/>
      </w:pPr>
    </w:lvl>
    <w:lvl w:ilvl="7" w:tplc="FFFFFFFF" w:tentative="1">
      <w:start w:val="1"/>
      <w:numFmt w:val="hebrew2"/>
      <w:lvlText w:val="%8-"/>
      <w:lvlJc w:val="left"/>
      <w:pPr>
        <w:tabs>
          <w:tab w:val="num" w:pos="5400"/>
        </w:tabs>
        <w:ind w:left="5400" w:hanging="360"/>
      </w:pPr>
    </w:lvl>
    <w:lvl w:ilvl="8" w:tplc="FFFFFFFF" w:tentative="1">
      <w:start w:val="1"/>
      <w:numFmt w:val="hebrew2"/>
      <w:lvlText w:val="%9-"/>
      <w:lvlJc w:val="left"/>
      <w:pPr>
        <w:tabs>
          <w:tab w:val="num" w:pos="6120"/>
        </w:tabs>
        <w:ind w:left="6120" w:hanging="360"/>
      </w:pPr>
    </w:lvl>
  </w:abstractNum>
  <w:abstractNum w:abstractNumId="22" w15:restartNumberingAfterBreak="0">
    <w:nsid w:val="12F207E8"/>
    <w:multiLevelType w:val="hybridMultilevel"/>
    <w:tmpl w:val="15CA6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370663A"/>
    <w:multiLevelType w:val="hybridMultilevel"/>
    <w:tmpl w:val="F58E137A"/>
    <w:lvl w:ilvl="0" w:tplc="2000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3EA302F"/>
    <w:multiLevelType w:val="hybridMultilevel"/>
    <w:tmpl w:val="F616531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800" w:hanging="360"/>
      </w:pPr>
      <w:rPr>
        <w:rFonts w:hint="default"/>
      </w:rPr>
    </w:lvl>
    <w:lvl w:ilvl="2" w:tplc="FFFFFFFF">
      <w:start w:val="1"/>
      <w:numFmt w:val="decimal"/>
      <w:lvlText w:val="(%3)"/>
      <w:lvlJc w:val="left"/>
      <w:pPr>
        <w:ind w:left="723" w:hanging="360"/>
      </w:pPr>
      <w:rPr>
        <w:rFonts w:hint="default"/>
      </w:rPr>
    </w:lvl>
    <w:lvl w:ilvl="3" w:tplc="20000011">
      <w:start w:val="1"/>
      <w:numFmt w:val="decimal"/>
      <w:lvlText w:val="%4)"/>
      <w:lvlJc w:val="left"/>
      <w:pPr>
        <w:ind w:left="723" w:hanging="360"/>
      </w:pPr>
    </w:lvl>
    <w:lvl w:ilvl="4" w:tplc="FFFFFFFF">
      <w:start w:val="1"/>
      <w:numFmt w:val="bullet"/>
      <w:lvlText w:val="o"/>
      <w:lvlJc w:val="left"/>
      <w:pPr>
        <w:ind w:left="3600" w:hanging="360"/>
      </w:pPr>
      <w:rPr>
        <w:rFonts w:ascii="Courier New" w:hAnsi="Courier New" w:cs="Courier New" w:hint="default"/>
      </w:rPr>
    </w:lvl>
    <w:lvl w:ilvl="5" w:tplc="E5B018D4">
      <w:start w:val="1"/>
      <w:numFmt w:val="decimal"/>
      <w:lvlText w:val="%6."/>
      <w:lvlJc w:val="left"/>
      <w:pPr>
        <w:ind w:left="4320" w:hanging="360"/>
      </w:pPr>
      <w:rPr>
        <w:rFont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4BF066C"/>
    <w:multiLevelType w:val="hybridMultilevel"/>
    <w:tmpl w:val="4BBAAE96"/>
    <w:lvl w:ilvl="0" w:tplc="200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4E65F3D"/>
    <w:multiLevelType w:val="hybridMultilevel"/>
    <w:tmpl w:val="C7161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D82C0A"/>
    <w:multiLevelType w:val="hybridMultilevel"/>
    <w:tmpl w:val="71624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5E93FC7"/>
    <w:multiLevelType w:val="hybridMultilevel"/>
    <w:tmpl w:val="932C7EF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6AD1DE2"/>
    <w:multiLevelType w:val="hybridMultilevel"/>
    <w:tmpl w:val="4E100C2E"/>
    <w:lvl w:ilvl="0" w:tplc="FFFFFFFF">
      <w:start w:val="1"/>
      <w:numFmt w:val="bullet"/>
      <w:lvlText w:val=""/>
      <w:lvlJc w:val="left"/>
      <w:pPr>
        <w:ind w:left="1800" w:hanging="360"/>
      </w:pPr>
      <w:rPr>
        <w:rFonts w:ascii="Symbol" w:hAnsi="Symbol" w:hint="default"/>
      </w:rPr>
    </w:lvl>
    <w:lvl w:ilvl="1" w:tplc="2000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 w15:restartNumberingAfterBreak="0">
    <w:nsid w:val="19935192"/>
    <w:multiLevelType w:val="hybridMultilevel"/>
    <w:tmpl w:val="3AC04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A207D52"/>
    <w:multiLevelType w:val="hybridMultilevel"/>
    <w:tmpl w:val="F8D0061A"/>
    <w:lvl w:ilvl="0" w:tplc="200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A9342A8"/>
    <w:multiLevelType w:val="hybridMultilevel"/>
    <w:tmpl w:val="DE16A61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1C3F6163"/>
    <w:multiLevelType w:val="hybridMultilevel"/>
    <w:tmpl w:val="527CC61C"/>
    <w:lvl w:ilvl="0" w:tplc="4D2874D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F744B4"/>
    <w:multiLevelType w:val="hybridMultilevel"/>
    <w:tmpl w:val="FDDEF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E4022BF"/>
    <w:multiLevelType w:val="hybridMultilevel"/>
    <w:tmpl w:val="CEE02480"/>
    <w:lvl w:ilvl="0" w:tplc="3BE2AD6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5E3A8D"/>
    <w:multiLevelType w:val="hybridMultilevel"/>
    <w:tmpl w:val="E544EBC0"/>
    <w:lvl w:ilvl="0" w:tplc="2000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EA130E0"/>
    <w:multiLevelType w:val="hybridMultilevel"/>
    <w:tmpl w:val="8EB66C42"/>
    <w:lvl w:ilvl="0" w:tplc="2000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EA4252E"/>
    <w:multiLevelType w:val="hybridMultilevel"/>
    <w:tmpl w:val="3F306E1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F0953D4"/>
    <w:multiLevelType w:val="hybridMultilevel"/>
    <w:tmpl w:val="807C8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F4D107A"/>
    <w:multiLevelType w:val="hybridMultilevel"/>
    <w:tmpl w:val="7ED2B0E4"/>
    <w:lvl w:ilvl="0" w:tplc="94782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866CE6"/>
    <w:multiLevelType w:val="hybridMultilevel"/>
    <w:tmpl w:val="654CA5DE"/>
    <w:lvl w:ilvl="0" w:tplc="2000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2299730D"/>
    <w:multiLevelType w:val="hybridMultilevel"/>
    <w:tmpl w:val="25327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29E33CB"/>
    <w:multiLevelType w:val="hybridMultilevel"/>
    <w:tmpl w:val="42CE2424"/>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AB1FDC"/>
    <w:multiLevelType w:val="hybridMultilevel"/>
    <w:tmpl w:val="01821724"/>
    <w:lvl w:ilvl="0" w:tplc="200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363578D"/>
    <w:multiLevelType w:val="hybridMultilevel"/>
    <w:tmpl w:val="E5E41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4273319"/>
    <w:multiLevelType w:val="hybridMultilevel"/>
    <w:tmpl w:val="AE44F13C"/>
    <w:lvl w:ilvl="0" w:tplc="0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7" w15:restartNumberingAfterBreak="0">
    <w:nsid w:val="258A4D61"/>
    <w:multiLevelType w:val="hybridMultilevel"/>
    <w:tmpl w:val="8CA4F08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2000000F">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59446FA"/>
    <w:multiLevelType w:val="hybridMultilevel"/>
    <w:tmpl w:val="3ED000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846E5CA">
      <w:numFmt w:val="bullet"/>
      <w:lvlText w:val="-"/>
      <w:lvlJc w:val="left"/>
      <w:pPr>
        <w:ind w:left="1800" w:hanging="360"/>
      </w:pPr>
      <w:rPr>
        <w:rFonts w:ascii="Arial" w:eastAsiaTheme="minorHAnsi"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BD0BAA"/>
    <w:multiLevelType w:val="hybridMultilevel"/>
    <w:tmpl w:val="4170B11A"/>
    <w:lvl w:ilvl="0" w:tplc="2000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AC31AD"/>
    <w:multiLevelType w:val="hybridMultilevel"/>
    <w:tmpl w:val="34F04E9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28132820"/>
    <w:multiLevelType w:val="hybridMultilevel"/>
    <w:tmpl w:val="1806167C"/>
    <w:lvl w:ilvl="0" w:tplc="200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95E4029"/>
    <w:multiLevelType w:val="hybridMultilevel"/>
    <w:tmpl w:val="3034C802"/>
    <w:lvl w:ilvl="0" w:tplc="2000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BBB6787"/>
    <w:multiLevelType w:val="hybridMultilevel"/>
    <w:tmpl w:val="E84C469C"/>
    <w:lvl w:ilvl="0" w:tplc="200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D4027DD"/>
    <w:multiLevelType w:val="hybridMultilevel"/>
    <w:tmpl w:val="E1806A98"/>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DDD2366"/>
    <w:multiLevelType w:val="hybridMultilevel"/>
    <w:tmpl w:val="93F23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776F34"/>
    <w:multiLevelType w:val="hybridMultilevel"/>
    <w:tmpl w:val="3796E8D4"/>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88360D"/>
    <w:multiLevelType w:val="hybridMultilevel"/>
    <w:tmpl w:val="BCD81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48D3FB4"/>
    <w:multiLevelType w:val="hybridMultilevel"/>
    <w:tmpl w:val="A7B2E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4D7644E"/>
    <w:multiLevelType w:val="hybridMultilevel"/>
    <w:tmpl w:val="AD844F52"/>
    <w:lvl w:ilvl="0" w:tplc="83585002">
      <w:start w:val="1"/>
      <w:numFmt w:val="decimal"/>
      <w:lvlText w:val="%1."/>
      <w:lvlJc w:val="left"/>
      <w:pPr>
        <w:tabs>
          <w:tab w:val="num" w:pos="360"/>
        </w:tabs>
        <w:ind w:left="360" w:hanging="360"/>
      </w:pPr>
    </w:lvl>
    <w:lvl w:ilvl="1" w:tplc="AB8EE0FC" w:tentative="1">
      <w:start w:val="1"/>
      <w:numFmt w:val="decimal"/>
      <w:lvlText w:val="%2."/>
      <w:lvlJc w:val="left"/>
      <w:pPr>
        <w:tabs>
          <w:tab w:val="num" w:pos="1080"/>
        </w:tabs>
        <w:ind w:left="1080" w:hanging="360"/>
      </w:pPr>
    </w:lvl>
    <w:lvl w:ilvl="2" w:tplc="A0B4A4E6" w:tentative="1">
      <w:start w:val="1"/>
      <w:numFmt w:val="decimal"/>
      <w:lvlText w:val="%3."/>
      <w:lvlJc w:val="left"/>
      <w:pPr>
        <w:tabs>
          <w:tab w:val="num" w:pos="1800"/>
        </w:tabs>
        <w:ind w:left="1800" w:hanging="360"/>
      </w:pPr>
    </w:lvl>
    <w:lvl w:ilvl="3" w:tplc="990AC2E4" w:tentative="1">
      <w:start w:val="1"/>
      <w:numFmt w:val="decimal"/>
      <w:lvlText w:val="%4."/>
      <w:lvlJc w:val="left"/>
      <w:pPr>
        <w:tabs>
          <w:tab w:val="num" w:pos="2520"/>
        </w:tabs>
        <w:ind w:left="2520" w:hanging="360"/>
      </w:pPr>
    </w:lvl>
    <w:lvl w:ilvl="4" w:tplc="168EB26C" w:tentative="1">
      <w:start w:val="1"/>
      <w:numFmt w:val="decimal"/>
      <w:lvlText w:val="%5."/>
      <w:lvlJc w:val="left"/>
      <w:pPr>
        <w:tabs>
          <w:tab w:val="num" w:pos="3240"/>
        </w:tabs>
        <w:ind w:left="3240" w:hanging="360"/>
      </w:pPr>
    </w:lvl>
    <w:lvl w:ilvl="5" w:tplc="7F5C5D90" w:tentative="1">
      <w:start w:val="1"/>
      <w:numFmt w:val="decimal"/>
      <w:lvlText w:val="%6."/>
      <w:lvlJc w:val="left"/>
      <w:pPr>
        <w:tabs>
          <w:tab w:val="num" w:pos="3960"/>
        </w:tabs>
        <w:ind w:left="3960" w:hanging="360"/>
      </w:pPr>
    </w:lvl>
    <w:lvl w:ilvl="6" w:tplc="D59A2036" w:tentative="1">
      <w:start w:val="1"/>
      <w:numFmt w:val="decimal"/>
      <w:lvlText w:val="%7."/>
      <w:lvlJc w:val="left"/>
      <w:pPr>
        <w:tabs>
          <w:tab w:val="num" w:pos="4680"/>
        </w:tabs>
        <w:ind w:left="4680" w:hanging="360"/>
      </w:pPr>
    </w:lvl>
    <w:lvl w:ilvl="7" w:tplc="24F09724" w:tentative="1">
      <w:start w:val="1"/>
      <w:numFmt w:val="decimal"/>
      <w:lvlText w:val="%8."/>
      <w:lvlJc w:val="left"/>
      <w:pPr>
        <w:tabs>
          <w:tab w:val="num" w:pos="5400"/>
        </w:tabs>
        <w:ind w:left="5400" w:hanging="360"/>
      </w:pPr>
    </w:lvl>
    <w:lvl w:ilvl="8" w:tplc="DD7C5D22" w:tentative="1">
      <w:start w:val="1"/>
      <w:numFmt w:val="decimal"/>
      <w:lvlText w:val="%9."/>
      <w:lvlJc w:val="left"/>
      <w:pPr>
        <w:tabs>
          <w:tab w:val="num" w:pos="6120"/>
        </w:tabs>
        <w:ind w:left="6120" w:hanging="360"/>
      </w:pPr>
    </w:lvl>
  </w:abstractNum>
  <w:abstractNum w:abstractNumId="60" w15:restartNumberingAfterBreak="0">
    <w:nsid w:val="38F55701"/>
    <w:multiLevelType w:val="hybridMultilevel"/>
    <w:tmpl w:val="DF486D2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2000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39104A19"/>
    <w:multiLevelType w:val="hybridMultilevel"/>
    <w:tmpl w:val="C97A0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A080F76"/>
    <w:multiLevelType w:val="hybridMultilevel"/>
    <w:tmpl w:val="C0B8EDC2"/>
    <w:lvl w:ilvl="0" w:tplc="DF58D5A0">
      <w:start w:val="1"/>
      <w:numFmt w:val="decimal"/>
      <w:lvlText w:val="%1."/>
      <w:lvlJc w:val="left"/>
      <w:pPr>
        <w:tabs>
          <w:tab w:val="num" w:pos="360"/>
        </w:tabs>
        <w:ind w:left="360" w:hanging="360"/>
      </w:pPr>
    </w:lvl>
    <w:lvl w:ilvl="1" w:tplc="E57EBCE8" w:tentative="1">
      <w:start w:val="1"/>
      <w:numFmt w:val="decimal"/>
      <w:lvlText w:val="%2."/>
      <w:lvlJc w:val="left"/>
      <w:pPr>
        <w:tabs>
          <w:tab w:val="num" w:pos="1080"/>
        </w:tabs>
        <w:ind w:left="1080" w:hanging="360"/>
      </w:pPr>
    </w:lvl>
    <w:lvl w:ilvl="2" w:tplc="B31E16E2" w:tentative="1">
      <w:start w:val="1"/>
      <w:numFmt w:val="decimal"/>
      <w:lvlText w:val="%3."/>
      <w:lvlJc w:val="left"/>
      <w:pPr>
        <w:tabs>
          <w:tab w:val="num" w:pos="1800"/>
        </w:tabs>
        <w:ind w:left="1800" w:hanging="360"/>
      </w:pPr>
    </w:lvl>
    <w:lvl w:ilvl="3" w:tplc="1EE802CC" w:tentative="1">
      <w:start w:val="1"/>
      <w:numFmt w:val="decimal"/>
      <w:lvlText w:val="%4."/>
      <w:lvlJc w:val="left"/>
      <w:pPr>
        <w:tabs>
          <w:tab w:val="num" w:pos="2520"/>
        </w:tabs>
        <w:ind w:left="2520" w:hanging="360"/>
      </w:pPr>
    </w:lvl>
    <w:lvl w:ilvl="4" w:tplc="8B70B8EC" w:tentative="1">
      <w:start w:val="1"/>
      <w:numFmt w:val="decimal"/>
      <w:lvlText w:val="%5."/>
      <w:lvlJc w:val="left"/>
      <w:pPr>
        <w:tabs>
          <w:tab w:val="num" w:pos="3240"/>
        </w:tabs>
        <w:ind w:left="3240" w:hanging="360"/>
      </w:pPr>
    </w:lvl>
    <w:lvl w:ilvl="5" w:tplc="D5DCF5BC" w:tentative="1">
      <w:start w:val="1"/>
      <w:numFmt w:val="decimal"/>
      <w:lvlText w:val="%6."/>
      <w:lvlJc w:val="left"/>
      <w:pPr>
        <w:tabs>
          <w:tab w:val="num" w:pos="3960"/>
        </w:tabs>
        <w:ind w:left="3960" w:hanging="360"/>
      </w:pPr>
    </w:lvl>
    <w:lvl w:ilvl="6" w:tplc="F8965642" w:tentative="1">
      <w:start w:val="1"/>
      <w:numFmt w:val="decimal"/>
      <w:lvlText w:val="%7."/>
      <w:lvlJc w:val="left"/>
      <w:pPr>
        <w:tabs>
          <w:tab w:val="num" w:pos="4680"/>
        </w:tabs>
        <w:ind w:left="4680" w:hanging="360"/>
      </w:pPr>
    </w:lvl>
    <w:lvl w:ilvl="7" w:tplc="83C831B0" w:tentative="1">
      <w:start w:val="1"/>
      <w:numFmt w:val="decimal"/>
      <w:lvlText w:val="%8."/>
      <w:lvlJc w:val="left"/>
      <w:pPr>
        <w:tabs>
          <w:tab w:val="num" w:pos="5400"/>
        </w:tabs>
        <w:ind w:left="5400" w:hanging="360"/>
      </w:pPr>
    </w:lvl>
    <w:lvl w:ilvl="8" w:tplc="9A0C4AC6" w:tentative="1">
      <w:start w:val="1"/>
      <w:numFmt w:val="decimal"/>
      <w:lvlText w:val="%9."/>
      <w:lvlJc w:val="left"/>
      <w:pPr>
        <w:tabs>
          <w:tab w:val="num" w:pos="6120"/>
        </w:tabs>
        <w:ind w:left="6120" w:hanging="360"/>
      </w:pPr>
    </w:lvl>
  </w:abstractNum>
  <w:abstractNum w:abstractNumId="63" w15:restartNumberingAfterBreak="0">
    <w:nsid w:val="3A8A0184"/>
    <w:multiLevelType w:val="hybridMultilevel"/>
    <w:tmpl w:val="9B06D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F22166"/>
    <w:multiLevelType w:val="hybridMultilevel"/>
    <w:tmpl w:val="1A42C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BC11851"/>
    <w:multiLevelType w:val="hybridMultilevel"/>
    <w:tmpl w:val="1C26479E"/>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D3D15C7"/>
    <w:multiLevelType w:val="hybridMultilevel"/>
    <w:tmpl w:val="520866FA"/>
    <w:lvl w:ilvl="0" w:tplc="3BE2AD6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F52731D"/>
    <w:multiLevelType w:val="hybridMultilevel"/>
    <w:tmpl w:val="02DE6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0F83303"/>
    <w:multiLevelType w:val="hybridMultilevel"/>
    <w:tmpl w:val="90082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1370BDD"/>
    <w:multiLevelType w:val="hybridMultilevel"/>
    <w:tmpl w:val="9AD2E9B0"/>
    <w:lvl w:ilvl="0" w:tplc="2000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424336FF"/>
    <w:multiLevelType w:val="hybridMultilevel"/>
    <w:tmpl w:val="404ABC64"/>
    <w:lvl w:ilvl="0" w:tplc="2000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3211541"/>
    <w:multiLevelType w:val="hybridMultilevel"/>
    <w:tmpl w:val="27321944"/>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106DE1"/>
    <w:multiLevelType w:val="hybridMultilevel"/>
    <w:tmpl w:val="3ADA49C0"/>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4664D6E"/>
    <w:multiLevelType w:val="hybridMultilevel"/>
    <w:tmpl w:val="68E6A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49413C2"/>
    <w:multiLevelType w:val="hybridMultilevel"/>
    <w:tmpl w:val="6B44A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5272A5B"/>
    <w:multiLevelType w:val="hybridMultilevel"/>
    <w:tmpl w:val="711A93A0"/>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5E94827"/>
    <w:multiLevelType w:val="hybridMultilevel"/>
    <w:tmpl w:val="822EACA4"/>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1148F4"/>
    <w:multiLevelType w:val="hybridMultilevel"/>
    <w:tmpl w:val="1970209C"/>
    <w:lvl w:ilvl="0" w:tplc="3BE2AD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380B22"/>
    <w:multiLevelType w:val="hybridMultilevel"/>
    <w:tmpl w:val="85A80094"/>
    <w:lvl w:ilvl="0" w:tplc="200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9545CFE"/>
    <w:multiLevelType w:val="hybridMultilevel"/>
    <w:tmpl w:val="93B62D80"/>
    <w:lvl w:ilvl="0" w:tplc="FAE8638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A3A47ED"/>
    <w:multiLevelType w:val="hybridMultilevel"/>
    <w:tmpl w:val="0A3AC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B122B8A"/>
    <w:multiLevelType w:val="hybridMultilevel"/>
    <w:tmpl w:val="321E2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2176EB"/>
    <w:multiLevelType w:val="hybridMultilevel"/>
    <w:tmpl w:val="D17C30A4"/>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F467E54"/>
    <w:multiLevelType w:val="hybridMultilevel"/>
    <w:tmpl w:val="3D02D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F7F7AED"/>
    <w:multiLevelType w:val="hybridMultilevel"/>
    <w:tmpl w:val="3E9AE716"/>
    <w:lvl w:ilvl="0" w:tplc="94782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078504C"/>
    <w:multiLevelType w:val="hybridMultilevel"/>
    <w:tmpl w:val="697E755A"/>
    <w:lvl w:ilvl="0" w:tplc="2000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140596D"/>
    <w:multiLevelType w:val="hybridMultilevel"/>
    <w:tmpl w:val="E7509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1B97528"/>
    <w:multiLevelType w:val="hybridMultilevel"/>
    <w:tmpl w:val="9F7A9972"/>
    <w:lvl w:ilvl="0" w:tplc="2000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8" w15:restartNumberingAfterBreak="0">
    <w:nsid w:val="53EC5056"/>
    <w:multiLevelType w:val="hybridMultilevel"/>
    <w:tmpl w:val="641AC490"/>
    <w:lvl w:ilvl="0" w:tplc="200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6B52709"/>
    <w:multiLevelType w:val="hybridMultilevel"/>
    <w:tmpl w:val="6DB2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BF76B33"/>
    <w:multiLevelType w:val="hybridMultilevel"/>
    <w:tmpl w:val="126ABECA"/>
    <w:lvl w:ilvl="0" w:tplc="04090001">
      <w:start w:val="1"/>
      <w:numFmt w:val="bullet"/>
      <w:lvlText w:val=""/>
      <w:lvlJc w:val="left"/>
      <w:pPr>
        <w:ind w:left="720" w:hanging="360"/>
      </w:pPr>
      <w:rPr>
        <w:rFonts w:ascii="Symbol" w:hAnsi="Symbol" w:hint="default"/>
      </w:rPr>
    </w:lvl>
    <w:lvl w:ilvl="1" w:tplc="00C6F588">
      <w:start w:val="1"/>
      <w:numFmt w:val="decimal"/>
      <w:lvlText w:val="(%2)"/>
      <w:lvlJc w:val="left"/>
      <w:pPr>
        <w:ind w:left="1800" w:hanging="360"/>
      </w:pPr>
      <w:rPr>
        <w:rFonts w:hint="default"/>
        <w:color w:val="auto"/>
      </w:rPr>
    </w:lvl>
    <w:lvl w:ilvl="2" w:tplc="94782CAA">
      <w:start w:val="1"/>
      <w:numFmt w:val="decimal"/>
      <w:lvlText w:val="(%3)"/>
      <w:lvlJc w:val="left"/>
      <w:pPr>
        <w:ind w:left="723" w:hanging="360"/>
      </w:pPr>
      <w:rPr>
        <w:rFonts w:hint="default"/>
      </w:rPr>
    </w:lvl>
    <w:lvl w:ilvl="3" w:tplc="94782CAA">
      <w:start w:val="1"/>
      <w:numFmt w:val="decimal"/>
      <w:lvlText w:val="(%4)"/>
      <w:lvlJc w:val="left"/>
      <w:pPr>
        <w:ind w:left="723"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C5A28F8"/>
    <w:multiLevelType w:val="hybridMultilevel"/>
    <w:tmpl w:val="C8340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E3A156E"/>
    <w:multiLevelType w:val="hybridMultilevel"/>
    <w:tmpl w:val="C71AE3C2"/>
    <w:lvl w:ilvl="0" w:tplc="44168ADE">
      <w:start w:val="1"/>
      <w:numFmt w:val="decimal"/>
      <w:lvlText w:val="%1."/>
      <w:lvlJc w:val="left"/>
      <w:pPr>
        <w:tabs>
          <w:tab w:val="num" w:pos="360"/>
        </w:tabs>
        <w:ind w:left="360" w:hanging="360"/>
      </w:pPr>
    </w:lvl>
    <w:lvl w:ilvl="1" w:tplc="D45A0A2C" w:tentative="1">
      <w:start w:val="1"/>
      <w:numFmt w:val="decimal"/>
      <w:lvlText w:val="%2."/>
      <w:lvlJc w:val="left"/>
      <w:pPr>
        <w:tabs>
          <w:tab w:val="num" w:pos="1080"/>
        </w:tabs>
        <w:ind w:left="1080" w:hanging="360"/>
      </w:pPr>
    </w:lvl>
    <w:lvl w:ilvl="2" w:tplc="B93CD3EE" w:tentative="1">
      <w:start w:val="1"/>
      <w:numFmt w:val="decimal"/>
      <w:lvlText w:val="%3."/>
      <w:lvlJc w:val="left"/>
      <w:pPr>
        <w:tabs>
          <w:tab w:val="num" w:pos="1800"/>
        </w:tabs>
        <w:ind w:left="1800" w:hanging="360"/>
      </w:pPr>
    </w:lvl>
    <w:lvl w:ilvl="3" w:tplc="013A7CF2" w:tentative="1">
      <w:start w:val="1"/>
      <w:numFmt w:val="decimal"/>
      <w:lvlText w:val="%4."/>
      <w:lvlJc w:val="left"/>
      <w:pPr>
        <w:tabs>
          <w:tab w:val="num" w:pos="2520"/>
        </w:tabs>
        <w:ind w:left="2520" w:hanging="360"/>
      </w:pPr>
    </w:lvl>
    <w:lvl w:ilvl="4" w:tplc="D57480DC" w:tentative="1">
      <w:start w:val="1"/>
      <w:numFmt w:val="decimal"/>
      <w:lvlText w:val="%5."/>
      <w:lvlJc w:val="left"/>
      <w:pPr>
        <w:tabs>
          <w:tab w:val="num" w:pos="3240"/>
        </w:tabs>
        <w:ind w:left="3240" w:hanging="360"/>
      </w:pPr>
    </w:lvl>
    <w:lvl w:ilvl="5" w:tplc="FF726986" w:tentative="1">
      <w:start w:val="1"/>
      <w:numFmt w:val="decimal"/>
      <w:lvlText w:val="%6."/>
      <w:lvlJc w:val="left"/>
      <w:pPr>
        <w:tabs>
          <w:tab w:val="num" w:pos="3960"/>
        </w:tabs>
        <w:ind w:left="3960" w:hanging="360"/>
      </w:pPr>
    </w:lvl>
    <w:lvl w:ilvl="6" w:tplc="BE38FAC8" w:tentative="1">
      <w:start w:val="1"/>
      <w:numFmt w:val="decimal"/>
      <w:lvlText w:val="%7."/>
      <w:lvlJc w:val="left"/>
      <w:pPr>
        <w:tabs>
          <w:tab w:val="num" w:pos="4680"/>
        </w:tabs>
        <w:ind w:left="4680" w:hanging="360"/>
      </w:pPr>
    </w:lvl>
    <w:lvl w:ilvl="7" w:tplc="7A8E0E24" w:tentative="1">
      <w:start w:val="1"/>
      <w:numFmt w:val="decimal"/>
      <w:lvlText w:val="%8."/>
      <w:lvlJc w:val="left"/>
      <w:pPr>
        <w:tabs>
          <w:tab w:val="num" w:pos="5400"/>
        </w:tabs>
        <w:ind w:left="5400" w:hanging="360"/>
      </w:pPr>
    </w:lvl>
    <w:lvl w:ilvl="8" w:tplc="E634E092" w:tentative="1">
      <w:start w:val="1"/>
      <w:numFmt w:val="decimal"/>
      <w:lvlText w:val="%9."/>
      <w:lvlJc w:val="left"/>
      <w:pPr>
        <w:tabs>
          <w:tab w:val="num" w:pos="6120"/>
        </w:tabs>
        <w:ind w:left="6120" w:hanging="360"/>
      </w:pPr>
    </w:lvl>
  </w:abstractNum>
  <w:abstractNum w:abstractNumId="93" w15:restartNumberingAfterBreak="0">
    <w:nsid w:val="5EF94BB5"/>
    <w:multiLevelType w:val="hybridMultilevel"/>
    <w:tmpl w:val="50A06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08B70BB"/>
    <w:multiLevelType w:val="hybridMultilevel"/>
    <w:tmpl w:val="0B88A29E"/>
    <w:lvl w:ilvl="0" w:tplc="2000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08F0BB9"/>
    <w:multiLevelType w:val="hybridMultilevel"/>
    <w:tmpl w:val="C28E7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14678E8"/>
    <w:multiLevelType w:val="hybridMultilevel"/>
    <w:tmpl w:val="76421F48"/>
    <w:lvl w:ilvl="0" w:tplc="3BE2AD6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28C5BD6"/>
    <w:multiLevelType w:val="hybridMultilevel"/>
    <w:tmpl w:val="F31C2BF0"/>
    <w:lvl w:ilvl="0" w:tplc="2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2DD0FB0"/>
    <w:multiLevelType w:val="hybridMultilevel"/>
    <w:tmpl w:val="6A5CC826"/>
    <w:lvl w:ilvl="0" w:tplc="F00C8EB4">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99" w15:restartNumberingAfterBreak="0">
    <w:nsid w:val="66B0488A"/>
    <w:multiLevelType w:val="hybridMultilevel"/>
    <w:tmpl w:val="7CE4A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8AE2644"/>
    <w:multiLevelType w:val="hybridMultilevel"/>
    <w:tmpl w:val="9050E47C"/>
    <w:lvl w:ilvl="0" w:tplc="FFFFFFFF">
      <w:start w:val="1"/>
      <w:numFmt w:val="bullet"/>
      <w:lvlText w:val=""/>
      <w:lvlJc w:val="left"/>
      <w:pPr>
        <w:ind w:left="720" w:hanging="360"/>
      </w:pPr>
      <w:rPr>
        <w:rFonts w:ascii="Symbol" w:hAnsi="Symbol" w:hint="default"/>
      </w:rPr>
    </w:lvl>
    <w:lvl w:ilvl="1" w:tplc="20000013">
      <w:start w:val="1"/>
      <w:numFmt w:val="upperRoman"/>
      <w:lvlText w:val="%2."/>
      <w:lvlJc w:val="right"/>
      <w:pPr>
        <w:ind w:left="1800" w:hanging="360"/>
      </w:pPr>
    </w:lvl>
    <w:lvl w:ilvl="2" w:tplc="FFFFFFFF">
      <w:start w:val="1"/>
      <w:numFmt w:val="decimal"/>
      <w:lvlText w:val="(%3)"/>
      <w:lvlJc w:val="left"/>
      <w:pPr>
        <w:ind w:left="723" w:hanging="360"/>
      </w:pPr>
      <w:rPr>
        <w:rFonts w:hint="default"/>
      </w:rPr>
    </w:lvl>
    <w:lvl w:ilvl="3" w:tplc="FFFFFFFF">
      <w:start w:val="1"/>
      <w:numFmt w:val="decimal"/>
      <w:lvlText w:val="(%4)"/>
      <w:lvlJc w:val="left"/>
      <w:pPr>
        <w:ind w:left="723"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9F955DE"/>
    <w:multiLevelType w:val="hybridMultilevel"/>
    <w:tmpl w:val="BBDC6FD2"/>
    <w:lvl w:ilvl="0" w:tplc="200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69FA5C1B"/>
    <w:multiLevelType w:val="hybridMultilevel"/>
    <w:tmpl w:val="7FD0C99C"/>
    <w:lvl w:ilvl="0" w:tplc="94782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A4E754C"/>
    <w:multiLevelType w:val="hybridMultilevel"/>
    <w:tmpl w:val="5E7C3294"/>
    <w:lvl w:ilvl="0" w:tplc="2000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6BC10E92"/>
    <w:multiLevelType w:val="hybridMultilevel"/>
    <w:tmpl w:val="97286E5C"/>
    <w:lvl w:ilvl="0" w:tplc="54EC6FF2">
      <w:start w:val="1"/>
      <w:numFmt w:val="bullet"/>
      <w:lvlText w:val=""/>
      <w:lvlJc w:val="left"/>
      <w:pPr>
        <w:tabs>
          <w:tab w:val="num" w:pos="720"/>
        </w:tabs>
        <w:ind w:left="720" w:hanging="360"/>
      </w:pPr>
      <w:rPr>
        <w:rFonts w:ascii="Symbol" w:hAnsi="Symbol" w:hint="default"/>
        <w:color w:val="auto"/>
      </w:rPr>
    </w:lvl>
    <w:lvl w:ilvl="1" w:tplc="B2F4E672" w:tentative="1">
      <w:start w:val="1"/>
      <w:numFmt w:val="bullet"/>
      <w:lvlText w:val="•"/>
      <w:lvlJc w:val="left"/>
      <w:pPr>
        <w:tabs>
          <w:tab w:val="num" w:pos="1440"/>
        </w:tabs>
        <w:ind w:left="1440" w:hanging="360"/>
      </w:pPr>
      <w:rPr>
        <w:rFonts w:ascii="Arial" w:hAnsi="Arial" w:hint="default"/>
      </w:rPr>
    </w:lvl>
    <w:lvl w:ilvl="2" w:tplc="27B48180" w:tentative="1">
      <w:start w:val="1"/>
      <w:numFmt w:val="bullet"/>
      <w:lvlText w:val="•"/>
      <w:lvlJc w:val="left"/>
      <w:pPr>
        <w:tabs>
          <w:tab w:val="num" w:pos="2160"/>
        </w:tabs>
        <w:ind w:left="2160" w:hanging="360"/>
      </w:pPr>
      <w:rPr>
        <w:rFonts w:ascii="Arial" w:hAnsi="Arial" w:hint="default"/>
      </w:rPr>
    </w:lvl>
    <w:lvl w:ilvl="3" w:tplc="95F8C020" w:tentative="1">
      <w:start w:val="1"/>
      <w:numFmt w:val="bullet"/>
      <w:lvlText w:val="•"/>
      <w:lvlJc w:val="left"/>
      <w:pPr>
        <w:tabs>
          <w:tab w:val="num" w:pos="2880"/>
        </w:tabs>
        <w:ind w:left="2880" w:hanging="360"/>
      </w:pPr>
      <w:rPr>
        <w:rFonts w:ascii="Arial" w:hAnsi="Arial" w:hint="default"/>
      </w:rPr>
    </w:lvl>
    <w:lvl w:ilvl="4" w:tplc="FF002CE2" w:tentative="1">
      <w:start w:val="1"/>
      <w:numFmt w:val="bullet"/>
      <w:lvlText w:val="•"/>
      <w:lvlJc w:val="left"/>
      <w:pPr>
        <w:tabs>
          <w:tab w:val="num" w:pos="3600"/>
        </w:tabs>
        <w:ind w:left="3600" w:hanging="360"/>
      </w:pPr>
      <w:rPr>
        <w:rFonts w:ascii="Arial" w:hAnsi="Arial" w:hint="default"/>
      </w:rPr>
    </w:lvl>
    <w:lvl w:ilvl="5" w:tplc="6644A316" w:tentative="1">
      <w:start w:val="1"/>
      <w:numFmt w:val="bullet"/>
      <w:lvlText w:val="•"/>
      <w:lvlJc w:val="left"/>
      <w:pPr>
        <w:tabs>
          <w:tab w:val="num" w:pos="4320"/>
        </w:tabs>
        <w:ind w:left="4320" w:hanging="360"/>
      </w:pPr>
      <w:rPr>
        <w:rFonts w:ascii="Arial" w:hAnsi="Arial" w:hint="default"/>
      </w:rPr>
    </w:lvl>
    <w:lvl w:ilvl="6" w:tplc="065EB032" w:tentative="1">
      <w:start w:val="1"/>
      <w:numFmt w:val="bullet"/>
      <w:lvlText w:val="•"/>
      <w:lvlJc w:val="left"/>
      <w:pPr>
        <w:tabs>
          <w:tab w:val="num" w:pos="5040"/>
        </w:tabs>
        <w:ind w:left="5040" w:hanging="360"/>
      </w:pPr>
      <w:rPr>
        <w:rFonts w:ascii="Arial" w:hAnsi="Arial" w:hint="default"/>
      </w:rPr>
    </w:lvl>
    <w:lvl w:ilvl="7" w:tplc="0A443E2C" w:tentative="1">
      <w:start w:val="1"/>
      <w:numFmt w:val="bullet"/>
      <w:lvlText w:val="•"/>
      <w:lvlJc w:val="left"/>
      <w:pPr>
        <w:tabs>
          <w:tab w:val="num" w:pos="5760"/>
        </w:tabs>
        <w:ind w:left="5760" w:hanging="360"/>
      </w:pPr>
      <w:rPr>
        <w:rFonts w:ascii="Arial" w:hAnsi="Arial" w:hint="default"/>
      </w:rPr>
    </w:lvl>
    <w:lvl w:ilvl="8" w:tplc="7354FDF0"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6D4414C8"/>
    <w:multiLevelType w:val="hybridMultilevel"/>
    <w:tmpl w:val="FBC4305A"/>
    <w:lvl w:ilvl="0" w:tplc="2000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6" w15:restartNumberingAfterBreak="0">
    <w:nsid w:val="6FC93552"/>
    <w:multiLevelType w:val="hybridMultilevel"/>
    <w:tmpl w:val="9B86D61E"/>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0FB192E"/>
    <w:multiLevelType w:val="hybridMultilevel"/>
    <w:tmpl w:val="59162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1F108B8"/>
    <w:multiLevelType w:val="hybridMultilevel"/>
    <w:tmpl w:val="3EF469EE"/>
    <w:lvl w:ilvl="0" w:tplc="2000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9" w15:restartNumberingAfterBreak="0">
    <w:nsid w:val="7219750F"/>
    <w:multiLevelType w:val="hybridMultilevel"/>
    <w:tmpl w:val="325C4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3B25485"/>
    <w:multiLevelType w:val="hybridMultilevel"/>
    <w:tmpl w:val="40EAE07A"/>
    <w:lvl w:ilvl="0" w:tplc="2000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11" w15:restartNumberingAfterBreak="0">
    <w:nsid w:val="76637FF3"/>
    <w:multiLevelType w:val="hybridMultilevel"/>
    <w:tmpl w:val="B7C6A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6BB41F3"/>
    <w:multiLevelType w:val="hybridMultilevel"/>
    <w:tmpl w:val="7292D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8D135B2"/>
    <w:multiLevelType w:val="hybridMultilevel"/>
    <w:tmpl w:val="40DC8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8D724EE"/>
    <w:multiLevelType w:val="hybridMultilevel"/>
    <w:tmpl w:val="06BA7DE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B7346ED"/>
    <w:multiLevelType w:val="hybridMultilevel"/>
    <w:tmpl w:val="76FAE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BD61598"/>
    <w:multiLevelType w:val="hybridMultilevel"/>
    <w:tmpl w:val="090A1D64"/>
    <w:lvl w:ilvl="0" w:tplc="94782C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7C84263E"/>
    <w:multiLevelType w:val="hybridMultilevel"/>
    <w:tmpl w:val="B1CA2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D503866"/>
    <w:multiLevelType w:val="hybridMultilevel"/>
    <w:tmpl w:val="8E864984"/>
    <w:lvl w:ilvl="0" w:tplc="94782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D586199"/>
    <w:multiLevelType w:val="hybridMultilevel"/>
    <w:tmpl w:val="F1A26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E55482C"/>
    <w:multiLevelType w:val="hybridMultilevel"/>
    <w:tmpl w:val="0A6E5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E820DB2"/>
    <w:multiLevelType w:val="hybridMultilevel"/>
    <w:tmpl w:val="B086753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800" w:hanging="360"/>
      </w:pPr>
      <w:rPr>
        <w:rFonts w:hint="default"/>
      </w:rPr>
    </w:lvl>
    <w:lvl w:ilvl="2" w:tplc="FFFFFFFF">
      <w:start w:val="1"/>
      <w:numFmt w:val="decimal"/>
      <w:lvlText w:val="(%3)"/>
      <w:lvlJc w:val="left"/>
      <w:pPr>
        <w:ind w:left="723" w:hanging="360"/>
      </w:pPr>
      <w:rPr>
        <w:rFonts w:hint="default"/>
      </w:rPr>
    </w:lvl>
    <w:lvl w:ilvl="3" w:tplc="D526958E">
      <w:start w:val="1"/>
      <w:numFmt w:val="decimal"/>
      <w:lvlText w:val="%4)"/>
      <w:lvlJc w:val="left"/>
      <w:pPr>
        <w:ind w:left="723" w:hanging="360"/>
      </w:pPr>
      <w:rPr>
        <w:color w:val="auto"/>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07753165">
    <w:abstractNumId w:val="114"/>
  </w:num>
  <w:num w:numId="2" w16cid:durableId="158235634">
    <w:abstractNumId w:val="71"/>
  </w:num>
  <w:num w:numId="3" w16cid:durableId="382094537">
    <w:abstractNumId w:val="47"/>
  </w:num>
  <w:num w:numId="4" w16cid:durableId="1224099824">
    <w:abstractNumId w:val="69"/>
  </w:num>
  <w:num w:numId="5" w16cid:durableId="71241706">
    <w:abstractNumId w:val="46"/>
  </w:num>
  <w:num w:numId="6" w16cid:durableId="382290022">
    <w:abstractNumId w:val="20"/>
  </w:num>
  <w:num w:numId="7" w16cid:durableId="1688797479">
    <w:abstractNumId w:val="90"/>
  </w:num>
  <w:num w:numId="8" w16cid:durableId="1879969421">
    <w:abstractNumId w:val="29"/>
  </w:num>
  <w:num w:numId="9" w16cid:durableId="907883495">
    <w:abstractNumId w:val="54"/>
  </w:num>
  <w:num w:numId="10" w16cid:durableId="709257563">
    <w:abstractNumId w:val="81"/>
  </w:num>
  <w:num w:numId="11" w16cid:durableId="998845665">
    <w:abstractNumId w:val="108"/>
  </w:num>
  <w:num w:numId="12" w16cid:durableId="560869764">
    <w:abstractNumId w:val="87"/>
  </w:num>
  <w:num w:numId="13" w16cid:durableId="1602301256">
    <w:abstractNumId w:val="7"/>
  </w:num>
  <w:num w:numId="14" w16cid:durableId="643661401">
    <w:abstractNumId w:val="49"/>
  </w:num>
  <w:num w:numId="15" w16cid:durableId="1081878244">
    <w:abstractNumId w:val="100"/>
  </w:num>
  <w:num w:numId="16" w16cid:durableId="33702983">
    <w:abstractNumId w:val="121"/>
  </w:num>
  <w:num w:numId="17" w16cid:durableId="1867519875">
    <w:abstractNumId w:val="24"/>
  </w:num>
  <w:num w:numId="18" w16cid:durableId="2014524890">
    <w:abstractNumId w:val="103"/>
  </w:num>
  <w:num w:numId="19" w16cid:durableId="959455576">
    <w:abstractNumId w:val="51"/>
  </w:num>
  <w:num w:numId="20" w16cid:durableId="11540025">
    <w:abstractNumId w:val="3"/>
  </w:num>
  <w:num w:numId="21" w16cid:durableId="1250698867">
    <w:abstractNumId w:val="44"/>
  </w:num>
  <w:num w:numId="22" w16cid:durableId="2090685544">
    <w:abstractNumId w:val="53"/>
  </w:num>
  <w:num w:numId="23" w16cid:durableId="1014645420">
    <w:abstractNumId w:val="23"/>
  </w:num>
  <w:num w:numId="24" w16cid:durableId="494691227">
    <w:abstractNumId w:val="12"/>
  </w:num>
  <w:num w:numId="25" w16cid:durableId="1457288567">
    <w:abstractNumId w:val="76"/>
  </w:num>
  <w:num w:numId="26" w16cid:durableId="2016154850">
    <w:abstractNumId w:val="65"/>
  </w:num>
  <w:num w:numId="27" w16cid:durableId="1913660702">
    <w:abstractNumId w:val="39"/>
  </w:num>
  <w:num w:numId="28" w16cid:durableId="1539733166">
    <w:abstractNumId w:val="27"/>
  </w:num>
  <w:num w:numId="29" w16cid:durableId="1144931190">
    <w:abstractNumId w:val="95"/>
  </w:num>
  <w:num w:numId="30" w16cid:durableId="889269307">
    <w:abstractNumId w:val="18"/>
  </w:num>
  <w:num w:numId="31" w16cid:durableId="1729524080">
    <w:abstractNumId w:val="30"/>
  </w:num>
  <w:num w:numId="32" w16cid:durableId="957179253">
    <w:abstractNumId w:val="74"/>
  </w:num>
  <w:num w:numId="33" w16cid:durableId="111485927">
    <w:abstractNumId w:val="109"/>
  </w:num>
  <w:num w:numId="34" w16cid:durableId="1541242329">
    <w:abstractNumId w:val="31"/>
  </w:num>
  <w:num w:numId="35" w16cid:durableId="208303266">
    <w:abstractNumId w:val="35"/>
  </w:num>
  <w:num w:numId="36" w16cid:durableId="907111582">
    <w:abstractNumId w:val="38"/>
  </w:num>
  <w:num w:numId="37" w16cid:durableId="841772686">
    <w:abstractNumId w:val="34"/>
  </w:num>
  <w:num w:numId="38" w16cid:durableId="670791486">
    <w:abstractNumId w:val="42"/>
  </w:num>
  <w:num w:numId="39" w16cid:durableId="1518305228">
    <w:abstractNumId w:val="111"/>
  </w:num>
  <w:num w:numId="40" w16cid:durableId="855772500">
    <w:abstractNumId w:val="57"/>
  </w:num>
  <w:num w:numId="41" w16cid:durableId="1024670413">
    <w:abstractNumId w:val="105"/>
  </w:num>
  <w:num w:numId="42" w16cid:durableId="312881426">
    <w:abstractNumId w:val="32"/>
  </w:num>
  <w:num w:numId="43" w16cid:durableId="1077674248">
    <w:abstractNumId w:val="61"/>
  </w:num>
  <w:num w:numId="44" w16cid:durableId="635570157">
    <w:abstractNumId w:val="68"/>
  </w:num>
  <w:num w:numId="45" w16cid:durableId="627861617">
    <w:abstractNumId w:val="89"/>
  </w:num>
  <w:num w:numId="46" w16cid:durableId="56435562">
    <w:abstractNumId w:val="17"/>
  </w:num>
  <w:num w:numId="47" w16cid:durableId="772746845">
    <w:abstractNumId w:val="112"/>
  </w:num>
  <w:num w:numId="48" w16cid:durableId="420105243">
    <w:abstractNumId w:val="8"/>
  </w:num>
  <w:num w:numId="49" w16cid:durableId="1998721785">
    <w:abstractNumId w:val="91"/>
  </w:num>
  <w:num w:numId="50" w16cid:durableId="910390557">
    <w:abstractNumId w:val="113"/>
  </w:num>
  <w:num w:numId="51" w16cid:durableId="134882076">
    <w:abstractNumId w:val="80"/>
  </w:num>
  <w:num w:numId="52" w16cid:durableId="1934851250">
    <w:abstractNumId w:val="118"/>
  </w:num>
  <w:num w:numId="53" w16cid:durableId="2071686603">
    <w:abstractNumId w:val="66"/>
  </w:num>
  <w:num w:numId="54" w16cid:durableId="2008248013">
    <w:abstractNumId w:val="52"/>
  </w:num>
  <w:num w:numId="55" w16cid:durableId="522596112">
    <w:abstractNumId w:val="15"/>
  </w:num>
  <w:num w:numId="56" w16cid:durableId="433131055">
    <w:abstractNumId w:val="14"/>
  </w:num>
  <w:num w:numId="57" w16cid:durableId="1714888916">
    <w:abstractNumId w:val="106"/>
  </w:num>
  <w:num w:numId="58" w16cid:durableId="931812776">
    <w:abstractNumId w:val="56"/>
  </w:num>
  <w:num w:numId="59" w16cid:durableId="500855537">
    <w:abstractNumId w:val="94"/>
  </w:num>
  <w:num w:numId="60" w16cid:durableId="1459954865">
    <w:abstractNumId w:val="85"/>
  </w:num>
  <w:num w:numId="61" w16cid:durableId="62335895">
    <w:abstractNumId w:val="97"/>
  </w:num>
  <w:num w:numId="62" w16cid:durableId="543761172">
    <w:abstractNumId w:val="75"/>
  </w:num>
  <w:num w:numId="63" w16cid:durableId="705183831">
    <w:abstractNumId w:val="72"/>
  </w:num>
  <w:num w:numId="64" w16cid:durableId="48503868">
    <w:abstractNumId w:val="4"/>
  </w:num>
  <w:num w:numId="65" w16cid:durableId="1271277102">
    <w:abstractNumId w:val="6"/>
  </w:num>
  <w:num w:numId="66" w16cid:durableId="929119216">
    <w:abstractNumId w:val="16"/>
  </w:num>
  <w:num w:numId="67" w16cid:durableId="659233417">
    <w:abstractNumId w:val="93"/>
  </w:num>
  <w:num w:numId="68" w16cid:durableId="1247806545">
    <w:abstractNumId w:val="99"/>
  </w:num>
  <w:num w:numId="69" w16cid:durableId="267349064">
    <w:abstractNumId w:val="82"/>
  </w:num>
  <w:num w:numId="70" w16cid:durableId="228466962">
    <w:abstractNumId w:val="104"/>
  </w:num>
  <w:num w:numId="71" w16cid:durableId="10227960">
    <w:abstractNumId w:val="25"/>
  </w:num>
  <w:num w:numId="72" w16cid:durableId="1908105811">
    <w:abstractNumId w:val="79"/>
  </w:num>
  <w:num w:numId="73" w16cid:durableId="54280027">
    <w:abstractNumId w:val="98"/>
  </w:num>
  <w:num w:numId="74" w16cid:durableId="2045052866">
    <w:abstractNumId w:val="21"/>
  </w:num>
  <w:num w:numId="75" w16cid:durableId="2102987830">
    <w:abstractNumId w:val="33"/>
  </w:num>
  <w:num w:numId="76" w16cid:durableId="1060203411">
    <w:abstractNumId w:val="58"/>
  </w:num>
  <w:num w:numId="77" w16cid:durableId="54396499">
    <w:abstractNumId w:val="67"/>
  </w:num>
  <w:num w:numId="78" w16cid:durableId="318271903">
    <w:abstractNumId w:val="64"/>
  </w:num>
  <w:num w:numId="79" w16cid:durableId="95251878">
    <w:abstractNumId w:val="88"/>
  </w:num>
  <w:num w:numId="80" w16cid:durableId="1425146632">
    <w:abstractNumId w:val="1"/>
  </w:num>
  <w:num w:numId="81" w16cid:durableId="1418552753">
    <w:abstractNumId w:val="13"/>
  </w:num>
  <w:num w:numId="82" w16cid:durableId="598562717">
    <w:abstractNumId w:val="102"/>
  </w:num>
  <w:num w:numId="83" w16cid:durableId="194077126">
    <w:abstractNumId w:val="73"/>
  </w:num>
  <w:num w:numId="84" w16cid:durableId="388579613">
    <w:abstractNumId w:val="48"/>
  </w:num>
  <w:num w:numId="85" w16cid:durableId="1764179497">
    <w:abstractNumId w:val="117"/>
  </w:num>
  <w:num w:numId="86" w16cid:durableId="1211579491">
    <w:abstractNumId w:val="107"/>
  </w:num>
  <w:num w:numId="87" w16cid:durableId="700013330">
    <w:abstractNumId w:val="62"/>
  </w:num>
  <w:num w:numId="88" w16cid:durableId="379284674">
    <w:abstractNumId w:val="92"/>
  </w:num>
  <w:num w:numId="89" w16cid:durableId="1246105851">
    <w:abstractNumId w:val="110"/>
  </w:num>
  <w:num w:numId="90" w16cid:durableId="2098364318">
    <w:abstractNumId w:val="45"/>
  </w:num>
  <w:num w:numId="91" w16cid:durableId="1764303193">
    <w:abstractNumId w:val="0"/>
  </w:num>
  <w:num w:numId="92" w16cid:durableId="2121799453">
    <w:abstractNumId w:val="101"/>
  </w:num>
  <w:num w:numId="93" w16cid:durableId="1290823052">
    <w:abstractNumId w:val="9"/>
  </w:num>
  <w:num w:numId="94" w16cid:durableId="92941824">
    <w:abstractNumId w:val="120"/>
  </w:num>
  <w:num w:numId="95" w16cid:durableId="1578586667">
    <w:abstractNumId w:val="26"/>
  </w:num>
  <w:num w:numId="96" w16cid:durableId="876895154">
    <w:abstractNumId w:val="22"/>
  </w:num>
  <w:num w:numId="97" w16cid:durableId="78454941">
    <w:abstractNumId w:val="86"/>
  </w:num>
  <w:num w:numId="98" w16cid:durableId="994334035">
    <w:abstractNumId w:val="59"/>
  </w:num>
  <w:num w:numId="99" w16cid:durableId="1878353552">
    <w:abstractNumId w:val="11"/>
  </w:num>
  <w:num w:numId="100" w16cid:durableId="421224810">
    <w:abstractNumId w:val="60"/>
  </w:num>
  <w:num w:numId="101" w16cid:durableId="2008170416">
    <w:abstractNumId w:val="2"/>
  </w:num>
  <w:num w:numId="102" w16cid:durableId="638808279">
    <w:abstractNumId w:val="63"/>
  </w:num>
  <w:num w:numId="103" w16cid:durableId="319429189">
    <w:abstractNumId w:val="119"/>
  </w:num>
  <w:num w:numId="104" w16cid:durableId="279919277">
    <w:abstractNumId w:val="84"/>
  </w:num>
  <w:num w:numId="105" w16cid:durableId="477185998">
    <w:abstractNumId w:val="115"/>
  </w:num>
  <w:num w:numId="106" w16cid:durableId="1298990313">
    <w:abstractNumId w:val="10"/>
  </w:num>
  <w:num w:numId="107" w16cid:durableId="779224017">
    <w:abstractNumId w:val="36"/>
  </w:num>
  <w:num w:numId="108" w16cid:durableId="887692054">
    <w:abstractNumId w:val="78"/>
  </w:num>
  <w:num w:numId="109" w16cid:durableId="754981810">
    <w:abstractNumId w:val="55"/>
  </w:num>
  <w:num w:numId="110" w16cid:durableId="1587761907">
    <w:abstractNumId w:val="5"/>
  </w:num>
  <w:num w:numId="111" w16cid:durableId="1932545599">
    <w:abstractNumId w:val="19"/>
  </w:num>
  <w:num w:numId="112" w16cid:durableId="357588382">
    <w:abstractNumId w:val="70"/>
  </w:num>
  <w:num w:numId="113" w16cid:durableId="1710297325">
    <w:abstractNumId w:val="28"/>
  </w:num>
  <w:num w:numId="114" w16cid:durableId="1730807832">
    <w:abstractNumId w:val="37"/>
  </w:num>
  <w:num w:numId="115" w16cid:durableId="687177631">
    <w:abstractNumId w:val="83"/>
  </w:num>
  <w:num w:numId="116" w16cid:durableId="761024475">
    <w:abstractNumId w:val="77"/>
  </w:num>
  <w:num w:numId="117" w16cid:durableId="1142191745">
    <w:abstractNumId w:val="116"/>
  </w:num>
  <w:num w:numId="118" w16cid:durableId="1951813854">
    <w:abstractNumId w:val="40"/>
  </w:num>
  <w:num w:numId="119" w16cid:durableId="770048670">
    <w:abstractNumId w:val="43"/>
  </w:num>
  <w:num w:numId="120" w16cid:durableId="1949659035">
    <w:abstractNumId w:val="96"/>
  </w:num>
  <w:num w:numId="121" w16cid:durableId="55519935">
    <w:abstractNumId w:val="50"/>
  </w:num>
  <w:num w:numId="122" w16cid:durableId="2051875519">
    <w:abstractNumId w:val="4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7A6"/>
    <w:rsid w:val="00001BCC"/>
    <w:rsid w:val="00002399"/>
    <w:rsid w:val="0000317E"/>
    <w:rsid w:val="00003AA3"/>
    <w:rsid w:val="00003F52"/>
    <w:rsid w:val="00005C31"/>
    <w:rsid w:val="00010558"/>
    <w:rsid w:val="000107C2"/>
    <w:rsid w:val="000125E6"/>
    <w:rsid w:val="0001263C"/>
    <w:rsid w:val="00012FAD"/>
    <w:rsid w:val="0001387A"/>
    <w:rsid w:val="00013C02"/>
    <w:rsid w:val="00014134"/>
    <w:rsid w:val="00014B52"/>
    <w:rsid w:val="00014C73"/>
    <w:rsid w:val="0001536B"/>
    <w:rsid w:val="0001584B"/>
    <w:rsid w:val="0001692B"/>
    <w:rsid w:val="0002031F"/>
    <w:rsid w:val="00023569"/>
    <w:rsid w:val="00023A10"/>
    <w:rsid w:val="000243FC"/>
    <w:rsid w:val="00024A3A"/>
    <w:rsid w:val="00024EB9"/>
    <w:rsid w:val="000256A9"/>
    <w:rsid w:val="000259AE"/>
    <w:rsid w:val="00030D73"/>
    <w:rsid w:val="00030EEC"/>
    <w:rsid w:val="00031BF9"/>
    <w:rsid w:val="0003207D"/>
    <w:rsid w:val="00032084"/>
    <w:rsid w:val="000324F5"/>
    <w:rsid w:val="000334B7"/>
    <w:rsid w:val="00033E87"/>
    <w:rsid w:val="00034269"/>
    <w:rsid w:val="000352ED"/>
    <w:rsid w:val="000357A7"/>
    <w:rsid w:val="00036BC7"/>
    <w:rsid w:val="00036F2A"/>
    <w:rsid w:val="00037E85"/>
    <w:rsid w:val="00037FBF"/>
    <w:rsid w:val="000407B0"/>
    <w:rsid w:val="0004091B"/>
    <w:rsid w:val="000429D6"/>
    <w:rsid w:val="000435E0"/>
    <w:rsid w:val="00043BB8"/>
    <w:rsid w:val="00044FCC"/>
    <w:rsid w:val="0004572C"/>
    <w:rsid w:val="0004758D"/>
    <w:rsid w:val="00047BA7"/>
    <w:rsid w:val="000503E2"/>
    <w:rsid w:val="00050573"/>
    <w:rsid w:val="00052226"/>
    <w:rsid w:val="0005238C"/>
    <w:rsid w:val="000523A9"/>
    <w:rsid w:val="000528E8"/>
    <w:rsid w:val="00054ADD"/>
    <w:rsid w:val="000550DF"/>
    <w:rsid w:val="000568CC"/>
    <w:rsid w:val="0005690E"/>
    <w:rsid w:val="00060B17"/>
    <w:rsid w:val="00061FC3"/>
    <w:rsid w:val="0006339D"/>
    <w:rsid w:val="0006395F"/>
    <w:rsid w:val="00063B1C"/>
    <w:rsid w:val="00064C9F"/>
    <w:rsid w:val="000661CA"/>
    <w:rsid w:val="000661FF"/>
    <w:rsid w:val="00066248"/>
    <w:rsid w:val="00067E93"/>
    <w:rsid w:val="0007088F"/>
    <w:rsid w:val="0007221E"/>
    <w:rsid w:val="0007292E"/>
    <w:rsid w:val="00072950"/>
    <w:rsid w:val="00073BC8"/>
    <w:rsid w:val="00073F45"/>
    <w:rsid w:val="000758A7"/>
    <w:rsid w:val="000760FF"/>
    <w:rsid w:val="00076264"/>
    <w:rsid w:val="00076456"/>
    <w:rsid w:val="000801F3"/>
    <w:rsid w:val="0008025E"/>
    <w:rsid w:val="00080989"/>
    <w:rsid w:val="000809EC"/>
    <w:rsid w:val="00082361"/>
    <w:rsid w:val="00082B79"/>
    <w:rsid w:val="00083668"/>
    <w:rsid w:val="00083994"/>
    <w:rsid w:val="00084077"/>
    <w:rsid w:val="00086D6D"/>
    <w:rsid w:val="00086D85"/>
    <w:rsid w:val="000908A1"/>
    <w:rsid w:val="00090E48"/>
    <w:rsid w:val="00091CD0"/>
    <w:rsid w:val="000928A6"/>
    <w:rsid w:val="00092F25"/>
    <w:rsid w:val="00093ABD"/>
    <w:rsid w:val="000947AA"/>
    <w:rsid w:val="0009507E"/>
    <w:rsid w:val="00095321"/>
    <w:rsid w:val="000A08B3"/>
    <w:rsid w:val="000A4DAE"/>
    <w:rsid w:val="000A59EB"/>
    <w:rsid w:val="000A5FE6"/>
    <w:rsid w:val="000A6381"/>
    <w:rsid w:val="000A7EAF"/>
    <w:rsid w:val="000A7EB8"/>
    <w:rsid w:val="000B1632"/>
    <w:rsid w:val="000B1724"/>
    <w:rsid w:val="000B1D2E"/>
    <w:rsid w:val="000B3B64"/>
    <w:rsid w:val="000B4EB2"/>
    <w:rsid w:val="000B4F76"/>
    <w:rsid w:val="000B5523"/>
    <w:rsid w:val="000B5953"/>
    <w:rsid w:val="000B604B"/>
    <w:rsid w:val="000B663F"/>
    <w:rsid w:val="000B70AB"/>
    <w:rsid w:val="000C16CA"/>
    <w:rsid w:val="000C22F7"/>
    <w:rsid w:val="000C2D2A"/>
    <w:rsid w:val="000C5A33"/>
    <w:rsid w:val="000C5F6D"/>
    <w:rsid w:val="000C6A0F"/>
    <w:rsid w:val="000C7E75"/>
    <w:rsid w:val="000D001C"/>
    <w:rsid w:val="000D0936"/>
    <w:rsid w:val="000D0C51"/>
    <w:rsid w:val="000D2D77"/>
    <w:rsid w:val="000D2DE8"/>
    <w:rsid w:val="000D2E4F"/>
    <w:rsid w:val="000D49F3"/>
    <w:rsid w:val="000D4B0B"/>
    <w:rsid w:val="000D5A9E"/>
    <w:rsid w:val="000D6535"/>
    <w:rsid w:val="000E1159"/>
    <w:rsid w:val="000E1F24"/>
    <w:rsid w:val="000E2CD7"/>
    <w:rsid w:val="000E33E6"/>
    <w:rsid w:val="000E44E6"/>
    <w:rsid w:val="000E66DB"/>
    <w:rsid w:val="000F0C22"/>
    <w:rsid w:val="000F0D6A"/>
    <w:rsid w:val="000F1354"/>
    <w:rsid w:val="000F1DEA"/>
    <w:rsid w:val="000F33A4"/>
    <w:rsid w:val="000F76EC"/>
    <w:rsid w:val="00100FB5"/>
    <w:rsid w:val="001019F4"/>
    <w:rsid w:val="00101E7F"/>
    <w:rsid w:val="001023A4"/>
    <w:rsid w:val="0010265D"/>
    <w:rsid w:val="001026DB"/>
    <w:rsid w:val="00103CF6"/>
    <w:rsid w:val="0010413D"/>
    <w:rsid w:val="00104E6F"/>
    <w:rsid w:val="00105385"/>
    <w:rsid w:val="00105A26"/>
    <w:rsid w:val="00106059"/>
    <w:rsid w:val="0011062B"/>
    <w:rsid w:val="0011132E"/>
    <w:rsid w:val="001119A7"/>
    <w:rsid w:val="00111B31"/>
    <w:rsid w:val="001125D5"/>
    <w:rsid w:val="001132C5"/>
    <w:rsid w:val="0011330D"/>
    <w:rsid w:val="00113776"/>
    <w:rsid w:val="00114E11"/>
    <w:rsid w:val="001160BD"/>
    <w:rsid w:val="00116CBC"/>
    <w:rsid w:val="00117B3B"/>
    <w:rsid w:val="00117E8E"/>
    <w:rsid w:val="00120875"/>
    <w:rsid w:val="00123015"/>
    <w:rsid w:val="00124A3F"/>
    <w:rsid w:val="0012622C"/>
    <w:rsid w:val="00126E91"/>
    <w:rsid w:val="00131E2F"/>
    <w:rsid w:val="00132961"/>
    <w:rsid w:val="00136075"/>
    <w:rsid w:val="00137BD0"/>
    <w:rsid w:val="00140623"/>
    <w:rsid w:val="00140E9B"/>
    <w:rsid w:val="00140F1F"/>
    <w:rsid w:val="001410C1"/>
    <w:rsid w:val="0014131E"/>
    <w:rsid w:val="001439BA"/>
    <w:rsid w:val="00143BCF"/>
    <w:rsid w:val="00146C25"/>
    <w:rsid w:val="00146C89"/>
    <w:rsid w:val="0015046C"/>
    <w:rsid w:val="00151FF2"/>
    <w:rsid w:val="00152A44"/>
    <w:rsid w:val="0015451F"/>
    <w:rsid w:val="001545EB"/>
    <w:rsid w:val="00154FDF"/>
    <w:rsid w:val="00155CE7"/>
    <w:rsid w:val="00155D90"/>
    <w:rsid w:val="00156230"/>
    <w:rsid w:val="001567D7"/>
    <w:rsid w:val="001572A5"/>
    <w:rsid w:val="001609A2"/>
    <w:rsid w:val="001613A5"/>
    <w:rsid w:val="001622E2"/>
    <w:rsid w:val="00163424"/>
    <w:rsid w:val="00163FA8"/>
    <w:rsid w:val="001704BF"/>
    <w:rsid w:val="001705F4"/>
    <w:rsid w:val="00170626"/>
    <w:rsid w:val="00171438"/>
    <w:rsid w:val="00171611"/>
    <w:rsid w:val="00173723"/>
    <w:rsid w:val="00174E99"/>
    <w:rsid w:val="001753FA"/>
    <w:rsid w:val="00175E46"/>
    <w:rsid w:val="0017625D"/>
    <w:rsid w:val="001769F2"/>
    <w:rsid w:val="00176C4A"/>
    <w:rsid w:val="001802D5"/>
    <w:rsid w:val="00180BB7"/>
    <w:rsid w:val="00181EF6"/>
    <w:rsid w:val="00182BFB"/>
    <w:rsid w:val="00183A01"/>
    <w:rsid w:val="00184223"/>
    <w:rsid w:val="00184EBE"/>
    <w:rsid w:val="001852DF"/>
    <w:rsid w:val="00186037"/>
    <w:rsid w:val="00187676"/>
    <w:rsid w:val="001901BC"/>
    <w:rsid w:val="00190C07"/>
    <w:rsid w:val="001925F9"/>
    <w:rsid w:val="00192AE3"/>
    <w:rsid w:val="00192DE1"/>
    <w:rsid w:val="00192F8C"/>
    <w:rsid w:val="001933E2"/>
    <w:rsid w:val="001958B3"/>
    <w:rsid w:val="00195DE8"/>
    <w:rsid w:val="00196A0C"/>
    <w:rsid w:val="00197F5C"/>
    <w:rsid w:val="001A0119"/>
    <w:rsid w:val="001A0698"/>
    <w:rsid w:val="001A1463"/>
    <w:rsid w:val="001A25DD"/>
    <w:rsid w:val="001A4FA2"/>
    <w:rsid w:val="001A759E"/>
    <w:rsid w:val="001B0DFA"/>
    <w:rsid w:val="001B0E19"/>
    <w:rsid w:val="001B15B3"/>
    <w:rsid w:val="001B3E55"/>
    <w:rsid w:val="001B5D66"/>
    <w:rsid w:val="001B7EAF"/>
    <w:rsid w:val="001C009E"/>
    <w:rsid w:val="001C0185"/>
    <w:rsid w:val="001C05C9"/>
    <w:rsid w:val="001C0B72"/>
    <w:rsid w:val="001C0D88"/>
    <w:rsid w:val="001C13C8"/>
    <w:rsid w:val="001C25E8"/>
    <w:rsid w:val="001C3427"/>
    <w:rsid w:val="001C3DD6"/>
    <w:rsid w:val="001C6257"/>
    <w:rsid w:val="001C719C"/>
    <w:rsid w:val="001D3A03"/>
    <w:rsid w:val="001D48D5"/>
    <w:rsid w:val="001D4D30"/>
    <w:rsid w:val="001D7772"/>
    <w:rsid w:val="001E05AA"/>
    <w:rsid w:val="001E066B"/>
    <w:rsid w:val="001E0862"/>
    <w:rsid w:val="001E0ACE"/>
    <w:rsid w:val="001E0B7B"/>
    <w:rsid w:val="001E212A"/>
    <w:rsid w:val="001E48FC"/>
    <w:rsid w:val="001E4C87"/>
    <w:rsid w:val="001E52DD"/>
    <w:rsid w:val="001E5C34"/>
    <w:rsid w:val="001E69BD"/>
    <w:rsid w:val="001E7EF3"/>
    <w:rsid w:val="001F24F0"/>
    <w:rsid w:val="001F25B0"/>
    <w:rsid w:val="001F3195"/>
    <w:rsid w:val="001F4183"/>
    <w:rsid w:val="001F4284"/>
    <w:rsid w:val="001F4923"/>
    <w:rsid w:val="001F4BA8"/>
    <w:rsid w:val="001F5BF7"/>
    <w:rsid w:val="001F6C46"/>
    <w:rsid w:val="001F757B"/>
    <w:rsid w:val="0020165F"/>
    <w:rsid w:val="00201728"/>
    <w:rsid w:val="00201943"/>
    <w:rsid w:val="00202917"/>
    <w:rsid w:val="00203462"/>
    <w:rsid w:val="00203F1E"/>
    <w:rsid w:val="00204242"/>
    <w:rsid w:val="00205533"/>
    <w:rsid w:val="002060B6"/>
    <w:rsid w:val="00206839"/>
    <w:rsid w:val="0020710C"/>
    <w:rsid w:val="00207227"/>
    <w:rsid w:val="0021033D"/>
    <w:rsid w:val="00211CD7"/>
    <w:rsid w:val="00213465"/>
    <w:rsid w:val="00213D69"/>
    <w:rsid w:val="002141F9"/>
    <w:rsid w:val="00214664"/>
    <w:rsid w:val="00214FA4"/>
    <w:rsid w:val="00215686"/>
    <w:rsid w:val="00216302"/>
    <w:rsid w:val="00217A86"/>
    <w:rsid w:val="00221582"/>
    <w:rsid w:val="00221CE9"/>
    <w:rsid w:val="00221D70"/>
    <w:rsid w:val="00222129"/>
    <w:rsid w:val="00223E35"/>
    <w:rsid w:val="0022436B"/>
    <w:rsid w:val="002243ED"/>
    <w:rsid w:val="00226A20"/>
    <w:rsid w:val="002275A3"/>
    <w:rsid w:val="00227FCD"/>
    <w:rsid w:val="00230112"/>
    <w:rsid w:val="00230541"/>
    <w:rsid w:val="002309E0"/>
    <w:rsid w:val="00231A4C"/>
    <w:rsid w:val="00232066"/>
    <w:rsid w:val="002326B5"/>
    <w:rsid w:val="002326B8"/>
    <w:rsid w:val="002330E4"/>
    <w:rsid w:val="002341C3"/>
    <w:rsid w:val="0023432E"/>
    <w:rsid w:val="002351A5"/>
    <w:rsid w:val="00235A6A"/>
    <w:rsid w:val="00235E09"/>
    <w:rsid w:val="00236F36"/>
    <w:rsid w:val="002372A9"/>
    <w:rsid w:val="002376C8"/>
    <w:rsid w:val="0024030B"/>
    <w:rsid w:val="00240D06"/>
    <w:rsid w:val="00241680"/>
    <w:rsid w:val="00241C69"/>
    <w:rsid w:val="00243A07"/>
    <w:rsid w:val="00246368"/>
    <w:rsid w:val="00251A44"/>
    <w:rsid w:val="00252986"/>
    <w:rsid w:val="00252A1C"/>
    <w:rsid w:val="00254E0C"/>
    <w:rsid w:val="00255667"/>
    <w:rsid w:val="00256302"/>
    <w:rsid w:val="00256F17"/>
    <w:rsid w:val="002573C2"/>
    <w:rsid w:val="00257478"/>
    <w:rsid w:val="00257F86"/>
    <w:rsid w:val="00260700"/>
    <w:rsid w:val="00260CC2"/>
    <w:rsid w:val="00261464"/>
    <w:rsid w:val="0026167D"/>
    <w:rsid w:val="00262343"/>
    <w:rsid w:val="00265C48"/>
    <w:rsid w:val="00266F2F"/>
    <w:rsid w:val="00266FA2"/>
    <w:rsid w:val="00270450"/>
    <w:rsid w:val="00270D0D"/>
    <w:rsid w:val="002722AC"/>
    <w:rsid w:val="002733D0"/>
    <w:rsid w:val="00274977"/>
    <w:rsid w:val="00275356"/>
    <w:rsid w:val="00276EBD"/>
    <w:rsid w:val="00277031"/>
    <w:rsid w:val="00280535"/>
    <w:rsid w:val="00282FE3"/>
    <w:rsid w:val="00283B05"/>
    <w:rsid w:val="00283D59"/>
    <w:rsid w:val="002841B5"/>
    <w:rsid w:val="00284A12"/>
    <w:rsid w:val="00284FEB"/>
    <w:rsid w:val="002852E3"/>
    <w:rsid w:val="0028572F"/>
    <w:rsid w:val="002901FE"/>
    <w:rsid w:val="00291475"/>
    <w:rsid w:val="002916E6"/>
    <w:rsid w:val="00291988"/>
    <w:rsid w:val="0029290C"/>
    <w:rsid w:val="00292B78"/>
    <w:rsid w:val="00293A19"/>
    <w:rsid w:val="0029401D"/>
    <w:rsid w:val="002949F5"/>
    <w:rsid w:val="00294BFA"/>
    <w:rsid w:val="00294DD8"/>
    <w:rsid w:val="002950EB"/>
    <w:rsid w:val="002958A0"/>
    <w:rsid w:val="00295EFD"/>
    <w:rsid w:val="00295F19"/>
    <w:rsid w:val="00295F65"/>
    <w:rsid w:val="0029671C"/>
    <w:rsid w:val="00296987"/>
    <w:rsid w:val="00297C9A"/>
    <w:rsid w:val="002A19CD"/>
    <w:rsid w:val="002A270B"/>
    <w:rsid w:val="002A451A"/>
    <w:rsid w:val="002A5A78"/>
    <w:rsid w:val="002A5E24"/>
    <w:rsid w:val="002A7699"/>
    <w:rsid w:val="002A7DE6"/>
    <w:rsid w:val="002A7F0F"/>
    <w:rsid w:val="002B02B7"/>
    <w:rsid w:val="002B0428"/>
    <w:rsid w:val="002B176B"/>
    <w:rsid w:val="002B41EB"/>
    <w:rsid w:val="002B4E02"/>
    <w:rsid w:val="002B5182"/>
    <w:rsid w:val="002B665A"/>
    <w:rsid w:val="002C176C"/>
    <w:rsid w:val="002C2DE6"/>
    <w:rsid w:val="002C32A7"/>
    <w:rsid w:val="002C3790"/>
    <w:rsid w:val="002C3798"/>
    <w:rsid w:val="002C58EA"/>
    <w:rsid w:val="002C6CB5"/>
    <w:rsid w:val="002C7507"/>
    <w:rsid w:val="002D0677"/>
    <w:rsid w:val="002D09B1"/>
    <w:rsid w:val="002D0F6E"/>
    <w:rsid w:val="002D1B3C"/>
    <w:rsid w:val="002D20E2"/>
    <w:rsid w:val="002D4308"/>
    <w:rsid w:val="002D4D6B"/>
    <w:rsid w:val="002D4F66"/>
    <w:rsid w:val="002D5F8C"/>
    <w:rsid w:val="002D67BB"/>
    <w:rsid w:val="002D6E03"/>
    <w:rsid w:val="002D7070"/>
    <w:rsid w:val="002D7865"/>
    <w:rsid w:val="002D7D5B"/>
    <w:rsid w:val="002D7DCE"/>
    <w:rsid w:val="002E024D"/>
    <w:rsid w:val="002E039C"/>
    <w:rsid w:val="002E20CF"/>
    <w:rsid w:val="002E2C80"/>
    <w:rsid w:val="002E2F93"/>
    <w:rsid w:val="002E3ECC"/>
    <w:rsid w:val="002E5CF8"/>
    <w:rsid w:val="002E63C0"/>
    <w:rsid w:val="002E7960"/>
    <w:rsid w:val="002F17BF"/>
    <w:rsid w:val="002F3BF2"/>
    <w:rsid w:val="002F40F8"/>
    <w:rsid w:val="002F43D4"/>
    <w:rsid w:val="002F4620"/>
    <w:rsid w:val="002F4B66"/>
    <w:rsid w:val="00300D88"/>
    <w:rsid w:val="003012E6"/>
    <w:rsid w:val="00301A1F"/>
    <w:rsid w:val="0030288F"/>
    <w:rsid w:val="00302E06"/>
    <w:rsid w:val="00303014"/>
    <w:rsid w:val="00303894"/>
    <w:rsid w:val="00303CA8"/>
    <w:rsid w:val="00303E26"/>
    <w:rsid w:val="0030528E"/>
    <w:rsid w:val="00305A0B"/>
    <w:rsid w:val="003060F1"/>
    <w:rsid w:val="003078B6"/>
    <w:rsid w:val="00310921"/>
    <w:rsid w:val="003121A4"/>
    <w:rsid w:val="0031269B"/>
    <w:rsid w:val="00312765"/>
    <w:rsid w:val="00313EDD"/>
    <w:rsid w:val="00313F53"/>
    <w:rsid w:val="00314270"/>
    <w:rsid w:val="003151AD"/>
    <w:rsid w:val="003165A8"/>
    <w:rsid w:val="00317412"/>
    <w:rsid w:val="00317D3A"/>
    <w:rsid w:val="00320468"/>
    <w:rsid w:val="003220FF"/>
    <w:rsid w:val="00322B45"/>
    <w:rsid w:val="00323927"/>
    <w:rsid w:val="00323EA6"/>
    <w:rsid w:val="00331169"/>
    <w:rsid w:val="00333813"/>
    <w:rsid w:val="00334D5B"/>
    <w:rsid w:val="00335321"/>
    <w:rsid w:val="0033565D"/>
    <w:rsid w:val="0033732C"/>
    <w:rsid w:val="00337744"/>
    <w:rsid w:val="00340F55"/>
    <w:rsid w:val="003421CC"/>
    <w:rsid w:val="003429F1"/>
    <w:rsid w:val="00342DD2"/>
    <w:rsid w:val="0034413D"/>
    <w:rsid w:val="00344CB4"/>
    <w:rsid w:val="00345CAE"/>
    <w:rsid w:val="00346F7F"/>
    <w:rsid w:val="00347443"/>
    <w:rsid w:val="003508CF"/>
    <w:rsid w:val="0035412F"/>
    <w:rsid w:val="003606B1"/>
    <w:rsid w:val="00362E46"/>
    <w:rsid w:val="0036306A"/>
    <w:rsid w:val="0036333F"/>
    <w:rsid w:val="0036348E"/>
    <w:rsid w:val="0036708F"/>
    <w:rsid w:val="00371043"/>
    <w:rsid w:val="00372120"/>
    <w:rsid w:val="00372A15"/>
    <w:rsid w:val="0037555B"/>
    <w:rsid w:val="003762DF"/>
    <w:rsid w:val="00376B38"/>
    <w:rsid w:val="00377239"/>
    <w:rsid w:val="003774D4"/>
    <w:rsid w:val="0038395E"/>
    <w:rsid w:val="00385D41"/>
    <w:rsid w:val="00386B94"/>
    <w:rsid w:val="00386CE6"/>
    <w:rsid w:val="003876B2"/>
    <w:rsid w:val="00387CE1"/>
    <w:rsid w:val="0039052F"/>
    <w:rsid w:val="003923D3"/>
    <w:rsid w:val="0039292C"/>
    <w:rsid w:val="003930F7"/>
    <w:rsid w:val="00393773"/>
    <w:rsid w:val="00393B8A"/>
    <w:rsid w:val="00393DA1"/>
    <w:rsid w:val="003944CB"/>
    <w:rsid w:val="00394BAE"/>
    <w:rsid w:val="00396235"/>
    <w:rsid w:val="003967AD"/>
    <w:rsid w:val="003967F7"/>
    <w:rsid w:val="0039790A"/>
    <w:rsid w:val="003A081D"/>
    <w:rsid w:val="003A1E9E"/>
    <w:rsid w:val="003A1EE6"/>
    <w:rsid w:val="003A2037"/>
    <w:rsid w:val="003A319B"/>
    <w:rsid w:val="003A33B8"/>
    <w:rsid w:val="003A5016"/>
    <w:rsid w:val="003B0381"/>
    <w:rsid w:val="003B16B1"/>
    <w:rsid w:val="003B2706"/>
    <w:rsid w:val="003B2DDA"/>
    <w:rsid w:val="003B30BD"/>
    <w:rsid w:val="003B3D11"/>
    <w:rsid w:val="003B4AB3"/>
    <w:rsid w:val="003B4C59"/>
    <w:rsid w:val="003B5E9B"/>
    <w:rsid w:val="003B6521"/>
    <w:rsid w:val="003C00EC"/>
    <w:rsid w:val="003C236B"/>
    <w:rsid w:val="003C3972"/>
    <w:rsid w:val="003C3CF1"/>
    <w:rsid w:val="003C4D34"/>
    <w:rsid w:val="003C4DB9"/>
    <w:rsid w:val="003C5037"/>
    <w:rsid w:val="003C73EB"/>
    <w:rsid w:val="003D0814"/>
    <w:rsid w:val="003D0935"/>
    <w:rsid w:val="003D10A5"/>
    <w:rsid w:val="003D19BF"/>
    <w:rsid w:val="003D1C27"/>
    <w:rsid w:val="003D3AD3"/>
    <w:rsid w:val="003D3B6E"/>
    <w:rsid w:val="003D3F62"/>
    <w:rsid w:val="003D4A21"/>
    <w:rsid w:val="003D4BF6"/>
    <w:rsid w:val="003D55E8"/>
    <w:rsid w:val="003D5D87"/>
    <w:rsid w:val="003D65BF"/>
    <w:rsid w:val="003D7902"/>
    <w:rsid w:val="003E030D"/>
    <w:rsid w:val="003E0E5B"/>
    <w:rsid w:val="003E20E8"/>
    <w:rsid w:val="003E36B5"/>
    <w:rsid w:val="003E5679"/>
    <w:rsid w:val="003E5DF4"/>
    <w:rsid w:val="003F1CCA"/>
    <w:rsid w:val="003F204C"/>
    <w:rsid w:val="003F21C7"/>
    <w:rsid w:val="003F3C03"/>
    <w:rsid w:val="003F41EC"/>
    <w:rsid w:val="003F50E8"/>
    <w:rsid w:val="003F63DE"/>
    <w:rsid w:val="003F78BB"/>
    <w:rsid w:val="003F78FD"/>
    <w:rsid w:val="00403121"/>
    <w:rsid w:val="004038D3"/>
    <w:rsid w:val="00403DEE"/>
    <w:rsid w:val="00404600"/>
    <w:rsid w:val="00410C55"/>
    <w:rsid w:val="004114A0"/>
    <w:rsid w:val="00411A91"/>
    <w:rsid w:val="00413037"/>
    <w:rsid w:val="00413144"/>
    <w:rsid w:val="00413E5F"/>
    <w:rsid w:val="00413FE8"/>
    <w:rsid w:val="0041443E"/>
    <w:rsid w:val="00415173"/>
    <w:rsid w:val="00417410"/>
    <w:rsid w:val="0042076A"/>
    <w:rsid w:val="00420A13"/>
    <w:rsid w:val="00421383"/>
    <w:rsid w:val="004221D5"/>
    <w:rsid w:val="004228DB"/>
    <w:rsid w:val="00424562"/>
    <w:rsid w:val="00424A1D"/>
    <w:rsid w:val="00424FA9"/>
    <w:rsid w:val="004267D8"/>
    <w:rsid w:val="00427E8B"/>
    <w:rsid w:val="0043022B"/>
    <w:rsid w:val="00430B38"/>
    <w:rsid w:val="00431015"/>
    <w:rsid w:val="004319A1"/>
    <w:rsid w:val="00431C6F"/>
    <w:rsid w:val="004330B3"/>
    <w:rsid w:val="00437D8E"/>
    <w:rsid w:val="004405FD"/>
    <w:rsid w:val="00440FFC"/>
    <w:rsid w:val="00441C41"/>
    <w:rsid w:val="00441D70"/>
    <w:rsid w:val="00442F1B"/>
    <w:rsid w:val="004444A8"/>
    <w:rsid w:val="004446E9"/>
    <w:rsid w:val="004447C4"/>
    <w:rsid w:val="004449B2"/>
    <w:rsid w:val="0044538C"/>
    <w:rsid w:val="00445B10"/>
    <w:rsid w:val="00447614"/>
    <w:rsid w:val="0045004B"/>
    <w:rsid w:val="00450429"/>
    <w:rsid w:val="004515D4"/>
    <w:rsid w:val="0045272A"/>
    <w:rsid w:val="00452E42"/>
    <w:rsid w:val="00452FA7"/>
    <w:rsid w:val="004534E1"/>
    <w:rsid w:val="00453873"/>
    <w:rsid w:val="004554C7"/>
    <w:rsid w:val="004560C3"/>
    <w:rsid w:val="00457D2A"/>
    <w:rsid w:val="00460BD7"/>
    <w:rsid w:val="00460F81"/>
    <w:rsid w:val="00462B08"/>
    <w:rsid w:val="00463366"/>
    <w:rsid w:val="0046425C"/>
    <w:rsid w:val="0046477D"/>
    <w:rsid w:val="00467AC7"/>
    <w:rsid w:val="00470891"/>
    <w:rsid w:val="00471532"/>
    <w:rsid w:val="00471B49"/>
    <w:rsid w:val="004726B6"/>
    <w:rsid w:val="00472D2C"/>
    <w:rsid w:val="00472F9B"/>
    <w:rsid w:val="00474226"/>
    <w:rsid w:val="00474B30"/>
    <w:rsid w:val="004755CE"/>
    <w:rsid w:val="00475B21"/>
    <w:rsid w:val="00475D17"/>
    <w:rsid w:val="00476B8E"/>
    <w:rsid w:val="00476C3D"/>
    <w:rsid w:val="004779C8"/>
    <w:rsid w:val="00477D97"/>
    <w:rsid w:val="00480694"/>
    <w:rsid w:val="00480BFD"/>
    <w:rsid w:val="00481782"/>
    <w:rsid w:val="0048301F"/>
    <w:rsid w:val="0048373C"/>
    <w:rsid w:val="004840F7"/>
    <w:rsid w:val="004858A7"/>
    <w:rsid w:val="00485CB6"/>
    <w:rsid w:val="00485F09"/>
    <w:rsid w:val="00486B40"/>
    <w:rsid w:val="00486BEC"/>
    <w:rsid w:val="00487AC8"/>
    <w:rsid w:val="00487E5B"/>
    <w:rsid w:val="0049080A"/>
    <w:rsid w:val="004910AA"/>
    <w:rsid w:val="00491AFF"/>
    <w:rsid w:val="0049261C"/>
    <w:rsid w:val="00493BF7"/>
    <w:rsid w:val="00494995"/>
    <w:rsid w:val="00494FDB"/>
    <w:rsid w:val="00495AC0"/>
    <w:rsid w:val="00495D74"/>
    <w:rsid w:val="0049636D"/>
    <w:rsid w:val="0049680B"/>
    <w:rsid w:val="00497E9F"/>
    <w:rsid w:val="004A169B"/>
    <w:rsid w:val="004A2F22"/>
    <w:rsid w:val="004A386D"/>
    <w:rsid w:val="004A3FD8"/>
    <w:rsid w:val="004A424C"/>
    <w:rsid w:val="004A4927"/>
    <w:rsid w:val="004A5E3F"/>
    <w:rsid w:val="004B0CBF"/>
    <w:rsid w:val="004B0CC6"/>
    <w:rsid w:val="004B13C5"/>
    <w:rsid w:val="004B1516"/>
    <w:rsid w:val="004B157E"/>
    <w:rsid w:val="004B251B"/>
    <w:rsid w:val="004B25D7"/>
    <w:rsid w:val="004B2D90"/>
    <w:rsid w:val="004B4A2D"/>
    <w:rsid w:val="004B5337"/>
    <w:rsid w:val="004B5429"/>
    <w:rsid w:val="004B6C0A"/>
    <w:rsid w:val="004C15D9"/>
    <w:rsid w:val="004C3068"/>
    <w:rsid w:val="004C4843"/>
    <w:rsid w:val="004C48DB"/>
    <w:rsid w:val="004C4A80"/>
    <w:rsid w:val="004C4AF1"/>
    <w:rsid w:val="004C64D7"/>
    <w:rsid w:val="004C6695"/>
    <w:rsid w:val="004C7531"/>
    <w:rsid w:val="004C7FD6"/>
    <w:rsid w:val="004D0282"/>
    <w:rsid w:val="004D0D01"/>
    <w:rsid w:val="004D29E0"/>
    <w:rsid w:val="004D2B23"/>
    <w:rsid w:val="004D38EB"/>
    <w:rsid w:val="004D5A89"/>
    <w:rsid w:val="004D7E77"/>
    <w:rsid w:val="004D7F67"/>
    <w:rsid w:val="004E0C11"/>
    <w:rsid w:val="004E1A2B"/>
    <w:rsid w:val="004E1A4D"/>
    <w:rsid w:val="004E1B16"/>
    <w:rsid w:val="004E1C7A"/>
    <w:rsid w:val="004E2236"/>
    <w:rsid w:val="004E22EF"/>
    <w:rsid w:val="004E2407"/>
    <w:rsid w:val="004E26A9"/>
    <w:rsid w:val="004E322C"/>
    <w:rsid w:val="004E32B6"/>
    <w:rsid w:val="004E3DD5"/>
    <w:rsid w:val="004E422A"/>
    <w:rsid w:val="004E43E0"/>
    <w:rsid w:val="004E572B"/>
    <w:rsid w:val="004E60BA"/>
    <w:rsid w:val="004F03F6"/>
    <w:rsid w:val="004F102B"/>
    <w:rsid w:val="004F2886"/>
    <w:rsid w:val="004F2EB0"/>
    <w:rsid w:val="004F454D"/>
    <w:rsid w:val="004F4F85"/>
    <w:rsid w:val="004F6423"/>
    <w:rsid w:val="004F6FD8"/>
    <w:rsid w:val="00502E13"/>
    <w:rsid w:val="00502F15"/>
    <w:rsid w:val="0050527E"/>
    <w:rsid w:val="005063A4"/>
    <w:rsid w:val="005071E4"/>
    <w:rsid w:val="005100F1"/>
    <w:rsid w:val="00510724"/>
    <w:rsid w:val="0051221F"/>
    <w:rsid w:val="005125B2"/>
    <w:rsid w:val="00512C4F"/>
    <w:rsid w:val="005138C1"/>
    <w:rsid w:val="0051555E"/>
    <w:rsid w:val="0052082C"/>
    <w:rsid w:val="00520E35"/>
    <w:rsid w:val="00522A7B"/>
    <w:rsid w:val="00523320"/>
    <w:rsid w:val="005259CC"/>
    <w:rsid w:val="00525EED"/>
    <w:rsid w:val="00526168"/>
    <w:rsid w:val="005271CF"/>
    <w:rsid w:val="0052761B"/>
    <w:rsid w:val="005276AD"/>
    <w:rsid w:val="00527BAE"/>
    <w:rsid w:val="00530CA0"/>
    <w:rsid w:val="00530E59"/>
    <w:rsid w:val="0053142B"/>
    <w:rsid w:val="005324B2"/>
    <w:rsid w:val="00532725"/>
    <w:rsid w:val="00534BB2"/>
    <w:rsid w:val="00534DB8"/>
    <w:rsid w:val="005351BD"/>
    <w:rsid w:val="00535863"/>
    <w:rsid w:val="00536716"/>
    <w:rsid w:val="005368E3"/>
    <w:rsid w:val="00536E11"/>
    <w:rsid w:val="00537817"/>
    <w:rsid w:val="00541080"/>
    <w:rsid w:val="00543167"/>
    <w:rsid w:val="005437EC"/>
    <w:rsid w:val="005441D8"/>
    <w:rsid w:val="00545812"/>
    <w:rsid w:val="00545A16"/>
    <w:rsid w:val="00552A14"/>
    <w:rsid w:val="00553C3E"/>
    <w:rsid w:val="0055453E"/>
    <w:rsid w:val="00555999"/>
    <w:rsid w:val="005560F3"/>
    <w:rsid w:val="0055625C"/>
    <w:rsid w:val="00556751"/>
    <w:rsid w:val="00557B5B"/>
    <w:rsid w:val="00561982"/>
    <w:rsid w:val="00561DF5"/>
    <w:rsid w:val="00562632"/>
    <w:rsid w:val="005626AF"/>
    <w:rsid w:val="00563A6A"/>
    <w:rsid w:val="0056469A"/>
    <w:rsid w:val="00565768"/>
    <w:rsid w:val="0056576D"/>
    <w:rsid w:val="00565F7F"/>
    <w:rsid w:val="0056645E"/>
    <w:rsid w:val="00566D54"/>
    <w:rsid w:val="0057056E"/>
    <w:rsid w:val="00571C7A"/>
    <w:rsid w:val="00571D0B"/>
    <w:rsid w:val="0057255E"/>
    <w:rsid w:val="00573AF9"/>
    <w:rsid w:val="00573C60"/>
    <w:rsid w:val="00575067"/>
    <w:rsid w:val="005756E5"/>
    <w:rsid w:val="00575885"/>
    <w:rsid w:val="005810CE"/>
    <w:rsid w:val="00581918"/>
    <w:rsid w:val="005822BC"/>
    <w:rsid w:val="00583B8D"/>
    <w:rsid w:val="00583CAD"/>
    <w:rsid w:val="00584847"/>
    <w:rsid w:val="00584C30"/>
    <w:rsid w:val="00584ED4"/>
    <w:rsid w:val="005867A6"/>
    <w:rsid w:val="0058795C"/>
    <w:rsid w:val="00587EA0"/>
    <w:rsid w:val="00590DF0"/>
    <w:rsid w:val="00590E4C"/>
    <w:rsid w:val="00591097"/>
    <w:rsid w:val="00591904"/>
    <w:rsid w:val="00591A64"/>
    <w:rsid w:val="00591DA5"/>
    <w:rsid w:val="005931F9"/>
    <w:rsid w:val="005949B1"/>
    <w:rsid w:val="005951F3"/>
    <w:rsid w:val="005974A8"/>
    <w:rsid w:val="0059793A"/>
    <w:rsid w:val="005A21CD"/>
    <w:rsid w:val="005A4E93"/>
    <w:rsid w:val="005A5D33"/>
    <w:rsid w:val="005A5FF2"/>
    <w:rsid w:val="005A7C24"/>
    <w:rsid w:val="005A7F69"/>
    <w:rsid w:val="005B0B10"/>
    <w:rsid w:val="005B1263"/>
    <w:rsid w:val="005B3166"/>
    <w:rsid w:val="005B3F64"/>
    <w:rsid w:val="005B4B75"/>
    <w:rsid w:val="005B4C8F"/>
    <w:rsid w:val="005B4D7C"/>
    <w:rsid w:val="005B5FD5"/>
    <w:rsid w:val="005B684A"/>
    <w:rsid w:val="005B7401"/>
    <w:rsid w:val="005B7A97"/>
    <w:rsid w:val="005B7CB3"/>
    <w:rsid w:val="005B7D29"/>
    <w:rsid w:val="005B7EEC"/>
    <w:rsid w:val="005C07FF"/>
    <w:rsid w:val="005C0C22"/>
    <w:rsid w:val="005C0DE9"/>
    <w:rsid w:val="005C10D5"/>
    <w:rsid w:val="005C1368"/>
    <w:rsid w:val="005C26D9"/>
    <w:rsid w:val="005C3425"/>
    <w:rsid w:val="005C44A8"/>
    <w:rsid w:val="005C4C1E"/>
    <w:rsid w:val="005C6A2F"/>
    <w:rsid w:val="005C7496"/>
    <w:rsid w:val="005C7EA5"/>
    <w:rsid w:val="005D0384"/>
    <w:rsid w:val="005D08DD"/>
    <w:rsid w:val="005D146D"/>
    <w:rsid w:val="005D20CC"/>
    <w:rsid w:val="005D2299"/>
    <w:rsid w:val="005D35F4"/>
    <w:rsid w:val="005D38AB"/>
    <w:rsid w:val="005D453E"/>
    <w:rsid w:val="005D51C5"/>
    <w:rsid w:val="005D6461"/>
    <w:rsid w:val="005D7866"/>
    <w:rsid w:val="005D7890"/>
    <w:rsid w:val="005E177F"/>
    <w:rsid w:val="005E1E6D"/>
    <w:rsid w:val="005E23F6"/>
    <w:rsid w:val="005E29BD"/>
    <w:rsid w:val="005E3DE6"/>
    <w:rsid w:val="005E60C3"/>
    <w:rsid w:val="005E73B2"/>
    <w:rsid w:val="005E76D5"/>
    <w:rsid w:val="005E7BB4"/>
    <w:rsid w:val="005F2762"/>
    <w:rsid w:val="005F2D20"/>
    <w:rsid w:val="005F2F03"/>
    <w:rsid w:val="005F2F7E"/>
    <w:rsid w:val="005F466A"/>
    <w:rsid w:val="005F5205"/>
    <w:rsid w:val="005F5CCF"/>
    <w:rsid w:val="006010CE"/>
    <w:rsid w:val="00602B1F"/>
    <w:rsid w:val="0060339E"/>
    <w:rsid w:val="006041DE"/>
    <w:rsid w:val="0060484E"/>
    <w:rsid w:val="006049DA"/>
    <w:rsid w:val="0060616D"/>
    <w:rsid w:val="00606C7C"/>
    <w:rsid w:val="00611AAE"/>
    <w:rsid w:val="00612863"/>
    <w:rsid w:val="00612EBD"/>
    <w:rsid w:val="00612FF0"/>
    <w:rsid w:val="006148FD"/>
    <w:rsid w:val="006153F2"/>
    <w:rsid w:val="0061721A"/>
    <w:rsid w:val="006179F9"/>
    <w:rsid w:val="00620020"/>
    <w:rsid w:val="00621D18"/>
    <w:rsid w:val="006220A5"/>
    <w:rsid w:val="00622AB7"/>
    <w:rsid w:val="00622B05"/>
    <w:rsid w:val="00623A97"/>
    <w:rsid w:val="006245D9"/>
    <w:rsid w:val="006259CB"/>
    <w:rsid w:val="006276D0"/>
    <w:rsid w:val="00627B7A"/>
    <w:rsid w:val="00627CB6"/>
    <w:rsid w:val="006302C7"/>
    <w:rsid w:val="006307D3"/>
    <w:rsid w:val="00631751"/>
    <w:rsid w:val="0063269E"/>
    <w:rsid w:val="00632CA3"/>
    <w:rsid w:val="00632CEE"/>
    <w:rsid w:val="00633639"/>
    <w:rsid w:val="00633D8A"/>
    <w:rsid w:val="00633E49"/>
    <w:rsid w:val="00634D22"/>
    <w:rsid w:val="00636049"/>
    <w:rsid w:val="0063647D"/>
    <w:rsid w:val="00636A45"/>
    <w:rsid w:val="006401F8"/>
    <w:rsid w:val="006413C8"/>
    <w:rsid w:val="006431BA"/>
    <w:rsid w:val="006453E3"/>
    <w:rsid w:val="0064599F"/>
    <w:rsid w:val="006459F8"/>
    <w:rsid w:val="00647C09"/>
    <w:rsid w:val="0065081A"/>
    <w:rsid w:val="006511A7"/>
    <w:rsid w:val="00652517"/>
    <w:rsid w:val="00652C17"/>
    <w:rsid w:val="006544D1"/>
    <w:rsid w:val="00660389"/>
    <w:rsid w:val="00660A01"/>
    <w:rsid w:val="00661844"/>
    <w:rsid w:val="00662087"/>
    <w:rsid w:val="00662B5C"/>
    <w:rsid w:val="00662D69"/>
    <w:rsid w:val="00662F60"/>
    <w:rsid w:val="0066347C"/>
    <w:rsid w:val="0066375B"/>
    <w:rsid w:val="00665390"/>
    <w:rsid w:val="00665623"/>
    <w:rsid w:val="006656A2"/>
    <w:rsid w:val="006656B1"/>
    <w:rsid w:val="0066660E"/>
    <w:rsid w:val="00666C29"/>
    <w:rsid w:val="00670108"/>
    <w:rsid w:val="00671863"/>
    <w:rsid w:val="00672464"/>
    <w:rsid w:val="0067453A"/>
    <w:rsid w:val="00674777"/>
    <w:rsid w:val="006766E5"/>
    <w:rsid w:val="0067740A"/>
    <w:rsid w:val="00677852"/>
    <w:rsid w:val="00680211"/>
    <w:rsid w:val="006804DA"/>
    <w:rsid w:val="00680F89"/>
    <w:rsid w:val="00680FF6"/>
    <w:rsid w:val="00681FA3"/>
    <w:rsid w:val="006837F8"/>
    <w:rsid w:val="0068498D"/>
    <w:rsid w:val="00684FD4"/>
    <w:rsid w:val="00685686"/>
    <w:rsid w:val="00685E47"/>
    <w:rsid w:val="00690C61"/>
    <w:rsid w:val="006910C3"/>
    <w:rsid w:val="0069188B"/>
    <w:rsid w:val="00691931"/>
    <w:rsid w:val="00691996"/>
    <w:rsid w:val="00692475"/>
    <w:rsid w:val="00692A1E"/>
    <w:rsid w:val="006932E4"/>
    <w:rsid w:val="00693D70"/>
    <w:rsid w:val="00693F41"/>
    <w:rsid w:val="00695E7A"/>
    <w:rsid w:val="00696902"/>
    <w:rsid w:val="006A13ED"/>
    <w:rsid w:val="006A1615"/>
    <w:rsid w:val="006A26E1"/>
    <w:rsid w:val="006A3BD6"/>
    <w:rsid w:val="006A4417"/>
    <w:rsid w:val="006A5ACE"/>
    <w:rsid w:val="006A5E3F"/>
    <w:rsid w:val="006A6272"/>
    <w:rsid w:val="006A6B82"/>
    <w:rsid w:val="006A73FE"/>
    <w:rsid w:val="006B259D"/>
    <w:rsid w:val="006B25EA"/>
    <w:rsid w:val="006B2757"/>
    <w:rsid w:val="006B4045"/>
    <w:rsid w:val="006B4E62"/>
    <w:rsid w:val="006B5319"/>
    <w:rsid w:val="006B61C1"/>
    <w:rsid w:val="006B6C0B"/>
    <w:rsid w:val="006B72F2"/>
    <w:rsid w:val="006B7304"/>
    <w:rsid w:val="006C0873"/>
    <w:rsid w:val="006C6C7B"/>
    <w:rsid w:val="006C7021"/>
    <w:rsid w:val="006C7CE7"/>
    <w:rsid w:val="006D06E2"/>
    <w:rsid w:val="006D0BDC"/>
    <w:rsid w:val="006D315A"/>
    <w:rsid w:val="006D472B"/>
    <w:rsid w:val="006D4F0A"/>
    <w:rsid w:val="006D7589"/>
    <w:rsid w:val="006D79AE"/>
    <w:rsid w:val="006D7DB1"/>
    <w:rsid w:val="006E031D"/>
    <w:rsid w:val="006E1E32"/>
    <w:rsid w:val="006E2B93"/>
    <w:rsid w:val="006E2BE5"/>
    <w:rsid w:val="006E3C67"/>
    <w:rsid w:val="006E41B1"/>
    <w:rsid w:val="006E429D"/>
    <w:rsid w:val="006E5B22"/>
    <w:rsid w:val="006E69B3"/>
    <w:rsid w:val="006E7C73"/>
    <w:rsid w:val="006F2025"/>
    <w:rsid w:val="006F220A"/>
    <w:rsid w:val="006F2C1E"/>
    <w:rsid w:val="006F37AF"/>
    <w:rsid w:val="006F3AC9"/>
    <w:rsid w:val="006F3AFA"/>
    <w:rsid w:val="006F445C"/>
    <w:rsid w:val="006F4AFB"/>
    <w:rsid w:val="006F5AFC"/>
    <w:rsid w:val="006F74CE"/>
    <w:rsid w:val="0070057E"/>
    <w:rsid w:val="007005E5"/>
    <w:rsid w:val="007027B4"/>
    <w:rsid w:val="00702AAD"/>
    <w:rsid w:val="00702F31"/>
    <w:rsid w:val="00703746"/>
    <w:rsid w:val="007037B2"/>
    <w:rsid w:val="00704726"/>
    <w:rsid w:val="007060D2"/>
    <w:rsid w:val="00706941"/>
    <w:rsid w:val="00706BAB"/>
    <w:rsid w:val="00706F71"/>
    <w:rsid w:val="0070795A"/>
    <w:rsid w:val="0071000A"/>
    <w:rsid w:val="007119FA"/>
    <w:rsid w:val="00712369"/>
    <w:rsid w:val="00714980"/>
    <w:rsid w:val="007154F0"/>
    <w:rsid w:val="007158A1"/>
    <w:rsid w:val="0071689F"/>
    <w:rsid w:val="00717C16"/>
    <w:rsid w:val="00720230"/>
    <w:rsid w:val="00720294"/>
    <w:rsid w:val="00722C08"/>
    <w:rsid w:val="00722E15"/>
    <w:rsid w:val="00722F52"/>
    <w:rsid w:val="007235DD"/>
    <w:rsid w:val="00723BA6"/>
    <w:rsid w:val="00724168"/>
    <w:rsid w:val="007263CF"/>
    <w:rsid w:val="00726516"/>
    <w:rsid w:val="00730C5C"/>
    <w:rsid w:val="0073236C"/>
    <w:rsid w:val="00734229"/>
    <w:rsid w:val="00734E22"/>
    <w:rsid w:val="00735C01"/>
    <w:rsid w:val="00735D82"/>
    <w:rsid w:val="00735EE6"/>
    <w:rsid w:val="007370A2"/>
    <w:rsid w:val="007378F0"/>
    <w:rsid w:val="00737D8C"/>
    <w:rsid w:val="0074053C"/>
    <w:rsid w:val="00741847"/>
    <w:rsid w:val="007442FD"/>
    <w:rsid w:val="00745D48"/>
    <w:rsid w:val="007466B7"/>
    <w:rsid w:val="007476B8"/>
    <w:rsid w:val="00747E0B"/>
    <w:rsid w:val="0075061E"/>
    <w:rsid w:val="00752BEC"/>
    <w:rsid w:val="00752C6F"/>
    <w:rsid w:val="00757D3E"/>
    <w:rsid w:val="007630FC"/>
    <w:rsid w:val="007635BA"/>
    <w:rsid w:val="007639E9"/>
    <w:rsid w:val="00763F94"/>
    <w:rsid w:val="007645C8"/>
    <w:rsid w:val="00766460"/>
    <w:rsid w:val="00766AAA"/>
    <w:rsid w:val="00766FED"/>
    <w:rsid w:val="00767616"/>
    <w:rsid w:val="0077008D"/>
    <w:rsid w:val="00770BF8"/>
    <w:rsid w:val="0077160A"/>
    <w:rsid w:val="00771B27"/>
    <w:rsid w:val="00774D85"/>
    <w:rsid w:val="0077586E"/>
    <w:rsid w:val="00775A99"/>
    <w:rsid w:val="007760B0"/>
    <w:rsid w:val="00777A40"/>
    <w:rsid w:val="00780DCC"/>
    <w:rsid w:val="007814A3"/>
    <w:rsid w:val="00784309"/>
    <w:rsid w:val="0078646C"/>
    <w:rsid w:val="00786B5C"/>
    <w:rsid w:val="00790460"/>
    <w:rsid w:val="00790F75"/>
    <w:rsid w:val="0079173B"/>
    <w:rsid w:val="00792FCB"/>
    <w:rsid w:val="00794C03"/>
    <w:rsid w:val="00794C15"/>
    <w:rsid w:val="007951D6"/>
    <w:rsid w:val="00795D98"/>
    <w:rsid w:val="00797722"/>
    <w:rsid w:val="007A0734"/>
    <w:rsid w:val="007A09E4"/>
    <w:rsid w:val="007A0AA8"/>
    <w:rsid w:val="007A0B6C"/>
    <w:rsid w:val="007A10FD"/>
    <w:rsid w:val="007A12AE"/>
    <w:rsid w:val="007A13A3"/>
    <w:rsid w:val="007A2635"/>
    <w:rsid w:val="007A26A0"/>
    <w:rsid w:val="007A3BEA"/>
    <w:rsid w:val="007A42AE"/>
    <w:rsid w:val="007A46F1"/>
    <w:rsid w:val="007A4E81"/>
    <w:rsid w:val="007A540A"/>
    <w:rsid w:val="007A5B2D"/>
    <w:rsid w:val="007A6972"/>
    <w:rsid w:val="007B02C5"/>
    <w:rsid w:val="007B04DD"/>
    <w:rsid w:val="007B1662"/>
    <w:rsid w:val="007B174F"/>
    <w:rsid w:val="007B31DF"/>
    <w:rsid w:val="007B3F08"/>
    <w:rsid w:val="007B492C"/>
    <w:rsid w:val="007B644D"/>
    <w:rsid w:val="007B7DFA"/>
    <w:rsid w:val="007C2804"/>
    <w:rsid w:val="007C2DCD"/>
    <w:rsid w:val="007C61EF"/>
    <w:rsid w:val="007C652D"/>
    <w:rsid w:val="007C695B"/>
    <w:rsid w:val="007C7573"/>
    <w:rsid w:val="007C7A65"/>
    <w:rsid w:val="007C7C7F"/>
    <w:rsid w:val="007D0396"/>
    <w:rsid w:val="007D1A93"/>
    <w:rsid w:val="007D1FA0"/>
    <w:rsid w:val="007D23BF"/>
    <w:rsid w:val="007D4E89"/>
    <w:rsid w:val="007D5B7F"/>
    <w:rsid w:val="007D7324"/>
    <w:rsid w:val="007E0030"/>
    <w:rsid w:val="007E22F5"/>
    <w:rsid w:val="007E3F95"/>
    <w:rsid w:val="007E71DC"/>
    <w:rsid w:val="007F01F3"/>
    <w:rsid w:val="007F1B39"/>
    <w:rsid w:val="007F1B97"/>
    <w:rsid w:val="007F1E6C"/>
    <w:rsid w:val="007F20D6"/>
    <w:rsid w:val="007F21E4"/>
    <w:rsid w:val="007F4635"/>
    <w:rsid w:val="007F6B0E"/>
    <w:rsid w:val="00800F6E"/>
    <w:rsid w:val="0080244E"/>
    <w:rsid w:val="008034AE"/>
    <w:rsid w:val="00806343"/>
    <w:rsid w:val="0081082D"/>
    <w:rsid w:val="00810E78"/>
    <w:rsid w:val="008116E9"/>
    <w:rsid w:val="00811709"/>
    <w:rsid w:val="0081228E"/>
    <w:rsid w:val="008126CD"/>
    <w:rsid w:val="008128C2"/>
    <w:rsid w:val="00812A06"/>
    <w:rsid w:val="008133BF"/>
    <w:rsid w:val="0081380C"/>
    <w:rsid w:val="00813CE8"/>
    <w:rsid w:val="008147F0"/>
    <w:rsid w:val="00814C44"/>
    <w:rsid w:val="00814D2B"/>
    <w:rsid w:val="00815693"/>
    <w:rsid w:val="00815802"/>
    <w:rsid w:val="0081597B"/>
    <w:rsid w:val="00816724"/>
    <w:rsid w:val="00816F2D"/>
    <w:rsid w:val="0082208D"/>
    <w:rsid w:val="00822F25"/>
    <w:rsid w:val="00823F78"/>
    <w:rsid w:val="0082445A"/>
    <w:rsid w:val="008324E5"/>
    <w:rsid w:val="00833E7D"/>
    <w:rsid w:val="008347AA"/>
    <w:rsid w:val="00834992"/>
    <w:rsid w:val="00837025"/>
    <w:rsid w:val="00841D07"/>
    <w:rsid w:val="008422E8"/>
    <w:rsid w:val="008426B0"/>
    <w:rsid w:val="008448BC"/>
    <w:rsid w:val="00846215"/>
    <w:rsid w:val="00846EFA"/>
    <w:rsid w:val="00847795"/>
    <w:rsid w:val="0085090D"/>
    <w:rsid w:val="00850EA8"/>
    <w:rsid w:val="00852D1D"/>
    <w:rsid w:val="00853B57"/>
    <w:rsid w:val="00854484"/>
    <w:rsid w:val="00854A85"/>
    <w:rsid w:val="00854EAF"/>
    <w:rsid w:val="008553AB"/>
    <w:rsid w:val="00856704"/>
    <w:rsid w:val="00856881"/>
    <w:rsid w:val="00856937"/>
    <w:rsid w:val="008575B4"/>
    <w:rsid w:val="00857D64"/>
    <w:rsid w:val="008603EA"/>
    <w:rsid w:val="00861504"/>
    <w:rsid w:val="00862992"/>
    <w:rsid w:val="00863008"/>
    <w:rsid w:val="008655AE"/>
    <w:rsid w:val="00865BEA"/>
    <w:rsid w:val="00865CCC"/>
    <w:rsid w:val="008663CD"/>
    <w:rsid w:val="00866629"/>
    <w:rsid w:val="00866A79"/>
    <w:rsid w:val="0086719B"/>
    <w:rsid w:val="008672E0"/>
    <w:rsid w:val="00867604"/>
    <w:rsid w:val="0086765A"/>
    <w:rsid w:val="00872C59"/>
    <w:rsid w:val="0087462F"/>
    <w:rsid w:val="00874A08"/>
    <w:rsid w:val="00874DAA"/>
    <w:rsid w:val="00874F27"/>
    <w:rsid w:val="00876670"/>
    <w:rsid w:val="00876780"/>
    <w:rsid w:val="00876DEA"/>
    <w:rsid w:val="00877585"/>
    <w:rsid w:val="008800FA"/>
    <w:rsid w:val="008804A8"/>
    <w:rsid w:val="00880FC2"/>
    <w:rsid w:val="0088129A"/>
    <w:rsid w:val="008824E6"/>
    <w:rsid w:val="0088365A"/>
    <w:rsid w:val="00883787"/>
    <w:rsid w:val="00883A32"/>
    <w:rsid w:val="00883C89"/>
    <w:rsid w:val="00884E9E"/>
    <w:rsid w:val="008851A5"/>
    <w:rsid w:val="00886430"/>
    <w:rsid w:val="00887383"/>
    <w:rsid w:val="008876E0"/>
    <w:rsid w:val="008879C0"/>
    <w:rsid w:val="00892E8D"/>
    <w:rsid w:val="00893A32"/>
    <w:rsid w:val="00894102"/>
    <w:rsid w:val="00894914"/>
    <w:rsid w:val="00895339"/>
    <w:rsid w:val="00895479"/>
    <w:rsid w:val="00895912"/>
    <w:rsid w:val="008966AC"/>
    <w:rsid w:val="00897FD1"/>
    <w:rsid w:val="008A0B95"/>
    <w:rsid w:val="008A190A"/>
    <w:rsid w:val="008A1EA5"/>
    <w:rsid w:val="008A2A9F"/>
    <w:rsid w:val="008A31DF"/>
    <w:rsid w:val="008A3269"/>
    <w:rsid w:val="008A34D8"/>
    <w:rsid w:val="008A4273"/>
    <w:rsid w:val="008A5FE2"/>
    <w:rsid w:val="008A6575"/>
    <w:rsid w:val="008A7C36"/>
    <w:rsid w:val="008B052C"/>
    <w:rsid w:val="008B0F2A"/>
    <w:rsid w:val="008B1551"/>
    <w:rsid w:val="008B1886"/>
    <w:rsid w:val="008B2A93"/>
    <w:rsid w:val="008B2E7B"/>
    <w:rsid w:val="008B4649"/>
    <w:rsid w:val="008B4E8F"/>
    <w:rsid w:val="008B4EAD"/>
    <w:rsid w:val="008B551E"/>
    <w:rsid w:val="008B554E"/>
    <w:rsid w:val="008B6349"/>
    <w:rsid w:val="008B71E4"/>
    <w:rsid w:val="008B745C"/>
    <w:rsid w:val="008B74AD"/>
    <w:rsid w:val="008C10C3"/>
    <w:rsid w:val="008C2350"/>
    <w:rsid w:val="008C284E"/>
    <w:rsid w:val="008C2E00"/>
    <w:rsid w:val="008C3286"/>
    <w:rsid w:val="008C5F3E"/>
    <w:rsid w:val="008C65AE"/>
    <w:rsid w:val="008C70B7"/>
    <w:rsid w:val="008C70CB"/>
    <w:rsid w:val="008C72D2"/>
    <w:rsid w:val="008C7912"/>
    <w:rsid w:val="008C7CEC"/>
    <w:rsid w:val="008D090F"/>
    <w:rsid w:val="008D0ACB"/>
    <w:rsid w:val="008D0B4A"/>
    <w:rsid w:val="008D1FC6"/>
    <w:rsid w:val="008D2331"/>
    <w:rsid w:val="008D25B0"/>
    <w:rsid w:val="008D418C"/>
    <w:rsid w:val="008D42D9"/>
    <w:rsid w:val="008D4A50"/>
    <w:rsid w:val="008D51AA"/>
    <w:rsid w:val="008D5C5B"/>
    <w:rsid w:val="008D648C"/>
    <w:rsid w:val="008E0039"/>
    <w:rsid w:val="008E0B8D"/>
    <w:rsid w:val="008E1B0C"/>
    <w:rsid w:val="008E227E"/>
    <w:rsid w:val="008E3622"/>
    <w:rsid w:val="008E3B7D"/>
    <w:rsid w:val="008E5044"/>
    <w:rsid w:val="008E6BC0"/>
    <w:rsid w:val="008E6D3F"/>
    <w:rsid w:val="008E7BF4"/>
    <w:rsid w:val="008F05D0"/>
    <w:rsid w:val="008F0EBF"/>
    <w:rsid w:val="008F238C"/>
    <w:rsid w:val="008F2B6E"/>
    <w:rsid w:val="008F5AC0"/>
    <w:rsid w:val="008F6115"/>
    <w:rsid w:val="008F624F"/>
    <w:rsid w:val="008F6E42"/>
    <w:rsid w:val="00900FE4"/>
    <w:rsid w:val="009014CC"/>
    <w:rsid w:val="00901FCF"/>
    <w:rsid w:val="0090224E"/>
    <w:rsid w:val="0090289A"/>
    <w:rsid w:val="00903C8B"/>
    <w:rsid w:val="0090450F"/>
    <w:rsid w:val="0090573A"/>
    <w:rsid w:val="00906E36"/>
    <w:rsid w:val="00910B33"/>
    <w:rsid w:val="00910CD4"/>
    <w:rsid w:val="00910D6B"/>
    <w:rsid w:val="00910E40"/>
    <w:rsid w:val="00913DD2"/>
    <w:rsid w:val="00914031"/>
    <w:rsid w:val="00914462"/>
    <w:rsid w:val="00914FC0"/>
    <w:rsid w:val="00915537"/>
    <w:rsid w:val="00915648"/>
    <w:rsid w:val="00916D02"/>
    <w:rsid w:val="009173C6"/>
    <w:rsid w:val="00917F77"/>
    <w:rsid w:val="00920188"/>
    <w:rsid w:val="00920782"/>
    <w:rsid w:val="00921637"/>
    <w:rsid w:val="00922435"/>
    <w:rsid w:val="00922EE7"/>
    <w:rsid w:val="00923344"/>
    <w:rsid w:val="009263B3"/>
    <w:rsid w:val="00926B7F"/>
    <w:rsid w:val="00927319"/>
    <w:rsid w:val="00927C58"/>
    <w:rsid w:val="009306D2"/>
    <w:rsid w:val="00933120"/>
    <w:rsid w:val="0093334F"/>
    <w:rsid w:val="00933835"/>
    <w:rsid w:val="0093680E"/>
    <w:rsid w:val="009378B2"/>
    <w:rsid w:val="00940E79"/>
    <w:rsid w:val="00940F66"/>
    <w:rsid w:val="009414A9"/>
    <w:rsid w:val="0094209F"/>
    <w:rsid w:val="009421DE"/>
    <w:rsid w:val="00942FF6"/>
    <w:rsid w:val="00944428"/>
    <w:rsid w:val="0094675C"/>
    <w:rsid w:val="00946A3C"/>
    <w:rsid w:val="00947DCD"/>
    <w:rsid w:val="00951384"/>
    <w:rsid w:val="0095290F"/>
    <w:rsid w:val="009529E7"/>
    <w:rsid w:val="009563D7"/>
    <w:rsid w:val="009573D7"/>
    <w:rsid w:val="009602F2"/>
    <w:rsid w:val="00960C76"/>
    <w:rsid w:val="00960EF9"/>
    <w:rsid w:val="00961182"/>
    <w:rsid w:val="0096165D"/>
    <w:rsid w:val="00962FEB"/>
    <w:rsid w:val="00963D4D"/>
    <w:rsid w:val="00963F30"/>
    <w:rsid w:val="009647CE"/>
    <w:rsid w:val="0097053F"/>
    <w:rsid w:val="009705E5"/>
    <w:rsid w:val="0097137E"/>
    <w:rsid w:val="009717DA"/>
    <w:rsid w:val="0097301B"/>
    <w:rsid w:val="00973794"/>
    <w:rsid w:val="00974F0C"/>
    <w:rsid w:val="00975C83"/>
    <w:rsid w:val="0098004A"/>
    <w:rsid w:val="00980A52"/>
    <w:rsid w:val="009820C5"/>
    <w:rsid w:val="009834DC"/>
    <w:rsid w:val="00983623"/>
    <w:rsid w:val="0098400D"/>
    <w:rsid w:val="00984174"/>
    <w:rsid w:val="00984952"/>
    <w:rsid w:val="00985DC4"/>
    <w:rsid w:val="00986838"/>
    <w:rsid w:val="00986EF2"/>
    <w:rsid w:val="00990144"/>
    <w:rsid w:val="0099139A"/>
    <w:rsid w:val="00991CB0"/>
    <w:rsid w:val="00992667"/>
    <w:rsid w:val="00992A93"/>
    <w:rsid w:val="00993968"/>
    <w:rsid w:val="00993C1C"/>
    <w:rsid w:val="00994124"/>
    <w:rsid w:val="00994E3E"/>
    <w:rsid w:val="00995AB4"/>
    <w:rsid w:val="00996923"/>
    <w:rsid w:val="00996BA4"/>
    <w:rsid w:val="009A056B"/>
    <w:rsid w:val="009A28D3"/>
    <w:rsid w:val="009A345A"/>
    <w:rsid w:val="009A3EFB"/>
    <w:rsid w:val="009A538F"/>
    <w:rsid w:val="009A5815"/>
    <w:rsid w:val="009A5BDE"/>
    <w:rsid w:val="009A7029"/>
    <w:rsid w:val="009A70B5"/>
    <w:rsid w:val="009A71CE"/>
    <w:rsid w:val="009B1816"/>
    <w:rsid w:val="009B1941"/>
    <w:rsid w:val="009B298D"/>
    <w:rsid w:val="009B2AC7"/>
    <w:rsid w:val="009B345C"/>
    <w:rsid w:val="009B4319"/>
    <w:rsid w:val="009B5DEF"/>
    <w:rsid w:val="009B6025"/>
    <w:rsid w:val="009B6F4F"/>
    <w:rsid w:val="009C10FB"/>
    <w:rsid w:val="009C3B14"/>
    <w:rsid w:val="009C4869"/>
    <w:rsid w:val="009C5234"/>
    <w:rsid w:val="009C527E"/>
    <w:rsid w:val="009C75EE"/>
    <w:rsid w:val="009D11FA"/>
    <w:rsid w:val="009D13AF"/>
    <w:rsid w:val="009D1518"/>
    <w:rsid w:val="009D260A"/>
    <w:rsid w:val="009D30C4"/>
    <w:rsid w:val="009D315A"/>
    <w:rsid w:val="009D3D8C"/>
    <w:rsid w:val="009D63EF"/>
    <w:rsid w:val="009D6C43"/>
    <w:rsid w:val="009D7BE6"/>
    <w:rsid w:val="009D7CFD"/>
    <w:rsid w:val="009E0AE9"/>
    <w:rsid w:val="009E141F"/>
    <w:rsid w:val="009E23DA"/>
    <w:rsid w:val="009E5829"/>
    <w:rsid w:val="009E60D4"/>
    <w:rsid w:val="009E6624"/>
    <w:rsid w:val="009E6A0E"/>
    <w:rsid w:val="009E74D6"/>
    <w:rsid w:val="009F10B7"/>
    <w:rsid w:val="009F1C8C"/>
    <w:rsid w:val="009F1FAD"/>
    <w:rsid w:val="009F209E"/>
    <w:rsid w:val="009F2BA1"/>
    <w:rsid w:val="009F3B0C"/>
    <w:rsid w:val="009F5B0D"/>
    <w:rsid w:val="009F702D"/>
    <w:rsid w:val="00A01170"/>
    <w:rsid w:val="00A0239E"/>
    <w:rsid w:val="00A026B3"/>
    <w:rsid w:val="00A02D53"/>
    <w:rsid w:val="00A03533"/>
    <w:rsid w:val="00A06F0E"/>
    <w:rsid w:val="00A10634"/>
    <w:rsid w:val="00A128BB"/>
    <w:rsid w:val="00A14056"/>
    <w:rsid w:val="00A1458B"/>
    <w:rsid w:val="00A14736"/>
    <w:rsid w:val="00A1547B"/>
    <w:rsid w:val="00A16516"/>
    <w:rsid w:val="00A20D82"/>
    <w:rsid w:val="00A21E64"/>
    <w:rsid w:val="00A22933"/>
    <w:rsid w:val="00A240C8"/>
    <w:rsid w:val="00A242B5"/>
    <w:rsid w:val="00A24A86"/>
    <w:rsid w:val="00A257B2"/>
    <w:rsid w:val="00A26B78"/>
    <w:rsid w:val="00A301FC"/>
    <w:rsid w:val="00A30497"/>
    <w:rsid w:val="00A30673"/>
    <w:rsid w:val="00A312DF"/>
    <w:rsid w:val="00A316E5"/>
    <w:rsid w:val="00A31CFD"/>
    <w:rsid w:val="00A33133"/>
    <w:rsid w:val="00A337B3"/>
    <w:rsid w:val="00A33D73"/>
    <w:rsid w:val="00A374A9"/>
    <w:rsid w:val="00A379AE"/>
    <w:rsid w:val="00A41833"/>
    <w:rsid w:val="00A41E1E"/>
    <w:rsid w:val="00A426FC"/>
    <w:rsid w:val="00A42EC6"/>
    <w:rsid w:val="00A446E0"/>
    <w:rsid w:val="00A45B68"/>
    <w:rsid w:val="00A460B3"/>
    <w:rsid w:val="00A46F74"/>
    <w:rsid w:val="00A47200"/>
    <w:rsid w:val="00A472CA"/>
    <w:rsid w:val="00A474B3"/>
    <w:rsid w:val="00A47FD9"/>
    <w:rsid w:val="00A5121B"/>
    <w:rsid w:val="00A52740"/>
    <w:rsid w:val="00A5274A"/>
    <w:rsid w:val="00A52897"/>
    <w:rsid w:val="00A531C9"/>
    <w:rsid w:val="00A53ACA"/>
    <w:rsid w:val="00A5414C"/>
    <w:rsid w:val="00A54A41"/>
    <w:rsid w:val="00A55241"/>
    <w:rsid w:val="00A5578F"/>
    <w:rsid w:val="00A5624B"/>
    <w:rsid w:val="00A563EA"/>
    <w:rsid w:val="00A57678"/>
    <w:rsid w:val="00A577EB"/>
    <w:rsid w:val="00A60311"/>
    <w:rsid w:val="00A604F2"/>
    <w:rsid w:val="00A60F46"/>
    <w:rsid w:val="00A61392"/>
    <w:rsid w:val="00A62491"/>
    <w:rsid w:val="00A62A7A"/>
    <w:rsid w:val="00A640BD"/>
    <w:rsid w:val="00A644C1"/>
    <w:rsid w:val="00A64888"/>
    <w:rsid w:val="00A64B84"/>
    <w:rsid w:val="00A670AA"/>
    <w:rsid w:val="00A67F1F"/>
    <w:rsid w:val="00A716FA"/>
    <w:rsid w:val="00A71781"/>
    <w:rsid w:val="00A7296F"/>
    <w:rsid w:val="00A74294"/>
    <w:rsid w:val="00A74CF0"/>
    <w:rsid w:val="00A757C8"/>
    <w:rsid w:val="00A768B4"/>
    <w:rsid w:val="00A76EDF"/>
    <w:rsid w:val="00A77DA6"/>
    <w:rsid w:val="00A8074D"/>
    <w:rsid w:val="00A80782"/>
    <w:rsid w:val="00A80F06"/>
    <w:rsid w:val="00A82018"/>
    <w:rsid w:val="00A82634"/>
    <w:rsid w:val="00A829B0"/>
    <w:rsid w:val="00A846D7"/>
    <w:rsid w:val="00A84D04"/>
    <w:rsid w:val="00A85612"/>
    <w:rsid w:val="00A85C2F"/>
    <w:rsid w:val="00A86422"/>
    <w:rsid w:val="00A93BD8"/>
    <w:rsid w:val="00A944BD"/>
    <w:rsid w:val="00A94595"/>
    <w:rsid w:val="00A945D6"/>
    <w:rsid w:val="00A947F9"/>
    <w:rsid w:val="00A94A8D"/>
    <w:rsid w:val="00A9613C"/>
    <w:rsid w:val="00A96C70"/>
    <w:rsid w:val="00A96F9C"/>
    <w:rsid w:val="00AA13E4"/>
    <w:rsid w:val="00AA1D77"/>
    <w:rsid w:val="00AA5095"/>
    <w:rsid w:val="00AA531D"/>
    <w:rsid w:val="00AA64A6"/>
    <w:rsid w:val="00AA7420"/>
    <w:rsid w:val="00AA7ABD"/>
    <w:rsid w:val="00AB075E"/>
    <w:rsid w:val="00AB2332"/>
    <w:rsid w:val="00AB27D7"/>
    <w:rsid w:val="00AB29C1"/>
    <w:rsid w:val="00AB4469"/>
    <w:rsid w:val="00AB45E6"/>
    <w:rsid w:val="00AB5201"/>
    <w:rsid w:val="00AB5D91"/>
    <w:rsid w:val="00AB5E6B"/>
    <w:rsid w:val="00AB6127"/>
    <w:rsid w:val="00AB792D"/>
    <w:rsid w:val="00AC0FFC"/>
    <w:rsid w:val="00AC1DB0"/>
    <w:rsid w:val="00AC395F"/>
    <w:rsid w:val="00AC3BC6"/>
    <w:rsid w:val="00AC3DF1"/>
    <w:rsid w:val="00AC4EA9"/>
    <w:rsid w:val="00AC5977"/>
    <w:rsid w:val="00AC5FF4"/>
    <w:rsid w:val="00AC62B8"/>
    <w:rsid w:val="00AC764B"/>
    <w:rsid w:val="00AC7A58"/>
    <w:rsid w:val="00AD09D6"/>
    <w:rsid w:val="00AD2E66"/>
    <w:rsid w:val="00AD3312"/>
    <w:rsid w:val="00AD3C99"/>
    <w:rsid w:val="00AD3E23"/>
    <w:rsid w:val="00AD3F5A"/>
    <w:rsid w:val="00AD4E77"/>
    <w:rsid w:val="00AD5B42"/>
    <w:rsid w:val="00AD6772"/>
    <w:rsid w:val="00AD7737"/>
    <w:rsid w:val="00AD7E10"/>
    <w:rsid w:val="00AE0E2C"/>
    <w:rsid w:val="00AE1689"/>
    <w:rsid w:val="00AE1CBF"/>
    <w:rsid w:val="00AE2589"/>
    <w:rsid w:val="00AE25E0"/>
    <w:rsid w:val="00AE2CAC"/>
    <w:rsid w:val="00AE58ED"/>
    <w:rsid w:val="00AE75C0"/>
    <w:rsid w:val="00AF08B8"/>
    <w:rsid w:val="00AF17CA"/>
    <w:rsid w:val="00AF3969"/>
    <w:rsid w:val="00AF6A7E"/>
    <w:rsid w:val="00AF78A4"/>
    <w:rsid w:val="00B007AC"/>
    <w:rsid w:val="00B00F8D"/>
    <w:rsid w:val="00B01326"/>
    <w:rsid w:val="00B03BDC"/>
    <w:rsid w:val="00B04C06"/>
    <w:rsid w:val="00B05550"/>
    <w:rsid w:val="00B05D17"/>
    <w:rsid w:val="00B0693A"/>
    <w:rsid w:val="00B06AF3"/>
    <w:rsid w:val="00B06BF8"/>
    <w:rsid w:val="00B074A6"/>
    <w:rsid w:val="00B12943"/>
    <w:rsid w:val="00B1489C"/>
    <w:rsid w:val="00B16C73"/>
    <w:rsid w:val="00B20105"/>
    <w:rsid w:val="00B2026A"/>
    <w:rsid w:val="00B20444"/>
    <w:rsid w:val="00B2050E"/>
    <w:rsid w:val="00B2114C"/>
    <w:rsid w:val="00B227A5"/>
    <w:rsid w:val="00B22D0F"/>
    <w:rsid w:val="00B23051"/>
    <w:rsid w:val="00B24A72"/>
    <w:rsid w:val="00B272A6"/>
    <w:rsid w:val="00B272D6"/>
    <w:rsid w:val="00B278D5"/>
    <w:rsid w:val="00B2796F"/>
    <w:rsid w:val="00B27D48"/>
    <w:rsid w:val="00B30379"/>
    <w:rsid w:val="00B31D00"/>
    <w:rsid w:val="00B31D75"/>
    <w:rsid w:val="00B3311D"/>
    <w:rsid w:val="00B34B97"/>
    <w:rsid w:val="00B34D6B"/>
    <w:rsid w:val="00B35730"/>
    <w:rsid w:val="00B35998"/>
    <w:rsid w:val="00B37325"/>
    <w:rsid w:val="00B37FCF"/>
    <w:rsid w:val="00B40BFC"/>
    <w:rsid w:val="00B41337"/>
    <w:rsid w:val="00B4159B"/>
    <w:rsid w:val="00B41BB8"/>
    <w:rsid w:val="00B41DA4"/>
    <w:rsid w:val="00B422BF"/>
    <w:rsid w:val="00B42A75"/>
    <w:rsid w:val="00B42F19"/>
    <w:rsid w:val="00B4489E"/>
    <w:rsid w:val="00B46138"/>
    <w:rsid w:val="00B47298"/>
    <w:rsid w:val="00B479C0"/>
    <w:rsid w:val="00B50064"/>
    <w:rsid w:val="00B52FCB"/>
    <w:rsid w:val="00B53C4D"/>
    <w:rsid w:val="00B54156"/>
    <w:rsid w:val="00B54774"/>
    <w:rsid w:val="00B55533"/>
    <w:rsid w:val="00B556AE"/>
    <w:rsid w:val="00B55A36"/>
    <w:rsid w:val="00B560C8"/>
    <w:rsid w:val="00B567E9"/>
    <w:rsid w:val="00B57956"/>
    <w:rsid w:val="00B57D92"/>
    <w:rsid w:val="00B57F09"/>
    <w:rsid w:val="00B60D5F"/>
    <w:rsid w:val="00B6235A"/>
    <w:rsid w:val="00B635B3"/>
    <w:rsid w:val="00B642E7"/>
    <w:rsid w:val="00B6442C"/>
    <w:rsid w:val="00B65F88"/>
    <w:rsid w:val="00B668DF"/>
    <w:rsid w:val="00B669BA"/>
    <w:rsid w:val="00B66A46"/>
    <w:rsid w:val="00B67AE0"/>
    <w:rsid w:val="00B70A57"/>
    <w:rsid w:val="00B70D3B"/>
    <w:rsid w:val="00B71CC8"/>
    <w:rsid w:val="00B73916"/>
    <w:rsid w:val="00B750C3"/>
    <w:rsid w:val="00B75963"/>
    <w:rsid w:val="00B75BBC"/>
    <w:rsid w:val="00B778A9"/>
    <w:rsid w:val="00B81857"/>
    <w:rsid w:val="00B823DB"/>
    <w:rsid w:val="00B827AF"/>
    <w:rsid w:val="00B82B96"/>
    <w:rsid w:val="00B83C2F"/>
    <w:rsid w:val="00B84493"/>
    <w:rsid w:val="00B84499"/>
    <w:rsid w:val="00B84767"/>
    <w:rsid w:val="00B84A18"/>
    <w:rsid w:val="00B84B7F"/>
    <w:rsid w:val="00B90054"/>
    <w:rsid w:val="00B9030D"/>
    <w:rsid w:val="00B90A7A"/>
    <w:rsid w:val="00B90AC3"/>
    <w:rsid w:val="00B90F2E"/>
    <w:rsid w:val="00B9179D"/>
    <w:rsid w:val="00B92006"/>
    <w:rsid w:val="00B92A07"/>
    <w:rsid w:val="00B930B4"/>
    <w:rsid w:val="00B95C48"/>
    <w:rsid w:val="00B962F8"/>
    <w:rsid w:val="00B9646C"/>
    <w:rsid w:val="00B965F9"/>
    <w:rsid w:val="00BA050E"/>
    <w:rsid w:val="00BA3382"/>
    <w:rsid w:val="00BA4B0E"/>
    <w:rsid w:val="00BA5754"/>
    <w:rsid w:val="00BA65EA"/>
    <w:rsid w:val="00BA7990"/>
    <w:rsid w:val="00BB11E1"/>
    <w:rsid w:val="00BB2046"/>
    <w:rsid w:val="00BB2CCC"/>
    <w:rsid w:val="00BB3CC8"/>
    <w:rsid w:val="00BB3EFE"/>
    <w:rsid w:val="00BB435C"/>
    <w:rsid w:val="00BB4449"/>
    <w:rsid w:val="00BB473F"/>
    <w:rsid w:val="00BB4FB3"/>
    <w:rsid w:val="00BB5FC9"/>
    <w:rsid w:val="00BB6CA1"/>
    <w:rsid w:val="00BB7449"/>
    <w:rsid w:val="00BC11FB"/>
    <w:rsid w:val="00BC1458"/>
    <w:rsid w:val="00BC1574"/>
    <w:rsid w:val="00BC2106"/>
    <w:rsid w:val="00BC26D8"/>
    <w:rsid w:val="00BC323F"/>
    <w:rsid w:val="00BC3293"/>
    <w:rsid w:val="00BC3882"/>
    <w:rsid w:val="00BC71DD"/>
    <w:rsid w:val="00BD057D"/>
    <w:rsid w:val="00BD20A3"/>
    <w:rsid w:val="00BD2A9F"/>
    <w:rsid w:val="00BD3311"/>
    <w:rsid w:val="00BD3F48"/>
    <w:rsid w:val="00BD5ACC"/>
    <w:rsid w:val="00BD5DE8"/>
    <w:rsid w:val="00BD7480"/>
    <w:rsid w:val="00BE0729"/>
    <w:rsid w:val="00BE0F1A"/>
    <w:rsid w:val="00BE1FC3"/>
    <w:rsid w:val="00BE2774"/>
    <w:rsid w:val="00BE2F31"/>
    <w:rsid w:val="00BE2FFB"/>
    <w:rsid w:val="00BE3D37"/>
    <w:rsid w:val="00BE436D"/>
    <w:rsid w:val="00BE4738"/>
    <w:rsid w:val="00BE4FF4"/>
    <w:rsid w:val="00BE54DF"/>
    <w:rsid w:val="00BE6911"/>
    <w:rsid w:val="00BE779A"/>
    <w:rsid w:val="00BF0250"/>
    <w:rsid w:val="00BF033C"/>
    <w:rsid w:val="00BF16F7"/>
    <w:rsid w:val="00BF2389"/>
    <w:rsid w:val="00BF2835"/>
    <w:rsid w:val="00BF3244"/>
    <w:rsid w:val="00BF4F4D"/>
    <w:rsid w:val="00BF68B4"/>
    <w:rsid w:val="00BF6C7F"/>
    <w:rsid w:val="00BF72CE"/>
    <w:rsid w:val="00BF7F1D"/>
    <w:rsid w:val="00BF7F52"/>
    <w:rsid w:val="00C01688"/>
    <w:rsid w:val="00C02632"/>
    <w:rsid w:val="00C02765"/>
    <w:rsid w:val="00C031D6"/>
    <w:rsid w:val="00C035AC"/>
    <w:rsid w:val="00C051C4"/>
    <w:rsid w:val="00C056E9"/>
    <w:rsid w:val="00C10109"/>
    <w:rsid w:val="00C124C9"/>
    <w:rsid w:val="00C12F8E"/>
    <w:rsid w:val="00C13A8A"/>
    <w:rsid w:val="00C13CBC"/>
    <w:rsid w:val="00C14334"/>
    <w:rsid w:val="00C14AF3"/>
    <w:rsid w:val="00C14AFF"/>
    <w:rsid w:val="00C15E8D"/>
    <w:rsid w:val="00C16280"/>
    <w:rsid w:val="00C16374"/>
    <w:rsid w:val="00C16E41"/>
    <w:rsid w:val="00C1736E"/>
    <w:rsid w:val="00C17407"/>
    <w:rsid w:val="00C17408"/>
    <w:rsid w:val="00C17666"/>
    <w:rsid w:val="00C17731"/>
    <w:rsid w:val="00C20435"/>
    <w:rsid w:val="00C213A4"/>
    <w:rsid w:val="00C22783"/>
    <w:rsid w:val="00C23AFF"/>
    <w:rsid w:val="00C242E7"/>
    <w:rsid w:val="00C24662"/>
    <w:rsid w:val="00C25122"/>
    <w:rsid w:val="00C30FBB"/>
    <w:rsid w:val="00C31545"/>
    <w:rsid w:val="00C322D1"/>
    <w:rsid w:val="00C325A7"/>
    <w:rsid w:val="00C32AA3"/>
    <w:rsid w:val="00C32CDD"/>
    <w:rsid w:val="00C33496"/>
    <w:rsid w:val="00C34D10"/>
    <w:rsid w:val="00C34E54"/>
    <w:rsid w:val="00C350AE"/>
    <w:rsid w:val="00C35AE3"/>
    <w:rsid w:val="00C35ECB"/>
    <w:rsid w:val="00C35F58"/>
    <w:rsid w:val="00C36014"/>
    <w:rsid w:val="00C364E3"/>
    <w:rsid w:val="00C3676F"/>
    <w:rsid w:val="00C3684E"/>
    <w:rsid w:val="00C36947"/>
    <w:rsid w:val="00C37275"/>
    <w:rsid w:val="00C404D5"/>
    <w:rsid w:val="00C40FC1"/>
    <w:rsid w:val="00C422D2"/>
    <w:rsid w:val="00C424CB"/>
    <w:rsid w:val="00C42948"/>
    <w:rsid w:val="00C453EB"/>
    <w:rsid w:val="00C46668"/>
    <w:rsid w:val="00C4666B"/>
    <w:rsid w:val="00C4714F"/>
    <w:rsid w:val="00C50100"/>
    <w:rsid w:val="00C507BE"/>
    <w:rsid w:val="00C5227B"/>
    <w:rsid w:val="00C52C5B"/>
    <w:rsid w:val="00C558F6"/>
    <w:rsid w:val="00C56456"/>
    <w:rsid w:val="00C574A0"/>
    <w:rsid w:val="00C61E60"/>
    <w:rsid w:val="00C63889"/>
    <w:rsid w:val="00C64428"/>
    <w:rsid w:val="00C64815"/>
    <w:rsid w:val="00C64ED6"/>
    <w:rsid w:val="00C656B4"/>
    <w:rsid w:val="00C66CB4"/>
    <w:rsid w:val="00C66DA2"/>
    <w:rsid w:val="00C6703F"/>
    <w:rsid w:val="00C6799A"/>
    <w:rsid w:val="00C71820"/>
    <w:rsid w:val="00C72C5F"/>
    <w:rsid w:val="00C72E6C"/>
    <w:rsid w:val="00C73E9C"/>
    <w:rsid w:val="00C7423C"/>
    <w:rsid w:val="00C745A1"/>
    <w:rsid w:val="00C74F55"/>
    <w:rsid w:val="00C755B8"/>
    <w:rsid w:val="00C77E10"/>
    <w:rsid w:val="00C806A3"/>
    <w:rsid w:val="00C80B06"/>
    <w:rsid w:val="00C81B84"/>
    <w:rsid w:val="00C81ECB"/>
    <w:rsid w:val="00C82174"/>
    <w:rsid w:val="00C82B2A"/>
    <w:rsid w:val="00C85D1D"/>
    <w:rsid w:val="00C865A2"/>
    <w:rsid w:val="00C86F45"/>
    <w:rsid w:val="00C87648"/>
    <w:rsid w:val="00C903C5"/>
    <w:rsid w:val="00C90AEE"/>
    <w:rsid w:val="00C92A7B"/>
    <w:rsid w:val="00C92A82"/>
    <w:rsid w:val="00C94325"/>
    <w:rsid w:val="00C955C5"/>
    <w:rsid w:val="00C958A2"/>
    <w:rsid w:val="00C96D20"/>
    <w:rsid w:val="00C972A7"/>
    <w:rsid w:val="00C9767F"/>
    <w:rsid w:val="00CA14D6"/>
    <w:rsid w:val="00CA1995"/>
    <w:rsid w:val="00CA1D11"/>
    <w:rsid w:val="00CA200E"/>
    <w:rsid w:val="00CA28F2"/>
    <w:rsid w:val="00CA54DA"/>
    <w:rsid w:val="00CA5832"/>
    <w:rsid w:val="00CA6E7D"/>
    <w:rsid w:val="00CB04CC"/>
    <w:rsid w:val="00CB32A1"/>
    <w:rsid w:val="00CB3DB1"/>
    <w:rsid w:val="00CB445E"/>
    <w:rsid w:val="00CB485A"/>
    <w:rsid w:val="00CB5DE8"/>
    <w:rsid w:val="00CB5F8D"/>
    <w:rsid w:val="00CB6BC9"/>
    <w:rsid w:val="00CB78F8"/>
    <w:rsid w:val="00CC22D7"/>
    <w:rsid w:val="00CC4353"/>
    <w:rsid w:val="00CC4405"/>
    <w:rsid w:val="00CC7087"/>
    <w:rsid w:val="00CD005C"/>
    <w:rsid w:val="00CD090A"/>
    <w:rsid w:val="00CD20E5"/>
    <w:rsid w:val="00CD3FDA"/>
    <w:rsid w:val="00CD5A5E"/>
    <w:rsid w:val="00CD7318"/>
    <w:rsid w:val="00CD7D6A"/>
    <w:rsid w:val="00CE09F7"/>
    <w:rsid w:val="00CE0A3F"/>
    <w:rsid w:val="00CE0A56"/>
    <w:rsid w:val="00CE19A4"/>
    <w:rsid w:val="00CE2119"/>
    <w:rsid w:val="00CE235C"/>
    <w:rsid w:val="00CE3230"/>
    <w:rsid w:val="00CE4A14"/>
    <w:rsid w:val="00CE4AA8"/>
    <w:rsid w:val="00CE50D6"/>
    <w:rsid w:val="00CE64E2"/>
    <w:rsid w:val="00CE68D2"/>
    <w:rsid w:val="00CE6D04"/>
    <w:rsid w:val="00CE71A6"/>
    <w:rsid w:val="00CE78CD"/>
    <w:rsid w:val="00CF04A9"/>
    <w:rsid w:val="00CF0890"/>
    <w:rsid w:val="00CF1706"/>
    <w:rsid w:val="00CF224C"/>
    <w:rsid w:val="00CF2322"/>
    <w:rsid w:val="00CF2AE9"/>
    <w:rsid w:val="00CF3070"/>
    <w:rsid w:val="00CF3432"/>
    <w:rsid w:val="00CF3FA2"/>
    <w:rsid w:val="00CF405E"/>
    <w:rsid w:val="00CF4B38"/>
    <w:rsid w:val="00CF55C6"/>
    <w:rsid w:val="00CF74AF"/>
    <w:rsid w:val="00D011C4"/>
    <w:rsid w:val="00D01A7F"/>
    <w:rsid w:val="00D03814"/>
    <w:rsid w:val="00D04F19"/>
    <w:rsid w:val="00D0707D"/>
    <w:rsid w:val="00D07BA4"/>
    <w:rsid w:val="00D10743"/>
    <w:rsid w:val="00D117CB"/>
    <w:rsid w:val="00D130BA"/>
    <w:rsid w:val="00D14063"/>
    <w:rsid w:val="00D14B1F"/>
    <w:rsid w:val="00D15380"/>
    <w:rsid w:val="00D15F08"/>
    <w:rsid w:val="00D16B67"/>
    <w:rsid w:val="00D200E6"/>
    <w:rsid w:val="00D20330"/>
    <w:rsid w:val="00D207C0"/>
    <w:rsid w:val="00D20989"/>
    <w:rsid w:val="00D20D1C"/>
    <w:rsid w:val="00D22062"/>
    <w:rsid w:val="00D23971"/>
    <w:rsid w:val="00D24895"/>
    <w:rsid w:val="00D24C38"/>
    <w:rsid w:val="00D2674A"/>
    <w:rsid w:val="00D26D8F"/>
    <w:rsid w:val="00D26FC6"/>
    <w:rsid w:val="00D27192"/>
    <w:rsid w:val="00D27252"/>
    <w:rsid w:val="00D27DCF"/>
    <w:rsid w:val="00D30235"/>
    <w:rsid w:val="00D31265"/>
    <w:rsid w:val="00D31B68"/>
    <w:rsid w:val="00D31D5D"/>
    <w:rsid w:val="00D34418"/>
    <w:rsid w:val="00D344AC"/>
    <w:rsid w:val="00D34909"/>
    <w:rsid w:val="00D35B30"/>
    <w:rsid w:val="00D35DB6"/>
    <w:rsid w:val="00D41DCD"/>
    <w:rsid w:val="00D4200D"/>
    <w:rsid w:val="00D42577"/>
    <w:rsid w:val="00D43232"/>
    <w:rsid w:val="00D436FE"/>
    <w:rsid w:val="00D43E74"/>
    <w:rsid w:val="00D44214"/>
    <w:rsid w:val="00D44279"/>
    <w:rsid w:val="00D44C19"/>
    <w:rsid w:val="00D44EC1"/>
    <w:rsid w:val="00D463A7"/>
    <w:rsid w:val="00D46973"/>
    <w:rsid w:val="00D46AD0"/>
    <w:rsid w:val="00D5130C"/>
    <w:rsid w:val="00D523F2"/>
    <w:rsid w:val="00D52538"/>
    <w:rsid w:val="00D56FA3"/>
    <w:rsid w:val="00D57768"/>
    <w:rsid w:val="00D577F3"/>
    <w:rsid w:val="00D60FF2"/>
    <w:rsid w:val="00D61F69"/>
    <w:rsid w:val="00D62490"/>
    <w:rsid w:val="00D628C4"/>
    <w:rsid w:val="00D62CB8"/>
    <w:rsid w:val="00D63154"/>
    <w:rsid w:val="00D63680"/>
    <w:rsid w:val="00D6368C"/>
    <w:rsid w:val="00D64892"/>
    <w:rsid w:val="00D652DA"/>
    <w:rsid w:val="00D701D3"/>
    <w:rsid w:val="00D7086E"/>
    <w:rsid w:val="00D72908"/>
    <w:rsid w:val="00D72EA6"/>
    <w:rsid w:val="00D73A68"/>
    <w:rsid w:val="00D74FCA"/>
    <w:rsid w:val="00D752BF"/>
    <w:rsid w:val="00D77316"/>
    <w:rsid w:val="00D8087D"/>
    <w:rsid w:val="00D80EFC"/>
    <w:rsid w:val="00D81380"/>
    <w:rsid w:val="00D82ACF"/>
    <w:rsid w:val="00D82E7B"/>
    <w:rsid w:val="00D83C0C"/>
    <w:rsid w:val="00D861CD"/>
    <w:rsid w:val="00D87046"/>
    <w:rsid w:val="00D87381"/>
    <w:rsid w:val="00D87B82"/>
    <w:rsid w:val="00D90277"/>
    <w:rsid w:val="00D9054D"/>
    <w:rsid w:val="00D91402"/>
    <w:rsid w:val="00D93111"/>
    <w:rsid w:val="00D932EF"/>
    <w:rsid w:val="00D935B1"/>
    <w:rsid w:val="00D93D69"/>
    <w:rsid w:val="00D95A69"/>
    <w:rsid w:val="00D95F1E"/>
    <w:rsid w:val="00D96594"/>
    <w:rsid w:val="00D97F95"/>
    <w:rsid w:val="00DA043F"/>
    <w:rsid w:val="00DA111A"/>
    <w:rsid w:val="00DA3239"/>
    <w:rsid w:val="00DA40B0"/>
    <w:rsid w:val="00DA46FD"/>
    <w:rsid w:val="00DA6801"/>
    <w:rsid w:val="00DB0138"/>
    <w:rsid w:val="00DB053A"/>
    <w:rsid w:val="00DB0775"/>
    <w:rsid w:val="00DB1E32"/>
    <w:rsid w:val="00DB2115"/>
    <w:rsid w:val="00DB241B"/>
    <w:rsid w:val="00DB2A5C"/>
    <w:rsid w:val="00DB2F63"/>
    <w:rsid w:val="00DB35E3"/>
    <w:rsid w:val="00DB4603"/>
    <w:rsid w:val="00DB5836"/>
    <w:rsid w:val="00DB792C"/>
    <w:rsid w:val="00DC08E5"/>
    <w:rsid w:val="00DC0D7C"/>
    <w:rsid w:val="00DC1F53"/>
    <w:rsid w:val="00DC2E7B"/>
    <w:rsid w:val="00DC3E83"/>
    <w:rsid w:val="00DC3F99"/>
    <w:rsid w:val="00DC4C73"/>
    <w:rsid w:val="00DC5530"/>
    <w:rsid w:val="00DC5BD6"/>
    <w:rsid w:val="00DC6BDD"/>
    <w:rsid w:val="00DC6F24"/>
    <w:rsid w:val="00DC7EDE"/>
    <w:rsid w:val="00DD0CA7"/>
    <w:rsid w:val="00DD1989"/>
    <w:rsid w:val="00DD2097"/>
    <w:rsid w:val="00DD249E"/>
    <w:rsid w:val="00DD516A"/>
    <w:rsid w:val="00DD6057"/>
    <w:rsid w:val="00DD74FE"/>
    <w:rsid w:val="00DD7619"/>
    <w:rsid w:val="00DE3408"/>
    <w:rsid w:val="00DE3969"/>
    <w:rsid w:val="00DE3BAC"/>
    <w:rsid w:val="00DE4C55"/>
    <w:rsid w:val="00DE615A"/>
    <w:rsid w:val="00DE6181"/>
    <w:rsid w:val="00DF0483"/>
    <w:rsid w:val="00DF1277"/>
    <w:rsid w:val="00DF1F92"/>
    <w:rsid w:val="00DF24DB"/>
    <w:rsid w:val="00DF3D3B"/>
    <w:rsid w:val="00DF4350"/>
    <w:rsid w:val="00DF7F53"/>
    <w:rsid w:val="00E0178C"/>
    <w:rsid w:val="00E01FF0"/>
    <w:rsid w:val="00E03004"/>
    <w:rsid w:val="00E039E4"/>
    <w:rsid w:val="00E03D36"/>
    <w:rsid w:val="00E0419B"/>
    <w:rsid w:val="00E04924"/>
    <w:rsid w:val="00E04B80"/>
    <w:rsid w:val="00E04D08"/>
    <w:rsid w:val="00E100B8"/>
    <w:rsid w:val="00E10A16"/>
    <w:rsid w:val="00E11304"/>
    <w:rsid w:val="00E11628"/>
    <w:rsid w:val="00E1183F"/>
    <w:rsid w:val="00E1201C"/>
    <w:rsid w:val="00E12060"/>
    <w:rsid w:val="00E14E11"/>
    <w:rsid w:val="00E15329"/>
    <w:rsid w:val="00E1540A"/>
    <w:rsid w:val="00E171CD"/>
    <w:rsid w:val="00E17313"/>
    <w:rsid w:val="00E1736B"/>
    <w:rsid w:val="00E175FD"/>
    <w:rsid w:val="00E20879"/>
    <w:rsid w:val="00E20D0C"/>
    <w:rsid w:val="00E23F40"/>
    <w:rsid w:val="00E268EF"/>
    <w:rsid w:val="00E268F5"/>
    <w:rsid w:val="00E2765D"/>
    <w:rsid w:val="00E27B55"/>
    <w:rsid w:val="00E3081B"/>
    <w:rsid w:val="00E31078"/>
    <w:rsid w:val="00E318B4"/>
    <w:rsid w:val="00E319E7"/>
    <w:rsid w:val="00E33EF8"/>
    <w:rsid w:val="00E340BA"/>
    <w:rsid w:val="00E34946"/>
    <w:rsid w:val="00E34D8A"/>
    <w:rsid w:val="00E35113"/>
    <w:rsid w:val="00E35B2F"/>
    <w:rsid w:val="00E365A3"/>
    <w:rsid w:val="00E36EE3"/>
    <w:rsid w:val="00E4026C"/>
    <w:rsid w:val="00E4061F"/>
    <w:rsid w:val="00E4250F"/>
    <w:rsid w:val="00E43FB6"/>
    <w:rsid w:val="00E44EC4"/>
    <w:rsid w:val="00E452CE"/>
    <w:rsid w:val="00E456E9"/>
    <w:rsid w:val="00E461F8"/>
    <w:rsid w:val="00E47212"/>
    <w:rsid w:val="00E472C9"/>
    <w:rsid w:val="00E47DC8"/>
    <w:rsid w:val="00E47DE8"/>
    <w:rsid w:val="00E5005F"/>
    <w:rsid w:val="00E503BD"/>
    <w:rsid w:val="00E51D7C"/>
    <w:rsid w:val="00E56965"/>
    <w:rsid w:val="00E6011E"/>
    <w:rsid w:val="00E61335"/>
    <w:rsid w:val="00E61AE7"/>
    <w:rsid w:val="00E6204E"/>
    <w:rsid w:val="00E6281C"/>
    <w:rsid w:val="00E633CF"/>
    <w:rsid w:val="00E63520"/>
    <w:rsid w:val="00E63565"/>
    <w:rsid w:val="00E63729"/>
    <w:rsid w:val="00E644B5"/>
    <w:rsid w:val="00E66BD3"/>
    <w:rsid w:val="00E6778A"/>
    <w:rsid w:val="00E70AC9"/>
    <w:rsid w:val="00E70C2F"/>
    <w:rsid w:val="00E70CF2"/>
    <w:rsid w:val="00E70D71"/>
    <w:rsid w:val="00E72A55"/>
    <w:rsid w:val="00E72B29"/>
    <w:rsid w:val="00E7509B"/>
    <w:rsid w:val="00E75318"/>
    <w:rsid w:val="00E75758"/>
    <w:rsid w:val="00E7598B"/>
    <w:rsid w:val="00E7659A"/>
    <w:rsid w:val="00E8025B"/>
    <w:rsid w:val="00E8064E"/>
    <w:rsid w:val="00E807C3"/>
    <w:rsid w:val="00E81DE3"/>
    <w:rsid w:val="00E82CEC"/>
    <w:rsid w:val="00E8305F"/>
    <w:rsid w:val="00E838F9"/>
    <w:rsid w:val="00E8414F"/>
    <w:rsid w:val="00E848E3"/>
    <w:rsid w:val="00E85260"/>
    <w:rsid w:val="00E85F0F"/>
    <w:rsid w:val="00E87138"/>
    <w:rsid w:val="00E87AAD"/>
    <w:rsid w:val="00E92068"/>
    <w:rsid w:val="00E92312"/>
    <w:rsid w:val="00E9426E"/>
    <w:rsid w:val="00E94293"/>
    <w:rsid w:val="00E95B4F"/>
    <w:rsid w:val="00E95FBE"/>
    <w:rsid w:val="00E962EE"/>
    <w:rsid w:val="00E96BEE"/>
    <w:rsid w:val="00E96D01"/>
    <w:rsid w:val="00E97562"/>
    <w:rsid w:val="00E97A14"/>
    <w:rsid w:val="00EA014E"/>
    <w:rsid w:val="00EA1CD9"/>
    <w:rsid w:val="00EA6188"/>
    <w:rsid w:val="00EA7FFD"/>
    <w:rsid w:val="00EB1FD1"/>
    <w:rsid w:val="00EB24F3"/>
    <w:rsid w:val="00EB2992"/>
    <w:rsid w:val="00EB2EC9"/>
    <w:rsid w:val="00EB31D5"/>
    <w:rsid w:val="00EB4896"/>
    <w:rsid w:val="00EB5FD7"/>
    <w:rsid w:val="00EB6C4D"/>
    <w:rsid w:val="00EC4794"/>
    <w:rsid w:val="00EC569A"/>
    <w:rsid w:val="00EC5D70"/>
    <w:rsid w:val="00ED0047"/>
    <w:rsid w:val="00ED0FE7"/>
    <w:rsid w:val="00ED2AB1"/>
    <w:rsid w:val="00ED3089"/>
    <w:rsid w:val="00ED387B"/>
    <w:rsid w:val="00ED39C8"/>
    <w:rsid w:val="00ED4D26"/>
    <w:rsid w:val="00EE0341"/>
    <w:rsid w:val="00EE0A78"/>
    <w:rsid w:val="00EE1CCF"/>
    <w:rsid w:val="00EE1F3C"/>
    <w:rsid w:val="00EE1F68"/>
    <w:rsid w:val="00EE33AD"/>
    <w:rsid w:val="00EE3454"/>
    <w:rsid w:val="00EE49EF"/>
    <w:rsid w:val="00EE4F3E"/>
    <w:rsid w:val="00EE76F2"/>
    <w:rsid w:val="00EF05F6"/>
    <w:rsid w:val="00EF08A5"/>
    <w:rsid w:val="00EF0F7B"/>
    <w:rsid w:val="00EF2ED3"/>
    <w:rsid w:val="00EF4735"/>
    <w:rsid w:val="00EF5DB6"/>
    <w:rsid w:val="00EF6BBC"/>
    <w:rsid w:val="00EF6E6D"/>
    <w:rsid w:val="00EF73AF"/>
    <w:rsid w:val="00EF745D"/>
    <w:rsid w:val="00F00738"/>
    <w:rsid w:val="00F0235E"/>
    <w:rsid w:val="00F032BB"/>
    <w:rsid w:val="00F0391B"/>
    <w:rsid w:val="00F04818"/>
    <w:rsid w:val="00F05237"/>
    <w:rsid w:val="00F07EED"/>
    <w:rsid w:val="00F12DBB"/>
    <w:rsid w:val="00F14149"/>
    <w:rsid w:val="00F14373"/>
    <w:rsid w:val="00F16C0C"/>
    <w:rsid w:val="00F17602"/>
    <w:rsid w:val="00F17941"/>
    <w:rsid w:val="00F203DB"/>
    <w:rsid w:val="00F20AED"/>
    <w:rsid w:val="00F20FD3"/>
    <w:rsid w:val="00F217B7"/>
    <w:rsid w:val="00F21BDE"/>
    <w:rsid w:val="00F21EC9"/>
    <w:rsid w:val="00F220ED"/>
    <w:rsid w:val="00F2215F"/>
    <w:rsid w:val="00F22C87"/>
    <w:rsid w:val="00F231BC"/>
    <w:rsid w:val="00F261FD"/>
    <w:rsid w:val="00F275FD"/>
    <w:rsid w:val="00F32C25"/>
    <w:rsid w:val="00F32E21"/>
    <w:rsid w:val="00F34D77"/>
    <w:rsid w:val="00F350DE"/>
    <w:rsid w:val="00F3635E"/>
    <w:rsid w:val="00F363D9"/>
    <w:rsid w:val="00F366F2"/>
    <w:rsid w:val="00F3754D"/>
    <w:rsid w:val="00F37896"/>
    <w:rsid w:val="00F37D56"/>
    <w:rsid w:val="00F4081D"/>
    <w:rsid w:val="00F40A02"/>
    <w:rsid w:val="00F4156B"/>
    <w:rsid w:val="00F41E0D"/>
    <w:rsid w:val="00F427CE"/>
    <w:rsid w:val="00F45776"/>
    <w:rsid w:val="00F46161"/>
    <w:rsid w:val="00F47138"/>
    <w:rsid w:val="00F4782A"/>
    <w:rsid w:val="00F52390"/>
    <w:rsid w:val="00F52A9A"/>
    <w:rsid w:val="00F53E28"/>
    <w:rsid w:val="00F53E77"/>
    <w:rsid w:val="00F546FA"/>
    <w:rsid w:val="00F553E6"/>
    <w:rsid w:val="00F55F68"/>
    <w:rsid w:val="00F56687"/>
    <w:rsid w:val="00F60440"/>
    <w:rsid w:val="00F60AE6"/>
    <w:rsid w:val="00F617C3"/>
    <w:rsid w:val="00F61D3E"/>
    <w:rsid w:val="00F63B1E"/>
    <w:rsid w:val="00F6407A"/>
    <w:rsid w:val="00F64EF9"/>
    <w:rsid w:val="00F652E3"/>
    <w:rsid w:val="00F65AF5"/>
    <w:rsid w:val="00F703CF"/>
    <w:rsid w:val="00F71CE5"/>
    <w:rsid w:val="00F7250E"/>
    <w:rsid w:val="00F72672"/>
    <w:rsid w:val="00F7295C"/>
    <w:rsid w:val="00F72F18"/>
    <w:rsid w:val="00F76632"/>
    <w:rsid w:val="00F81000"/>
    <w:rsid w:val="00F811C5"/>
    <w:rsid w:val="00F84CD2"/>
    <w:rsid w:val="00F85AD1"/>
    <w:rsid w:val="00F865AB"/>
    <w:rsid w:val="00F86B99"/>
    <w:rsid w:val="00F87BC5"/>
    <w:rsid w:val="00F90664"/>
    <w:rsid w:val="00F91F98"/>
    <w:rsid w:val="00F922C4"/>
    <w:rsid w:val="00F92675"/>
    <w:rsid w:val="00F93D99"/>
    <w:rsid w:val="00F94E81"/>
    <w:rsid w:val="00F95C01"/>
    <w:rsid w:val="00F96C43"/>
    <w:rsid w:val="00F96DAB"/>
    <w:rsid w:val="00F973D3"/>
    <w:rsid w:val="00FA0624"/>
    <w:rsid w:val="00FA272E"/>
    <w:rsid w:val="00FA41D5"/>
    <w:rsid w:val="00FA4DC8"/>
    <w:rsid w:val="00FA52A7"/>
    <w:rsid w:val="00FA53F8"/>
    <w:rsid w:val="00FA7196"/>
    <w:rsid w:val="00FB0FAD"/>
    <w:rsid w:val="00FB1861"/>
    <w:rsid w:val="00FB1895"/>
    <w:rsid w:val="00FB35F2"/>
    <w:rsid w:val="00FB3F1B"/>
    <w:rsid w:val="00FB405B"/>
    <w:rsid w:val="00FB43A6"/>
    <w:rsid w:val="00FB4CFD"/>
    <w:rsid w:val="00FB59E2"/>
    <w:rsid w:val="00FB5CD6"/>
    <w:rsid w:val="00FB627A"/>
    <w:rsid w:val="00FB6746"/>
    <w:rsid w:val="00FB6EC9"/>
    <w:rsid w:val="00FB72D2"/>
    <w:rsid w:val="00FB7ED9"/>
    <w:rsid w:val="00FC0725"/>
    <w:rsid w:val="00FC4B9A"/>
    <w:rsid w:val="00FC50B0"/>
    <w:rsid w:val="00FC6670"/>
    <w:rsid w:val="00FC7D74"/>
    <w:rsid w:val="00FD13BD"/>
    <w:rsid w:val="00FD1832"/>
    <w:rsid w:val="00FD261F"/>
    <w:rsid w:val="00FD35DD"/>
    <w:rsid w:val="00FD5CCD"/>
    <w:rsid w:val="00FD6BDA"/>
    <w:rsid w:val="00FD7AB9"/>
    <w:rsid w:val="00FD7F10"/>
    <w:rsid w:val="00FE0B8A"/>
    <w:rsid w:val="00FE144B"/>
    <w:rsid w:val="00FE14D6"/>
    <w:rsid w:val="00FE169B"/>
    <w:rsid w:val="00FE1B02"/>
    <w:rsid w:val="00FE1F1D"/>
    <w:rsid w:val="00FE2B31"/>
    <w:rsid w:val="00FE2C9E"/>
    <w:rsid w:val="00FE33D3"/>
    <w:rsid w:val="00FE4294"/>
    <w:rsid w:val="00FE438F"/>
    <w:rsid w:val="00FE6C01"/>
    <w:rsid w:val="00FE71AA"/>
    <w:rsid w:val="00FE7A52"/>
    <w:rsid w:val="00FF08B7"/>
    <w:rsid w:val="00FF3E27"/>
    <w:rsid w:val="00FF4842"/>
    <w:rsid w:val="00FF6D45"/>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52CE7"/>
  <w15:chartTrackingRefBased/>
  <w15:docId w15:val="{6DF8B884-BB5C-44EB-A10F-616302A13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0"/>
    <w:next w:val="a"/>
    <w:link w:val="10"/>
    <w:uiPriority w:val="9"/>
    <w:qFormat/>
    <w:rsid w:val="00295F65"/>
    <w:pPr>
      <w:outlineLvl w:val="0"/>
    </w:pPr>
  </w:style>
  <w:style w:type="paragraph" w:styleId="2">
    <w:name w:val="heading 2"/>
    <w:basedOn w:val="a"/>
    <w:next w:val="a"/>
    <w:link w:val="20"/>
    <w:uiPriority w:val="9"/>
    <w:unhideWhenUsed/>
    <w:qFormat/>
    <w:rsid w:val="00B84B7F"/>
    <w:pPr>
      <w:bidi/>
      <w:spacing w:after="0" w:line="276" w:lineRule="auto"/>
      <w:jc w:val="both"/>
      <w:outlineLvl w:val="1"/>
    </w:pPr>
    <w:rPr>
      <w:rFonts w:ascii="Segoe UI" w:hAnsi="Segoe UI" w:cs="Segoe UI"/>
      <w:b/>
      <w:bCs/>
      <w:sz w:val="24"/>
      <w:szCs w:val="24"/>
      <w:u w:val="single"/>
      <w:lang w:val="en-ZW"/>
    </w:rPr>
  </w:style>
  <w:style w:type="paragraph" w:styleId="3">
    <w:name w:val="heading 3"/>
    <w:basedOn w:val="a"/>
    <w:next w:val="a"/>
    <w:link w:val="30"/>
    <w:uiPriority w:val="9"/>
    <w:unhideWhenUsed/>
    <w:qFormat/>
    <w:rsid w:val="00E56965"/>
    <w:pPr>
      <w:bidi/>
      <w:spacing w:after="0" w:line="276" w:lineRule="auto"/>
      <w:jc w:val="both"/>
      <w:outlineLvl w:val="2"/>
    </w:pPr>
    <w:rPr>
      <w:rFonts w:ascii="Segoe UI" w:hAnsi="Segoe UI" w:cs="Segoe UI"/>
      <w:b/>
      <w:bCs/>
      <w:u w:val="single"/>
      <w:lang w:val="en-US"/>
    </w:rPr>
  </w:style>
  <w:style w:type="paragraph" w:styleId="4">
    <w:name w:val="heading 4"/>
    <w:basedOn w:val="a"/>
    <w:next w:val="a"/>
    <w:link w:val="40"/>
    <w:uiPriority w:val="9"/>
    <w:semiHidden/>
    <w:unhideWhenUsed/>
    <w:qFormat/>
    <w:rsid w:val="00D20D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487AC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E8025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295F65"/>
    <w:rPr>
      <w:rFonts w:ascii="Segoe UI" w:hAnsi="Segoe UI" w:cs="Segoe UI"/>
      <w:b/>
      <w:bCs/>
      <w:sz w:val="28"/>
      <w:szCs w:val="28"/>
      <w:shd w:val="clear" w:color="auto" w:fill="D9E2F3" w:themeFill="accent1" w:themeFillTint="33"/>
      <w:lang w:val="en-ZW"/>
    </w:rPr>
  </w:style>
  <w:style w:type="character" w:customStyle="1" w:styleId="20">
    <w:name w:val="כותרת 2 תו"/>
    <w:basedOn w:val="a1"/>
    <w:link w:val="2"/>
    <w:uiPriority w:val="9"/>
    <w:rsid w:val="00B84B7F"/>
    <w:rPr>
      <w:rFonts w:ascii="Segoe UI" w:hAnsi="Segoe UI" w:cs="Segoe UI"/>
      <w:b/>
      <w:bCs/>
      <w:sz w:val="24"/>
      <w:szCs w:val="24"/>
      <w:u w:val="single"/>
      <w:lang w:val="en-ZW"/>
    </w:rPr>
  </w:style>
  <w:style w:type="character" w:customStyle="1" w:styleId="30">
    <w:name w:val="כותרת 3 תו"/>
    <w:basedOn w:val="a1"/>
    <w:link w:val="3"/>
    <w:uiPriority w:val="9"/>
    <w:rsid w:val="00E56965"/>
    <w:rPr>
      <w:rFonts w:ascii="Segoe UI" w:hAnsi="Segoe UI" w:cs="Segoe UI"/>
      <w:b/>
      <w:bCs/>
      <w:u w:val="single"/>
      <w:lang w:val="en-US"/>
    </w:rPr>
  </w:style>
  <w:style w:type="character" w:customStyle="1" w:styleId="60">
    <w:name w:val="כותרת 6 תו"/>
    <w:basedOn w:val="a1"/>
    <w:link w:val="6"/>
    <w:uiPriority w:val="9"/>
    <w:semiHidden/>
    <w:rsid w:val="00E8025B"/>
    <w:rPr>
      <w:rFonts w:asciiTheme="majorHAnsi" w:eastAsiaTheme="majorEastAsia" w:hAnsiTheme="majorHAnsi" w:cstheme="majorBidi"/>
      <w:color w:val="1F3763" w:themeColor="accent1" w:themeShade="7F"/>
    </w:rPr>
  </w:style>
  <w:style w:type="paragraph" w:customStyle="1" w:styleId="11">
    <w:name w:val="סגנון1"/>
    <w:basedOn w:val="a"/>
    <w:link w:val="12"/>
    <w:rsid w:val="00424562"/>
    <w:pPr>
      <w:shd w:val="clear" w:color="auto" w:fill="CC00CC"/>
      <w:bidi/>
      <w:jc w:val="both"/>
    </w:pPr>
    <w:rPr>
      <w:rFonts w:cs="David"/>
      <w:b/>
      <w:bCs/>
      <w:szCs w:val="28"/>
    </w:rPr>
  </w:style>
  <w:style w:type="character" w:customStyle="1" w:styleId="12">
    <w:name w:val="סגנון1 תו"/>
    <w:basedOn w:val="a1"/>
    <w:link w:val="11"/>
    <w:rsid w:val="00424562"/>
    <w:rPr>
      <w:rFonts w:cs="David"/>
      <w:b/>
      <w:bCs/>
      <w:szCs w:val="28"/>
      <w:shd w:val="clear" w:color="auto" w:fill="CC00CC"/>
    </w:rPr>
  </w:style>
  <w:style w:type="paragraph" w:styleId="a4">
    <w:name w:val="header"/>
    <w:basedOn w:val="a"/>
    <w:link w:val="a5"/>
    <w:uiPriority w:val="99"/>
    <w:unhideWhenUsed/>
    <w:rsid w:val="00940F66"/>
    <w:pPr>
      <w:tabs>
        <w:tab w:val="center" w:pos="4513"/>
        <w:tab w:val="right" w:pos="9026"/>
      </w:tabs>
      <w:spacing w:after="0" w:line="240" w:lineRule="auto"/>
    </w:pPr>
  </w:style>
  <w:style w:type="character" w:customStyle="1" w:styleId="a5">
    <w:name w:val="כותרת עליונה תו"/>
    <w:basedOn w:val="a1"/>
    <w:link w:val="a4"/>
    <w:uiPriority w:val="99"/>
    <w:rsid w:val="00940F66"/>
  </w:style>
  <w:style w:type="paragraph" w:styleId="a6">
    <w:name w:val="footer"/>
    <w:basedOn w:val="a"/>
    <w:link w:val="a7"/>
    <w:uiPriority w:val="99"/>
    <w:unhideWhenUsed/>
    <w:rsid w:val="00940F66"/>
    <w:pPr>
      <w:tabs>
        <w:tab w:val="center" w:pos="4513"/>
        <w:tab w:val="right" w:pos="9026"/>
      </w:tabs>
      <w:spacing w:after="0" w:line="240" w:lineRule="auto"/>
    </w:pPr>
  </w:style>
  <w:style w:type="character" w:customStyle="1" w:styleId="a7">
    <w:name w:val="כותרת תחתונה תו"/>
    <w:basedOn w:val="a1"/>
    <w:link w:val="a6"/>
    <w:uiPriority w:val="99"/>
    <w:rsid w:val="00940F66"/>
  </w:style>
  <w:style w:type="character" w:styleId="a8">
    <w:name w:val="Placeholder Text"/>
    <w:basedOn w:val="a1"/>
    <w:uiPriority w:val="99"/>
    <w:semiHidden/>
    <w:rsid w:val="000B4F76"/>
    <w:rPr>
      <w:color w:val="808080"/>
    </w:rPr>
  </w:style>
  <w:style w:type="paragraph" w:styleId="a9">
    <w:name w:val="No Spacing"/>
    <w:link w:val="aa"/>
    <w:uiPriority w:val="1"/>
    <w:qFormat/>
    <w:rsid w:val="008E3B7D"/>
    <w:pPr>
      <w:bidi/>
      <w:spacing w:after="0" w:line="240" w:lineRule="auto"/>
    </w:pPr>
    <w:rPr>
      <w:rFonts w:eastAsiaTheme="minorEastAsia"/>
      <w:lang w:val="en-US"/>
    </w:rPr>
  </w:style>
  <w:style w:type="character" w:customStyle="1" w:styleId="aa">
    <w:name w:val="ללא מרווח תו"/>
    <w:basedOn w:val="a1"/>
    <w:link w:val="a9"/>
    <w:uiPriority w:val="1"/>
    <w:rsid w:val="008E3B7D"/>
    <w:rPr>
      <w:rFonts w:eastAsiaTheme="minorEastAsia"/>
      <w:lang w:val="en-US"/>
    </w:rPr>
  </w:style>
  <w:style w:type="paragraph" w:styleId="ab">
    <w:name w:val="List Paragraph"/>
    <w:basedOn w:val="a"/>
    <w:uiPriority w:val="34"/>
    <w:qFormat/>
    <w:rsid w:val="00372A15"/>
    <w:pPr>
      <w:ind w:left="720"/>
      <w:contextualSpacing/>
    </w:pPr>
  </w:style>
  <w:style w:type="character" w:styleId="Hyperlink">
    <w:name w:val="Hyperlink"/>
    <w:basedOn w:val="a1"/>
    <w:uiPriority w:val="99"/>
    <w:unhideWhenUsed/>
    <w:rsid w:val="005368E3"/>
    <w:rPr>
      <w:color w:val="0563C1" w:themeColor="hyperlink"/>
      <w:u w:val="single"/>
    </w:rPr>
  </w:style>
  <w:style w:type="paragraph" w:styleId="ac">
    <w:name w:val="TOC Heading"/>
    <w:basedOn w:val="1"/>
    <w:next w:val="a"/>
    <w:uiPriority w:val="39"/>
    <w:unhideWhenUsed/>
    <w:qFormat/>
    <w:rsid w:val="00C72E6C"/>
    <w:pPr>
      <w:outlineLvl w:val="9"/>
    </w:pPr>
    <w:rPr>
      <w:rtl/>
      <w:cs/>
      <w:lang w:val="en-US"/>
    </w:rPr>
  </w:style>
  <w:style w:type="paragraph" w:styleId="TOC1">
    <w:name w:val="toc 1"/>
    <w:basedOn w:val="a"/>
    <w:next w:val="a"/>
    <w:autoRedefine/>
    <w:uiPriority w:val="39"/>
    <w:unhideWhenUsed/>
    <w:rsid w:val="006A73FE"/>
    <w:pPr>
      <w:tabs>
        <w:tab w:val="right" w:leader="dot" w:pos="10194"/>
      </w:tabs>
      <w:bidi/>
      <w:spacing w:after="0" w:line="276" w:lineRule="auto"/>
      <w:jc w:val="both"/>
    </w:pPr>
    <w:rPr>
      <w:b/>
      <w:bCs/>
      <w:noProof/>
    </w:rPr>
  </w:style>
  <w:style w:type="paragraph" w:styleId="TOC2">
    <w:name w:val="toc 2"/>
    <w:basedOn w:val="a"/>
    <w:next w:val="a"/>
    <w:autoRedefine/>
    <w:uiPriority w:val="39"/>
    <w:unhideWhenUsed/>
    <w:rsid w:val="005C6A2F"/>
    <w:pPr>
      <w:tabs>
        <w:tab w:val="left" w:pos="1100"/>
        <w:tab w:val="right" w:leader="dot" w:pos="10194"/>
      </w:tabs>
      <w:bidi/>
      <w:spacing w:after="0" w:line="240" w:lineRule="auto"/>
      <w:ind w:left="360"/>
      <w:jc w:val="both"/>
    </w:pPr>
    <w:rPr>
      <w:rFonts w:ascii="Segoe UI" w:hAnsi="Segoe UI" w:cs="Segoe UI"/>
      <w:noProof/>
      <w:sz w:val="20"/>
      <w:szCs w:val="20"/>
    </w:rPr>
  </w:style>
  <w:style w:type="paragraph" w:customStyle="1" w:styleId="p00">
    <w:name w:val="p00"/>
    <w:basedOn w:val="a"/>
    <w:rsid w:val="00D2033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ig-number">
    <w:name w:val="big-number"/>
    <w:basedOn w:val="a1"/>
    <w:rsid w:val="00D20330"/>
  </w:style>
  <w:style w:type="character" w:customStyle="1" w:styleId="default">
    <w:name w:val="default"/>
    <w:basedOn w:val="a1"/>
    <w:rsid w:val="00D20330"/>
  </w:style>
  <w:style w:type="paragraph" w:customStyle="1" w:styleId="p11">
    <w:name w:val="p11"/>
    <w:basedOn w:val="a"/>
    <w:rsid w:val="00493B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d">
    <w:name w:val="Unresolved Mention"/>
    <w:basedOn w:val="a1"/>
    <w:uiPriority w:val="99"/>
    <w:semiHidden/>
    <w:unhideWhenUsed/>
    <w:rsid w:val="00527BAE"/>
    <w:rPr>
      <w:color w:val="605E5C"/>
      <w:shd w:val="clear" w:color="auto" w:fill="E1DFDD"/>
    </w:rPr>
  </w:style>
  <w:style w:type="paragraph" w:customStyle="1" w:styleId="footnote">
    <w:name w:val="footnote"/>
    <w:basedOn w:val="a"/>
    <w:rsid w:val="0040460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22">
    <w:name w:val="p22"/>
    <w:basedOn w:val="a"/>
    <w:rsid w:val="00702F3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02">
    <w:name w:val="p02"/>
    <w:basedOn w:val="a"/>
    <w:rsid w:val="005560F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3">
    <w:name w:val="toc 3"/>
    <w:basedOn w:val="a"/>
    <w:next w:val="a"/>
    <w:autoRedefine/>
    <w:uiPriority w:val="39"/>
    <w:unhideWhenUsed/>
    <w:rsid w:val="00CB485A"/>
    <w:pPr>
      <w:spacing w:after="100"/>
      <w:ind w:left="440"/>
    </w:pPr>
  </w:style>
  <w:style w:type="paragraph" w:styleId="TOC4">
    <w:name w:val="toc 4"/>
    <w:basedOn w:val="a"/>
    <w:next w:val="a"/>
    <w:autoRedefine/>
    <w:uiPriority w:val="39"/>
    <w:unhideWhenUsed/>
    <w:rsid w:val="00060B17"/>
    <w:pPr>
      <w:bidi/>
      <w:spacing w:after="100"/>
      <w:ind w:left="660"/>
    </w:pPr>
    <w:rPr>
      <w:rFonts w:eastAsiaTheme="minorEastAsia"/>
      <w:lang w:val="en-US"/>
    </w:rPr>
  </w:style>
  <w:style w:type="paragraph" w:styleId="TOC5">
    <w:name w:val="toc 5"/>
    <w:basedOn w:val="a"/>
    <w:next w:val="a"/>
    <w:autoRedefine/>
    <w:uiPriority w:val="39"/>
    <w:unhideWhenUsed/>
    <w:rsid w:val="00060B17"/>
    <w:pPr>
      <w:bidi/>
      <w:spacing w:after="100"/>
      <w:ind w:left="880"/>
    </w:pPr>
    <w:rPr>
      <w:rFonts w:eastAsiaTheme="minorEastAsia"/>
      <w:lang w:val="en-US"/>
    </w:rPr>
  </w:style>
  <w:style w:type="paragraph" w:styleId="TOC6">
    <w:name w:val="toc 6"/>
    <w:basedOn w:val="a"/>
    <w:next w:val="a"/>
    <w:autoRedefine/>
    <w:uiPriority w:val="39"/>
    <w:unhideWhenUsed/>
    <w:rsid w:val="00060B17"/>
    <w:pPr>
      <w:bidi/>
      <w:spacing w:after="100"/>
      <w:ind w:left="1100"/>
    </w:pPr>
    <w:rPr>
      <w:rFonts w:eastAsiaTheme="minorEastAsia"/>
      <w:lang w:val="en-US"/>
    </w:rPr>
  </w:style>
  <w:style w:type="paragraph" w:styleId="TOC7">
    <w:name w:val="toc 7"/>
    <w:basedOn w:val="a"/>
    <w:next w:val="a"/>
    <w:autoRedefine/>
    <w:uiPriority w:val="39"/>
    <w:unhideWhenUsed/>
    <w:rsid w:val="00060B17"/>
    <w:pPr>
      <w:bidi/>
      <w:spacing w:after="100"/>
      <w:ind w:left="1320"/>
    </w:pPr>
    <w:rPr>
      <w:rFonts w:eastAsiaTheme="minorEastAsia"/>
      <w:lang w:val="en-US"/>
    </w:rPr>
  </w:style>
  <w:style w:type="paragraph" w:styleId="TOC8">
    <w:name w:val="toc 8"/>
    <w:basedOn w:val="a"/>
    <w:next w:val="a"/>
    <w:autoRedefine/>
    <w:uiPriority w:val="39"/>
    <w:unhideWhenUsed/>
    <w:rsid w:val="00060B17"/>
    <w:pPr>
      <w:bidi/>
      <w:spacing w:after="100"/>
      <w:ind w:left="1540"/>
    </w:pPr>
    <w:rPr>
      <w:rFonts w:eastAsiaTheme="minorEastAsia"/>
      <w:lang w:val="en-US"/>
    </w:rPr>
  </w:style>
  <w:style w:type="paragraph" w:styleId="TOC9">
    <w:name w:val="toc 9"/>
    <w:basedOn w:val="a"/>
    <w:next w:val="a"/>
    <w:autoRedefine/>
    <w:uiPriority w:val="39"/>
    <w:unhideWhenUsed/>
    <w:rsid w:val="00060B17"/>
    <w:pPr>
      <w:bidi/>
      <w:spacing w:after="100"/>
      <w:ind w:left="1760"/>
    </w:pPr>
    <w:rPr>
      <w:rFonts w:eastAsiaTheme="minorEastAsia"/>
      <w:lang w:val="en-US"/>
    </w:rPr>
  </w:style>
  <w:style w:type="paragraph" w:customStyle="1" w:styleId="a0">
    <w:name w:val="כותרת"/>
    <w:basedOn w:val="a"/>
    <w:link w:val="ae"/>
    <w:rsid w:val="00295F65"/>
    <w:pPr>
      <w:shd w:val="clear" w:color="auto" w:fill="D9E2F3" w:themeFill="accent1" w:themeFillTint="33"/>
      <w:bidi/>
      <w:spacing w:after="0" w:line="276" w:lineRule="auto"/>
      <w:jc w:val="center"/>
    </w:pPr>
    <w:rPr>
      <w:rFonts w:ascii="Segoe UI" w:hAnsi="Segoe UI" w:cs="Segoe UI"/>
      <w:b/>
      <w:bCs/>
      <w:sz w:val="28"/>
      <w:szCs w:val="28"/>
      <w:lang w:val="en-ZW"/>
    </w:rPr>
  </w:style>
  <w:style w:type="character" w:customStyle="1" w:styleId="ae">
    <w:name w:val="כותרת תו"/>
    <w:basedOn w:val="a1"/>
    <w:link w:val="a0"/>
    <w:rsid w:val="00295F65"/>
    <w:rPr>
      <w:rFonts w:ascii="Segoe UI" w:hAnsi="Segoe UI" w:cs="Segoe UI"/>
      <w:b/>
      <w:bCs/>
      <w:sz w:val="28"/>
      <w:szCs w:val="28"/>
      <w:shd w:val="clear" w:color="auto" w:fill="D9E2F3" w:themeFill="accent1" w:themeFillTint="33"/>
      <w:lang w:val="en-ZW"/>
    </w:rPr>
  </w:style>
  <w:style w:type="table" w:styleId="af">
    <w:name w:val="Table Grid"/>
    <w:basedOn w:val="a2"/>
    <w:uiPriority w:val="39"/>
    <w:rsid w:val="000C2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next w:val="a"/>
    <w:link w:val="af1"/>
    <w:uiPriority w:val="10"/>
    <w:qFormat/>
    <w:rsid w:val="00431C6F"/>
    <w:pPr>
      <w:bidi/>
      <w:spacing w:after="0"/>
      <w:jc w:val="both"/>
    </w:pPr>
    <w:rPr>
      <w:rFonts w:ascii="Segoe UI" w:hAnsi="Segoe UI" w:cs="Segoe UI"/>
      <w:b/>
      <w:bCs/>
      <w:sz w:val="24"/>
      <w:szCs w:val="24"/>
      <w:u w:val="single"/>
      <w:lang w:val="en-ZW"/>
    </w:rPr>
  </w:style>
  <w:style w:type="character" w:customStyle="1" w:styleId="af1">
    <w:name w:val="כותרת טקסט תו"/>
    <w:basedOn w:val="a1"/>
    <w:link w:val="af0"/>
    <w:uiPriority w:val="10"/>
    <w:rsid w:val="00431C6F"/>
    <w:rPr>
      <w:rFonts w:ascii="Segoe UI" w:hAnsi="Segoe UI" w:cs="Segoe UI"/>
      <w:b/>
      <w:bCs/>
      <w:sz w:val="24"/>
      <w:szCs w:val="24"/>
      <w:u w:val="single"/>
      <w:lang w:val="en-ZW"/>
    </w:rPr>
  </w:style>
  <w:style w:type="paragraph" w:styleId="NormalWeb">
    <w:name w:val="Normal (Web)"/>
    <w:basedOn w:val="a"/>
    <w:uiPriority w:val="99"/>
    <w:semiHidden/>
    <w:unhideWhenUsed/>
    <w:rsid w:val="007005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er-2">
    <w:name w:val="header-2"/>
    <w:basedOn w:val="a"/>
    <w:rsid w:val="008426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10">
    <w:name w:val="כותרת 11"/>
    <w:basedOn w:val="a"/>
    <w:link w:val="111"/>
    <w:qFormat/>
    <w:rsid w:val="008D25B0"/>
    <w:pPr>
      <w:bidi/>
      <w:spacing w:after="0"/>
      <w:jc w:val="both"/>
    </w:pPr>
    <w:rPr>
      <w:rFonts w:ascii="Segoe UI" w:hAnsi="Segoe UI" w:cs="Segoe UI"/>
      <w:b/>
      <w:bCs/>
      <w:u w:val="single"/>
      <w:lang w:val="en-US"/>
    </w:rPr>
  </w:style>
  <w:style w:type="character" w:customStyle="1" w:styleId="111">
    <w:name w:val="כותרת 11 תו"/>
    <w:basedOn w:val="30"/>
    <w:link w:val="110"/>
    <w:rsid w:val="008D25B0"/>
    <w:rPr>
      <w:rFonts w:ascii="Segoe UI" w:hAnsi="Segoe UI" w:cs="Segoe UI"/>
      <w:b/>
      <w:bCs/>
      <w:u w:val="single"/>
      <w:lang w:val="en-US"/>
    </w:rPr>
  </w:style>
  <w:style w:type="paragraph" w:customStyle="1" w:styleId="a30">
    <w:name w:val="a3"/>
    <w:basedOn w:val="a"/>
    <w:rsid w:val="000243F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50">
    <w:name w:val="כותרת 5 תו"/>
    <w:basedOn w:val="a1"/>
    <w:link w:val="5"/>
    <w:uiPriority w:val="9"/>
    <w:semiHidden/>
    <w:rsid w:val="00487AC8"/>
    <w:rPr>
      <w:rFonts w:asciiTheme="majorHAnsi" w:eastAsiaTheme="majorEastAsia" w:hAnsiTheme="majorHAnsi" w:cstheme="majorBidi"/>
      <w:color w:val="2F5496" w:themeColor="accent1" w:themeShade="BF"/>
    </w:rPr>
  </w:style>
  <w:style w:type="character" w:customStyle="1" w:styleId="40">
    <w:name w:val="כותרת 4 תו"/>
    <w:basedOn w:val="a1"/>
    <w:link w:val="4"/>
    <w:uiPriority w:val="9"/>
    <w:semiHidden/>
    <w:rsid w:val="00D20D1C"/>
    <w:rPr>
      <w:rFonts w:asciiTheme="majorHAnsi" w:eastAsiaTheme="majorEastAsia" w:hAnsiTheme="majorHAnsi" w:cstheme="majorBidi"/>
      <w:i/>
      <w:iCs/>
      <w:color w:val="2F5496" w:themeColor="accent1" w:themeShade="BF"/>
    </w:rPr>
  </w:style>
  <w:style w:type="character" w:styleId="af2">
    <w:name w:val="Strong"/>
    <w:basedOn w:val="a1"/>
    <w:uiPriority w:val="22"/>
    <w:qFormat/>
    <w:rsid w:val="003710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6846">
      <w:bodyDiv w:val="1"/>
      <w:marLeft w:val="0"/>
      <w:marRight w:val="0"/>
      <w:marTop w:val="0"/>
      <w:marBottom w:val="0"/>
      <w:divBdr>
        <w:top w:val="none" w:sz="0" w:space="0" w:color="auto"/>
        <w:left w:val="none" w:sz="0" w:space="0" w:color="auto"/>
        <w:bottom w:val="none" w:sz="0" w:space="0" w:color="auto"/>
        <w:right w:val="none" w:sz="0" w:space="0" w:color="auto"/>
      </w:divBdr>
    </w:div>
    <w:div w:id="24719966">
      <w:bodyDiv w:val="1"/>
      <w:marLeft w:val="0"/>
      <w:marRight w:val="0"/>
      <w:marTop w:val="0"/>
      <w:marBottom w:val="0"/>
      <w:divBdr>
        <w:top w:val="none" w:sz="0" w:space="0" w:color="auto"/>
        <w:left w:val="none" w:sz="0" w:space="0" w:color="auto"/>
        <w:bottom w:val="none" w:sz="0" w:space="0" w:color="auto"/>
        <w:right w:val="none" w:sz="0" w:space="0" w:color="auto"/>
      </w:divBdr>
      <w:divsChild>
        <w:div w:id="1317805770">
          <w:marLeft w:val="0"/>
          <w:marRight w:val="446"/>
          <w:marTop w:val="86"/>
          <w:marBottom w:val="120"/>
          <w:divBdr>
            <w:top w:val="none" w:sz="0" w:space="0" w:color="auto"/>
            <w:left w:val="none" w:sz="0" w:space="0" w:color="auto"/>
            <w:bottom w:val="none" w:sz="0" w:space="0" w:color="auto"/>
            <w:right w:val="none" w:sz="0" w:space="0" w:color="auto"/>
          </w:divBdr>
        </w:div>
        <w:div w:id="302347132">
          <w:marLeft w:val="0"/>
          <w:marRight w:val="446"/>
          <w:marTop w:val="86"/>
          <w:marBottom w:val="120"/>
          <w:divBdr>
            <w:top w:val="none" w:sz="0" w:space="0" w:color="auto"/>
            <w:left w:val="none" w:sz="0" w:space="0" w:color="auto"/>
            <w:bottom w:val="none" w:sz="0" w:space="0" w:color="auto"/>
            <w:right w:val="none" w:sz="0" w:space="0" w:color="auto"/>
          </w:divBdr>
        </w:div>
        <w:div w:id="459613677">
          <w:marLeft w:val="0"/>
          <w:marRight w:val="446"/>
          <w:marTop w:val="86"/>
          <w:marBottom w:val="120"/>
          <w:divBdr>
            <w:top w:val="none" w:sz="0" w:space="0" w:color="auto"/>
            <w:left w:val="none" w:sz="0" w:space="0" w:color="auto"/>
            <w:bottom w:val="none" w:sz="0" w:space="0" w:color="auto"/>
            <w:right w:val="none" w:sz="0" w:space="0" w:color="auto"/>
          </w:divBdr>
        </w:div>
        <w:div w:id="485436081">
          <w:marLeft w:val="0"/>
          <w:marRight w:val="446"/>
          <w:marTop w:val="86"/>
          <w:marBottom w:val="120"/>
          <w:divBdr>
            <w:top w:val="none" w:sz="0" w:space="0" w:color="auto"/>
            <w:left w:val="none" w:sz="0" w:space="0" w:color="auto"/>
            <w:bottom w:val="none" w:sz="0" w:space="0" w:color="auto"/>
            <w:right w:val="none" w:sz="0" w:space="0" w:color="auto"/>
          </w:divBdr>
        </w:div>
        <w:div w:id="446193721">
          <w:marLeft w:val="0"/>
          <w:marRight w:val="446"/>
          <w:marTop w:val="72"/>
          <w:marBottom w:val="120"/>
          <w:divBdr>
            <w:top w:val="none" w:sz="0" w:space="0" w:color="auto"/>
            <w:left w:val="none" w:sz="0" w:space="0" w:color="auto"/>
            <w:bottom w:val="none" w:sz="0" w:space="0" w:color="auto"/>
            <w:right w:val="none" w:sz="0" w:space="0" w:color="auto"/>
          </w:divBdr>
        </w:div>
      </w:divsChild>
    </w:div>
    <w:div w:id="36049907">
      <w:bodyDiv w:val="1"/>
      <w:marLeft w:val="0"/>
      <w:marRight w:val="0"/>
      <w:marTop w:val="0"/>
      <w:marBottom w:val="0"/>
      <w:divBdr>
        <w:top w:val="none" w:sz="0" w:space="0" w:color="auto"/>
        <w:left w:val="none" w:sz="0" w:space="0" w:color="auto"/>
        <w:bottom w:val="none" w:sz="0" w:space="0" w:color="auto"/>
        <w:right w:val="none" w:sz="0" w:space="0" w:color="auto"/>
      </w:divBdr>
      <w:divsChild>
        <w:div w:id="340085794">
          <w:marLeft w:val="0"/>
          <w:marRight w:val="0"/>
          <w:marTop w:val="0"/>
          <w:marBottom w:val="0"/>
          <w:divBdr>
            <w:top w:val="none" w:sz="0" w:space="0" w:color="auto"/>
            <w:left w:val="none" w:sz="0" w:space="0" w:color="auto"/>
            <w:bottom w:val="none" w:sz="0" w:space="0" w:color="auto"/>
            <w:right w:val="none" w:sz="0" w:space="0" w:color="auto"/>
          </w:divBdr>
        </w:div>
        <w:div w:id="1355493952">
          <w:marLeft w:val="0"/>
          <w:marRight w:val="0"/>
          <w:marTop w:val="0"/>
          <w:marBottom w:val="0"/>
          <w:divBdr>
            <w:top w:val="none" w:sz="0" w:space="0" w:color="auto"/>
            <w:left w:val="none" w:sz="0" w:space="0" w:color="auto"/>
            <w:bottom w:val="none" w:sz="0" w:space="0" w:color="auto"/>
            <w:right w:val="none" w:sz="0" w:space="0" w:color="auto"/>
          </w:divBdr>
        </w:div>
        <w:div w:id="1499226806">
          <w:marLeft w:val="0"/>
          <w:marRight w:val="0"/>
          <w:marTop w:val="0"/>
          <w:marBottom w:val="0"/>
          <w:divBdr>
            <w:top w:val="none" w:sz="0" w:space="0" w:color="auto"/>
            <w:left w:val="none" w:sz="0" w:space="0" w:color="auto"/>
            <w:bottom w:val="none" w:sz="0" w:space="0" w:color="auto"/>
            <w:right w:val="none" w:sz="0" w:space="0" w:color="auto"/>
          </w:divBdr>
        </w:div>
      </w:divsChild>
    </w:div>
    <w:div w:id="47464578">
      <w:bodyDiv w:val="1"/>
      <w:marLeft w:val="0"/>
      <w:marRight w:val="0"/>
      <w:marTop w:val="0"/>
      <w:marBottom w:val="0"/>
      <w:divBdr>
        <w:top w:val="none" w:sz="0" w:space="0" w:color="auto"/>
        <w:left w:val="none" w:sz="0" w:space="0" w:color="auto"/>
        <w:bottom w:val="none" w:sz="0" w:space="0" w:color="auto"/>
        <w:right w:val="none" w:sz="0" w:space="0" w:color="auto"/>
      </w:divBdr>
    </w:div>
    <w:div w:id="49155398">
      <w:bodyDiv w:val="1"/>
      <w:marLeft w:val="0"/>
      <w:marRight w:val="0"/>
      <w:marTop w:val="0"/>
      <w:marBottom w:val="0"/>
      <w:divBdr>
        <w:top w:val="none" w:sz="0" w:space="0" w:color="auto"/>
        <w:left w:val="none" w:sz="0" w:space="0" w:color="auto"/>
        <w:bottom w:val="none" w:sz="0" w:space="0" w:color="auto"/>
        <w:right w:val="none" w:sz="0" w:space="0" w:color="auto"/>
      </w:divBdr>
    </w:div>
    <w:div w:id="57363729">
      <w:bodyDiv w:val="1"/>
      <w:marLeft w:val="0"/>
      <w:marRight w:val="0"/>
      <w:marTop w:val="0"/>
      <w:marBottom w:val="0"/>
      <w:divBdr>
        <w:top w:val="none" w:sz="0" w:space="0" w:color="auto"/>
        <w:left w:val="none" w:sz="0" w:space="0" w:color="auto"/>
        <w:bottom w:val="none" w:sz="0" w:space="0" w:color="auto"/>
        <w:right w:val="none" w:sz="0" w:space="0" w:color="auto"/>
      </w:divBdr>
    </w:div>
    <w:div w:id="57630520">
      <w:bodyDiv w:val="1"/>
      <w:marLeft w:val="0"/>
      <w:marRight w:val="0"/>
      <w:marTop w:val="0"/>
      <w:marBottom w:val="0"/>
      <w:divBdr>
        <w:top w:val="none" w:sz="0" w:space="0" w:color="auto"/>
        <w:left w:val="none" w:sz="0" w:space="0" w:color="auto"/>
        <w:bottom w:val="none" w:sz="0" w:space="0" w:color="auto"/>
        <w:right w:val="none" w:sz="0" w:space="0" w:color="auto"/>
      </w:divBdr>
    </w:div>
    <w:div w:id="63920408">
      <w:bodyDiv w:val="1"/>
      <w:marLeft w:val="0"/>
      <w:marRight w:val="0"/>
      <w:marTop w:val="0"/>
      <w:marBottom w:val="0"/>
      <w:divBdr>
        <w:top w:val="none" w:sz="0" w:space="0" w:color="auto"/>
        <w:left w:val="none" w:sz="0" w:space="0" w:color="auto"/>
        <w:bottom w:val="none" w:sz="0" w:space="0" w:color="auto"/>
        <w:right w:val="none" w:sz="0" w:space="0" w:color="auto"/>
      </w:divBdr>
    </w:div>
    <w:div w:id="64836803">
      <w:bodyDiv w:val="1"/>
      <w:marLeft w:val="0"/>
      <w:marRight w:val="0"/>
      <w:marTop w:val="0"/>
      <w:marBottom w:val="0"/>
      <w:divBdr>
        <w:top w:val="none" w:sz="0" w:space="0" w:color="auto"/>
        <w:left w:val="none" w:sz="0" w:space="0" w:color="auto"/>
        <w:bottom w:val="none" w:sz="0" w:space="0" w:color="auto"/>
        <w:right w:val="none" w:sz="0" w:space="0" w:color="auto"/>
      </w:divBdr>
    </w:div>
    <w:div w:id="150486654">
      <w:bodyDiv w:val="1"/>
      <w:marLeft w:val="0"/>
      <w:marRight w:val="0"/>
      <w:marTop w:val="0"/>
      <w:marBottom w:val="0"/>
      <w:divBdr>
        <w:top w:val="none" w:sz="0" w:space="0" w:color="auto"/>
        <w:left w:val="none" w:sz="0" w:space="0" w:color="auto"/>
        <w:bottom w:val="none" w:sz="0" w:space="0" w:color="auto"/>
        <w:right w:val="none" w:sz="0" w:space="0" w:color="auto"/>
      </w:divBdr>
    </w:div>
    <w:div w:id="150634292">
      <w:bodyDiv w:val="1"/>
      <w:marLeft w:val="0"/>
      <w:marRight w:val="0"/>
      <w:marTop w:val="0"/>
      <w:marBottom w:val="0"/>
      <w:divBdr>
        <w:top w:val="none" w:sz="0" w:space="0" w:color="auto"/>
        <w:left w:val="none" w:sz="0" w:space="0" w:color="auto"/>
        <w:bottom w:val="none" w:sz="0" w:space="0" w:color="auto"/>
        <w:right w:val="none" w:sz="0" w:space="0" w:color="auto"/>
      </w:divBdr>
    </w:div>
    <w:div w:id="150876092">
      <w:bodyDiv w:val="1"/>
      <w:marLeft w:val="0"/>
      <w:marRight w:val="0"/>
      <w:marTop w:val="0"/>
      <w:marBottom w:val="0"/>
      <w:divBdr>
        <w:top w:val="none" w:sz="0" w:space="0" w:color="auto"/>
        <w:left w:val="none" w:sz="0" w:space="0" w:color="auto"/>
        <w:bottom w:val="none" w:sz="0" w:space="0" w:color="auto"/>
        <w:right w:val="none" w:sz="0" w:space="0" w:color="auto"/>
      </w:divBdr>
    </w:div>
    <w:div w:id="154103356">
      <w:bodyDiv w:val="1"/>
      <w:marLeft w:val="0"/>
      <w:marRight w:val="0"/>
      <w:marTop w:val="0"/>
      <w:marBottom w:val="0"/>
      <w:divBdr>
        <w:top w:val="none" w:sz="0" w:space="0" w:color="auto"/>
        <w:left w:val="none" w:sz="0" w:space="0" w:color="auto"/>
        <w:bottom w:val="none" w:sz="0" w:space="0" w:color="auto"/>
        <w:right w:val="none" w:sz="0" w:space="0" w:color="auto"/>
      </w:divBdr>
      <w:divsChild>
        <w:div w:id="195583016">
          <w:marLeft w:val="0"/>
          <w:marRight w:val="446"/>
          <w:marTop w:val="125"/>
          <w:marBottom w:val="120"/>
          <w:divBdr>
            <w:top w:val="none" w:sz="0" w:space="0" w:color="auto"/>
            <w:left w:val="none" w:sz="0" w:space="0" w:color="auto"/>
            <w:bottom w:val="none" w:sz="0" w:space="0" w:color="auto"/>
            <w:right w:val="none" w:sz="0" w:space="0" w:color="auto"/>
          </w:divBdr>
        </w:div>
      </w:divsChild>
    </w:div>
    <w:div w:id="166360504">
      <w:bodyDiv w:val="1"/>
      <w:marLeft w:val="0"/>
      <w:marRight w:val="0"/>
      <w:marTop w:val="0"/>
      <w:marBottom w:val="0"/>
      <w:divBdr>
        <w:top w:val="none" w:sz="0" w:space="0" w:color="auto"/>
        <w:left w:val="none" w:sz="0" w:space="0" w:color="auto"/>
        <w:bottom w:val="none" w:sz="0" w:space="0" w:color="auto"/>
        <w:right w:val="none" w:sz="0" w:space="0" w:color="auto"/>
      </w:divBdr>
    </w:div>
    <w:div w:id="179393302">
      <w:bodyDiv w:val="1"/>
      <w:marLeft w:val="0"/>
      <w:marRight w:val="0"/>
      <w:marTop w:val="0"/>
      <w:marBottom w:val="0"/>
      <w:divBdr>
        <w:top w:val="none" w:sz="0" w:space="0" w:color="auto"/>
        <w:left w:val="none" w:sz="0" w:space="0" w:color="auto"/>
        <w:bottom w:val="none" w:sz="0" w:space="0" w:color="auto"/>
        <w:right w:val="none" w:sz="0" w:space="0" w:color="auto"/>
      </w:divBdr>
    </w:div>
    <w:div w:id="181745497">
      <w:bodyDiv w:val="1"/>
      <w:marLeft w:val="0"/>
      <w:marRight w:val="0"/>
      <w:marTop w:val="0"/>
      <w:marBottom w:val="0"/>
      <w:divBdr>
        <w:top w:val="none" w:sz="0" w:space="0" w:color="auto"/>
        <w:left w:val="none" w:sz="0" w:space="0" w:color="auto"/>
        <w:bottom w:val="none" w:sz="0" w:space="0" w:color="auto"/>
        <w:right w:val="none" w:sz="0" w:space="0" w:color="auto"/>
      </w:divBdr>
    </w:div>
    <w:div w:id="187184424">
      <w:bodyDiv w:val="1"/>
      <w:marLeft w:val="0"/>
      <w:marRight w:val="0"/>
      <w:marTop w:val="0"/>
      <w:marBottom w:val="0"/>
      <w:divBdr>
        <w:top w:val="none" w:sz="0" w:space="0" w:color="auto"/>
        <w:left w:val="none" w:sz="0" w:space="0" w:color="auto"/>
        <w:bottom w:val="none" w:sz="0" w:space="0" w:color="auto"/>
        <w:right w:val="none" w:sz="0" w:space="0" w:color="auto"/>
      </w:divBdr>
    </w:div>
    <w:div w:id="192613862">
      <w:bodyDiv w:val="1"/>
      <w:marLeft w:val="0"/>
      <w:marRight w:val="0"/>
      <w:marTop w:val="0"/>
      <w:marBottom w:val="0"/>
      <w:divBdr>
        <w:top w:val="none" w:sz="0" w:space="0" w:color="auto"/>
        <w:left w:val="none" w:sz="0" w:space="0" w:color="auto"/>
        <w:bottom w:val="none" w:sz="0" w:space="0" w:color="auto"/>
        <w:right w:val="none" w:sz="0" w:space="0" w:color="auto"/>
      </w:divBdr>
      <w:divsChild>
        <w:div w:id="1493832412">
          <w:marLeft w:val="0"/>
          <w:marRight w:val="446"/>
          <w:marTop w:val="82"/>
          <w:marBottom w:val="120"/>
          <w:divBdr>
            <w:top w:val="none" w:sz="0" w:space="0" w:color="auto"/>
            <w:left w:val="none" w:sz="0" w:space="0" w:color="auto"/>
            <w:bottom w:val="none" w:sz="0" w:space="0" w:color="auto"/>
            <w:right w:val="none" w:sz="0" w:space="0" w:color="auto"/>
          </w:divBdr>
        </w:div>
        <w:div w:id="2029137722">
          <w:marLeft w:val="0"/>
          <w:marRight w:val="446"/>
          <w:marTop w:val="82"/>
          <w:marBottom w:val="120"/>
          <w:divBdr>
            <w:top w:val="none" w:sz="0" w:space="0" w:color="auto"/>
            <w:left w:val="none" w:sz="0" w:space="0" w:color="auto"/>
            <w:bottom w:val="none" w:sz="0" w:space="0" w:color="auto"/>
            <w:right w:val="none" w:sz="0" w:space="0" w:color="auto"/>
          </w:divBdr>
        </w:div>
        <w:div w:id="2051102216">
          <w:marLeft w:val="0"/>
          <w:marRight w:val="446"/>
          <w:marTop w:val="82"/>
          <w:marBottom w:val="120"/>
          <w:divBdr>
            <w:top w:val="none" w:sz="0" w:space="0" w:color="auto"/>
            <w:left w:val="none" w:sz="0" w:space="0" w:color="auto"/>
            <w:bottom w:val="none" w:sz="0" w:space="0" w:color="auto"/>
            <w:right w:val="none" w:sz="0" w:space="0" w:color="auto"/>
          </w:divBdr>
        </w:div>
      </w:divsChild>
    </w:div>
    <w:div w:id="200292685">
      <w:bodyDiv w:val="1"/>
      <w:marLeft w:val="0"/>
      <w:marRight w:val="0"/>
      <w:marTop w:val="0"/>
      <w:marBottom w:val="0"/>
      <w:divBdr>
        <w:top w:val="none" w:sz="0" w:space="0" w:color="auto"/>
        <w:left w:val="none" w:sz="0" w:space="0" w:color="auto"/>
        <w:bottom w:val="none" w:sz="0" w:space="0" w:color="auto"/>
        <w:right w:val="none" w:sz="0" w:space="0" w:color="auto"/>
      </w:divBdr>
    </w:div>
    <w:div w:id="201478404">
      <w:bodyDiv w:val="1"/>
      <w:marLeft w:val="0"/>
      <w:marRight w:val="0"/>
      <w:marTop w:val="0"/>
      <w:marBottom w:val="0"/>
      <w:divBdr>
        <w:top w:val="none" w:sz="0" w:space="0" w:color="auto"/>
        <w:left w:val="none" w:sz="0" w:space="0" w:color="auto"/>
        <w:bottom w:val="none" w:sz="0" w:space="0" w:color="auto"/>
        <w:right w:val="none" w:sz="0" w:space="0" w:color="auto"/>
      </w:divBdr>
      <w:divsChild>
        <w:div w:id="1938172356">
          <w:marLeft w:val="0"/>
          <w:marRight w:val="446"/>
          <w:marTop w:val="106"/>
          <w:marBottom w:val="120"/>
          <w:divBdr>
            <w:top w:val="none" w:sz="0" w:space="0" w:color="auto"/>
            <w:left w:val="none" w:sz="0" w:space="0" w:color="auto"/>
            <w:bottom w:val="none" w:sz="0" w:space="0" w:color="auto"/>
            <w:right w:val="none" w:sz="0" w:space="0" w:color="auto"/>
          </w:divBdr>
        </w:div>
        <w:div w:id="34502498">
          <w:marLeft w:val="0"/>
          <w:marRight w:val="446"/>
          <w:marTop w:val="106"/>
          <w:marBottom w:val="120"/>
          <w:divBdr>
            <w:top w:val="none" w:sz="0" w:space="0" w:color="auto"/>
            <w:left w:val="none" w:sz="0" w:space="0" w:color="auto"/>
            <w:bottom w:val="none" w:sz="0" w:space="0" w:color="auto"/>
            <w:right w:val="none" w:sz="0" w:space="0" w:color="auto"/>
          </w:divBdr>
        </w:div>
        <w:div w:id="1378815478">
          <w:marLeft w:val="0"/>
          <w:marRight w:val="446"/>
          <w:marTop w:val="106"/>
          <w:marBottom w:val="120"/>
          <w:divBdr>
            <w:top w:val="none" w:sz="0" w:space="0" w:color="auto"/>
            <w:left w:val="none" w:sz="0" w:space="0" w:color="auto"/>
            <w:bottom w:val="none" w:sz="0" w:space="0" w:color="auto"/>
            <w:right w:val="none" w:sz="0" w:space="0" w:color="auto"/>
          </w:divBdr>
        </w:div>
        <w:div w:id="1668509731">
          <w:marLeft w:val="0"/>
          <w:marRight w:val="446"/>
          <w:marTop w:val="106"/>
          <w:marBottom w:val="120"/>
          <w:divBdr>
            <w:top w:val="none" w:sz="0" w:space="0" w:color="auto"/>
            <w:left w:val="none" w:sz="0" w:space="0" w:color="auto"/>
            <w:bottom w:val="none" w:sz="0" w:space="0" w:color="auto"/>
            <w:right w:val="none" w:sz="0" w:space="0" w:color="auto"/>
          </w:divBdr>
        </w:div>
      </w:divsChild>
    </w:div>
    <w:div w:id="202252522">
      <w:bodyDiv w:val="1"/>
      <w:marLeft w:val="0"/>
      <w:marRight w:val="0"/>
      <w:marTop w:val="0"/>
      <w:marBottom w:val="0"/>
      <w:divBdr>
        <w:top w:val="none" w:sz="0" w:space="0" w:color="auto"/>
        <w:left w:val="none" w:sz="0" w:space="0" w:color="auto"/>
        <w:bottom w:val="none" w:sz="0" w:space="0" w:color="auto"/>
        <w:right w:val="none" w:sz="0" w:space="0" w:color="auto"/>
      </w:divBdr>
      <w:divsChild>
        <w:div w:id="1519150171">
          <w:marLeft w:val="0"/>
          <w:marRight w:val="0"/>
          <w:marTop w:val="0"/>
          <w:marBottom w:val="0"/>
          <w:divBdr>
            <w:top w:val="none" w:sz="0" w:space="0" w:color="auto"/>
            <w:left w:val="none" w:sz="0" w:space="0" w:color="auto"/>
            <w:bottom w:val="none" w:sz="0" w:space="0" w:color="auto"/>
            <w:right w:val="none" w:sz="0" w:space="0" w:color="auto"/>
          </w:divBdr>
        </w:div>
      </w:divsChild>
    </w:div>
    <w:div w:id="204683236">
      <w:bodyDiv w:val="1"/>
      <w:marLeft w:val="0"/>
      <w:marRight w:val="0"/>
      <w:marTop w:val="0"/>
      <w:marBottom w:val="0"/>
      <w:divBdr>
        <w:top w:val="none" w:sz="0" w:space="0" w:color="auto"/>
        <w:left w:val="none" w:sz="0" w:space="0" w:color="auto"/>
        <w:bottom w:val="none" w:sz="0" w:space="0" w:color="auto"/>
        <w:right w:val="none" w:sz="0" w:space="0" w:color="auto"/>
      </w:divBdr>
    </w:div>
    <w:div w:id="212928222">
      <w:bodyDiv w:val="1"/>
      <w:marLeft w:val="0"/>
      <w:marRight w:val="0"/>
      <w:marTop w:val="0"/>
      <w:marBottom w:val="0"/>
      <w:divBdr>
        <w:top w:val="none" w:sz="0" w:space="0" w:color="auto"/>
        <w:left w:val="none" w:sz="0" w:space="0" w:color="auto"/>
        <w:bottom w:val="none" w:sz="0" w:space="0" w:color="auto"/>
        <w:right w:val="none" w:sz="0" w:space="0" w:color="auto"/>
      </w:divBdr>
      <w:divsChild>
        <w:div w:id="1900050958">
          <w:marLeft w:val="0"/>
          <w:marRight w:val="446"/>
          <w:marTop w:val="106"/>
          <w:marBottom w:val="120"/>
          <w:divBdr>
            <w:top w:val="none" w:sz="0" w:space="0" w:color="auto"/>
            <w:left w:val="none" w:sz="0" w:space="0" w:color="auto"/>
            <w:bottom w:val="none" w:sz="0" w:space="0" w:color="auto"/>
            <w:right w:val="none" w:sz="0" w:space="0" w:color="auto"/>
          </w:divBdr>
        </w:div>
      </w:divsChild>
    </w:div>
    <w:div w:id="214436723">
      <w:bodyDiv w:val="1"/>
      <w:marLeft w:val="0"/>
      <w:marRight w:val="0"/>
      <w:marTop w:val="0"/>
      <w:marBottom w:val="0"/>
      <w:divBdr>
        <w:top w:val="none" w:sz="0" w:space="0" w:color="auto"/>
        <w:left w:val="none" w:sz="0" w:space="0" w:color="auto"/>
        <w:bottom w:val="none" w:sz="0" w:space="0" w:color="auto"/>
        <w:right w:val="none" w:sz="0" w:space="0" w:color="auto"/>
      </w:divBdr>
    </w:div>
    <w:div w:id="225917247">
      <w:bodyDiv w:val="1"/>
      <w:marLeft w:val="0"/>
      <w:marRight w:val="0"/>
      <w:marTop w:val="0"/>
      <w:marBottom w:val="0"/>
      <w:divBdr>
        <w:top w:val="none" w:sz="0" w:space="0" w:color="auto"/>
        <w:left w:val="none" w:sz="0" w:space="0" w:color="auto"/>
        <w:bottom w:val="none" w:sz="0" w:space="0" w:color="auto"/>
        <w:right w:val="none" w:sz="0" w:space="0" w:color="auto"/>
      </w:divBdr>
      <w:divsChild>
        <w:div w:id="792284418">
          <w:marLeft w:val="0"/>
          <w:marRight w:val="446"/>
          <w:marTop w:val="62"/>
          <w:marBottom w:val="120"/>
          <w:divBdr>
            <w:top w:val="none" w:sz="0" w:space="0" w:color="auto"/>
            <w:left w:val="none" w:sz="0" w:space="0" w:color="auto"/>
            <w:bottom w:val="none" w:sz="0" w:space="0" w:color="auto"/>
            <w:right w:val="none" w:sz="0" w:space="0" w:color="auto"/>
          </w:divBdr>
        </w:div>
        <w:div w:id="496118818">
          <w:marLeft w:val="0"/>
          <w:marRight w:val="446"/>
          <w:marTop w:val="62"/>
          <w:marBottom w:val="120"/>
          <w:divBdr>
            <w:top w:val="none" w:sz="0" w:space="0" w:color="auto"/>
            <w:left w:val="none" w:sz="0" w:space="0" w:color="auto"/>
            <w:bottom w:val="none" w:sz="0" w:space="0" w:color="auto"/>
            <w:right w:val="none" w:sz="0" w:space="0" w:color="auto"/>
          </w:divBdr>
        </w:div>
        <w:div w:id="2100521128">
          <w:marLeft w:val="0"/>
          <w:marRight w:val="446"/>
          <w:marTop w:val="62"/>
          <w:marBottom w:val="120"/>
          <w:divBdr>
            <w:top w:val="none" w:sz="0" w:space="0" w:color="auto"/>
            <w:left w:val="none" w:sz="0" w:space="0" w:color="auto"/>
            <w:bottom w:val="none" w:sz="0" w:space="0" w:color="auto"/>
            <w:right w:val="none" w:sz="0" w:space="0" w:color="auto"/>
          </w:divBdr>
        </w:div>
        <w:div w:id="779179236">
          <w:marLeft w:val="0"/>
          <w:marRight w:val="446"/>
          <w:marTop w:val="62"/>
          <w:marBottom w:val="120"/>
          <w:divBdr>
            <w:top w:val="none" w:sz="0" w:space="0" w:color="auto"/>
            <w:left w:val="none" w:sz="0" w:space="0" w:color="auto"/>
            <w:bottom w:val="none" w:sz="0" w:space="0" w:color="auto"/>
            <w:right w:val="none" w:sz="0" w:space="0" w:color="auto"/>
          </w:divBdr>
        </w:div>
        <w:div w:id="374014578">
          <w:marLeft w:val="0"/>
          <w:marRight w:val="446"/>
          <w:marTop w:val="62"/>
          <w:marBottom w:val="120"/>
          <w:divBdr>
            <w:top w:val="none" w:sz="0" w:space="0" w:color="auto"/>
            <w:left w:val="none" w:sz="0" w:space="0" w:color="auto"/>
            <w:bottom w:val="none" w:sz="0" w:space="0" w:color="auto"/>
            <w:right w:val="none" w:sz="0" w:space="0" w:color="auto"/>
          </w:divBdr>
        </w:div>
        <w:div w:id="455413278">
          <w:marLeft w:val="0"/>
          <w:marRight w:val="446"/>
          <w:marTop w:val="62"/>
          <w:marBottom w:val="120"/>
          <w:divBdr>
            <w:top w:val="none" w:sz="0" w:space="0" w:color="auto"/>
            <w:left w:val="none" w:sz="0" w:space="0" w:color="auto"/>
            <w:bottom w:val="none" w:sz="0" w:space="0" w:color="auto"/>
            <w:right w:val="none" w:sz="0" w:space="0" w:color="auto"/>
          </w:divBdr>
        </w:div>
        <w:div w:id="545024228">
          <w:marLeft w:val="0"/>
          <w:marRight w:val="446"/>
          <w:marTop w:val="62"/>
          <w:marBottom w:val="120"/>
          <w:divBdr>
            <w:top w:val="none" w:sz="0" w:space="0" w:color="auto"/>
            <w:left w:val="none" w:sz="0" w:space="0" w:color="auto"/>
            <w:bottom w:val="none" w:sz="0" w:space="0" w:color="auto"/>
            <w:right w:val="none" w:sz="0" w:space="0" w:color="auto"/>
          </w:divBdr>
        </w:div>
        <w:div w:id="2052683247">
          <w:marLeft w:val="0"/>
          <w:marRight w:val="446"/>
          <w:marTop w:val="62"/>
          <w:marBottom w:val="120"/>
          <w:divBdr>
            <w:top w:val="none" w:sz="0" w:space="0" w:color="auto"/>
            <w:left w:val="none" w:sz="0" w:space="0" w:color="auto"/>
            <w:bottom w:val="none" w:sz="0" w:space="0" w:color="auto"/>
            <w:right w:val="none" w:sz="0" w:space="0" w:color="auto"/>
          </w:divBdr>
        </w:div>
      </w:divsChild>
    </w:div>
    <w:div w:id="232863025">
      <w:bodyDiv w:val="1"/>
      <w:marLeft w:val="0"/>
      <w:marRight w:val="0"/>
      <w:marTop w:val="0"/>
      <w:marBottom w:val="0"/>
      <w:divBdr>
        <w:top w:val="none" w:sz="0" w:space="0" w:color="auto"/>
        <w:left w:val="none" w:sz="0" w:space="0" w:color="auto"/>
        <w:bottom w:val="none" w:sz="0" w:space="0" w:color="auto"/>
        <w:right w:val="none" w:sz="0" w:space="0" w:color="auto"/>
      </w:divBdr>
    </w:div>
    <w:div w:id="236592878">
      <w:bodyDiv w:val="1"/>
      <w:marLeft w:val="0"/>
      <w:marRight w:val="0"/>
      <w:marTop w:val="0"/>
      <w:marBottom w:val="0"/>
      <w:divBdr>
        <w:top w:val="none" w:sz="0" w:space="0" w:color="auto"/>
        <w:left w:val="none" w:sz="0" w:space="0" w:color="auto"/>
        <w:bottom w:val="none" w:sz="0" w:space="0" w:color="auto"/>
        <w:right w:val="none" w:sz="0" w:space="0" w:color="auto"/>
      </w:divBdr>
    </w:div>
    <w:div w:id="240915225">
      <w:bodyDiv w:val="1"/>
      <w:marLeft w:val="0"/>
      <w:marRight w:val="0"/>
      <w:marTop w:val="0"/>
      <w:marBottom w:val="0"/>
      <w:divBdr>
        <w:top w:val="none" w:sz="0" w:space="0" w:color="auto"/>
        <w:left w:val="none" w:sz="0" w:space="0" w:color="auto"/>
        <w:bottom w:val="none" w:sz="0" w:space="0" w:color="auto"/>
        <w:right w:val="none" w:sz="0" w:space="0" w:color="auto"/>
      </w:divBdr>
    </w:div>
    <w:div w:id="242882045">
      <w:bodyDiv w:val="1"/>
      <w:marLeft w:val="0"/>
      <w:marRight w:val="0"/>
      <w:marTop w:val="0"/>
      <w:marBottom w:val="0"/>
      <w:divBdr>
        <w:top w:val="none" w:sz="0" w:space="0" w:color="auto"/>
        <w:left w:val="none" w:sz="0" w:space="0" w:color="auto"/>
        <w:bottom w:val="none" w:sz="0" w:space="0" w:color="auto"/>
        <w:right w:val="none" w:sz="0" w:space="0" w:color="auto"/>
      </w:divBdr>
    </w:div>
    <w:div w:id="250282085">
      <w:bodyDiv w:val="1"/>
      <w:marLeft w:val="0"/>
      <w:marRight w:val="0"/>
      <w:marTop w:val="0"/>
      <w:marBottom w:val="0"/>
      <w:divBdr>
        <w:top w:val="none" w:sz="0" w:space="0" w:color="auto"/>
        <w:left w:val="none" w:sz="0" w:space="0" w:color="auto"/>
        <w:bottom w:val="none" w:sz="0" w:space="0" w:color="auto"/>
        <w:right w:val="none" w:sz="0" w:space="0" w:color="auto"/>
      </w:divBdr>
    </w:div>
    <w:div w:id="260797848">
      <w:bodyDiv w:val="1"/>
      <w:marLeft w:val="0"/>
      <w:marRight w:val="0"/>
      <w:marTop w:val="0"/>
      <w:marBottom w:val="0"/>
      <w:divBdr>
        <w:top w:val="none" w:sz="0" w:space="0" w:color="auto"/>
        <w:left w:val="none" w:sz="0" w:space="0" w:color="auto"/>
        <w:bottom w:val="none" w:sz="0" w:space="0" w:color="auto"/>
        <w:right w:val="none" w:sz="0" w:space="0" w:color="auto"/>
      </w:divBdr>
    </w:div>
    <w:div w:id="268391253">
      <w:bodyDiv w:val="1"/>
      <w:marLeft w:val="0"/>
      <w:marRight w:val="0"/>
      <w:marTop w:val="0"/>
      <w:marBottom w:val="0"/>
      <w:divBdr>
        <w:top w:val="none" w:sz="0" w:space="0" w:color="auto"/>
        <w:left w:val="none" w:sz="0" w:space="0" w:color="auto"/>
        <w:bottom w:val="none" w:sz="0" w:space="0" w:color="auto"/>
        <w:right w:val="none" w:sz="0" w:space="0" w:color="auto"/>
      </w:divBdr>
      <w:divsChild>
        <w:div w:id="1865903748">
          <w:marLeft w:val="0"/>
          <w:marRight w:val="0"/>
          <w:marTop w:val="0"/>
          <w:marBottom w:val="0"/>
          <w:divBdr>
            <w:top w:val="none" w:sz="0" w:space="0" w:color="auto"/>
            <w:left w:val="none" w:sz="0" w:space="0" w:color="auto"/>
            <w:bottom w:val="none" w:sz="0" w:space="0" w:color="auto"/>
            <w:right w:val="none" w:sz="0" w:space="0" w:color="auto"/>
          </w:divBdr>
        </w:div>
        <w:div w:id="1764186441">
          <w:marLeft w:val="0"/>
          <w:marRight w:val="0"/>
          <w:marTop w:val="0"/>
          <w:marBottom w:val="0"/>
          <w:divBdr>
            <w:top w:val="none" w:sz="0" w:space="0" w:color="auto"/>
            <w:left w:val="none" w:sz="0" w:space="0" w:color="auto"/>
            <w:bottom w:val="none" w:sz="0" w:space="0" w:color="auto"/>
            <w:right w:val="none" w:sz="0" w:space="0" w:color="auto"/>
          </w:divBdr>
        </w:div>
        <w:div w:id="1730230236">
          <w:marLeft w:val="0"/>
          <w:marRight w:val="0"/>
          <w:marTop w:val="0"/>
          <w:marBottom w:val="0"/>
          <w:divBdr>
            <w:top w:val="none" w:sz="0" w:space="0" w:color="auto"/>
            <w:left w:val="none" w:sz="0" w:space="0" w:color="auto"/>
            <w:bottom w:val="none" w:sz="0" w:space="0" w:color="auto"/>
            <w:right w:val="none" w:sz="0" w:space="0" w:color="auto"/>
          </w:divBdr>
        </w:div>
        <w:div w:id="22294515">
          <w:marLeft w:val="0"/>
          <w:marRight w:val="0"/>
          <w:marTop w:val="0"/>
          <w:marBottom w:val="0"/>
          <w:divBdr>
            <w:top w:val="none" w:sz="0" w:space="0" w:color="auto"/>
            <w:left w:val="none" w:sz="0" w:space="0" w:color="auto"/>
            <w:bottom w:val="none" w:sz="0" w:space="0" w:color="auto"/>
            <w:right w:val="none" w:sz="0" w:space="0" w:color="auto"/>
          </w:divBdr>
        </w:div>
      </w:divsChild>
    </w:div>
    <w:div w:id="279579639">
      <w:bodyDiv w:val="1"/>
      <w:marLeft w:val="0"/>
      <w:marRight w:val="0"/>
      <w:marTop w:val="0"/>
      <w:marBottom w:val="0"/>
      <w:divBdr>
        <w:top w:val="none" w:sz="0" w:space="0" w:color="auto"/>
        <w:left w:val="none" w:sz="0" w:space="0" w:color="auto"/>
        <w:bottom w:val="none" w:sz="0" w:space="0" w:color="auto"/>
        <w:right w:val="none" w:sz="0" w:space="0" w:color="auto"/>
      </w:divBdr>
      <w:divsChild>
        <w:div w:id="193545921">
          <w:marLeft w:val="0"/>
          <w:marRight w:val="446"/>
          <w:marTop w:val="106"/>
          <w:marBottom w:val="120"/>
          <w:divBdr>
            <w:top w:val="none" w:sz="0" w:space="0" w:color="auto"/>
            <w:left w:val="none" w:sz="0" w:space="0" w:color="auto"/>
            <w:bottom w:val="none" w:sz="0" w:space="0" w:color="auto"/>
            <w:right w:val="none" w:sz="0" w:space="0" w:color="auto"/>
          </w:divBdr>
        </w:div>
        <w:div w:id="1561013961">
          <w:marLeft w:val="0"/>
          <w:marRight w:val="446"/>
          <w:marTop w:val="106"/>
          <w:marBottom w:val="120"/>
          <w:divBdr>
            <w:top w:val="none" w:sz="0" w:space="0" w:color="auto"/>
            <w:left w:val="none" w:sz="0" w:space="0" w:color="auto"/>
            <w:bottom w:val="none" w:sz="0" w:space="0" w:color="auto"/>
            <w:right w:val="none" w:sz="0" w:space="0" w:color="auto"/>
          </w:divBdr>
        </w:div>
        <w:div w:id="1973554634">
          <w:marLeft w:val="0"/>
          <w:marRight w:val="446"/>
          <w:marTop w:val="106"/>
          <w:marBottom w:val="120"/>
          <w:divBdr>
            <w:top w:val="none" w:sz="0" w:space="0" w:color="auto"/>
            <w:left w:val="none" w:sz="0" w:space="0" w:color="auto"/>
            <w:bottom w:val="none" w:sz="0" w:space="0" w:color="auto"/>
            <w:right w:val="none" w:sz="0" w:space="0" w:color="auto"/>
          </w:divBdr>
        </w:div>
        <w:div w:id="145903635">
          <w:marLeft w:val="0"/>
          <w:marRight w:val="446"/>
          <w:marTop w:val="106"/>
          <w:marBottom w:val="120"/>
          <w:divBdr>
            <w:top w:val="none" w:sz="0" w:space="0" w:color="auto"/>
            <w:left w:val="none" w:sz="0" w:space="0" w:color="auto"/>
            <w:bottom w:val="none" w:sz="0" w:space="0" w:color="auto"/>
            <w:right w:val="none" w:sz="0" w:space="0" w:color="auto"/>
          </w:divBdr>
        </w:div>
      </w:divsChild>
    </w:div>
    <w:div w:id="282225802">
      <w:bodyDiv w:val="1"/>
      <w:marLeft w:val="0"/>
      <w:marRight w:val="0"/>
      <w:marTop w:val="0"/>
      <w:marBottom w:val="0"/>
      <w:divBdr>
        <w:top w:val="none" w:sz="0" w:space="0" w:color="auto"/>
        <w:left w:val="none" w:sz="0" w:space="0" w:color="auto"/>
        <w:bottom w:val="none" w:sz="0" w:space="0" w:color="auto"/>
        <w:right w:val="none" w:sz="0" w:space="0" w:color="auto"/>
      </w:divBdr>
      <w:divsChild>
        <w:div w:id="1996451813">
          <w:marLeft w:val="0"/>
          <w:marRight w:val="446"/>
          <w:marTop w:val="62"/>
          <w:marBottom w:val="120"/>
          <w:divBdr>
            <w:top w:val="none" w:sz="0" w:space="0" w:color="auto"/>
            <w:left w:val="none" w:sz="0" w:space="0" w:color="auto"/>
            <w:bottom w:val="none" w:sz="0" w:space="0" w:color="auto"/>
            <w:right w:val="none" w:sz="0" w:space="0" w:color="auto"/>
          </w:divBdr>
        </w:div>
        <w:div w:id="1920673982">
          <w:marLeft w:val="0"/>
          <w:marRight w:val="446"/>
          <w:marTop w:val="62"/>
          <w:marBottom w:val="120"/>
          <w:divBdr>
            <w:top w:val="none" w:sz="0" w:space="0" w:color="auto"/>
            <w:left w:val="none" w:sz="0" w:space="0" w:color="auto"/>
            <w:bottom w:val="none" w:sz="0" w:space="0" w:color="auto"/>
            <w:right w:val="none" w:sz="0" w:space="0" w:color="auto"/>
          </w:divBdr>
        </w:div>
        <w:div w:id="358360602">
          <w:marLeft w:val="0"/>
          <w:marRight w:val="446"/>
          <w:marTop w:val="62"/>
          <w:marBottom w:val="120"/>
          <w:divBdr>
            <w:top w:val="none" w:sz="0" w:space="0" w:color="auto"/>
            <w:left w:val="none" w:sz="0" w:space="0" w:color="auto"/>
            <w:bottom w:val="none" w:sz="0" w:space="0" w:color="auto"/>
            <w:right w:val="none" w:sz="0" w:space="0" w:color="auto"/>
          </w:divBdr>
        </w:div>
        <w:div w:id="2101023794">
          <w:marLeft w:val="0"/>
          <w:marRight w:val="446"/>
          <w:marTop w:val="62"/>
          <w:marBottom w:val="120"/>
          <w:divBdr>
            <w:top w:val="none" w:sz="0" w:space="0" w:color="auto"/>
            <w:left w:val="none" w:sz="0" w:space="0" w:color="auto"/>
            <w:bottom w:val="none" w:sz="0" w:space="0" w:color="auto"/>
            <w:right w:val="none" w:sz="0" w:space="0" w:color="auto"/>
          </w:divBdr>
        </w:div>
        <w:div w:id="2025479021">
          <w:marLeft w:val="0"/>
          <w:marRight w:val="446"/>
          <w:marTop w:val="62"/>
          <w:marBottom w:val="120"/>
          <w:divBdr>
            <w:top w:val="none" w:sz="0" w:space="0" w:color="auto"/>
            <w:left w:val="none" w:sz="0" w:space="0" w:color="auto"/>
            <w:bottom w:val="none" w:sz="0" w:space="0" w:color="auto"/>
            <w:right w:val="none" w:sz="0" w:space="0" w:color="auto"/>
          </w:divBdr>
        </w:div>
      </w:divsChild>
    </w:div>
    <w:div w:id="301353987">
      <w:bodyDiv w:val="1"/>
      <w:marLeft w:val="0"/>
      <w:marRight w:val="0"/>
      <w:marTop w:val="0"/>
      <w:marBottom w:val="0"/>
      <w:divBdr>
        <w:top w:val="none" w:sz="0" w:space="0" w:color="auto"/>
        <w:left w:val="none" w:sz="0" w:space="0" w:color="auto"/>
        <w:bottom w:val="none" w:sz="0" w:space="0" w:color="auto"/>
        <w:right w:val="none" w:sz="0" w:space="0" w:color="auto"/>
      </w:divBdr>
      <w:divsChild>
        <w:div w:id="1974170376">
          <w:marLeft w:val="0"/>
          <w:marRight w:val="446"/>
          <w:marTop w:val="86"/>
          <w:marBottom w:val="120"/>
          <w:divBdr>
            <w:top w:val="none" w:sz="0" w:space="0" w:color="auto"/>
            <w:left w:val="none" w:sz="0" w:space="0" w:color="auto"/>
            <w:bottom w:val="none" w:sz="0" w:space="0" w:color="auto"/>
            <w:right w:val="none" w:sz="0" w:space="0" w:color="auto"/>
          </w:divBdr>
        </w:div>
        <w:div w:id="570654301">
          <w:marLeft w:val="0"/>
          <w:marRight w:val="446"/>
          <w:marTop w:val="86"/>
          <w:marBottom w:val="120"/>
          <w:divBdr>
            <w:top w:val="none" w:sz="0" w:space="0" w:color="auto"/>
            <w:left w:val="none" w:sz="0" w:space="0" w:color="auto"/>
            <w:bottom w:val="none" w:sz="0" w:space="0" w:color="auto"/>
            <w:right w:val="none" w:sz="0" w:space="0" w:color="auto"/>
          </w:divBdr>
        </w:div>
        <w:div w:id="929045821">
          <w:marLeft w:val="0"/>
          <w:marRight w:val="446"/>
          <w:marTop w:val="86"/>
          <w:marBottom w:val="120"/>
          <w:divBdr>
            <w:top w:val="none" w:sz="0" w:space="0" w:color="auto"/>
            <w:left w:val="none" w:sz="0" w:space="0" w:color="auto"/>
            <w:bottom w:val="none" w:sz="0" w:space="0" w:color="auto"/>
            <w:right w:val="none" w:sz="0" w:space="0" w:color="auto"/>
          </w:divBdr>
        </w:div>
        <w:div w:id="851382635">
          <w:marLeft w:val="0"/>
          <w:marRight w:val="446"/>
          <w:marTop w:val="86"/>
          <w:marBottom w:val="120"/>
          <w:divBdr>
            <w:top w:val="none" w:sz="0" w:space="0" w:color="auto"/>
            <w:left w:val="none" w:sz="0" w:space="0" w:color="auto"/>
            <w:bottom w:val="none" w:sz="0" w:space="0" w:color="auto"/>
            <w:right w:val="none" w:sz="0" w:space="0" w:color="auto"/>
          </w:divBdr>
        </w:div>
        <w:div w:id="1901749435">
          <w:marLeft w:val="0"/>
          <w:marRight w:val="446"/>
          <w:marTop w:val="72"/>
          <w:marBottom w:val="120"/>
          <w:divBdr>
            <w:top w:val="none" w:sz="0" w:space="0" w:color="auto"/>
            <w:left w:val="none" w:sz="0" w:space="0" w:color="auto"/>
            <w:bottom w:val="none" w:sz="0" w:space="0" w:color="auto"/>
            <w:right w:val="none" w:sz="0" w:space="0" w:color="auto"/>
          </w:divBdr>
        </w:div>
      </w:divsChild>
    </w:div>
    <w:div w:id="303703350">
      <w:bodyDiv w:val="1"/>
      <w:marLeft w:val="0"/>
      <w:marRight w:val="0"/>
      <w:marTop w:val="0"/>
      <w:marBottom w:val="0"/>
      <w:divBdr>
        <w:top w:val="none" w:sz="0" w:space="0" w:color="auto"/>
        <w:left w:val="none" w:sz="0" w:space="0" w:color="auto"/>
        <w:bottom w:val="none" w:sz="0" w:space="0" w:color="auto"/>
        <w:right w:val="none" w:sz="0" w:space="0" w:color="auto"/>
      </w:divBdr>
      <w:divsChild>
        <w:div w:id="1166508006">
          <w:marLeft w:val="0"/>
          <w:marRight w:val="446"/>
          <w:marTop w:val="115"/>
          <w:marBottom w:val="120"/>
          <w:divBdr>
            <w:top w:val="none" w:sz="0" w:space="0" w:color="auto"/>
            <w:left w:val="none" w:sz="0" w:space="0" w:color="auto"/>
            <w:bottom w:val="none" w:sz="0" w:space="0" w:color="auto"/>
            <w:right w:val="none" w:sz="0" w:space="0" w:color="auto"/>
          </w:divBdr>
        </w:div>
        <w:div w:id="636761177">
          <w:marLeft w:val="0"/>
          <w:marRight w:val="446"/>
          <w:marTop w:val="115"/>
          <w:marBottom w:val="120"/>
          <w:divBdr>
            <w:top w:val="none" w:sz="0" w:space="0" w:color="auto"/>
            <w:left w:val="none" w:sz="0" w:space="0" w:color="auto"/>
            <w:bottom w:val="none" w:sz="0" w:space="0" w:color="auto"/>
            <w:right w:val="none" w:sz="0" w:space="0" w:color="auto"/>
          </w:divBdr>
        </w:div>
        <w:div w:id="1676808400">
          <w:marLeft w:val="0"/>
          <w:marRight w:val="446"/>
          <w:marTop w:val="115"/>
          <w:marBottom w:val="120"/>
          <w:divBdr>
            <w:top w:val="none" w:sz="0" w:space="0" w:color="auto"/>
            <w:left w:val="none" w:sz="0" w:space="0" w:color="auto"/>
            <w:bottom w:val="none" w:sz="0" w:space="0" w:color="auto"/>
            <w:right w:val="none" w:sz="0" w:space="0" w:color="auto"/>
          </w:divBdr>
        </w:div>
      </w:divsChild>
    </w:div>
    <w:div w:id="308752868">
      <w:bodyDiv w:val="1"/>
      <w:marLeft w:val="0"/>
      <w:marRight w:val="0"/>
      <w:marTop w:val="0"/>
      <w:marBottom w:val="0"/>
      <w:divBdr>
        <w:top w:val="none" w:sz="0" w:space="0" w:color="auto"/>
        <w:left w:val="none" w:sz="0" w:space="0" w:color="auto"/>
        <w:bottom w:val="none" w:sz="0" w:space="0" w:color="auto"/>
        <w:right w:val="none" w:sz="0" w:space="0" w:color="auto"/>
      </w:divBdr>
    </w:div>
    <w:div w:id="314993201">
      <w:bodyDiv w:val="1"/>
      <w:marLeft w:val="0"/>
      <w:marRight w:val="0"/>
      <w:marTop w:val="0"/>
      <w:marBottom w:val="0"/>
      <w:divBdr>
        <w:top w:val="none" w:sz="0" w:space="0" w:color="auto"/>
        <w:left w:val="none" w:sz="0" w:space="0" w:color="auto"/>
        <w:bottom w:val="none" w:sz="0" w:space="0" w:color="auto"/>
        <w:right w:val="none" w:sz="0" w:space="0" w:color="auto"/>
      </w:divBdr>
      <w:divsChild>
        <w:div w:id="391317528">
          <w:marLeft w:val="0"/>
          <w:marRight w:val="0"/>
          <w:marTop w:val="0"/>
          <w:marBottom w:val="0"/>
          <w:divBdr>
            <w:top w:val="none" w:sz="0" w:space="0" w:color="auto"/>
            <w:left w:val="none" w:sz="0" w:space="0" w:color="auto"/>
            <w:bottom w:val="none" w:sz="0" w:space="0" w:color="auto"/>
            <w:right w:val="none" w:sz="0" w:space="0" w:color="auto"/>
          </w:divBdr>
        </w:div>
      </w:divsChild>
    </w:div>
    <w:div w:id="319040348">
      <w:bodyDiv w:val="1"/>
      <w:marLeft w:val="0"/>
      <w:marRight w:val="0"/>
      <w:marTop w:val="0"/>
      <w:marBottom w:val="0"/>
      <w:divBdr>
        <w:top w:val="none" w:sz="0" w:space="0" w:color="auto"/>
        <w:left w:val="none" w:sz="0" w:space="0" w:color="auto"/>
        <w:bottom w:val="none" w:sz="0" w:space="0" w:color="auto"/>
        <w:right w:val="none" w:sz="0" w:space="0" w:color="auto"/>
      </w:divBdr>
      <w:divsChild>
        <w:div w:id="303896024">
          <w:marLeft w:val="1138"/>
          <w:marRight w:val="0"/>
          <w:marTop w:val="72"/>
          <w:marBottom w:val="120"/>
          <w:divBdr>
            <w:top w:val="none" w:sz="0" w:space="0" w:color="auto"/>
            <w:left w:val="none" w:sz="0" w:space="0" w:color="auto"/>
            <w:bottom w:val="none" w:sz="0" w:space="0" w:color="auto"/>
            <w:right w:val="none" w:sz="0" w:space="0" w:color="auto"/>
          </w:divBdr>
        </w:div>
        <w:div w:id="1200050893">
          <w:marLeft w:val="1138"/>
          <w:marRight w:val="619"/>
          <w:marTop w:val="72"/>
          <w:marBottom w:val="120"/>
          <w:divBdr>
            <w:top w:val="none" w:sz="0" w:space="0" w:color="auto"/>
            <w:left w:val="none" w:sz="0" w:space="0" w:color="auto"/>
            <w:bottom w:val="none" w:sz="0" w:space="0" w:color="auto"/>
            <w:right w:val="none" w:sz="0" w:space="0" w:color="auto"/>
          </w:divBdr>
        </w:div>
        <w:div w:id="827941574">
          <w:marLeft w:val="1138"/>
          <w:marRight w:val="1022"/>
          <w:marTop w:val="72"/>
          <w:marBottom w:val="120"/>
          <w:divBdr>
            <w:top w:val="none" w:sz="0" w:space="0" w:color="auto"/>
            <w:left w:val="none" w:sz="0" w:space="0" w:color="auto"/>
            <w:bottom w:val="none" w:sz="0" w:space="0" w:color="auto"/>
            <w:right w:val="none" w:sz="0" w:space="0" w:color="auto"/>
          </w:divBdr>
        </w:div>
        <w:div w:id="434710738">
          <w:marLeft w:val="1138"/>
          <w:marRight w:val="1022"/>
          <w:marTop w:val="72"/>
          <w:marBottom w:val="120"/>
          <w:divBdr>
            <w:top w:val="none" w:sz="0" w:space="0" w:color="auto"/>
            <w:left w:val="none" w:sz="0" w:space="0" w:color="auto"/>
            <w:bottom w:val="none" w:sz="0" w:space="0" w:color="auto"/>
            <w:right w:val="none" w:sz="0" w:space="0" w:color="auto"/>
          </w:divBdr>
        </w:div>
      </w:divsChild>
    </w:div>
    <w:div w:id="335153516">
      <w:bodyDiv w:val="1"/>
      <w:marLeft w:val="0"/>
      <w:marRight w:val="0"/>
      <w:marTop w:val="0"/>
      <w:marBottom w:val="0"/>
      <w:divBdr>
        <w:top w:val="none" w:sz="0" w:space="0" w:color="auto"/>
        <w:left w:val="none" w:sz="0" w:space="0" w:color="auto"/>
        <w:bottom w:val="none" w:sz="0" w:space="0" w:color="auto"/>
        <w:right w:val="none" w:sz="0" w:space="0" w:color="auto"/>
      </w:divBdr>
    </w:div>
    <w:div w:id="335427762">
      <w:bodyDiv w:val="1"/>
      <w:marLeft w:val="0"/>
      <w:marRight w:val="0"/>
      <w:marTop w:val="0"/>
      <w:marBottom w:val="0"/>
      <w:divBdr>
        <w:top w:val="none" w:sz="0" w:space="0" w:color="auto"/>
        <w:left w:val="none" w:sz="0" w:space="0" w:color="auto"/>
        <w:bottom w:val="none" w:sz="0" w:space="0" w:color="auto"/>
        <w:right w:val="none" w:sz="0" w:space="0" w:color="auto"/>
      </w:divBdr>
      <w:divsChild>
        <w:div w:id="640765244">
          <w:marLeft w:val="0"/>
          <w:marRight w:val="0"/>
          <w:marTop w:val="0"/>
          <w:marBottom w:val="0"/>
          <w:divBdr>
            <w:top w:val="none" w:sz="0" w:space="0" w:color="auto"/>
            <w:left w:val="none" w:sz="0" w:space="0" w:color="auto"/>
            <w:bottom w:val="none" w:sz="0" w:space="0" w:color="auto"/>
            <w:right w:val="none" w:sz="0" w:space="0" w:color="auto"/>
          </w:divBdr>
        </w:div>
        <w:div w:id="580406706">
          <w:marLeft w:val="0"/>
          <w:marRight w:val="0"/>
          <w:marTop w:val="0"/>
          <w:marBottom w:val="0"/>
          <w:divBdr>
            <w:top w:val="none" w:sz="0" w:space="0" w:color="auto"/>
            <w:left w:val="none" w:sz="0" w:space="0" w:color="auto"/>
            <w:bottom w:val="none" w:sz="0" w:space="0" w:color="auto"/>
            <w:right w:val="none" w:sz="0" w:space="0" w:color="auto"/>
          </w:divBdr>
        </w:div>
        <w:div w:id="1157696547">
          <w:marLeft w:val="0"/>
          <w:marRight w:val="0"/>
          <w:marTop w:val="0"/>
          <w:marBottom w:val="0"/>
          <w:divBdr>
            <w:top w:val="none" w:sz="0" w:space="0" w:color="auto"/>
            <w:left w:val="none" w:sz="0" w:space="0" w:color="auto"/>
            <w:bottom w:val="none" w:sz="0" w:space="0" w:color="auto"/>
            <w:right w:val="none" w:sz="0" w:space="0" w:color="auto"/>
          </w:divBdr>
        </w:div>
        <w:div w:id="418135879">
          <w:marLeft w:val="0"/>
          <w:marRight w:val="0"/>
          <w:marTop w:val="0"/>
          <w:marBottom w:val="0"/>
          <w:divBdr>
            <w:top w:val="none" w:sz="0" w:space="0" w:color="auto"/>
            <w:left w:val="none" w:sz="0" w:space="0" w:color="auto"/>
            <w:bottom w:val="none" w:sz="0" w:space="0" w:color="auto"/>
            <w:right w:val="none" w:sz="0" w:space="0" w:color="auto"/>
          </w:divBdr>
        </w:div>
        <w:div w:id="461773250">
          <w:marLeft w:val="0"/>
          <w:marRight w:val="0"/>
          <w:marTop w:val="0"/>
          <w:marBottom w:val="0"/>
          <w:divBdr>
            <w:top w:val="none" w:sz="0" w:space="0" w:color="auto"/>
            <w:left w:val="none" w:sz="0" w:space="0" w:color="auto"/>
            <w:bottom w:val="none" w:sz="0" w:space="0" w:color="auto"/>
            <w:right w:val="none" w:sz="0" w:space="0" w:color="auto"/>
          </w:divBdr>
        </w:div>
        <w:div w:id="1072578126">
          <w:marLeft w:val="0"/>
          <w:marRight w:val="0"/>
          <w:marTop w:val="0"/>
          <w:marBottom w:val="0"/>
          <w:divBdr>
            <w:top w:val="none" w:sz="0" w:space="0" w:color="auto"/>
            <w:left w:val="none" w:sz="0" w:space="0" w:color="auto"/>
            <w:bottom w:val="none" w:sz="0" w:space="0" w:color="auto"/>
            <w:right w:val="none" w:sz="0" w:space="0" w:color="auto"/>
          </w:divBdr>
        </w:div>
        <w:div w:id="1393888373">
          <w:marLeft w:val="0"/>
          <w:marRight w:val="0"/>
          <w:marTop w:val="0"/>
          <w:marBottom w:val="0"/>
          <w:divBdr>
            <w:top w:val="none" w:sz="0" w:space="0" w:color="auto"/>
            <w:left w:val="none" w:sz="0" w:space="0" w:color="auto"/>
            <w:bottom w:val="none" w:sz="0" w:space="0" w:color="auto"/>
            <w:right w:val="none" w:sz="0" w:space="0" w:color="auto"/>
          </w:divBdr>
        </w:div>
        <w:div w:id="1658146021">
          <w:marLeft w:val="0"/>
          <w:marRight w:val="0"/>
          <w:marTop w:val="0"/>
          <w:marBottom w:val="0"/>
          <w:divBdr>
            <w:top w:val="none" w:sz="0" w:space="0" w:color="auto"/>
            <w:left w:val="none" w:sz="0" w:space="0" w:color="auto"/>
            <w:bottom w:val="none" w:sz="0" w:space="0" w:color="auto"/>
            <w:right w:val="none" w:sz="0" w:space="0" w:color="auto"/>
          </w:divBdr>
        </w:div>
        <w:div w:id="125977462">
          <w:marLeft w:val="0"/>
          <w:marRight w:val="0"/>
          <w:marTop w:val="0"/>
          <w:marBottom w:val="0"/>
          <w:divBdr>
            <w:top w:val="none" w:sz="0" w:space="0" w:color="auto"/>
            <w:left w:val="none" w:sz="0" w:space="0" w:color="auto"/>
            <w:bottom w:val="none" w:sz="0" w:space="0" w:color="auto"/>
            <w:right w:val="none" w:sz="0" w:space="0" w:color="auto"/>
          </w:divBdr>
        </w:div>
        <w:div w:id="833492251">
          <w:marLeft w:val="0"/>
          <w:marRight w:val="0"/>
          <w:marTop w:val="0"/>
          <w:marBottom w:val="0"/>
          <w:divBdr>
            <w:top w:val="none" w:sz="0" w:space="0" w:color="auto"/>
            <w:left w:val="none" w:sz="0" w:space="0" w:color="auto"/>
            <w:bottom w:val="none" w:sz="0" w:space="0" w:color="auto"/>
            <w:right w:val="none" w:sz="0" w:space="0" w:color="auto"/>
          </w:divBdr>
        </w:div>
        <w:div w:id="1095639265">
          <w:marLeft w:val="0"/>
          <w:marRight w:val="0"/>
          <w:marTop w:val="0"/>
          <w:marBottom w:val="0"/>
          <w:divBdr>
            <w:top w:val="none" w:sz="0" w:space="0" w:color="auto"/>
            <w:left w:val="none" w:sz="0" w:space="0" w:color="auto"/>
            <w:bottom w:val="none" w:sz="0" w:space="0" w:color="auto"/>
            <w:right w:val="none" w:sz="0" w:space="0" w:color="auto"/>
          </w:divBdr>
        </w:div>
        <w:div w:id="1711106440">
          <w:marLeft w:val="0"/>
          <w:marRight w:val="0"/>
          <w:marTop w:val="0"/>
          <w:marBottom w:val="0"/>
          <w:divBdr>
            <w:top w:val="none" w:sz="0" w:space="0" w:color="auto"/>
            <w:left w:val="none" w:sz="0" w:space="0" w:color="auto"/>
            <w:bottom w:val="none" w:sz="0" w:space="0" w:color="auto"/>
            <w:right w:val="none" w:sz="0" w:space="0" w:color="auto"/>
          </w:divBdr>
        </w:div>
        <w:div w:id="885802742">
          <w:marLeft w:val="0"/>
          <w:marRight w:val="0"/>
          <w:marTop w:val="0"/>
          <w:marBottom w:val="0"/>
          <w:divBdr>
            <w:top w:val="none" w:sz="0" w:space="0" w:color="auto"/>
            <w:left w:val="none" w:sz="0" w:space="0" w:color="auto"/>
            <w:bottom w:val="none" w:sz="0" w:space="0" w:color="auto"/>
            <w:right w:val="none" w:sz="0" w:space="0" w:color="auto"/>
          </w:divBdr>
        </w:div>
        <w:div w:id="1502352259">
          <w:marLeft w:val="0"/>
          <w:marRight w:val="0"/>
          <w:marTop w:val="0"/>
          <w:marBottom w:val="0"/>
          <w:divBdr>
            <w:top w:val="none" w:sz="0" w:space="0" w:color="auto"/>
            <w:left w:val="none" w:sz="0" w:space="0" w:color="auto"/>
            <w:bottom w:val="none" w:sz="0" w:space="0" w:color="auto"/>
            <w:right w:val="none" w:sz="0" w:space="0" w:color="auto"/>
          </w:divBdr>
        </w:div>
        <w:div w:id="318467349">
          <w:marLeft w:val="0"/>
          <w:marRight w:val="0"/>
          <w:marTop w:val="0"/>
          <w:marBottom w:val="0"/>
          <w:divBdr>
            <w:top w:val="none" w:sz="0" w:space="0" w:color="auto"/>
            <w:left w:val="none" w:sz="0" w:space="0" w:color="auto"/>
            <w:bottom w:val="none" w:sz="0" w:space="0" w:color="auto"/>
            <w:right w:val="none" w:sz="0" w:space="0" w:color="auto"/>
          </w:divBdr>
        </w:div>
        <w:div w:id="1781366527">
          <w:marLeft w:val="0"/>
          <w:marRight w:val="0"/>
          <w:marTop w:val="0"/>
          <w:marBottom w:val="0"/>
          <w:divBdr>
            <w:top w:val="none" w:sz="0" w:space="0" w:color="auto"/>
            <w:left w:val="none" w:sz="0" w:space="0" w:color="auto"/>
            <w:bottom w:val="none" w:sz="0" w:space="0" w:color="auto"/>
            <w:right w:val="none" w:sz="0" w:space="0" w:color="auto"/>
          </w:divBdr>
        </w:div>
        <w:div w:id="563838793">
          <w:marLeft w:val="0"/>
          <w:marRight w:val="0"/>
          <w:marTop w:val="0"/>
          <w:marBottom w:val="0"/>
          <w:divBdr>
            <w:top w:val="none" w:sz="0" w:space="0" w:color="auto"/>
            <w:left w:val="none" w:sz="0" w:space="0" w:color="auto"/>
            <w:bottom w:val="none" w:sz="0" w:space="0" w:color="auto"/>
            <w:right w:val="none" w:sz="0" w:space="0" w:color="auto"/>
          </w:divBdr>
        </w:div>
        <w:div w:id="1370179897">
          <w:marLeft w:val="0"/>
          <w:marRight w:val="0"/>
          <w:marTop w:val="0"/>
          <w:marBottom w:val="0"/>
          <w:divBdr>
            <w:top w:val="none" w:sz="0" w:space="0" w:color="auto"/>
            <w:left w:val="none" w:sz="0" w:space="0" w:color="auto"/>
            <w:bottom w:val="none" w:sz="0" w:space="0" w:color="auto"/>
            <w:right w:val="none" w:sz="0" w:space="0" w:color="auto"/>
          </w:divBdr>
        </w:div>
        <w:div w:id="835457814">
          <w:marLeft w:val="0"/>
          <w:marRight w:val="0"/>
          <w:marTop w:val="0"/>
          <w:marBottom w:val="0"/>
          <w:divBdr>
            <w:top w:val="none" w:sz="0" w:space="0" w:color="auto"/>
            <w:left w:val="none" w:sz="0" w:space="0" w:color="auto"/>
            <w:bottom w:val="none" w:sz="0" w:space="0" w:color="auto"/>
            <w:right w:val="none" w:sz="0" w:space="0" w:color="auto"/>
          </w:divBdr>
        </w:div>
        <w:div w:id="1227493864">
          <w:marLeft w:val="0"/>
          <w:marRight w:val="0"/>
          <w:marTop w:val="0"/>
          <w:marBottom w:val="0"/>
          <w:divBdr>
            <w:top w:val="none" w:sz="0" w:space="0" w:color="auto"/>
            <w:left w:val="none" w:sz="0" w:space="0" w:color="auto"/>
            <w:bottom w:val="none" w:sz="0" w:space="0" w:color="auto"/>
            <w:right w:val="none" w:sz="0" w:space="0" w:color="auto"/>
          </w:divBdr>
        </w:div>
        <w:div w:id="219440959">
          <w:marLeft w:val="0"/>
          <w:marRight w:val="0"/>
          <w:marTop w:val="0"/>
          <w:marBottom w:val="0"/>
          <w:divBdr>
            <w:top w:val="none" w:sz="0" w:space="0" w:color="auto"/>
            <w:left w:val="none" w:sz="0" w:space="0" w:color="auto"/>
            <w:bottom w:val="none" w:sz="0" w:space="0" w:color="auto"/>
            <w:right w:val="none" w:sz="0" w:space="0" w:color="auto"/>
          </w:divBdr>
        </w:div>
        <w:div w:id="2108694200">
          <w:marLeft w:val="0"/>
          <w:marRight w:val="0"/>
          <w:marTop w:val="0"/>
          <w:marBottom w:val="0"/>
          <w:divBdr>
            <w:top w:val="none" w:sz="0" w:space="0" w:color="auto"/>
            <w:left w:val="none" w:sz="0" w:space="0" w:color="auto"/>
            <w:bottom w:val="none" w:sz="0" w:space="0" w:color="auto"/>
            <w:right w:val="none" w:sz="0" w:space="0" w:color="auto"/>
          </w:divBdr>
        </w:div>
        <w:div w:id="2047216223">
          <w:marLeft w:val="0"/>
          <w:marRight w:val="0"/>
          <w:marTop w:val="0"/>
          <w:marBottom w:val="0"/>
          <w:divBdr>
            <w:top w:val="none" w:sz="0" w:space="0" w:color="auto"/>
            <w:left w:val="none" w:sz="0" w:space="0" w:color="auto"/>
            <w:bottom w:val="none" w:sz="0" w:space="0" w:color="auto"/>
            <w:right w:val="none" w:sz="0" w:space="0" w:color="auto"/>
          </w:divBdr>
        </w:div>
        <w:div w:id="1974409537">
          <w:marLeft w:val="0"/>
          <w:marRight w:val="0"/>
          <w:marTop w:val="0"/>
          <w:marBottom w:val="0"/>
          <w:divBdr>
            <w:top w:val="none" w:sz="0" w:space="0" w:color="auto"/>
            <w:left w:val="none" w:sz="0" w:space="0" w:color="auto"/>
            <w:bottom w:val="none" w:sz="0" w:space="0" w:color="auto"/>
            <w:right w:val="none" w:sz="0" w:space="0" w:color="auto"/>
          </w:divBdr>
        </w:div>
        <w:div w:id="1507475601">
          <w:marLeft w:val="0"/>
          <w:marRight w:val="0"/>
          <w:marTop w:val="0"/>
          <w:marBottom w:val="0"/>
          <w:divBdr>
            <w:top w:val="none" w:sz="0" w:space="0" w:color="auto"/>
            <w:left w:val="none" w:sz="0" w:space="0" w:color="auto"/>
            <w:bottom w:val="none" w:sz="0" w:space="0" w:color="auto"/>
            <w:right w:val="none" w:sz="0" w:space="0" w:color="auto"/>
          </w:divBdr>
        </w:div>
        <w:div w:id="159925847">
          <w:marLeft w:val="0"/>
          <w:marRight w:val="0"/>
          <w:marTop w:val="0"/>
          <w:marBottom w:val="0"/>
          <w:divBdr>
            <w:top w:val="none" w:sz="0" w:space="0" w:color="auto"/>
            <w:left w:val="none" w:sz="0" w:space="0" w:color="auto"/>
            <w:bottom w:val="none" w:sz="0" w:space="0" w:color="auto"/>
            <w:right w:val="none" w:sz="0" w:space="0" w:color="auto"/>
          </w:divBdr>
        </w:div>
        <w:div w:id="442072122">
          <w:marLeft w:val="0"/>
          <w:marRight w:val="0"/>
          <w:marTop w:val="0"/>
          <w:marBottom w:val="0"/>
          <w:divBdr>
            <w:top w:val="none" w:sz="0" w:space="0" w:color="auto"/>
            <w:left w:val="none" w:sz="0" w:space="0" w:color="auto"/>
            <w:bottom w:val="none" w:sz="0" w:space="0" w:color="auto"/>
            <w:right w:val="none" w:sz="0" w:space="0" w:color="auto"/>
          </w:divBdr>
        </w:div>
        <w:div w:id="1485077795">
          <w:marLeft w:val="0"/>
          <w:marRight w:val="0"/>
          <w:marTop w:val="0"/>
          <w:marBottom w:val="0"/>
          <w:divBdr>
            <w:top w:val="none" w:sz="0" w:space="0" w:color="auto"/>
            <w:left w:val="none" w:sz="0" w:space="0" w:color="auto"/>
            <w:bottom w:val="none" w:sz="0" w:space="0" w:color="auto"/>
            <w:right w:val="none" w:sz="0" w:space="0" w:color="auto"/>
          </w:divBdr>
        </w:div>
        <w:div w:id="1443111537">
          <w:marLeft w:val="0"/>
          <w:marRight w:val="0"/>
          <w:marTop w:val="0"/>
          <w:marBottom w:val="0"/>
          <w:divBdr>
            <w:top w:val="none" w:sz="0" w:space="0" w:color="auto"/>
            <w:left w:val="none" w:sz="0" w:space="0" w:color="auto"/>
            <w:bottom w:val="none" w:sz="0" w:space="0" w:color="auto"/>
            <w:right w:val="none" w:sz="0" w:space="0" w:color="auto"/>
          </w:divBdr>
        </w:div>
        <w:div w:id="1438864703">
          <w:marLeft w:val="0"/>
          <w:marRight w:val="0"/>
          <w:marTop w:val="0"/>
          <w:marBottom w:val="0"/>
          <w:divBdr>
            <w:top w:val="none" w:sz="0" w:space="0" w:color="auto"/>
            <w:left w:val="none" w:sz="0" w:space="0" w:color="auto"/>
            <w:bottom w:val="none" w:sz="0" w:space="0" w:color="auto"/>
            <w:right w:val="none" w:sz="0" w:space="0" w:color="auto"/>
          </w:divBdr>
        </w:div>
        <w:div w:id="1770346614">
          <w:marLeft w:val="0"/>
          <w:marRight w:val="0"/>
          <w:marTop w:val="0"/>
          <w:marBottom w:val="0"/>
          <w:divBdr>
            <w:top w:val="none" w:sz="0" w:space="0" w:color="auto"/>
            <w:left w:val="none" w:sz="0" w:space="0" w:color="auto"/>
            <w:bottom w:val="none" w:sz="0" w:space="0" w:color="auto"/>
            <w:right w:val="none" w:sz="0" w:space="0" w:color="auto"/>
          </w:divBdr>
        </w:div>
        <w:div w:id="1324625857">
          <w:marLeft w:val="0"/>
          <w:marRight w:val="0"/>
          <w:marTop w:val="0"/>
          <w:marBottom w:val="0"/>
          <w:divBdr>
            <w:top w:val="none" w:sz="0" w:space="0" w:color="auto"/>
            <w:left w:val="none" w:sz="0" w:space="0" w:color="auto"/>
            <w:bottom w:val="none" w:sz="0" w:space="0" w:color="auto"/>
            <w:right w:val="none" w:sz="0" w:space="0" w:color="auto"/>
          </w:divBdr>
        </w:div>
        <w:div w:id="451215490">
          <w:marLeft w:val="0"/>
          <w:marRight w:val="0"/>
          <w:marTop w:val="0"/>
          <w:marBottom w:val="0"/>
          <w:divBdr>
            <w:top w:val="none" w:sz="0" w:space="0" w:color="auto"/>
            <w:left w:val="none" w:sz="0" w:space="0" w:color="auto"/>
            <w:bottom w:val="none" w:sz="0" w:space="0" w:color="auto"/>
            <w:right w:val="none" w:sz="0" w:space="0" w:color="auto"/>
          </w:divBdr>
        </w:div>
        <w:div w:id="1996762223">
          <w:marLeft w:val="0"/>
          <w:marRight w:val="0"/>
          <w:marTop w:val="0"/>
          <w:marBottom w:val="0"/>
          <w:divBdr>
            <w:top w:val="none" w:sz="0" w:space="0" w:color="auto"/>
            <w:left w:val="none" w:sz="0" w:space="0" w:color="auto"/>
            <w:bottom w:val="none" w:sz="0" w:space="0" w:color="auto"/>
            <w:right w:val="none" w:sz="0" w:space="0" w:color="auto"/>
          </w:divBdr>
        </w:div>
        <w:div w:id="729039104">
          <w:marLeft w:val="0"/>
          <w:marRight w:val="0"/>
          <w:marTop w:val="0"/>
          <w:marBottom w:val="0"/>
          <w:divBdr>
            <w:top w:val="none" w:sz="0" w:space="0" w:color="auto"/>
            <w:left w:val="none" w:sz="0" w:space="0" w:color="auto"/>
            <w:bottom w:val="none" w:sz="0" w:space="0" w:color="auto"/>
            <w:right w:val="none" w:sz="0" w:space="0" w:color="auto"/>
          </w:divBdr>
        </w:div>
        <w:div w:id="1200364017">
          <w:marLeft w:val="0"/>
          <w:marRight w:val="0"/>
          <w:marTop w:val="0"/>
          <w:marBottom w:val="0"/>
          <w:divBdr>
            <w:top w:val="none" w:sz="0" w:space="0" w:color="auto"/>
            <w:left w:val="none" w:sz="0" w:space="0" w:color="auto"/>
            <w:bottom w:val="none" w:sz="0" w:space="0" w:color="auto"/>
            <w:right w:val="none" w:sz="0" w:space="0" w:color="auto"/>
          </w:divBdr>
        </w:div>
        <w:div w:id="1156186254">
          <w:marLeft w:val="0"/>
          <w:marRight w:val="0"/>
          <w:marTop w:val="0"/>
          <w:marBottom w:val="0"/>
          <w:divBdr>
            <w:top w:val="none" w:sz="0" w:space="0" w:color="auto"/>
            <w:left w:val="none" w:sz="0" w:space="0" w:color="auto"/>
            <w:bottom w:val="none" w:sz="0" w:space="0" w:color="auto"/>
            <w:right w:val="none" w:sz="0" w:space="0" w:color="auto"/>
          </w:divBdr>
        </w:div>
        <w:div w:id="1181436322">
          <w:marLeft w:val="0"/>
          <w:marRight w:val="0"/>
          <w:marTop w:val="0"/>
          <w:marBottom w:val="0"/>
          <w:divBdr>
            <w:top w:val="none" w:sz="0" w:space="0" w:color="auto"/>
            <w:left w:val="none" w:sz="0" w:space="0" w:color="auto"/>
            <w:bottom w:val="none" w:sz="0" w:space="0" w:color="auto"/>
            <w:right w:val="none" w:sz="0" w:space="0" w:color="auto"/>
          </w:divBdr>
        </w:div>
        <w:div w:id="1691954342">
          <w:marLeft w:val="0"/>
          <w:marRight w:val="0"/>
          <w:marTop w:val="0"/>
          <w:marBottom w:val="0"/>
          <w:divBdr>
            <w:top w:val="none" w:sz="0" w:space="0" w:color="auto"/>
            <w:left w:val="none" w:sz="0" w:space="0" w:color="auto"/>
            <w:bottom w:val="none" w:sz="0" w:space="0" w:color="auto"/>
            <w:right w:val="none" w:sz="0" w:space="0" w:color="auto"/>
          </w:divBdr>
        </w:div>
        <w:div w:id="1878472221">
          <w:marLeft w:val="0"/>
          <w:marRight w:val="0"/>
          <w:marTop w:val="0"/>
          <w:marBottom w:val="0"/>
          <w:divBdr>
            <w:top w:val="none" w:sz="0" w:space="0" w:color="auto"/>
            <w:left w:val="none" w:sz="0" w:space="0" w:color="auto"/>
            <w:bottom w:val="none" w:sz="0" w:space="0" w:color="auto"/>
            <w:right w:val="none" w:sz="0" w:space="0" w:color="auto"/>
          </w:divBdr>
        </w:div>
        <w:div w:id="131993521">
          <w:marLeft w:val="0"/>
          <w:marRight w:val="0"/>
          <w:marTop w:val="0"/>
          <w:marBottom w:val="0"/>
          <w:divBdr>
            <w:top w:val="none" w:sz="0" w:space="0" w:color="auto"/>
            <w:left w:val="none" w:sz="0" w:space="0" w:color="auto"/>
            <w:bottom w:val="none" w:sz="0" w:space="0" w:color="auto"/>
            <w:right w:val="none" w:sz="0" w:space="0" w:color="auto"/>
          </w:divBdr>
        </w:div>
        <w:div w:id="3554060">
          <w:marLeft w:val="0"/>
          <w:marRight w:val="0"/>
          <w:marTop w:val="0"/>
          <w:marBottom w:val="0"/>
          <w:divBdr>
            <w:top w:val="none" w:sz="0" w:space="0" w:color="auto"/>
            <w:left w:val="none" w:sz="0" w:space="0" w:color="auto"/>
            <w:bottom w:val="none" w:sz="0" w:space="0" w:color="auto"/>
            <w:right w:val="none" w:sz="0" w:space="0" w:color="auto"/>
          </w:divBdr>
        </w:div>
        <w:div w:id="1107192502">
          <w:marLeft w:val="0"/>
          <w:marRight w:val="0"/>
          <w:marTop w:val="0"/>
          <w:marBottom w:val="0"/>
          <w:divBdr>
            <w:top w:val="none" w:sz="0" w:space="0" w:color="auto"/>
            <w:left w:val="none" w:sz="0" w:space="0" w:color="auto"/>
            <w:bottom w:val="none" w:sz="0" w:space="0" w:color="auto"/>
            <w:right w:val="none" w:sz="0" w:space="0" w:color="auto"/>
          </w:divBdr>
        </w:div>
        <w:div w:id="2081638913">
          <w:marLeft w:val="0"/>
          <w:marRight w:val="0"/>
          <w:marTop w:val="0"/>
          <w:marBottom w:val="0"/>
          <w:divBdr>
            <w:top w:val="none" w:sz="0" w:space="0" w:color="auto"/>
            <w:left w:val="none" w:sz="0" w:space="0" w:color="auto"/>
            <w:bottom w:val="none" w:sz="0" w:space="0" w:color="auto"/>
            <w:right w:val="none" w:sz="0" w:space="0" w:color="auto"/>
          </w:divBdr>
        </w:div>
        <w:div w:id="488055567">
          <w:marLeft w:val="0"/>
          <w:marRight w:val="0"/>
          <w:marTop w:val="0"/>
          <w:marBottom w:val="0"/>
          <w:divBdr>
            <w:top w:val="none" w:sz="0" w:space="0" w:color="auto"/>
            <w:left w:val="none" w:sz="0" w:space="0" w:color="auto"/>
            <w:bottom w:val="none" w:sz="0" w:space="0" w:color="auto"/>
            <w:right w:val="none" w:sz="0" w:space="0" w:color="auto"/>
          </w:divBdr>
        </w:div>
        <w:div w:id="2074235644">
          <w:marLeft w:val="0"/>
          <w:marRight w:val="0"/>
          <w:marTop w:val="0"/>
          <w:marBottom w:val="0"/>
          <w:divBdr>
            <w:top w:val="none" w:sz="0" w:space="0" w:color="auto"/>
            <w:left w:val="none" w:sz="0" w:space="0" w:color="auto"/>
            <w:bottom w:val="none" w:sz="0" w:space="0" w:color="auto"/>
            <w:right w:val="none" w:sz="0" w:space="0" w:color="auto"/>
          </w:divBdr>
        </w:div>
        <w:div w:id="1010261084">
          <w:marLeft w:val="0"/>
          <w:marRight w:val="0"/>
          <w:marTop w:val="0"/>
          <w:marBottom w:val="0"/>
          <w:divBdr>
            <w:top w:val="none" w:sz="0" w:space="0" w:color="auto"/>
            <w:left w:val="none" w:sz="0" w:space="0" w:color="auto"/>
            <w:bottom w:val="none" w:sz="0" w:space="0" w:color="auto"/>
            <w:right w:val="none" w:sz="0" w:space="0" w:color="auto"/>
          </w:divBdr>
        </w:div>
        <w:div w:id="1784498499">
          <w:marLeft w:val="0"/>
          <w:marRight w:val="0"/>
          <w:marTop w:val="0"/>
          <w:marBottom w:val="0"/>
          <w:divBdr>
            <w:top w:val="none" w:sz="0" w:space="0" w:color="auto"/>
            <w:left w:val="none" w:sz="0" w:space="0" w:color="auto"/>
            <w:bottom w:val="none" w:sz="0" w:space="0" w:color="auto"/>
            <w:right w:val="none" w:sz="0" w:space="0" w:color="auto"/>
          </w:divBdr>
        </w:div>
        <w:div w:id="870337526">
          <w:marLeft w:val="0"/>
          <w:marRight w:val="0"/>
          <w:marTop w:val="0"/>
          <w:marBottom w:val="0"/>
          <w:divBdr>
            <w:top w:val="none" w:sz="0" w:space="0" w:color="auto"/>
            <w:left w:val="none" w:sz="0" w:space="0" w:color="auto"/>
            <w:bottom w:val="none" w:sz="0" w:space="0" w:color="auto"/>
            <w:right w:val="none" w:sz="0" w:space="0" w:color="auto"/>
          </w:divBdr>
        </w:div>
        <w:div w:id="796141558">
          <w:marLeft w:val="0"/>
          <w:marRight w:val="0"/>
          <w:marTop w:val="0"/>
          <w:marBottom w:val="0"/>
          <w:divBdr>
            <w:top w:val="none" w:sz="0" w:space="0" w:color="auto"/>
            <w:left w:val="none" w:sz="0" w:space="0" w:color="auto"/>
            <w:bottom w:val="none" w:sz="0" w:space="0" w:color="auto"/>
            <w:right w:val="none" w:sz="0" w:space="0" w:color="auto"/>
          </w:divBdr>
        </w:div>
      </w:divsChild>
    </w:div>
    <w:div w:id="338194003">
      <w:bodyDiv w:val="1"/>
      <w:marLeft w:val="0"/>
      <w:marRight w:val="0"/>
      <w:marTop w:val="0"/>
      <w:marBottom w:val="0"/>
      <w:divBdr>
        <w:top w:val="none" w:sz="0" w:space="0" w:color="auto"/>
        <w:left w:val="none" w:sz="0" w:space="0" w:color="auto"/>
        <w:bottom w:val="none" w:sz="0" w:space="0" w:color="auto"/>
        <w:right w:val="none" w:sz="0" w:space="0" w:color="auto"/>
      </w:divBdr>
      <w:divsChild>
        <w:div w:id="1307972172">
          <w:marLeft w:val="0"/>
          <w:marRight w:val="446"/>
          <w:marTop w:val="115"/>
          <w:marBottom w:val="120"/>
          <w:divBdr>
            <w:top w:val="none" w:sz="0" w:space="0" w:color="auto"/>
            <w:left w:val="none" w:sz="0" w:space="0" w:color="auto"/>
            <w:bottom w:val="none" w:sz="0" w:space="0" w:color="auto"/>
            <w:right w:val="none" w:sz="0" w:space="0" w:color="auto"/>
          </w:divBdr>
        </w:div>
        <w:div w:id="1294411820">
          <w:marLeft w:val="0"/>
          <w:marRight w:val="446"/>
          <w:marTop w:val="115"/>
          <w:marBottom w:val="120"/>
          <w:divBdr>
            <w:top w:val="none" w:sz="0" w:space="0" w:color="auto"/>
            <w:left w:val="none" w:sz="0" w:space="0" w:color="auto"/>
            <w:bottom w:val="none" w:sz="0" w:space="0" w:color="auto"/>
            <w:right w:val="none" w:sz="0" w:space="0" w:color="auto"/>
          </w:divBdr>
        </w:div>
        <w:div w:id="549341172">
          <w:marLeft w:val="0"/>
          <w:marRight w:val="446"/>
          <w:marTop w:val="115"/>
          <w:marBottom w:val="120"/>
          <w:divBdr>
            <w:top w:val="none" w:sz="0" w:space="0" w:color="auto"/>
            <w:left w:val="none" w:sz="0" w:space="0" w:color="auto"/>
            <w:bottom w:val="none" w:sz="0" w:space="0" w:color="auto"/>
            <w:right w:val="none" w:sz="0" w:space="0" w:color="auto"/>
          </w:divBdr>
        </w:div>
        <w:div w:id="1287616157">
          <w:marLeft w:val="0"/>
          <w:marRight w:val="446"/>
          <w:marTop w:val="115"/>
          <w:marBottom w:val="120"/>
          <w:divBdr>
            <w:top w:val="none" w:sz="0" w:space="0" w:color="auto"/>
            <w:left w:val="none" w:sz="0" w:space="0" w:color="auto"/>
            <w:bottom w:val="none" w:sz="0" w:space="0" w:color="auto"/>
            <w:right w:val="none" w:sz="0" w:space="0" w:color="auto"/>
          </w:divBdr>
        </w:div>
      </w:divsChild>
    </w:div>
    <w:div w:id="343290397">
      <w:bodyDiv w:val="1"/>
      <w:marLeft w:val="0"/>
      <w:marRight w:val="0"/>
      <w:marTop w:val="0"/>
      <w:marBottom w:val="0"/>
      <w:divBdr>
        <w:top w:val="none" w:sz="0" w:space="0" w:color="auto"/>
        <w:left w:val="none" w:sz="0" w:space="0" w:color="auto"/>
        <w:bottom w:val="none" w:sz="0" w:space="0" w:color="auto"/>
        <w:right w:val="none" w:sz="0" w:space="0" w:color="auto"/>
      </w:divBdr>
    </w:div>
    <w:div w:id="343746763">
      <w:bodyDiv w:val="1"/>
      <w:marLeft w:val="0"/>
      <w:marRight w:val="0"/>
      <w:marTop w:val="0"/>
      <w:marBottom w:val="0"/>
      <w:divBdr>
        <w:top w:val="none" w:sz="0" w:space="0" w:color="auto"/>
        <w:left w:val="none" w:sz="0" w:space="0" w:color="auto"/>
        <w:bottom w:val="none" w:sz="0" w:space="0" w:color="auto"/>
        <w:right w:val="none" w:sz="0" w:space="0" w:color="auto"/>
      </w:divBdr>
    </w:div>
    <w:div w:id="343749243">
      <w:bodyDiv w:val="1"/>
      <w:marLeft w:val="0"/>
      <w:marRight w:val="0"/>
      <w:marTop w:val="0"/>
      <w:marBottom w:val="0"/>
      <w:divBdr>
        <w:top w:val="none" w:sz="0" w:space="0" w:color="auto"/>
        <w:left w:val="none" w:sz="0" w:space="0" w:color="auto"/>
        <w:bottom w:val="none" w:sz="0" w:space="0" w:color="auto"/>
        <w:right w:val="none" w:sz="0" w:space="0" w:color="auto"/>
      </w:divBdr>
      <w:divsChild>
        <w:div w:id="727608287">
          <w:marLeft w:val="0"/>
          <w:marRight w:val="0"/>
          <w:marTop w:val="0"/>
          <w:marBottom w:val="0"/>
          <w:divBdr>
            <w:top w:val="none" w:sz="0" w:space="0" w:color="auto"/>
            <w:left w:val="none" w:sz="0" w:space="0" w:color="auto"/>
            <w:bottom w:val="none" w:sz="0" w:space="0" w:color="auto"/>
            <w:right w:val="none" w:sz="0" w:space="0" w:color="auto"/>
          </w:divBdr>
        </w:div>
        <w:div w:id="2117628341">
          <w:marLeft w:val="0"/>
          <w:marRight w:val="0"/>
          <w:marTop w:val="0"/>
          <w:marBottom w:val="0"/>
          <w:divBdr>
            <w:top w:val="none" w:sz="0" w:space="0" w:color="auto"/>
            <w:left w:val="none" w:sz="0" w:space="0" w:color="auto"/>
            <w:bottom w:val="none" w:sz="0" w:space="0" w:color="auto"/>
            <w:right w:val="none" w:sz="0" w:space="0" w:color="auto"/>
          </w:divBdr>
        </w:div>
        <w:div w:id="1178695246">
          <w:marLeft w:val="0"/>
          <w:marRight w:val="0"/>
          <w:marTop w:val="0"/>
          <w:marBottom w:val="0"/>
          <w:divBdr>
            <w:top w:val="none" w:sz="0" w:space="0" w:color="auto"/>
            <w:left w:val="none" w:sz="0" w:space="0" w:color="auto"/>
            <w:bottom w:val="none" w:sz="0" w:space="0" w:color="auto"/>
            <w:right w:val="none" w:sz="0" w:space="0" w:color="auto"/>
          </w:divBdr>
        </w:div>
        <w:div w:id="977416757">
          <w:marLeft w:val="0"/>
          <w:marRight w:val="0"/>
          <w:marTop w:val="0"/>
          <w:marBottom w:val="0"/>
          <w:divBdr>
            <w:top w:val="none" w:sz="0" w:space="0" w:color="auto"/>
            <w:left w:val="none" w:sz="0" w:space="0" w:color="auto"/>
            <w:bottom w:val="none" w:sz="0" w:space="0" w:color="auto"/>
            <w:right w:val="none" w:sz="0" w:space="0" w:color="auto"/>
          </w:divBdr>
        </w:div>
        <w:div w:id="538668416">
          <w:marLeft w:val="0"/>
          <w:marRight w:val="0"/>
          <w:marTop w:val="0"/>
          <w:marBottom w:val="0"/>
          <w:divBdr>
            <w:top w:val="none" w:sz="0" w:space="0" w:color="auto"/>
            <w:left w:val="none" w:sz="0" w:space="0" w:color="auto"/>
            <w:bottom w:val="none" w:sz="0" w:space="0" w:color="auto"/>
            <w:right w:val="none" w:sz="0" w:space="0" w:color="auto"/>
          </w:divBdr>
        </w:div>
        <w:div w:id="1866210218">
          <w:marLeft w:val="0"/>
          <w:marRight w:val="0"/>
          <w:marTop w:val="0"/>
          <w:marBottom w:val="0"/>
          <w:divBdr>
            <w:top w:val="none" w:sz="0" w:space="0" w:color="auto"/>
            <w:left w:val="none" w:sz="0" w:space="0" w:color="auto"/>
            <w:bottom w:val="none" w:sz="0" w:space="0" w:color="auto"/>
            <w:right w:val="none" w:sz="0" w:space="0" w:color="auto"/>
          </w:divBdr>
        </w:div>
        <w:div w:id="1371878552">
          <w:marLeft w:val="0"/>
          <w:marRight w:val="0"/>
          <w:marTop w:val="0"/>
          <w:marBottom w:val="0"/>
          <w:divBdr>
            <w:top w:val="none" w:sz="0" w:space="0" w:color="auto"/>
            <w:left w:val="none" w:sz="0" w:space="0" w:color="auto"/>
            <w:bottom w:val="none" w:sz="0" w:space="0" w:color="auto"/>
            <w:right w:val="none" w:sz="0" w:space="0" w:color="auto"/>
          </w:divBdr>
        </w:div>
        <w:div w:id="860781813">
          <w:marLeft w:val="0"/>
          <w:marRight w:val="0"/>
          <w:marTop w:val="0"/>
          <w:marBottom w:val="0"/>
          <w:divBdr>
            <w:top w:val="none" w:sz="0" w:space="0" w:color="auto"/>
            <w:left w:val="none" w:sz="0" w:space="0" w:color="auto"/>
            <w:bottom w:val="none" w:sz="0" w:space="0" w:color="auto"/>
            <w:right w:val="none" w:sz="0" w:space="0" w:color="auto"/>
          </w:divBdr>
        </w:div>
        <w:div w:id="1677607404">
          <w:marLeft w:val="0"/>
          <w:marRight w:val="0"/>
          <w:marTop w:val="0"/>
          <w:marBottom w:val="0"/>
          <w:divBdr>
            <w:top w:val="none" w:sz="0" w:space="0" w:color="auto"/>
            <w:left w:val="none" w:sz="0" w:space="0" w:color="auto"/>
            <w:bottom w:val="none" w:sz="0" w:space="0" w:color="auto"/>
            <w:right w:val="none" w:sz="0" w:space="0" w:color="auto"/>
          </w:divBdr>
        </w:div>
        <w:div w:id="480464949">
          <w:marLeft w:val="0"/>
          <w:marRight w:val="0"/>
          <w:marTop w:val="0"/>
          <w:marBottom w:val="0"/>
          <w:divBdr>
            <w:top w:val="none" w:sz="0" w:space="0" w:color="auto"/>
            <w:left w:val="none" w:sz="0" w:space="0" w:color="auto"/>
            <w:bottom w:val="none" w:sz="0" w:space="0" w:color="auto"/>
            <w:right w:val="none" w:sz="0" w:space="0" w:color="auto"/>
          </w:divBdr>
        </w:div>
        <w:div w:id="851266028">
          <w:marLeft w:val="0"/>
          <w:marRight w:val="0"/>
          <w:marTop w:val="0"/>
          <w:marBottom w:val="0"/>
          <w:divBdr>
            <w:top w:val="none" w:sz="0" w:space="0" w:color="auto"/>
            <w:left w:val="none" w:sz="0" w:space="0" w:color="auto"/>
            <w:bottom w:val="none" w:sz="0" w:space="0" w:color="auto"/>
            <w:right w:val="none" w:sz="0" w:space="0" w:color="auto"/>
          </w:divBdr>
        </w:div>
        <w:div w:id="180168244">
          <w:marLeft w:val="0"/>
          <w:marRight w:val="0"/>
          <w:marTop w:val="0"/>
          <w:marBottom w:val="0"/>
          <w:divBdr>
            <w:top w:val="none" w:sz="0" w:space="0" w:color="auto"/>
            <w:left w:val="none" w:sz="0" w:space="0" w:color="auto"/>
            <w:bottom w:val="none" w:sz="0" w:space="0" w:color="auto"/>
            <w:right w:val="none" w:sz="0" w:space="0" w:color="auto"/>
          </w:divBdr>
        </w:div>
        <w:div w:id="437335511">
          <w:marLeft w:val="0"/>
          <w:marRight w:val="0"/>
          <w:marTop w:val="0"/>
          <w:marBottom w:val="0"/>
          <w:divBdr>
            <w:top w:val="none" w:sz="0" w:space="0" w:color="auto"/>
            <w:left w:val="none" w:sz="0" w:space="0" w:color="auto"/>
            <w:bottom w:val="none" w:sz="0" w:space="0" w:color="auto"/>
            <w:right w:val="none" w:sz="0" w:space="0" w:color="auto"/>
          </w:divBdr>
        </w:div>
        <w:div w:id="462693824">
          <w:marLeft w:val="0"/>
          <w:marRight w:val="0"/>
          <w:marTop w:val="0"/>
          <w:marBottom w:val="0"/>
          <w:divBdr>
            <w:top w:val="none" w:sz="0" w:space="0" w:color="auto"/>
            <w:left w:val="none" w:sz="0" w:space="0" w:color="auto"/>
            <w:bottom w:val="none" w:sz="0" w:space="0" w:color="auto"/>
            <w:right w:val="none" w:sz="0" w:space="0" w:color="auto"/>
          </w:divBdr>
        </w:div>
        <w:div w:id="1513838742">
          <w:marLeft w:val="0"/>
          <w:marRight w:val="0"/>
          <w:marTop w:val="0"/>
          <w:marBottom w:val="0"/>
          <w:divBdr>
            <w:top w:val="none" w:sz="0" w:space="0" w:color="auto"/>
            <w:left w:val="none" w:sz="0" w:space="0" w:color="auto"/>
            <w:bottom w:val="none" w:sz="0" w:space="0" w:color="auto"/>
            <w:right w:val="none" w:sz="0" w:space="0" w:color="auto"/>
          </w:divBdr>
        </w:div>
        <w:div w:id="192352530">
          <w:marLeft w:val="0"/>
          <w:marRight w:val="0"/>
          <w:marTop w:val="0"/>
          <w:marBottom w:val="0"/>
          <w:divBdr>
            <w:top w:val="none" w:sz="0" w:space="0" w:color="auto"/>
            <w:left w:val="none" w:sz="0" w:space="0" w:color="auto"/>
            <w:bottom w:val="none" w:sz="0" w:space="0" w:color="auto"/>
            <w:right w:val="none" w:sz="0" w:space="0" w:color="auto"/>
          </w:divBdr>
        </w:div>
        <w:div w:id="1700929634">
          <w:marLeft w:val="0"/>
          <w:marRight w:val="0"/>
          <w:marTop w:val="0"/>
          <w:marBottom w:val="0"/>
          <w:divBdr>
            <w:top w:val="none" w:sz="0" w:space="0" w:color="auto"/>
            <w:left w:val="none" w:sz="0" w:space="0" w:color="auto"/>
            <w:bottom w:val="none" w:sz="0" w:space="0" w:color="auto"/>
            <w:right w:val="none" w:sz="0" w:space="0" w:color="auto"/>
          </w:divBdr>
        </w:div>
        <w:div w:id="1315571538">
          <w:marLeft w:val="0"/>
          <w:marRight w:val="0"/>
          <w:marTop w:val="0"/>
          <w:marBottom w:val="0"/>
          <w:divBdr>
            <w:top w:val="none" w:sz="0" w:space="0" w:color="auto"/>
            <w:left w:val="none" w:sz="0" w:space="0" w:color="auto"/>
            <w:bottom w:val="none" w:sz="0" w:space="0" w:color="auto"/>
            <w:right w:val="none" w:sz="0" w:space="0" w:color="auto"/>
          </w:divBdr>
        </w:div>
        <w:div w:id="1315984552">
          <w:marLeft w:val="0"/>
          <w:marRight w:val="0"/>
          <w:marTop w:val="0"/>
          <w:marBottom w:val="0"/>
          <w:divBdr>
            <w:top w:val="none" w:sz="0" w:space="0" w:color="auto"/>
            <w:left w:val="none" w:sz="0" w:space="0" w:color="auto"/>
            <w:bottom w:val="none" w:sz="0" w:space="0" w:color="auto"/>
            <w:right w:val="none" w:sz="0" w:space="0" w:color="auto"/>
          </w:divBdr>
        </w:div>
        <w:div w:id="1123765414">
          <w:marLeft w:val="0"/>
          <w:marRight w:val="0"/>
          <w:marTop w:val="0"/>
          <w:marBottom w:val="0"/>
          <w:divBdr>
            <w:top w:val="none" w:sz="0" w:space="0" w:color="auto"/>
            <w:left w:val="none" w:sz="0" w:space="0" w:color="auto"/>
            <w:bottom w:val="none" w:sz="0" w:space="0" w:color="auto"/>
            <w:right w:val="none" w:sz="0" w:space="0" w:color="auto"/>
          </w:divBdr>
        </w:div>
        <w:div w:id="468130382">
          <w:marLeft w:val="0"/>
          <w:marRight w:val="0"/>
          <w:marTop w:val="0"/>
          <w:marBottom w:val="0"/>
          <w:divBdr>
            <w:top w:val="none" w:sz="0" w:space="0" w:color="auto"/>
            <w:left w:val="none" w:sz="0" w:space="0" w:color="auto"/>
            <w:bottom w:val="none" w:sz="0" w:space="0" w:color="auto"/>
            <w:right w:val="none" w:sz="0" w:space="0" w:color="auto"/>
          </w:divBdr>
        </w:div>
        <w:div w:id="775322325">
          <w:marLeft w:val="0"/>
          <w:marRight w:val="0"/>
          <w:marTop w:val="0"/>
          <w:marBottom w:val="0"/>
          <w:divBdr>
            <w:top w:val="none" w:sz="0" w:space="0" w:color="auto"/>
            <w:left w:val="none" w:sz="0" w:space="0" w:color="auto"/>
            <w:bottom w:val="none" w:sz="0" w:space="0" w:color="auto"/>
            <w:right w:val="none" w:sz="0" w:space="0" w:color="auto"/>
          </w:divBdr>
        </w:div>
        <w:div w:id="2070692495">
          <w:marLeft w:val="0"/>
          <w:marRight w:val="0"/>
          <w:marTop w:val="0"/>
          <w:marBottom w:val="0"/>
          <w:divBdr>
            <w:top w:val="none" w:sz="0" w:space="0" w:color="auto"/>
            <w:left w:val="none" w:sz="0" w:space="0" w:color="auto"/>
            <w:bottom w:val="none" w:sz="0" w:space="0" w:color="auto"/>
            <w:right w:val="none" w:sz="0" w:space="0" w:color="auto"/>
          </w:divBdr>
        </w:div>
        <w:div w:id="195238558">
          <w:marLeft w:val="0"/>
          <w:marRight w:val="0"/>
          <w:marTop w:val="0"/>
          <w:marBottom w:val="0"/>
          <w:divBdr>
            <w:top w:val="none" w:sz="0" w:space="0" w:color="auto"/>
            <w:left w:val="none" w:sz="0" w:space="0" w:color="auto"/>
            <w:bottom w:val="none" w:sz="0" w:space="0" w:color="auto"/>
            <w:right w:val="none" w:sz="0" w:space="0" w:color="auto"/>
          </w:divBdr>
        </w:div>
        <w:div w:id="701705790">
          <w:marLeft w:val="0"/>
          <w:marRight w:val="0"/>
          <w:marTop w:val="0"/>
          <w:marBottom w:val="0"/>
          <w:divBdr>
            <w:top w:val="none" w:sz="0" w:space="0" w:color="auto"/>
            <w:left w:val="none" w:sz="0" w:space="0" w:color="auto"/>
            <w:bottom w:val="none" w:sz="0" w:space="0" w:color="auto"/>
            <w:right w:val="none" w:sz="0" w:space="0" w:color="auto"/>
          </w:divBdr>
        </w:div>
        <w:div w:id="140736845">
          <w:marLeft w:val="0"/>
          <w:marRight w:val="0"/>
          <w:marTop w:val="0"/>
          <w:marBottom w:val="0"/>
          <w:divBdr>
            <w:top w:val="none" w:sz="0" w:space="0" w:color="auto"/>
            <w:left w:val="none" w:sz="0" w:space="0" w:color="auto"/>
            <w:bottom w:val="none" w:sz="0" w:space="0" w:color="auto"/>
            <w:right w:val="none" w:sz="0" w:space="0" w:color="auto"/>
          </w:divBdr>
        </w:div>
        <w:div w:id="918756311">
          <w:marLeft w:val="0"/>
          <w:marRight w:val="0"/>
          <w:marTop w:val="0"/>
          <w:marBottom w:val="0"/>
          <w:divBdr>
            <w:top w:val="none" w:sz="0" w:space="0" w:color="auto"/>
            <w:left w:val="none" w:sz="0" w:space="0" w:color="auto"/>
            <w:bottom w:val="none" w:sz="0" w:space="0" w:color="auto"/>
            <w:right w:val="none" w:sz="0" w:space="0" w:color="auto"/>
          </w:divBdr>
        </w:div>
        <w:div w:id="462508695">
          <w:marLeft w:val="0"/>
          <w:marRight w:val="0"/>
          <w:marTop w:val="0"/>
          <w:marBottom w:val="0"/>
          <w:divBdr>
            <w:top w:val="none" w:sz="0" w:space="0" w:color="auto"/>
            <w:left w:val="none" w:sz="0" w:space="0" w:color="auto"/>
            <w:bottom w:val="none" w:sz="0" w:space="0" w:color="auto"/>
            <w:right w:val="none" w:sz="0" w:space="0" w:color="auto"/>
          </w:divBdr>
        </w:div>
        <w:div w:id="2039624826">
          <w:marLeft w:val="0"/>
          <w:marRight w:val="0"/>
          <w:marTop w:val="0"/>
          <w:marBottom w:val="0"/>
          <w:divBdr>
            <w:top w:val="none" w:sz="0" w:space="0" w:color="auto"/>
            <w:left w:val="none" w:sz="0" w:space="0" w:color="auto"/>
            <w:bottom w:val="none" w:sz="0" w:space="0" w:color="auto"/>
            <w:right w:val="none" w:sz="0" w:space="0" w:color="auto"/>
          </w:divBdr>
        </w:div>
        <w:div w:id="1454324249">
          <w:marLeft w:val="0"/>
          <w:marRight w:val="0"/>
          <w:marTop w:val="0"/>
          <w:marBottom w:val="0"/>
          <w:divBdr>
            <w:top w:val="none" w:sz="0" w:space="0" w:color="auto"/>
            <w:left w:val="none" w:sz="0" w:space="0" w:color="auto"/>
            <w:bottom w:val="none" w:sz="0" w:space="0" w:color="auto"/>
            <w:right w:val="none" w:sz="0" w:space="0" w:color="auto"/>
          </w:divBdr>
        </w:div>
        <w:div w:id="1611623992">
          <w:marLeft w:val="0"/>
          <w:marRight w:val="0"/>
          <w:marTop w:val="0"/>
          <w:marBottom w:val="0"/>
          <w:divBdr>
            <w:top w:val="none" w:sz="0" w:space="0" w:color="auto"/>
            <w:left w:val="none" w:sz="0" w:space="0" w:color="auto"/>
            <w:bottom w:val="none" w:sz="0" w:space="0" w:color="auto"/>
            <w:right w:val="none" w:sz="0" w:space="0" w:color="auto"/>
          </w:divBdr>
        </w:div>
        <w:div w:id="360984259">
          <w:marLeft w:val="0"/>
          <w:marRight w:val="0"/>
          <w:marTop w:val="0"/>
          <w:marBottom w:val="0"/>
          <w:divBdr>
            <w:top w:val="none" w:sz="0" w:space="0" w:color="auto"/>
            <w:left w:val="none" w:sz="0" w:space="0" w:color="auto"/>
            <w:bottom w:val="none" w:sz="0" w:space="0" w:color="auto"/>
            <w:right w:val="none" w:sz="0" w:space="0" w:color="auto"/>
          </w:divBdr>
        </w:div>
        <w:div w:id="217399417">
          <w:marLeft w:val="0"/>
          <w:marRight w:val="0"/>
          <w:marTop w:val="0"/>
          <w:marBottom w:val="0"/>
          <w:divBdr>
            <w:top w:val="none" w:sz="0" w:space="0" w:color="auto"/>
            <w:left w:val="none" w:sz="0" w:space="0" w:color="auto"/>
            <w:bottom w:val="none" w:sz="0" w:space="0" w:color="auto"/>
            <w:right w:val="none" w:sz="0" w:space="0" w:color="auto"/>
          </w:divBdr>
        </w:div>
        <w:div w:id="112525351">
          <w:marLeft w:val="0"/>
          <w:marRight w:val="0"/>
          <w:marTop w:val="0"/>
          <w:marBottom w:val="0"/>
          <w:divBdr>
            <w:top w:val="none" w:sz="0" w:space="0" w:color="auto"/>
            <w:left w:val="none" w:sz="0" w:space="0" w:color="auto"/>
            <w:bottom w:val="none" w:sz="0" w:space="0" w:color="auto"/>
            <w:right w:val="none" w:sz="0" w:space="0" w:color="auto"/>
          </w:divBdr>
        </w:div>
        <w:div w:id="1315914518">
          <w:marLeft w:val="0"/>
          <w:marRight w:val="0"/>
          <w:marTop w:val="0"/>
          <w:marBottom w:val="0"/>
          <w:divBdr>
            <w:top w:val="none" w:sz="0" w:space="0" w:color="auto"/>
            <w:left w:val="none" w:sz="0" w:space="0" w:color="auto"/>
            <w:bottom w:val="none" w:sz="0" w:space="0" w:color="auto"/>
            <w:right w:val="none" w:sz="0" w:space="0" w:color="auto"/>
          </w:divBdr>
        </w:div>
        <w:div w:id="1066075191">
          <w:marLeft w:val="0"/>
          <w:marRight w:val="0"/>
          <w:marTop w:val="0"/>
          <w:marBottom w:val="0"/>
          <w:divBdr>
            <w:top w:val="none" w:sz="0" w:space="0" w:color="auto"/>
            <w:left w:val="none" w:sz="0" w:space="0" w:color="auto"/>
            <w:bottom w:val="none" w:sz="0" w:space="0" w:color="auto"/>
            <w:right w:val="none" w:sz="0" w:space="0" w:color="auto"/>
          </w:divBdr>
        </w:div>
        <w:div w:id="791093293">
          <w:marLeft w:val="0"/>
          <w:marRight w:val="0"/>
          <w:marTop w:val="0"/>
          <w:marBottom w:val="0"/>
          <w:divBdr>
            <w:top w:val="none" w:sz="0" w:space="0" w:color="auto"/>
            <w:left w:val="none" w:sz="0" w:space="0" w:color="auto"/>
            <w:bottom w:val="none" w:sz="0" w:space="0" w:color="auto"/>
            <w:right w:val="none" w:sz="0" w:space="0" w:color="auto"/>
          </w:divBdr>
        </w:div>
        <w:div w:id="2009818647">
          <w:marLeft w:val="0"/>
          <w:marRight w:val="0"/>
          <w:marTop w:val="0"/>
          <w:marBottom w:val="0"/>
          <w:divBdr>
            <w:top w:val="none" w:sz="0" w:space="0" w:color="auto"/>
            <w:left w:val="none" w:sz="0" w:space="0" w:color="auto"/>
            <w:bottom w:val="none" w:sz="0" w:space="0" w:color="auto"/>
            <w:right w:val="none" w:sz="0" w:space="0" w:color="auto"/>
          </w:divBdr>
        </w:div>
        <w:div w:id="774519519">
          <w:marLeft w:val="0"/>
          <w:marRight w:val="0"/>
          <w:marTop w:val="0"/>
          <w:marBottom w:val="0"/>
          <w:divBdr>
            <w:top w:val="none" w:sz="0" w:space="0" w:color="auto"/>
            <w:left w:val="none" w:sz="0" w:space="0" w:color="auto"/>
            <w:bottom w:val="none" w:sz="0" w:space="0" w:color="auto"/>
            <w:right w:val="none" w:sz="0" w:space="0" w:color="auto"/>
          </w:divBdr>
        </w:div>
        <w:div w:id="248194341">
          <w:marLeft w:val="0"/>
          <w:marRight w:val="0"/>
          <w:marTop w:val="0"/>
          <w:marBottom w:val="0"/>
          <w:divBdr>
            <w:top w:val="none" w:sz="0" w:space="0" w:color="auto"/>
            <w:left w:val="none" w:sz="0" w:space="0" w:color="auto"/>
            <w:bottom w:val="none" w:sz="0" w:space="0" w:color="auto"/>
            <w:right w:val="none" w:sz="0" w:space="0" w:color="auto"/>
          </w:divBdr>
        </w:div>
        <w:div w:id="87964334">
          <w:marLeft w:val="0"/>
          <w:marRight w:val="0"/>
          <w:marTop w:val="0"/>
          <w:marBottom w:val="0"/>
          <w:divBdr>
            <w:top w:val="none" w:sz="0" w:space="0" w:color="auto"/>
            <w:left w:val="none" w:sz="0" w:space="0" w:color="auto"/>
            <w:bottom w:val="none" w:sz="0" w:space="0" w:color="auto"/>
            <w:right w:val="none" w:sz="0" w:space="0" w:color="auto"/>
          </w:divBdr>
        </w:div>
        <w:div w:id="774524274">
          <w:marLeft w:val="0"/>
          <w:marRight w:val="0"/>
          <w:marTop w:val="0"/>
          <w:marBottom w:val="0"/>
          <w:divBdr>
            <w:top w:val="none" w:sz="0" w:space="0" w:color="auto"/>
            <w:left w:val="none" w:sz="0" w:space="0" w:color="auto"/>
            <w:bottom w:val="none" w:sz="0" w:space="0" w:color="auto"/>
            <w:right w:val="none" w:sz="0" w:space="0" w:color="auto"/>
          </w:divBdr>
        </w:div>
        <w:div w:id="656036797">
          <w:marLeft w:val="0"/>
          <w:marRight w:val="0"/>
          <w:marTop w:val="0"/>
          <w:marBottom w:val="0"/>
          <w:divBdr>
            <w:top w:val="none" w:sz="0" w:space="0" w:color="auto"/>
            <w:left w:val="none" w:sz="0" w:space="0" w:color="auto"/>
            <w:bottom w:val="none" w:sz="0" w:space="0" w:color="auto"/>
            <w:right w:val="none" w:sz="0" w:space="0" w:color="auto"/>
          </w:divBdr>
        </w:div>
        <w:div w:id="205601531">
          <w:marLeft w:val="0"/>
          <w:marRight w:val="0"/>
          <w:marTop w:val="0"/>
          <w:marBottom w:val="0"/>
          <w:divBdr>
            <w:top w:val="none" w:sz="0" w:space="0" w:color="auto"/>
            <w:left w:val="none" w:sz="0" w:space="0" w:color="auto"/>
            <w:bottom w:val="none" w:sz="0" w:space="0" w:color="auto"/>
            <w:right w:val="none" w:sz="0" w:space="0" w:color="auto"/>
          </w:divBdr>
        </w:div>
        <w:div w:id="993525957">
          <w:marLeft w:val="0"/>
          <w:marRight w:val="0"/>
          <w:marTop w:val="0"/>
          <w:marBottom w:val="0"/>
          <w:divBdr>
            <w:top w:val="none" w:sz="0" w:space="0" w:color="auto"/>
            <w:left w:val="none" w:sz="0" w:space="0" w:color="auto"/>
            <w:bottom w:val="none" w:sz="0" w:space="0" w:color="auto"/>
            <w:right w:val="none" w:sz="0" w:space="0" w:color="auto"/>
          </w:divBdr>
        </w:div>
        <w:div w:id="394164004">
          <w:marLeft w:val="0"/>
          <w:marRight w:val="0"/>
          <w:marTop w:val="0"/>
          <w:marBottom w:val="0"/>
          <w:divBdr>
            <w:top w:val="none" w:sz="0" w:space="0" w:color="auto"/>
            <w:left w:val="none" w:sz="0" w:space="0" w:color="auto"/>
            <w:bottom w:val="none" w:sz="0" w:space="0" w:color="auto"/>
            <w:right w:val="none" w:sz="0" w:space="0" w:color="auto"/>
          </w:divBdr>
        </w:div>
        <w:div w:id="1075007730">
          <w:marLeft w:val="0"/>
          <w:marRight w:val="0"/>
          <w:marTop w:val="0"/>
          <w:marBottom w:val="0"/>
          <w:divBdr>
            <w:top w:val="none" w:sz="0" w:space="0" w:color="auto"/>
            <w:left w:val="none" w:sz="0" w:space="0" w:color="auto"/>
            <w:bottom w:val="none" w:sz="0" w:space="0" w:color="auto"/>
            <w:right w:val="none" w:sz="0" w:space="0" w:color="auto"/>
          </w:divBdr>
        </w:div>
        <w:div w:id="2029794049">
          <w:marLeft w:val="0"/>
          <w:marRight w:val="0"/>
          <w:marTop w:val="0"/>
          <w:marBottom w:val="0"/>
          <w:divBdr>
            <w:top w:val="none" w:sz="0" w:space="0" w:color="auto"/>
            <w:left w:val="none" w:sz="0" w:space="0" w:color="auto"/>
            <w:bottom w:val="none" w:sz="0" w:space="0" w:color="auto"/>
            <w:right w:val="none" w:sz="0" w:space="0" w:color="auto"/>
          </w:divBdr>
        </w:div>
        <w:div w:id="1274170000">
          <w:marLeft w:val="0"/>
          <w:marRight w:val="0"/>
          <w:marTop w:val="0"/>
          <w:marBottom w:val="0"/>
          <w:divBdr>
            <w:top w:val="none" w:sz="0" w:space="0" w:color="auto"/>
            <w:left w:val="none" w:sz="0" w:space="0" w:color="auto"/>
            <w:bottom w:val="none" w:sz="0" w:space="0" w:color="auto"/>
            <w:right w:val="none" w:sz="0" w:space="0" w:color="auto"/>
          </w:divBdr>
        </w:div>
        <w:div w:id="488599667">
          <w:marLeft w:val="0"/>
          <w:marRight w:val="0"/>
          <w:marTop w:val="0"/>
          <w:marBottom w:val="0"/>
          <w:divBdr>
            <w:top w:val="none" w:sz="0" w:space="0" w:color="auto"/>
            <w:left w:val="none" w:sz="0" w:space="0" w:color="auto"/>
            <w:bottom w:val="none" w:sz="0" w:space="0" w:color="auto"/>
            <w:right w:val="none" w:sz="0" w:space="0" w:color="auto"/>
          </w:divBdr>
        </w:div>
      </w:divsChild>
    </w:div>
    <w:div w:id="344139105">
      <w:bodyDiv w:val="1"/>
      <w:marLeft w:val="0"/>
      <w:marRight w:val="0"/>
      <w:marTop w:val="0"/>
      <w:marBottom w:val="0"/>
      <w:divBdr>
        <w:top w:val="none" w:sz="0" w:space="0" w:color="auto"/>
        <w:left w:val="none" w:sz="0" w:space="0" w:color="auto"/>
        <w:bottom w:val="none" w:sz="0" w:space="0" w:color="auto"/>
        <w:right w:val="none" w:sz="0" w:space="0" w:color="auto"/>
      </w:divBdr>
    </w:div>
    <w:div w:id="365837372">
      <w:bodyDiv w:val="1"/>
      <w:marLeft w:val="0"/>
      <w:marRight w:val="0"/>
      <w:marTop w:val="0"/>
      <w:marBottom w:val="0"/>
      <w:divBdr>
        <w:top w:val="none" w:sz="0" w:space="0" w:color="auto"/>
        <w:left w:val="none" w:sz="0" w:space="0" w:color="auto"/>
        <w:bottom w:val="none" w:sz="0" w:space="0" w:color="auto"/>
        <w:right w:val="none" w:sz="0" w:space="0" w:color="auto"/>
      </w:divBdr>
    </w:div>
    <w:div w:id="369115358">
      <w:bodyDiv w:val="1"/>
      <w:marLeft w:val="0"/>
      <w:marRight w:val="0"/>
      <w:marTop w:val="0"/>
      <w:marBottom w:val="0"/>
      <w:divBdr>
        <w:top w:val="none" w:sz="0" w:space="0" w:color="auto"/>
        <w:left w:val="none" w:sz="0" w:space="0" w:color="auto"/>
        <w:bottom w:val="none" w:sz="0" w:space="0" w:color="auto"/>
        <w:right w:val="none" w:sz="0" w:space="0" w:color="auto"/>
      </w:divBdr>
      <w:divsChild>
        <w:div w:id="487014722">
          <w:marLeft w:val="0"/>
          <w:marRight w:val="0"/>
          <w:marTop w:val="0"/>
          <w:marBottom w:val="0"/>
          <w:divBdr>
            <w:top w:val="none" w:sz="0" w:space="0" w:color="auto"/>
            <w:left w:val="none" w:sz="0" w:space="0" w:color="auto"/>
            <w:bottom w:val="none" w:sz="0" w:space="0" w:color="auto"/>
            <w:right w:val="none" w:sz="0" w:space="0" w:color="auto"/>
          </w:divBdr>
        </w:div>
      </w:divsChild>
    </w:div>
    <w:div w:id="380251180">
      <w:bodyDiv w:val="1"/>
      <w:marLeft w:val="0"/>
      <w:marRight w:val="0"/>
      <w:marTop w:val="0"/>
      <w:marBottom w:val="0"/>
      <w:divBdr>
        <w:top w:val="none" w:sz="0" w:space="0" w:color="auto"/>
        <w:left w:val="none" w:sz="0" w:space="0" w:color="auto"/>
        <w:bottom w:val="none" w:sz="0" w:space="0" w:color="auto"/>
        <w:right w:val="none" w:sz="0" w:space="0" w:color="auto"/>
      </w:divBdr>
    </w:div>
    <w:div w:id="398132899">
      <w:bodyDiv w:val="1"/>
      <w:marLeft w:val="0"/>
      <w:marRight w:val="0"/>
      <w:marTop w:val="0"/>
      <w:marBottom w:val="0"/>
      <w:divBdr>
        <w:top w:val="none" w:sz="0" w:space="0" w:color="auto"/>
        <w:left w:val="none" w:sz="0" w:space="0" w:color="auto"/>
        <w:bottom w:val="none" w:sz="0" w:space="0" w:color="auto"/>
        <w:right w:val="none" w:sz="0" w:space="0" w:color="auto"/>
      </w:divBdr>
      <w:divsChild>
        <w:div w:id="1861043164">
          <w:marLeft w:val="0"/>
          <w:marRight w:val="0"/>
          <w:marTop w:val="0"/>
          <w:marBottom w:val="0"/>
          <w:divBdr>
            <w:top w:val="none" w:sz="0" w:space="0" w:color="auto"/>
            <w:left w:val="none" w:sz="0" w:space="0" w:color="auto"/>
            <w:bottom w:val="none" w:sz="0" w:space="0" w:color="auto"/>
            <w:right w:val="none" w:sz="0" w:space="0" w:color="auto"/>
          </w:divBdr>
        </w:div>
        <w:div w:id="1746881338">
          <w:marLeft w:val="0"/>
          <w:marRight w:val="0"/>
          <w:marTop w:val="0"/>
          <w:marBottom w:val="0"/>
          <w:divBdr>
            <w:top w:val="none" w:sz="0" w:space="0" w:color="auto"/>
            <w:left w:val="none" w:sz="0" w:space="0" w:color="auto"/>
            <w:bottom w:val="none" w:sz="0" w:space="0" w:color="auto"/>
            <w:right w:val="none" w:sz="0" w:space="0" w:color="auto"/>
          </w:divBdr>
        </w:div>
        <w:div w:id="9066770">
          <w:marLeft w:val="0"/>
          <w:marRight w:val="0"/>
          <w:marTop w:val="0"/>
          <w:marBottom w:val="0"/>
          <w:divBdr>
            <w:top w:val="none" w:sz="0" w:space="0" w:color="auto"/>
            <w:left w:val="none" w:sz="0" w:space="0" w:color="auto"/>
            <w:bottom w:val="none" w:sz="0" w:space="0" w:color="auto"/>
            <w:right w:val="none" w:sz="0" w:space="0" w:color="auto"/>
          </w:divBdr>
        </w:div>
        <w:div w:id="818035055">
          <w:marLeft w:val="0"/>
          <w:marRight w:val="0"/>
          <w:marTop w:val="0"/>
          <w:marBottom w:val="0"/>
          <w:divBdr>
            <w:top w:val="none" w:sz="0" w:space="0" w:color="auto"/>
            <w:left w:val="none" w:sz="0" w:space="0" w:color="auto"/>
            <w:bottom w:val="none" w:sz="0" w:space="0" w:color="auto"/>
            <w:right w:val="none" w:sz="0" w:space="0" w:color="auto"/>
          </w:divBdr>
        </w:div>
        <w:div w:id="1736782178">
          <w:marLeft w:val="0"/>
          <w:marRight w:val="0"/>
          <w:marTop w:val="0"/>
          <w:marBottom w:val="0"/>
          <w:divBdr>
            <w:top w:val="none" w:sz="0" w:space="0" w:color="auto"/>
            <w:left w:val="none" w:sz="0" w:space="0" w:color="auto"/>
            <w:bottom w:val="none" w:sz="0" w:space="0" w:color="auto"/>
            <w:right w:val="none" w:sz="0" w:space="0" w:color="auto"/>
          </w:divBdr>
        </w:div>
        <w:div w:id="418521307">
          <w:marLeft w:val="0"/>
          <w:marRight w:val="0"/>
          <w:marTop w:val="0"/>
          <w:marBottom w:val="0"/>
          <w:divBdr>
            <w:top w:val="none" w:sz="0" w:space="0" w:color="auto"/>
            <w:left w:val="none" w:sz="0" w:space="0" w:color="auto"/>
            <w:bottom w:val="none" w:sz="0" w:space="0" w:color="auto"/>
            <w:right w:val="none" w:sz="0" w:space="0" w:color="auto"/>
          </w:divBdr>
        </w:div>
        <w:div w:id="364984992">
          <w:marLeft w:val="0"/>
          <w:marRight w:val="0"/>
          <w:marTop w:val="0"/>
          <w:marBottom w:val="0"/>
          <w:divBdr>
            <w:top w:val="none" w:sz="0" w:space="0" w:color="auto"/>
            <w:left w:val="none" w:sz="0" w:space="0" w:color="auto"/>
            <w:bottom w:val="none" w:sz="0" w:space="0" w:color="auto"/>
            <w:right w:val="none" w:sz="0" w:space="0" w:color="auto"/>
          </w:divBdr>
        </w:div>
        <w:div w:id="883910324">
          <w:marLeft w:val="0"/>
          <w:marRight w:val="0"/>
          <w:marTop w:val="0"/>
          <w:marBottom w:val="0"/>
          <w:divBdr>
            <w:top w:val="none" w:sz="0" w:space="0" w:color="auto"/>
            <w:left w:val="none" w:sz="0" w:space="0" w:color="auto"/>
            <w:bottom w:val="none" w:sz="0" w:space="0" w:color="auto"/>
            <w:right w:val="none" w:sz="0" w:space="0" w:color="auto"/>
          </w:divBdr>
        </w:div>
        <w:div w:id="528225746">
          <w:marLeft w:val="0"/>
          <w:marRight w:val="0"/>
          <w:marTop w:val="0"/>
          <w:marBottom w:val="0"/>
          <w:divBdr>
            <w:top w:val="none" w:sz="0" w:space="0" w:color="auto"/>
            <w:left w:val="none" w:sz="0" w:space="0" w:color="auto"/>
            <w:bottom w:val="none" w:sz="0" w:space="0" w:color="auto"/>
            <w:right w:val="none" w:sz="0" w:space="0" w:color="auto"/>
          </w:divBdr>
        </w:div>
      </w:divsChild>
    </w:div>
    <w:div w:id="408232212">
      <w:bodyDiv w:val="1"/>
      <w:marLeft w:val="0"/>
      <w:marRight w:val="0"/>
      <w:marTop w:val="0"/>
      <w:marBottom w:val="0"/>
      <w:divBdr>
        <w:top w:val="none" w:sz="0" w:space="0" w:color="auto"/>
        <w:left w:val="none" w:sz="0" w:space="0" w:color="auto"/>
        <w:bottom w:val="none" w:sz="0" w:space="0" w:color="auto"/>
        <w:right w:val="none" w:sz="0" w:space="0" w:color="auto"/>
      </w:divBdr>
    </w:div>
    <w:div w:id="412046785">
      <w:bodyDiv w:val="1"/>
      <w:marLeft w:val="0"/>
      <w:marRight w:val="0"/>
      <w:marTop w:val="0"/>
      <w:marBottom w:val="0"/>
      <w:divBdr>
        <w:top w:val="none" w:sz="0" w:space="0" w:color="auto"/>
        <w:left w:val="none" w:sz="0" w:space="0" w:color="auto"/>
        <w:bottom w:val="none" w:sz="0" w:space="0" w:color="auto"/>
        <w:right w:val="none" w:sz="0" w:space="0" w:color="auto"/>
      </w:divBdr>
      <w:divsChild>
        <w:div w:id="1024092762">
          <w:marLeft w:val="0"/>
          <w:marRight w:val="446"/>
          <w:marTop w:val="58"/>
          <w:marBottom w:val="120"/>
          <w:divBdr>
            <w:top w:val="none" w:sz="0" w:space="0" w:color="auto"/>
            <w:left w:val="none" w:sz="0" w:space="0" w:color="auto"/>
            <w:bottom w:val="none" w:sz="0" w:space="0" w:color="auto"/>
            <w:right w:val="none" w:sz="0" w:space="0" w:color="auto"/>
          </w:divBdr>
        </w:div>
        <w:div w:id="1801070179">
          <w:marLeft w:val="0"/>
          <w:marRight w:val="446"/>
          <w:marTop w:val="58"/>
          <w:marBottom w:val="120"/>
          <w:divBdr>
            <w:top w:val="none" w:sz="0" w:space="0" w:color="auto"/>
            <w:left w:val="none" w:sz="0" w:space="0" w:color="auto"/>
            <w:bottom w:val="none" w:sz="0" w:space="0" w:color="auto"/>
            <w:right w:val="none" w:sz="0" w:space="0" w:color="auto"/>
          </w:divBdr>
        </w:div>
        <w:div w:id="1501391375">
          <w:marLeft w:val="0"/>
          <w:marRight w:val="446"/>
          <w:marTop w:val="58"/>
          <w:marBottom w:val="120"/>
          <w:divBdr>
            <w:top w:val="none" w:sz="0" w:space="0" w:color="auto"/>
            <w:left w:val="none" w:sz="0" w:space="0" w:color="auto"/>
            <w:bottom w:val="none" w:sz="0" w:space="0" w:color="auto"/>
            <w:right w:val="none" w:sz="0" w:space="0" w:color="auto"/>
          </w:divBdr>
        </w:div>
        <w:div w:id="1795637588">
          <w:marLeft w:val="0"/>
          <w:marRight w:val="446"/>
          <w:marTop w:val="58"/>
          <w:marBottom w:val="120"/>
          <w:divBdr>
            <w:top w:val="none" w:sz="0" w:space="0" w:color="auto"/>
            <w:left w:val="none" w:sz="0" w:space="0" w:color="auto"/>
            <w:bottom w:val="none" w:sz="0" w:space="0" w:color="auto"/>
            <w:right w:val="none" w:sz="0" w:space="0" w:color="auto"/>
          </w:divBdr>
        </w:div>
        <w:div w:id="1785077314">
          <w:marLeft w:val="0"/>
          <w:marRight w:val="547"/>
          <w:marTop w:val="58"/>
          <w:marBottom w:val="120"/>
          <w:divBdr>
            <w:top w:val="none" w:sz="0" w:space="0" w:color="auto"/>
            <w:left w:val="none" w:sz="0" w:space="0" w:color="auto"/>
            <w:bottom w:val="none" w:sz="0" w:space="0" w:color="auto"/>
            <w:right w:val="none" w:sz="0" w:space="0" w:color="auto"/>
          </w:divBdr>
        </w:div>
        <w:div w:id="1250431240">
          <w:marLeft w:val="0"/>
          <w:marRight w:val="547"/>
          <w:marTop w:val="58"/>
          <w:marBottom w:val="120"/>
          <w:divBdr>
            <w:top w:val="none" w:sz="0" w:space="0" w:color="auto"/>
            <w:left w:val="none" w:sz="0" w:space="0" w:color="auto"/>
            <w:bottom w:val="none" w:sz="0" w:space="0" w:color="auto"/>
            <w:right w:val="none" w:sz="0" w:space="0" w:color="auto"/>
          </w:divBdr>
        </w:div>
        <w:div w:id="456921841">
          <w:marLeft w:val="0"/>
          <w:marRight w:val="547"/>
          <w:marTop w:val="58"/>
          <w:marBottom w:val="120"/>
          <w:divBdr>
            <w:top w:val="none" w:sz="0" w:space="0" w:color="auto"/>
            <w:left w:val="none" w:sz="0" w:space="0" w:color="auto"/>
            <w:bottom w:val="none" w:sz="0" w:space="0" w:color="auto"/>
            <w:right w:val="none" w:sz="0" w:space="0" w:color="auto"/>
          </w:divBdr>
        </w:div>
        <w:div w:id="760369388">
          <w:marLeft w:val="0"/>
          <w:marRight w:val="547"/>
          <w:marTop w:val="58"/>
          <w:marBottom w:val="120"/>
          <w:divBdr>
            <w:top w:val="none" w:sz="0" w:space="0" w:color="auto"/>
            <w:left w:val="none" w:sz="0" w:space="0" w:color="auto"/>
            <w:bottom w:val="none" w:sz="0" w:space="0" w:color="auto"/>
            <w:right w:val="none" w:sz="0" w:space="0" w:color="auto"/>
          </w:divBdr>
        </w:div>
      </w:divsChild>
    </w:div>
    <w:div w:id="418336018">
      <w:bodyDiv w:val="1"/>
      <w:marLeft w:val="0"/>
      <w:marRight w:val="0"/>
      <w:marTop w:val="0"/>
      <w:marBottom w:val="0"/>
      <w:divBdr>
        <w:top w:val="none" w:sz="0" w:space="0" w:color="auto"/>
        <w:left w:val="none" w:sz="0" w:space="0" w:color="auto"/>
        <w:bottom w:val="none" w:sz="0" w:space="0" w:color="auto"/>
        <w:right w:val="none" w:sz="0" w:space="0" w:color="auto"/>
      </w:divBdr>
    </w:div>
    <w:div w:id="422458830">
      <w:bodyDiv w:val="1"/>
      <w:marLeft w:val="0"/>
      <w:marRight w:val="0"/>
      <w:marTop w:val="0"/>
      <w:marBottom w:val="0"/>
      <w:divBdr>
        <w:top w:val="none" w:sz="0" w:space="0" w:color="auto"/>
        <w:left w:val="none" w:sz="0" w:space="0" w:color="auto"/>
        <w:bottom w:val="none" w:sz="0" w:space="0" w:color="auto"/>
        <w:right w:val="none" w:sz="0" w:space="0" w:color="auto"/>
      </w:divBdr>
    </w:div>
    <w:div w:id="436825943">
      <w:bodyDiv w:val="1"/>
      <w:marLeft w:val="0"/>
      <w:marRight w:val="0"/>
      <w:marTop w:val="0"/>
      <w:marBottom w:val="0"/>
      <w:divBdr>
        <w:top w:val="none" w:sz="0" w:space="0" w:color="auto"/>
        <w:left w:val="none" w:sz="0" w:space="0" w:color="auto"/>
        <w:bottom w:val="none" w:sz="0" w:space="0" w:color="auto"/>
        <w:right w:val="none" w:sz="0" w:space="0" w:color="auto"/>
      </w:divBdr>
      <w:divsChild>
        <w:div w:id="364334276">
          <w:marLeft w:val="0"/>
          <w:marRight w:val="446"/>
          <w:marTop w:val="106"/>
          <w:marBottom w:val="120"/>
          <w:divBdr>
            <w:top w:val="none" w:sz="0" w:space="0" w:color="auto"/>
            <w:left w:val="none" w:sz="0" w:space="0" w:color="auto"/>
            <w:bottom w:val="none" w:sz="0" w:space="0" w:color="auto"/>
            <w:right w:val="none" w:sz="0" w:space="0" w:color="auto"/>
          </w:divBdr>
        </w:div>
      </w:divsChild>
    </w:div>
    <w:div w:id="437337464">
      <w:bodyDiv w:val="1"/>
      <w:marLeft w:val="0"/>
      <w:marRight w:val="0"/>
      <w:marTop w:val="0"/>
      <w:marBottom w:val="0"/>
      <w:divBdr>
        <w:top w:val="none" w:sz="0" w:space="0" w:color="auto"/>
        <w:left w:val="none" w:sz="0" w:space="0" w:color="auto"/>
        <w:bottom w:val="none" w:sz="0" w:space="0" w:color="auto"/>
        <w:right w:val="none" w:sz="0" w:space="0" w:color="auto"/>
      </w:divBdr>
      <w:divsChild>
        <w:div w:id="608202470">
          <w:marLeft w:val="0"/>
          <w:marRight w:val="0"/>
          <w:marTop w:val="0"/>
          <w:marBottom w:val="0"/>
          <w:divBdr>
            <w:top w:val="none" w:sz="0" w:space="0" w:color="auto"/>
            <w:left w:val="none" w:sz="0" w:space="0" w:color="auto"/>
            <w:bottom w:val="none" w:sz="0" w:space="0" w:color="auto"/>
            <w:right w:val="none" w:sz="0" w:space="0" w:color="auto"/>
          </w:divBdr>
        </w:div>
        <w:div w:id="530991303">
          <w:marLeft w:val="0"/>
          <w:marRight w:val="0"/>
          <w:marTop w:val="0"/>
          <w:marBottom w:val="0"/>
          <w:divBdr>
            <w:top w:val="none" w:sz="0" w:space="0" w:color="auto"/>
            <w:left w:val="none" w:sz="0" w:space="0" w:color="auto"/>
            <w:bottom w:val="none" w:sz="0" w:space="0" w:color="auto"/>
            <w:right w:val="none" w:sz="0" w:space="0" w:color="auto"/>
          </w:divBdr>
        </w:div>
      </w:divsChild>
    </w:div>
    <w:div w:id="441220479">
      <w:bodyDiv w:val="1"/>
      <w:marLeft w:val="0"/>
      <w:marRight w:val="0"/>
      <w:marTop w:val="0"/>
      <w:marBottom w:val="0"/>
      <w:divBdr>
        <w:top w:val="none" w:sz="0" w:space="0" w:color="auto"/>
        <w:left w:val="none" w:sz="0" w:space="0" w:color="auto"/>
        <w:bottom w:val="none" w:sz="0" w:space="0" w:color="auto"/>
        <w:right w:val="none" w:sz="0" w:space="0" w:color="auto"/>
      </w:divBdr>
    </w:div>
    <w:div w:id="443577429">
      <w:bodyDiv w:val="1"/>
      <w:marLeft w:val="0"/>
      <w:marRight w:val="0"/>
      <w:marTop w:val="0"/>
      <w:marBottom w:val="0"/>
      <w:divBdr>
        <w:top w:val="none" w:sz="0" w:space="0" w:color="auto"/>
        <w:left w:val="none" w:sz="0" w:space="0" w:color="auto"/>
        <w:bottom w:val="none" w:sz="0" w:space="0" w:color="auto"/>
        <w:right w:val="none" w:sz="0" w:space="0" w:color="auto"/>
      </w:divBdr>
    </w:div>
    <w:div w:id="453449710">
      <w:bodyDiv w:val="1"/>
      <w:marLeft w:val="0"/>
      <w:marRight w:val="0"/>
      <w:marTop w:val="0"/>
      <w:marBottom w:val="0"/>
      <w:divBdr>
        <w:top w:val="none" w:sz="0" w:space="0" w:color="auto"/>
        <w:left w:val="none" w:sz="0" w:space="0" w:color="auto"/>
        <w:bottom w:val="none" w:sz="0" w:space="0" w:color="auto"/>
        <w:right w:val="none" w:sz="0" w:space="0" w:color="auto"/>
      </w:divBdr>
    </w:div>
    <w:div w:id="454910842">
      <w:bodyDiv w:val="1"/>
      <w:marLeft w:val="0"/>
      <w:marRight w:val="0"/>
      <w:marTop w:val="0"/>
      <w:marBottom w:val="0"/>
      <w:divBdr>
        <w:top w:val="none" w:sz="0" w:space="0" w:color="auto"/>
        <w:left w:val="none" w:sz="0" w:space="0" w:color="auto"/>
        <w:bottom w:val="none" w:sz="0" w:space="0" w:color="auto"/>
        <w:right w:val="none" w:sz="0" w:space="0" w:color="auto"/>
      </w:divBdr>
    </w:div>
    <w:div w:id="456265956">
      <w:bodyDiv w:val="1"/>
      <w:marLeft w:val="0"/>
      <w:marRight w:val="0"/>
      <w:marTop w:val="0"/>
      <w:marBottom w:val="0"/>
      <w:divBdr>
        <w:top w:val="none" w:sz="0" w:space="0" w:color="auto"/>
        <w:left w:val="none" w:sz="0" w:space="0" w:color="auto"/>
        <w:bottom w:val="none" w:sz="0" w:space="0" w:color="auto"/>
        <w:right w:val="none" w:sz="0" w:space="0" w:color="auto"/>
      </w:divBdr>
      <w:divsChild>
        <w:div w:id="1547134524">
          <w:marLeft w:val="0"/>
          <w:marRight w:val="446"/>
          <w:marTop w:val="115"/>
          <w:marBottom w:val="120"/>
          <w:divBdr>
            <w:top w:val="none" w:sz="0" w:space="0" w:color="auto"/>
            <w:left w:val="none" w:sz="0" w:space="0" w:color="auto"/>
            <w:bottom w:val="none" w:sz="0" w:space="0" w:color="auto"/>
            <w:right w:val="none" w:sz="0" w:space="0" w:color="auto"/>
          </w:divBdr>
        </w:div>
        <w:div w:id="322978390">
          <w:marLeft w:val="0"/>
          <w:marRight w:val="446"/>
          <w:marTop w:val="115"/>
          <w:marBottom w:val="120"/>
          <w:divBdr>
            <w:top w:val="none" w:sz="0" w:space="0" w:color="auto"/>
            <w:left w:val="none" w:sz="0" w:space="0" w:color="auto"/>
            <w:bottom w:val="none" w:sz="0" w:space="0" w:color="auto"/>
            <w:right w:val="none" w:sz="0" w:space="0" w:color="auto"/>
          </w:divBdr>
        </w:div>
        <w:div w:id="896860840">
          <w:marLeft w:val="0"/>
          <w:marRight w:val="446"/>
          <w:marTop w:val="115"/>
          <w:marBottom w:val="120"/>
          <w:divBdr>
            <w:top w:val="none" w:sz="0" w:space="0" w:color="auto"/>
            <w:left w:val="none" w:sz="0" w:space="0" w:color="auto"/>
            <w:bottom w:val="none" w:sz="0" w:space="0" w:color="auto"/>
            <w:right w:val="none" w:sz="0" w:space="0" w:color="auto"/>
          </w:divBdr>
        </w:div>
        <w:div w:id="595091090">
          <w:marLeft w:val="0"/>
          <w:marRight w:val="446"/>
          <w:marTop w:val="115"/>
          <w:marBottom w:val="120"/>
          <w:divBdr>
            <w:top w:val="none" w:sz="0" w:space="0" w:color="auto"/>
            <w:left w:val="none" w:sz="0" w:space="0" w:color="auto"/>
            <w:bottom w:val="none" w:sz="0" w:space="0" w:color="auto"/>
            <w:right w:val="none" w:sz="0" w:space="0" w:color="auto"/>
          </w:divBdr>
        </w:div>
      </w:divsChild>
    </w:div>
    <w:div w:id="458381360">
      <w:bodyDiv w:val="1"/>
      <w:marLeft w:val="0"/>
      <w:marRight w:val="0"/>
      <w:marTop w:val="0"/>
      <w:marBottom w:val="0"/>
      <w:divBdr>
        <w:top w:val="none" w:sz="0" w:space="0" w:color="auto"/>
        <w:left w:val="none" w:sz="0" w:space="0" w:color="auto"/>
        <w:bottom w:val="none" w:sz="0" w:space="0" w:color="auto"/>
        <w:right w:val="none" w:sz="0" w:space="0" w:color="auto"/>
      </w:divBdr>
      <w:divsChild>
        <w:div w:id="1491210687">
          <w:marLeft w:val="0"/>
          <w:marRight w:val="446"/>
          <w:marTop w:val="96"/>
          <w:marBottom w:val="120"/>
          <w:divBdr>
            <w:top w:val="none" w:sz="0" w:space="0" w:color="auto"/>
            <w:left w:val="none" w:sz="0" w:space="0" w:color="auto"/>
            <w:bottom w:val="none" w:sz="0" w:space="0" w:color="auto"/>
            <w:right w:val="none" w:sz="0" w:space="0" w:color="auto"/>
          </w:divBdr>
        </w:div>
        <w:div w:id="1351031408">
          <w:marLeft w:val="0"/>
          <w:marRight w:val="446"/>
          <w:marTop w:val="96"/>
          <w:marBottom w:val="120"/>
          <w:divBdr>
            <w:top w:val="none" w:sz="0" w:space="0" w:color="auto"/>
            <w:left w:val="none" w:sz="0" w:space="0" w:color="auto"/>
            <w:bottom w:val="none" w:sz="0" w:space="0" w:color="auto"/>
            <w:right w:val="none" w:sz="0" w:space="0" w:color="auto"/>
          </w:divBdr>
        </w:div>
        <w:div w:id="300772430">
          <w:marLeft w:val="0"/>
          <w:marRight w:val="446"/>
          <w:marTop w:val="96"/>
          <w:marBottom w:val="120"/>
          <w:divBdr>
            <w:top w:val="none" w:sz="0" w:space="0" w:color="auto"/>
            <w:left w:val="none" w:sz="0" w:space="0" w:color="auto"/>
            <w:bottom w:val="none" w:sz="0" w:space="0" w:color="auto"/>
            <w:right w:val="none" w:sz="0" w:space="0" w:color="auto"/>
          </w:divBdr>
        </w:div>
      </w:divsChild>
    </w:div>
    <w:div w:id="460658454">
      <w:bodyDiv w:val="1"/>
      <w:marLeft w:val="0"/>
      <w:marRight w:val="0"/>
      <w:marTop w:val="0"/>
      <w:marBottom w:val="0"/>
      <w:divBdr>
        <w:top w:val="none" w:sz="0" w:space="0" w:color="auto"/>
        <w:left w:val="none" w:sz="0" w:space="0" w:color="auto"/>
        <w:bottom w:val="none" w:sz="0" w:space="0" w:color="auto"/>
        <w:right w:val="none" w:sz="0" w:space="0" w:color="auto"/>
      </w:divBdr>
    </w:div>
    <w:div w:id="463742680">
      <w:bodyDiv w:val="1"/>
      <w:marLeft w:val="0"/>
      <w:marRight w:val="0"/>
      <w:marTop w:val="0"/>
      <w:marBottom w:val="0"/>
      <w:divBdr>
        <w:top w:val="none" w:sz="0" w:space="0" w:color="auto"/>
        <w:left w:val="none" w:sz="0" w:space="0" w:color="auto"/>
        <w:bottom w:val="none" w:sz="0" w:space="0" w:color="auto"/>
        <w:right w:val="none" w:sz="0" w:space="0" w:color="auto"/>
      </w:divBdr>
    </w:div>
    <w:div w:id="466162769">
      <w:bodyDiv w:val="1"/>
      <w:marLeft w:val="0"/>
      <w:marRight w:val="0"/>
      <w:marTop w:val="0"/>
      <w:marBottom w:val="0"/>
      <w:divBdr>
        <w:top w:val="none" w:sz="0" w:space="0" w:color="auto"/>
        <w:left w:val="none" w:sz="0" w:space="0" w:color="auto"/>
        <w:bottom w:val="none" w:sz="0" w:space="0" w:color="auto"/>
        <w:right w:val="none" w:sz="0" w:space="0" w:color="auto"/>
      </w:divBdr>
      <w:divsChild>
        <w:div w:id="1031342448">
          <w:marLeft w:val="0"/>
          <w:marRight w:val="446"/>
          <w:marTop w:val="115"/>
          <w:marBottom w:val="120"/>
          <w:divBdr>
            <w:top w:val="none" w:sz="0" w:space="0" w:color="auto"/>
            <w:left w:val="none" w:sz="0" w:space="0" w:color="auto"/>
            <w:bottom w:val="none" w:sz="0" w:space="0" w:color="auto"/>
            <w:right w:val="none" w:sz="0" w:space="0" w:color="auto"/>
          </w:divBdr>
        </w:div>
      </w:divsChild>
    </w:div>
    <w:div w:id="474757161">
      <w:bodyDiv w:val="1"/>
      <w:marLeft w:val="0"/>
      <w:marRight w:val="0"/>
      <w:marTop w:val="0"/>
      <w:marBottom w:val="0"/>
      <w:divBdr>
        <w:top w:val="none" w:sz="0" w:space="0" w:color="auto"/>
        <w:left w:val="none" w:sz="0" w:space="0" w:color="auto"/>
        <w:bottom w:val="none" w:sz="0" w:space="0" w:color="auto"/>
        <w:right w:val="none" w:sz="0" w:space="0" w:color="auto"/>
      </w:divBdr>
      <w:divsChild>
        <w:div w:id="532614977">
          <w:marLeft w:val="0"/>
          <w:marRight w:val="979"/>
          <w:marTop w:val="106"/>
          <w:marBottom w:val="120"/>
          <w:divBdr>
            <w:top w:val="none" w:sz="0" w:space="0" w:color="auto"/>
            <w:left w:val="none" w:sz="0" w:space="0" w:color="auto"/>
            <w:bottom w:val="none" w:sz="0" w:space="0" w:color="auto"/>
            <w:right w:val="none" w:sz="0" w:space="0" w:color="auto"/>
          </w:divBdr>
        </w:div>
        <w:div w:id="1023478171">
          <w:marLeft w:val="0"/>
          <w:marRight w:val="979"/>
          <w:marTop w:val="106"/>
          <w:marBottom w:val="120"/>
          <w:divBdr>
            <w:top w:val="none" w:sz="0" w:space="0" w:color="auto"/>
            <w:left w:val="none" w:sz="0" w:space="0" w:color="auto"/>
            <w:bottom w:val="none" w:sz="0" w:space="0" w:color="auto"/>
            <w:right w:val="none" w:sz="0" w:space="0" w:color="auto"/>
          </w:divBdr>
        </w:div>
        <w:div w:id="1556619771">
          <w:marLeft w:val="0"/>
          <w:marRight w:val="979"/>
          <w:marTop w:val="106"/>
          <w:marBottom w:val="120"/>
          <w:divBdr>
            <w:top w:val="none" w:sz="0" w:space="0" w:color="auto"/>
            <w:left w:val="none" w:sz="0" w:space="0" w:color="auto"/>
            <w:bottom w:val="none" w:sz="0" w:space="0" w:color="auto"/>
            <w:right w:val="none" w:sz="0" w:space="0" w:color="auto"/>
          </w:divBdr>
        </w:div>
      </w:divsChild>
    </w:div>
    <w:div w:id="475033726">
      <w:bodyDiv w:val="1"/>
      <w:marLeft w:val="0"/>
      <w:marRight w:val="0"/>
      <w:marTop w:val="0"/>
      <w:marBottom w:val="0"/>
      <w:divBdr>
        <w:top w:val="none" w:sz="0" w:space="0" w:color="auto"/>
        <w:left w:val="none" w:sz="0" w:space="0" w:color="auto"/>
        <w:bottom w:val="none" w:sz="0" w:space="0" w:color="auto"/>
        <w:right w:val="none" w:sz="0" w:space="0" w:color="auto"/>
      </w:divBdr>
    </w:div>
    <w:div w:id="477962522">
      <w:bodyDiv w:val="1"/>
      <w:marLeft w:val="0"/>
      <w:marRight w:val="0"/>
      <w:marTop w:val="0"/>
      <w:marBottom w:val="0"/>
      <w:divBdr>
        <w:top w:val="none" w:sz="0" w:space="0" w:color="auto"/>
        <w:left w:val="none" w:sz="0" w:space="0" w:color="auto"/>
        <w:bottom w:val="none" w:sz="0" w:space="0" w:color="auto"/>
        <w:right w:val="none" w:sz="0" w:space="0" w:color="auto"/>
      </w:divBdr>
    </w:div>
    <w:div w:id="482965829">
      <w:bodyDiv w:val="1"/>
      <w:marLeft w:val="0"/>
      <w:marRight w:val="0"/>
      <w:marTop w:val="0"/>
      <w:marBottom w:val="0"/>
      <w:divBdr>
        <w:top w:val="none" w:sz="0" w:space="0" w:color="auto"/>
        <w:left w:val="none" w:sz="0" w:space="0" w:color="auto"/>
        <w:bottom w:val="none" w:sz="0" w:space="0" w:color="auto"/>
        <w:right w:val="none" w:sz="0" w:space="0" w:color="auto"/>
      </w:divBdr>
    </w:div>
    <w:div w:id="486020932">
      <w:bodyDiv w:val="1"/>
      <w:marLeft w:val="0"/>
      <w:marRight w:val="0"/>
      <w:marTop w:val="0"/>
      <w:marBottom w:val="0"/>
      <w:divBdr>
        <w:top w:val="none" w:sz="0" w:space="0" w:color="auto"/>
        <w:left w:val="none" w:sz="0" w:space="0" w:color="auto"/>
        <w:bottom w:val="none" w:sz="0" w:space="0" w:color="auto"/>
        <w:right w:val="none" w:sz="0" w:space="0" w:color="auto"/>
      </w:divBdr>
    </w:div>
    <w:div w:id="510218511">
      <w:bodyDiv w:val="1"/>
      <w:marLeft w:val="0"/>
      <w:marRight w:val="0"/>
      <w:marTop w:val="0"/>
      <w:marBottom w:val="0"/>
      <w:divBdr>
        <w:top w:val="none" w:sz="0" w:space="0" w:color="auto"/>
        <w:left w:val="none" w:sz="0" w:space="0" w:color="auto"/>
        <w:bottom w:val="none" w:sz="0" w:space="0" w:color="auto"/>
        <w:right w:val="none" w:sz="0" w:space="0" w:color="auto"/>
      </w:divBdr>
    </w:div>
    <w:div w:id="510218629">
      <w:bodyDiv w:val="1"/>
      <w:marLeft w:val="0"/>
      <w:marRight w:val="0"/>
      <w:marTop w:val="0"/>
      <w:marBottom w:val="0"/>
      <w:divBdr>
        <w:top w:val="none" w:sz="0" w:space="0" w:color="auto"/>
        <w:left w:val="none" w:sz="0" w:space="0" w:color="auto"/>
        <w:bottom w:val="none" w:sz="0" w:space="0" w:color="auto"/>
        <w:right w:val="none" w:sz="0" w:space="0" w:color="auto"/>
      </w:divBdr>
    </w:div>
    <w:div w:id="510263789">
      <w:bodyDiv w:val="1"/>
      <w:marLeft w:val="0"/>
      <w:marRight w:val="0"/>
      <w:marTop w:val="0"/>
      <w:marBottom w:val="0"/>
      <w:divBdr>
        <w:top w:val="none" w:sz="0" w:space="0" w:color="auto"/>
        <w:left w:val="none" w:sz="0" w:space="0" w:color="auto"/>
        <w:bottom w:val="none" w:sz="0" w:space="0" w:color="auto"/>
        <w:right w:val="none" w:sz="0" w:space="0" w:color="auto"/>
      </w:divBdr>
    </w:div>
    <w:div w:id="513031859">
      <w:bodyDiv w:val="1"/>
      <w:marLeft w:val="0"/>
      <w:marRight w:val="0"/>
      <w:marTop w:val="0"/>
      <w:marBottom w:val="0"/>
      <w:divBdr>
        <w:top w:val="none" w:sz="0" w:space="0" w:color="auto"/>
        <w:left w:val="none" w:sz="0" w:space="0" w:color="auto"/>
        <w:bottom w:val="none" w:sz="0" w:space="0" w:color="auto"/>
        <w:right w:val="none" w:sz="0" w:space="0" w:color="auto"/>
      </w:divBdr>
    </w:div>
    <w:div w:id="547844494">
      <w:bodyDiv w:val="1"/>
      <w:marLeft w:val="0"/>
      <w:marRight w:val="0"/>
      <w:marTop w:val="0"/>
      <w:marBottom w:val="0"/>
      <w:divBdr>
        <w:top w:val="none" w:sz="0" w:space="0" w:color="auto"/>
        <w:left w:val="none" w:sz="0" w:space="0" w:color="auto"/>
        <w:bottom w:val="none" w:sz="0" w:space="0" w:color="auto"/>
        <w:right w:val="none" w:sz="0" w:space="0" w:color="auto"/>
      </w:divBdr>
    </w:div>
    <w:div w:id="568078549">
      <w:bodyDiv w:val="1"/>
      <w:marLeft w:val="0"/>
      <w:marRight w:val="0"/>
      <w:marTop w:val="0"/>
      <w:marBottom w:val="0"/>
      <w:divBdr>
        <w:top w:val="none" w:sz="0" w:space="0" w:color="auto"/>
        <w:left w:val="none" w:sz="0" w:space="0" w:color="auto"/>
        <w:bottom w:val="none" w:sz="0" w:space="0" w:color="auto"/>
        <w:right w:val="none" w:sz="0" w:space="0" w:color="auto"/>
      </w:divBdr>
    </w:div>
    <w:div w:id="578293742">
      <w:bodyDiv w:val="1"/>
      <w:marLeft w:val="0"/>
      <w:marRight w:val="0"/>
      <w:marTop w:val="0"/>
      <w:marBottom w:val="0"/>
      <w:divBdr>
        <w:top w:val="none" w:sz="0" w:space="0" w:color="auto"/>
        <w:left w:val="none" w:sz="0" w:space="0" w:color="auto"/>
        <w:bottom w:val="none" w:sz="0" w:space="0" w:color="auto"/>
        <w:right w:val="none" w:sz="0" w:space="0" w:color="auto"/>
      </w:divBdr>
    </w:div>
    <w:div w:id="580791752">
      <w:bodyDiv w:val="1"/>
      <w:marLeft w:val="0"/>
      <w:marRight w:val="0"/>
      <w:marTop w:val="0"/>
      <w:marBottom w:val="0"/>
      <w:divBdr>
        <w:top w:val="none" w:sz="0" w:space="0" w:color="auto"/>
        <w:left w:val="none" w:sz="0" w:space="0" w:color="auto"/>
        <w:bottom w:val="none" w:sz="0" w:space="0" w:color="auto"/>
        <w:right w:val="none" w:sz="0" w:space="0" w:color="auto"/>
      </w:divBdr>
      <w:divsChild>
        <w:div w:id="1271669417">
          <w:marLeft w:val="0"/>
          <w:marRight w:val="0"/>
          <w:marTop w:val="0"/>
          <w:marBottom w:val="0"/>
          <w:divBdr>
            <w:top w:val="none" w:sz="0" w:space="0" w:color="auto"/>
            <w:left w:val="none" w:sz="0" w:space="0" w:color="auto"/>
            <w:bottom w:val="none" w:sz="0" w:space="0" w:color="auto"/>
            <w:right w:val="none" w:sz="0" w:space="0" w:color="auto"/>
          </w:divBdr>
        </w:div>
        <w:div w:id="1053309382">
          <w:marLeft w:val="0"/>
          <w:marRight w:val="0"/>
          <w:marTop w:val="0"/>
          <w:marBottom w:val="0"/>
          <w:divBdr>
            <w:top w:val="none" w:sz="0" w:space="0" w:color="auto"/>
            <w:left w:val="none" w:sz="0" w:space="0" w:color="auto"/>
            <w:bottom w:val="none" w:sz="0" w:space="0" w:color="auto"/>
            <w:right w:val="none" w:sz="0" w:space="0" w:color="auto"/>
          </w:divBdr>
        </w:div>
        <w:div w:id="114443120">
          <w:marLeft w:val="0"/>
          <w:marRight w:val="0"/>
          <w:marTop w:val="0"/>
          <w:marBottom w:val="0"/>
          <w:divBdr>
            <w:top w:val="none" w:sz="0" w:space="0" w:color="auto"/>
            <w:left w:val="none" w:sz="0" w:space="0" w:color="auto"/>
            <w:bottom w:val="none" w:sz="0" w:space="0" w:color="auto"/>
            <w:right w:val="none" w:sz="0" w:space="0" w:color="auto"/>
          </w:divBdr>
        </w:div>
        <w:div w:id="748308561">
          <w:marLeft w:val="0"/>
          <w:marRight w:val="0"/>
          <w:marTop w:val="0"/>
          <w:marBottom w:val="0"/>
          <w:divBdr>
            <w:top w:val="none" w:sz="0" w:space="0" w:color="auto"/>
            <w:left w:val="none" w:sz="0" w:space="0" w:color="auto"/>
            <w:bottom w:val="none" w:sz="0" w:space="0" w:color="auto"/>
            <w:right w:val="none" w:sz="0" w:space="0" w:color="auto"/>
          </w:divBdr>
        </w:div>
        <w:div w:id="1829127497">
          <w:marLeft w:val="0"/>
          <w:marRight w:val="0"/>
          <w:marTop w:val="0"/>
          <w:marBottom w:val="0"/>
          <w:divBdr>
            <w:top w:val="none" w:sz="0" w:space="0" w:color="auto"/>
            <w:left w:val="none" w:sz="0" w:space="0" w:color="auto"/>
            <w:bottom w:val="none" w:sz="0" w:space="0" w:color="auto"/>
            <w:right w:val="none" w:sz="0" w:space="0" w:color="auto"/>
          </w:divBdr>
        </w:div>
      </w:divsChild>
    </w:div>
    <w:div w:id="585772849">
      <w:bodyDiv w:val="1"/>
      <w:marLeft w:val="0"/>
      <w:marRight w:val="0"/>
      <w:marTop w:val="0"/>
      <w:marBottom w:val="0"/>
      <w:divBdr>
        <w:top w:val="none" w:sz="0" w:space="0" w:color="auto"/>
        <w:left w:val="none" w:sz="0" w:space="0" w:color="auto"/>
        <w:bottom w:val="none" w:sz="0" w:space="0" w:color="auto"/>
        <w:right w:val="none" w:sz="0" w:space="0" w:color="auto"/>
      </w:divBdr>
    </w:div>
    <w:div w:id="593171643">
      <w:bodyDiv w:val="1"/>
      <w:marLeft w:val="0"/>
      <w:marRight w:val="0"/>
      <w:marTop w:val="0"/>
      <w:marBottom w:val="0"/>
      <w:divBdr>
        <w:top w:val="none" w:sz="0" w:space="0" w:color="auto"/>
        <w:left w:val="none" w:sz="0" w:space="0" w:color="auto"/>
        <w:bottom w:val="none" w:sz="0" w:space="0" w:color="auto"/>
        <w:right w:val="none" w:sz="0" w:space="0" w:color="auto"/>
      </w:divBdr>
    </w:div>
    <w:div w:id="596906957">
      <w:bodyDiv w:val="1"/>
      <w:marLeft w:val="0"/>
      <w:marRight w:val="0"/>
      <w:marTop w:val="0"/>
      <w:marBottom w:val="0"/>
      <w:divBdr>
        <w:top w:val="none" w:sz="0" w:space="0" w:color="auto"/>
        <w:left w:val="none" w:sz="0" w:space="0" w:color="auto"/>
        <w:bottom w:val="none" w:sz="0" w:space="0" w:color="auto"/>
        <w:right w:val="none" w:sz="0" w:space="0" w:color="auto"/>
      </w:divBdr>
      <w:divsChild>
        <w:div w:id="161743740">
          <w:marLeft w:val="0"/>
          <w:marRight w:val="0"/>
          <w:marTop w:val="0"/>
          <w:marBottom w:val="0"/>
          <w:divBdr>
            <w:top w:val="none" w:sz="0" w:space="0" w:color="auto"/>
            <w:left w:val="none" w:sz="0" w:space="0" w:color="auto"/>
            <w:bottom w:val="none" w:sz="0" w:space="0" w:color="auto"/>
            <w:right w:val="none" w:sz="0" w:space="0" w:color="auto"/>
          </w:divBdr>
        </w:div>
      </w:divsChild>
    </w:div>
    <w:div w:id="600721270">
      <w:bodyDiv w:val="1"/>
      <w:marLeft w:val="0"/>
      <w:marRight w:val="0"/>
      <w:marTop w:val="0"/>
      <w:marBottom w:val="0"/>
      <w:divBdr>
        <w:top w:val="none" w:sz="0" w:space="0" w:color="auto"/>
        <w:left w:val="none" w:sz="0" w:space="0" w:color="auto"/>
        <w:bottom w:val="none" w:sz="0" w:space="0" w:color="auto"/>
        <w:right w:val="none" w:sz="0" w:space="0" w:color="auto"/>
      </w:divBdr>
      <w:divsChild>
        <w:div w:id="1915621579">
          <w:marLeft w:val="0"/>
          <w:marRight w:val="446"/>
          <w:marTop w:val="115"/>
          <w:marBottom w:val="120"/>
          <w:divBdr>
            <w:top w:val="none" w:sz="0" w:space="0" w:color="auto"/>
            <w:left w:val="none" w:sz="0" w:space="0" w:color="auto"/>
            <w:bottom w:val="none" w:sz="0" w:space="0" w:color="auto"/>
            <w:right w:val="none" w:sz="0" w:space="0" w:color="auto"/>
          </w:divBdr>
        </w:div>
        <w:div w:id="1520776023">
          <w:marLeft w:val="0"/>
          <w:marRight w:val="446"/>
          <w:marTop w:val="115"/>
          <w:marBottom w:val="120"/>
          <w:divBdr>
            <w:top w:val="none" w:sz="0" w:space="0" w:color="auto"/>
            <w:left w:val="none" w:sz="0" w:space="0" w:color="auto"/>
            <w:bottom w:val="none" w:sz="0" w:space="0" w:color="auto"/>
            <w:right w:val="none" w:sz="0" w:space="0" w:color="auto"/>
          </w:divBdr>
        </w:div>
        <w:div w:id="969749345">
          <w:marLeft w:val="0"/>
          <w:marRight w:val="446"/>
          <w:marTop w:val="115"/>
          <w:marBottom w:val="120"/>
          <w:divBdr>
            <w:top w:val="none" w:sz="0" w:space="0" w:color="auto"/>
            <w:left w:val="none" w:sz="0" w:space="0" w:color="auto"/>
            <w:bottom w:val="none" w:sz="0" w:space="0" w:color="auto"/>
            <w:right w:val="none" w:sz="0" w:space="0" w:color="auto"/>
          </w:divBdr>
        </w:div>
        <w:div w:id="1532718706">
          <w:marLeft w:val="0"/>
          <w:marRight w:val="446"/>
          <w:marTop w:val="115"/>
          <w:marBottom w:val="120"/>
          <w:divBdr>
            <w:top w:val="none" w:sz="0" w:space="0" w:color="auto"/>
            <w:left w:val="none" w:sz="0" w:space="0" w:color="auto"/>
            <w:bottom w:val="none" w:sz="0" w:space="0" w:color="auto"/>
            <w:right w:val="none" w:sz="0" w:space="0" w:color="auto"/>
          </w:divBdr>
        </w:div>
      </w:divsChild>
    </w:div>
    <w:div w:id="602617003">
      <w:bodyDiv w:val="1"/>
      <w:marLeft w:val="0"/>
      <w:marRight w:val="0"/>
      <w:marTop w:val="0"/>
      <w:marBottom w:val="0"/>
      <w:divBdr>
        <w:top w:val="none" w:sz="0" w:space="0" w:color="auto"/>
        <w:left w:val="none" w:sz="0" w:space="0" w:color="auto"/>
        <w:bottom w:val="none" w:sz="0" w:space="0" w:color="auto"/>
        <w:right w:val="none" w:sz="0" w:space="0" w:color="auto"/>
      </w:divBdr>
    </w:div>
    <w:div w:id="616107476">
      <w:bodyDiv w:val="1"/>
      <w:marLeft w:val="0"/>
      <w:marRight w:val="0"/>
      <w:marTop w:val="0"/>
      <w:marBottom w:val="0"/>
      <w:divBdr>
        <w:top w:val="none" w:sz="0" w:space="0" w:color="auto"/>
        <w:left w:val="none" w:sz="0" w:space="0" w:color="auto"/>
        <w:bottom w:val="none" w:sz="0" w:space="0" w:color="auto"/>
        <w:right w:val="none" w:sz="0" w:space="0" w:color="auto"/>
      </w:divBdr>
    </w:div>
    <w:div w:id="622152997">
      <w:bodyDiv w:val="1"/>
      <w:marLeft w:val="0"/>
      <w:marRight w:val="0"/>
      <w:marTop w:val="0"/>
      <w:marBottom w:val="0"/>
      <w:divBdr>
        <w:top w:val="none" w:sz="0" w:space="0" w:color="auto"/>
        <w:left w:val="none" w:sz="0" w:space="0" w:color="auto"/>
        <w:bottom w:val="none" w:sz="0" w:space="0" w:color="auto"/>
        <w:right w:val="none" w:sz="0" w:space="0" w:color="auto"/>
      </w:divBdr>
    </w:div>
    <w:div w:id="623075583">
      <w:bodyDiv w:val="1"/>
      <w:marLeft w:val="0"/>
      <w:marRight w:val="0"/>
      <w:marTop w:val="0"/>
      <w:marBottom w:val="0"/>
      <w:divBdr>
        <w:top w:val="none" w:sz="0" w:space="0" w:color="auto"/>
        <w:left w:val="none" w:sz="0" w:space="0" w:color="auto"/>
        <w:bottom w:val="none" w:sz="0" w:space="0" w:color="auto"/>
        <w:right w:val="none" w:sz="0" w:space="0" w:color="auto"/>
      </w:divBdr>
      <w:divsChild>
        <w:div w:id="1145582512">
          <w:marLeft w:val="0"/>
          <w:marRight w:val="0"/>
          <w:marTop w:val="0"/>
          <w:marBottom w:val="0"/>
          <w:divBdr>
            <w:top w:val="none" w:sz="0" w:space="0" w:color="auto"/>
            <w:left w:val="none" w:sz="0" w:space="0" w:color="auto"/>
            <w:bottom w:val="none" w:sz="0" w:space="0" w:color="auto"/>
            <w:right w:val="none" w:sz="0" w:space="0" w:color="auto"/>
          </w:divBdr>
        </w:div>
        <w:div w:id="77022942">
          <w:marLeft w:val="0"/>
          <w:marRight w:val="0"/>
          <w:marTop w:val="0"/>
          <w:marBottom w:val="0"/>
          <w:divBdr>
            <w:top w:val="none" w:sz="0" w:space="0" w:color="auto"/>
            <w:left w:val="none" w:sz="0" w:space="0" w:color="auto"/>
            <w:bottom w:val="none" w:sz="0" w:space="0" w:color="auto"/>
            <w:right w:val="none" w:sz="0" w:space="0" w:color="auto"/>
          </w:divBdr>
        </w:div>
        <w:div w:id="1185749133">
          <w:marLeft w:val="0"/>
          <w:marRight w:val="0"/>
          <w:marTop w:val="0"/>
          <w:marBottom w:val="0"/>
          <w:divBdr>
            <w:top w:val="none" w:sz="0" w:space="0" w:color="auto"/>
            <w:left w:val="none" w:sz="0" w:space="0" w:color="auto"/>
            <w:bottom w:val="none" w:sz="0" w:space="0" w:color="auto"/>
            <w:right w:val="none" w:sz="0" w:space="0" w:color="auto"/>
          </w:divBdr>
        </w:div>
        <w:div w:id="1882090959">
          <w:marLeft w:val="0"/>
          <w:marRight w:val="0"/>
          <w:marTop w:val="0"/>
          <w:marBottom w:val="0"/>
          <w:divBdr>
            <w:top w:val="none" w:sz="0" w:space="0" w:color="auto"/>
            <w:left w:val="none" w:sz="0" w:space="0" w:color="auto"/>
            <w:bottom w:val="none" w:sz="0" w:space="0" w:color="auto"/>
            <w:right w:val="none" w:sz="0" w:space="0" w:color="auto"/>
          </w:divBdr>
        </w:div>
        <w:div w:id="905380686">
          <w:marLeft w:val="0"/>
          <w:marRight w:val="0"/>
          <w:marTop w:val="0"/>
          <w:marBottom w:val="0"/>
          <w:divBdr>
            <w:top w:val="none" w:sz="0" w:space="0" w:color="auto"/>
            <w:left w:val="none" w:sz="0" w:space="0" w:color="auto"/>
            <w:bottom w:val="none" w:sz="0" w:space="0" w:color="auto"/>
            <w:right w:val="none" w:sz="0" w:space="0" w:color="auto"/>
          </w:divBdr>
        </w:div>
        <w:div w:id="1378361998">
          <w:marLeft w:val="0"/>
          <w:marRight w:val="0"/>
          <w:marTop w:val="0"/>
          <w:marBottom w:val="0"/>
          <w:divBdr>
            <w:top w:val="none" w:sz="0" w:space="0" w:color="auto"/>
            <w:left w:val="none" w:sz="0" w:space="0" w:color="auto"/>
            <w:bottom w:val="none" w:sz="0" w:space="0" w:color="auto"/>
            <w:right w:val="none" w:sz="0" w:space="0" w:color="auto"/>
          </w:divBdr>
        </w:div>
        <w:div w:id="640967077">
          <w:marLeft w:val="0"/>
          <w:marRight w:val="0"/>
          <w:marTop w:val="0"/>
          <w:marBottom w:val="0"/>
          <w:divBdr>
            <w:top w:val="none" w:sz="0" w:space="0" w:color="auto"/>
            <w:left w:val="none" w:sz="0" w:space="0" w:color="auto"/>
            <w:bottom w:val="none" w:sz="0" w:space="0" w:color="auto"/>
            <w:right w:val="none" w:sz="0" w:space="0" w:color="auto"/>
          </w:divBdr>
        </w:div>
        <w:div w:id="589970628">
          <w:marLeft w:val="0"/>
          <w:marRight w:val="0"/>
          <w:marTop w:val="0"/>
          <w:marBottom w:val="0"/>
          <w:divBdr>
            <w:top w:val="none" w:sz="0" w:space="0" w:color="auto"/>
            <w:left w:val="none" w:sz="0" w:space="0" w:color="auto"/>
            <w:bottom w:val="none" w:sz="0" w:space="0" w:color="auto"/>
            <w:right w:val="none" w:sz="0" w:space="0" w:color="auto"/>
          </w:divBdr>
        </w:div>
        <w:div w:id="1160732967">
          <w:marLeft w:val="0"/>
          <w:marRight w:val="0"/>
          <w:marTop w:val="0"/>
          <w:marBottom w:val="0"/>
          <w:divBdr>
            <w:top w:val="none" w:sz="0" w:space="0" w:color="auto"/>
            <w:left w:val="none" w:sz="0" w:space="0" w:color="auto"/>
            <w:bottom w:val="none" w:sz="0" w:space="0" w:color="auto"/>
            <w:right w:val="none" w:sz="0" w:space="0" w:color="auto"/>
          </w:divBdr>
        </w:div>
        <w:div w:id="1223832259">
          <w:marLeft w:val="0"/>
          <w:marRight w:val="0"/>
          <w:marTop w:val="0"/>
          <w:marBottom w:val="0"/>
          <w:divBdr>
            <w:top w:val="none" w:sz="0" w:space="0" w:color="auto"/>
            <w:left w:val="none" w:sz="0" w:space="0" w:color="auto"/>
            <w:bottom w:val="none" w:sz="0" w:space="0" w:color="auto"/>
            <w:right w:val="none" w:sz="0" w:space="0" w:color="auto"/>
          </w:divBdr>
        </w:div>
        <w:div w:id="2010403023">
          <w:marLeft w:val="0"/>
          <w:marRight w:val="0"/>
          <w:marTop w:val="0"/>
          <w:marBottom w:val="0"/>
          <w:divBdr>
            <w:top w:val="none" w:sz="0" w:space="0" w:color="auto"/>
            <w:left w:val="none" w:sz="0" w:space="0" w:color="auto"/>
            <w:bottom w:val="none" w:sz="0" w:space="0" w:color="auto"/>
            <w:right w:val="none" w:sz="0" w:space="0" w:color="auto"/>
          </w:divBdr>
        </w:div>
        <w:div w:id="1092431059">
          <w:marLeft w:val="0"/>
          <w:marRight w:val="0"/>
          <w:marTop w:val="0"/>
          <w:marBottom w:val="0"/>
          <w:divBdr>
            <w:top w:val="none" w:sz="0" w:space="0" w:color="auto"/>
            <w:left w:val="none" w:sz="0" w:space="0" w:color="auto"/>
            <w:bottom w:val="none" w:sz="0" w:space="0" w:color="auto"/>
            <w:right w:val="none" w:sz="0" w:space="0" w:color="auto"/>
          </w:divBdr>
        </w:div>
        <w:div w:id="1042941119">
          <w:marLeft w:val="0"/>
          <w:marRight w:val="0"/>
          <w:marTop w:val="0"/>
          <w:marBottom w:val="0"/>
          <w:divBdr>
            <w:top w:val="none" w:sz="0" w:space="0" w:color="auto"/>
            <w:left w:val="none" w:sz="0" w:space="0" w:color="auto"/>
            <w:bottom w:val="none" w:sz="0" w:space="0" w:color="auto"/>
            <w:right w:val="none" w:sz="0" w:space="0" w:color="auto"/>
          </w:divBdr>
        </w:div>
      </w:divsChild>
    </w:div>
    <w:div w:id="631520586">
      <w:bodyDiv w:val="1"/>
      <w:marLeft w:val="0"/>
      <w:marRight w:val="0"/>
      <w:marTop w:val="0"/>
      <w:marBottom w:val="0"/>
      <w:divBdr>
        <w:top w:val="none" w:sz="0" w:space="0" w:color="auto"/>
        <w:left w:val="none" w:sz="0" w:space="0" w:color="auto"/>
        <w:bottom w:val="none" w:sz="0" w:space="0" w:color="auto"/>
        <w:right w:val="none" w:sz="0" w:space="0" w:color="auto"/>
      </w:divBdr>
      <w:divsChild>
        <w:div w:id="1026129695">
          <w:marLeft w:val="0"/>
          <w:marRight w:val="446"/>
          <w:marTop w:val="115"/>
          <w:marBottom w:val="120"/>
          <w:divBdr>
            <w:top w:val="none" w:sz="0" w:space="0" w:color="auto"/>
            <w:left w:val="none" w:sz="0" w:space="0" w:color="auto"/>
            <w:bottom w:val="none" w:sz="0" w:space="0" w:color="auto"/>
            <w:right w:val="none" w:sz="0" w:space="0" w:color="auto"/>
          </w:divBdr>
        </w:div>
        <w:div w:id="250090724">
          <w:marLeft w:val="0"/>
          <w:marRight w:val="446"/>
          <w:marTop w:val="115"/>
          <w:marBottom w:val="120"/>
          <w:divBdr>
            <w:top w:val="none" w:sz="0" w:space="0" w:color="auto"/>
            <w:left w:val="none" w:sz="0" w:space="0" w:color="auto"/>
            <w:bottom w:val="none" w:sz="0" w:space="0" w:color="auto"/>
            <w:right w:val="none" w:sz="0" w:space="0" w:color="auto"/>
          </w:divBdr>
        </w:div>
        <w:div w:id="1860778075">
          <w:marLeft w:val="0"/>
          <w:marRight w:val="446"/>
          <w:marTop w:val="115"/>
          <w:marBottom w:val="120"/>
          <w:divBdr>
            <w:top w:val="none" w:sz="0" w:space="0" w:color="auto"/>
            <w:left w:val="none" w:sz="0" w:space="0" w:color="auto"/>
            <w:bottom w:val="none" w:sz="0" w:space="0" w:color="auto"/>
            <w:right w:val="none" w:sz="0" w:space="0" w:color="auto"/>
          </w:divBdr>
        </w:div>
        <w:div w:id="78798812">
          <w:marLeft w:val="0"/>
          <w:marRight w:val="446"/>
          <w:marTop w:val="115"/>
          <w:marBottom w:val="120"/>
          <w:divBdr>
            <w:top w:val="none" w:sz="0" w:space="0" w:color="auto"/>
            <w:left w:val="none" w:sz="0" w:space="0" w:color="auto"/>
            <w:bottom w:val="none" w:sz="0" w:space="0" w:color="auto"/>
            <w:right w:val="none" w:sz="0" w:space="0" w:color="auto"/>
          </w:divBdr>
        </w:div>
      </w:divsChild>
    </w:div>
    <w:div w:id="636683720">
      <w:bodyDiv w:val="1"/>
      <w:marLeft w:val="0"/>
      <w:marRight w:val="0"/>
      <w:marTop w:val="0"/>
      <w:marBottom w:val="0"/>
      <w:divBdr>
        <w:top w:val="none" w:sz="0" w:space="0" w:color="auto"/>
        <w:left w:val="none" w:sz="0" w:space="0" w:color="auto"/>
        <w:bottom w:val="none" w:sz="0" w:space="0" w:color="auto"/>
        <w:right w:val="none" w:sz="0" w:space="0" w:color="auto"/>
      </w:divBdr>
    </w:div>
    <w:div w:id="639698908">
      <w:bodyDiv w:val="1"/>
      <w:marLeft w:val="0"/>
      <w:marRight w:val="0"/>
      <w:marTop w:val="0"/>
      <w:marBottom w:val="0"/>
      <w:divBdr>
        <w:top w:val="none" w:sz="0" w:space="0" w:color="auto"/>
        <w:left w:val="none" w:sz="0" w:space="0" w:color="auto"/>
        <w:bottom w:val="none" w:sz="0" w:space="0" w:color="auto"/>
        <w:right w:val="none" w:sz="0" w:space="0" w:color="auto"/>
      </w:divBdr>
    </w:div>
    <w:div w:id="643199777">
      <w:bodyDiv w:val="1"/>
      <w:marLeft w:val="0"/>
      <w:marRight w:val="0"/>
      <w:marTop w:val="0"/>
      <w:marBottom w:val="0"/>
      <w:divBdr>
        <w:top w:val="none" w:sz="0" w:space="0" w:color="auto"/>
        <w:left w:val="none" w:sz="0" w:space="0" w:color="auto"/>
        <w:bottom w:val="none" w:sz="0" w:space="0" w:color="auto"/>
        <w:right w:val="none" w:sz="0" w:space="0" w:color="auto"/>
      </w:divBdr>
    </w:div>
    <w:div w:id="645935978">
      <w:bodyDiv w:val="1"/>
      <w:marLeft w:val="0"/>
      <w:marRight w:val="0"/>
      <w:marTop w:val="0"/>
      <w:marBottom w:val="0"/>
      <w:divBdr>
        <w:top w:val="none" w:sz="0" w:space="0" w:color="auto"/>
        <w:left w:val="none" w:sz="0" w:space="0" w:color="auto"/>
        <w:bottom w:val="none" w:sz="0" w:space="0" w:color="auto"/>
        <w:right w:val="none" w:sz="0" w:space="0" w:color="auto"/>
      </w:divBdr>
    </w:div>
    <w:div w:id="651716378">
      <w:bodyDiv w:val="1"/>
      <w:marLeft w:val="0"/>
      <w:marRight w:val="0"/>
      <w:marTop w:val="0"/>
      <w:marBottom w:val="0"/>
      <w:divBdr>
        <w:top w:val="none" w:sz="0" w:space="0" w:color="auto"/>
        <w:left w:val="none" w:sz="0" w:space="0" w:color="auto"/>
        <w:bottom w:val="none" w:sz="0" w:space="0" w:color="auto"/>
        <w:right w:val="none" w:sz="0" w:space="0" w:color="auto"/>
      </w:divBdr>
      <w:divsChild>
        <w:div w:id="118888661">
          <w:marLeft w:val="1138"/>
          <w:marRight w:val="1022"/>
          <w:marTop w:val="72"/>
          <w:marBottom w:val="120"/>
          <w:divBdr>
            <w:top w:val="none" w:sz="0" w:space="0" w:color="auto"/>
            <w:left w:val="none" w:sz="0" w:space="0" w:color="auto"/>
            <w:bottom w:val="none" w:sz="0" w:space="0" w:color="auto"/>
            <w:right w:val="none" w:sz="0" w:space="0" w:color="auto"/>
          </w:divBdr>
        </w:div>
        <w:div w:id="1869372968">
          <w:marLeft w:val="1138"/>
          <w:marRight w:val="1022"/>
          <w:marTop w:val="72"/>
          <w:marBottom w:val="120"/>
          <w:divBdr>
            <w:top w:val="none" w:sz="0" w:space="0" w:color="auto"/>
            <w:left w:val="none" w:sz="0" w:space="0" w:color="auto"/>
            <w:bottom w:val="none" w:sz="0" w:space="0" w:color="auto"/>
            <w:right w:val="none" w:sz="0" w:space="0" w:color="auto"/>
          </w:divBdr>
        </w:div>
        <w:div w:id="1912152851">
          <w:marLeft w:val="1138"/>
          <w:marRight w:val="1022"/>
          <w:marTop w:val="72"/>
          <w:marBottom w:val="120"/>
          <w:divBdr>
            <w:top w:val="none" w:sz="0" w:space="0" w:color="auto"/>
            <w:left w:val="none" w:sz="0" w:space="0" w:color="auto"/>
            <w:bottom w:val="none" w:sz="0" w:space="0" w:color="auto"/>
            <w:right w:val="none" w:sz="0" w:space="0" w:color="auto"/>
          </w:divBdr>
        </w:div>
        <w:div w:id="1497071165">
          <w:marLeft w:val="1138"/>
          <w:marRight w:val="1022"/>
          <w:marTop w:val="72"/>
          <w:marBottom w:val="120"/>
          <w:divBdr>
            <w:top w:val="none" w:sz="0" w:space="0" w:color="auto"/>
            <w:left w:val="none" w:sz="0" w:space="0" w:color="auto"/>
            <w:bottom w:val="none" w:sz="0" w:space="0" w:color="auto"/>
            <w:right w:val="none" w:sz="0" w:space="0" w:color="auto"/>
          </w:divBdr>
        </w:div>
      </w:divsChild>
    </w:div>
    <w:div w:id="654450343">
      <w:bodyDiv w:val="1"/>
      <w:marLeft w:val="0"/>
      <w:marRight w:val="0"/>
      <w:marTop w:val="0"/>
      <w:marBottom w:val="0"/>
      <w:divBdr>
        <w:top w:val="none" w:sz="0" w:space="0" w:color="auto"/>
        <w:left w:val="none" w:sz="0" w:space="0" w:color="auto"/>
        <w:bottom w:val="none" w:sz="0" w:space="0" w:color="auto"/>
        <w:right w:val="none" w:sz="0" w:space="0" w:color="auto"/>
      </w:divBdr>
      <w:divsChild>
        <w:div w:id="313605068">
          <w:marLeft w:val="0"/>
          <w:marRight w:val="446"/>
          <w:marTop w:val="106"/>
          <w:marBottom w:val="120"/>
          <w:divBdr>
            <w:top w:val="none" w:sz="0" w:space="0" w:color="auto"/>
            <w:left w:val="none" w:sz="0" w:space="0" w:color="auto"/>
            <w:bottom w:val="none" w:sz="0" w:space="0" w:color="auto"/>
            <w:right w:val="none" w:sz="0" w:space="0" w:color="auto"/>
          </w:divBdr>
        </w:div>
      </w:divsChild>
    </w:div>
    <w:div w:id="659966326">
      <w:bodyDiv w:val="1"/>
      <w:marLeft w:val="0"/>
      <w:marRight w:val="0"/>
      <w:marTop w:val="0"/>
      <w:marBottom w:val="0"/>
      <w:divBdr>
        <w:top w:val="none" w:sz="0" w:space="0" w:color="auto"/>
        <w:left w:val="none" w:sz="0" w:space="0" w:color="auto"/>
        <w:bottom w:val="none" w:sz="0" w:space="0" w:color="auto"/>
        <w:right w:val="none" w:sz="0" w:space="0" w:color="auto"/>
      </w:divBdr>
      <w:divsChild>
        <w:div w:id="84036431">
          <w:marLeft w:val="0"/>
          <w:marRight w:val="0"/>
          <w:marTop w:val="0"/>
          <w:marBottom w:val="0"/>
          <w:divBdr>
            <w:top w:val="none" w:sz="0" w:space="0" w:color="auto"/>
            <w:left w:val="none" w:sz="0" w:space="0" w:color="auto"/>
            <w:bottom w:val="none" w:sz="0" w:space="0" w:color="auto"/>
            <w:right w:val="none" w:sz="0" w:space="0" w:color="auto"/>
          </w:divBdr>
        </w:div>
        <w:div w:id="964699098">
          <w:marLeft w:val="0"/>
          <w:marRight w:val="0"/>
          <w:marTop w:val="0"/>
          <w:marBottom w:val="0"/>
          <w:divBdr>
            <w:top w:val="none" w:sz="0" w:space="0" w:color="auto"/>
            <w:left w:val="none" w:sz="0" w:space="0" w:color="auto"/>
            <w:bottom w:val="none" w:sz="0" w:space="0" w:color="auto"/>
            <w:right w:val="none" w:sz="0" w:space="0" w:color="auto"/>
          </w:divBdr>
        </w:div>
        <w:div w:id="1911498644">
          <w:marLeft w:val="0"/>
          <w:marRight w:val="0"/>
          <w:marTop w:val="0"/>
          <w:marBottom w:val="0"/>
          <w:divBdr>
            <w:top w:val="none" w:sz="0" w:space="0" w:color="auto"/>
            <w:left w:val="none" w:sz="0" w:space="0" w:color="auto"/>
            <w:bottom w:val="none" w:sz="0" w:space="0" w:color="auto"/>
            <w:right w:val="none" w:sz="0" w:space="0" w:color="auto"/>
          </w:divBdr>
        </w:div>
        <w:div w:id="1778331015">
          <w:marLeft w:val="0"/>
          <w:marRight w:val="0"/>
          <w:marTop w:val="0"/>
          <w:marBottom w:val="0"/>
          <w:divBdr>
            <w:top w:val="none" w:sz="0" w:space="0" w:color="auto"/>
            <w:left w:val="none" w:sz="0" w:space="0" w:color="auto"/>
            <w:bottom w:val="none" w:sz="0" w:space="0" w:color="auto"/>
            <w:right w:val="none" w:sz="0" w:space="0" w:color="auto"/>
          </w:divBdr>
        </w:div>
      </w:divsChild>
    </w:div>
    <w:div w:id="662397986">
      <w:bodyDiv w:val="1"/>
      <w:marLeft w:val="0"/>
      <w:marRight w:val="0"/>
      <w:marTop w:val="0"/>
      <w:marBottom w:val="0"/>
      <w:divBdr>
        <w:top w:val="none" w:sz="0" w:space="0" w:color="auto"/>
        <w:left w:val="none" w:sz="0" w:space="0" w:color="auto"/>
        <w:bottom w:val="none" w:sz="0" w:space="0" w:color="auto"/>
        <w:right w:val="none" w:sz="0" w:space="0" w:color="auto"/>
      </w:divBdr>
    </w:div>
    <w:div w:id="669256815">
      <w:bodyDiv w:val="1"/>
      <w:marLeft w:val="0"/>
      <w:marRight w:val="0"/>
      <w:marTop w:val="0"/>
      <w:marBottom w:val="0"/>
      <w:divBdr>
        <w:top w:val="none" w:sz="0" w:space="0" w:color="auto"/>
        <w:left w:val="none" w:sz="0" w:space="0" w:color="auto"/>
        <w:bottom w:val="none" w:sz="0" w:space="0" w:color="auto"/>
        <w:right w:val="none" w:sz="0" w:space="0" w:color="auto"/>
      </w:divBdr>
    </w:div>
    <w:div w:id="672496145">
      <w:bodyDiv w:val="1"/>
      <w:marLeft w:val="0"/>
      <w:marRight w:val="0"/>
      <w:marTop w:val="0"/>
      <w:marBottom w:val="0"/>
      <w:divBdr>
        <w:top w:val="none" w:sz="0" w:space="0" w:color="auto"/>
        <w:left w:val="none" w:sz="0" w:space="0" w:color="auto"/>
        <w:bottom w:val="none" w:sz="0" w:space="0" w:color="auto"/>
        <w:right w:val="none" w:sz="0" w:space="0" w:color="auto"/>
      </w:divBdr>
    </w:div>
    <w:div w:id="673606955">
      <w:bodyDiv w:val="1"/>
      <w:marLeft w:val="0"/>
      <w:marRight w:val="0"/>
      <w:marTop w:val="0"/>
      <w:marBottom w:val="0"/>
      <w:divBdr>
        <w:top w:val="none" w:sz="0" w:space="0" w:color="auto"/>
        <w:left w:val="none" w:sz="0" w:space="0" w:color="auto"/>
        <w:bottom w:val="none" w:sz="0" w:space="0" w:color="auto"/>
        <w:right w:val="none" w:sz="0" w:space="0" w:color="auto"/>
      </w:divBdr>
      <w:divsChild>
        <w:div w:id="644698941">
          <w:marLeft w:val="0"/>
          <w:marRight w:val="547"/>
          <w:marTop w:val="62"/>
          <w:marBottom w:val="120"/>
          <w:divBdr>
            <w:top w:val="none" w:sz="0" w:space="0" w:color="auto"/>
            <w:left w:val="none" w:sz="0" w:space="0" w:color="auto"/>
            <w:bottom w:val="none" w:sz="0" w:space="0" w:color="auto"/>
            <w:right w:val="none" w:sz="0" w:space="0" w:color="auto"/>
          </w:divBdr>
        </w:div>
        <w:div w:id="535890226">
          <w:marLeft w:val="0"/>
          <w:marRight w:val="547"/>
          <w:marTop w:val="62"/>
          <w:marBottom w:val="120"/>
          <w:divBdr>
            <w:top w:val="none" w:sz="0" w:space="0" w:color="auto"/>
            <w:left w:val="none" w:sz="0" w:space="0" w:color="auto"/>
            <w:bottom w:val="none" w:sz="0" w:space="0" w:color="auto"/>
            <w:right w:val="none" w:sz="0" w:space="0" w:color="auto"/>
          </w:divBdr>
        </w:div>
        <w:div w:id="1859198108">
          <w:marLeft w:val="0"/>
          <w:marRight w:val="547"/>
          <w:marTop w:val="62"/>
          <w:marBottom w:val="120"/>
          <w:divBdr>
            <w:top w:val="none" w:sz="0" w:space="0" w:color="auto"/>
            <w:left w:val="none" w:sz="0" w:space="0" w:color="auto"/>
            <w:bottom w:val="none" w:sz="0" w:space="0" w:color="auto"/>
            <w:right w:val="none" w:sz="0" w:space="0" w:color="auto"/>
          </w:divBdr>
        </w:div>
      </w:divsChild>
    </w:div>
    <w:div w:id="677079571">
      <w:bodyDiv w:val="1"/>
      <w:marLeft w:val="0"/>
      <w:marRight w:val="0"/>
      <w:marTop w:val="0"/>
      <w:marBottom w:val="0"/>
      <w:divBdr>
        <w:top w:val="none" w:sz="0" w:space="0" w:color="auto"/>
        <w:left w:val="none" w:sz="0" w:space="0" w:color="auto"/>
        <w:bottom w:val="none" w:sz="0" w:space="0" w:color="auto"/>
        <w:right w:val="none" w:sz="0" w:space="0" w:color="auto"/>
      </w:divBdr>
    </w:div>
    <w:div w:id="684745655">
      <w:bodyDiv w:val="1"/>
      <w:marLeft w:val="0"/>
      <w:marRight w:val="0"/>
      <w:marTop w:val="0"/>
      <w:marBottom w:val="0"/>
      <w:divBdr>
        <w:top w:val="none" w:sz="0" w:space="0" w:color="auto"/>
        <w:left w:val="none" w:sz="0" w:space="0" w:color="auto"/>
        <w:bottom w:val="none" w:sz="0" w:space="0" w:color="auto"/>
        <w:right w:val="none" w:sz="0" w:space="0" w:color="auto"/>
      </w:divBdr>
      <w:divsChild>
        <w:div w:id="222907008">
          <w:marLeft w:val="0"/>
          <w:marRight w:val="446"/>
          <w:marTop w:val="106"/>
          <w:marBottom w:val="120"/>
          <w:divBdr>
            <w:top w:val="none" w:sz="0" w:space="0" w:color="auto"/>
            <w:left w:val="none" w:sz="0" w:space="0" w:color="auto"/>
            <w:bottom w:val="none" w:sz="0" w:space="0" w:color="auto"/>
            <w:right w:val="none" w:sz="0" w:space="0" w:color="auto"/>
          </w:divBdr>
        </w:div>
      </w:divsChild>
    </w:div>
    <w:div w:id="689914427">
      <w:bodyDiv w:val="1"/>
      <w:marLeft w:val="0"/>
      <w:marRight w:val="0"/>
      <w:marTop w:val="0"/>
      <w:marBottom w:val="0"/>
      <w:divBdr>
        <w:top w:val="none" w:sz="0" w:space="0" w:color="auto"/>
        <w:left w:val="none" w:sz="0" w:space="0" w:color="auto"/>
        <w:bottom w:val="none" w:sz="0" w:space="0" w:color="auto"/>
        <w:right w:val="none" w:sz="0" w:space="0" w:color="auto"/>
      </w:divBdr>
    </w:div>
    <w:div w:id="701398570">
      <w:bodyDiv w:val="1"/>
      <w:marLeft w:val="0"/>
      <w:marRight w:val="0"/>
      <w:marTop w:val="0"/>
      <w:marBottom w:val="0"/>
      <w:divBdr>
        <w:top w:val="none" w:sz="0" w:space="0" w:color="auto"/>
        <w:left w:val="none" w:sz="0" w:space="0" w:color="auto"/>
        <w:bottom w:val="none" w:sz="0" w:space="0" w:color="auto"/>
        <w:right w:val="none" w:sz="0" w:space="0" w:color="auto"/>
      </w:divBdr>
    </w:div>
    <w:div w:id="714893055">
      <w:bodyDiv w:val="1"/>
      <w:marLeft w:val="0"/>
      <w:marRight w:val="0"/>
      <w:marTop w:val="0"/>
      <w:marBottom w:val="0"/>
      <w:divBdr>
        <w:top w:val="none" w:sz="0" w:space="0" w:color="auto"/>
        <w:left w:val="none" w:sz="0" w:space="0" w:color="auto"/>
        <w:bottom w:val="none" w:sz="0" w:space="0" w:color="auto"/>
        <w:right w:val="none" w:sz="0" w:space="0" w:color="auto"/>
      </w:divBdr>
    </w:div>
    <w:div w:id="716440406">
      <w:bodyDiv w:val="1"/>
      <w:marLeft w:val="0"/>
      <w:marRight w:val="0"/>
      <w:marTop w:val="0"/>
      <w:marBottom w:val="0"/>
      <w:divBdr>
        <w:top w:val="none" w:sz="0" w:space="0" w:color="auto"/>
        <w:left w:val="none" w:sz="0" w:space="0" w:color="auto"/>
        <w:bottom w:val="none" w:sz="0" w:space="0" w:color="auto"/>
        <w:right w:val="none" w:sz="0" w:space="0" w:color="auto"/>
      </w:divBdr>
    </w:div>
    <w:div w:id="729230006">
      <w:bodyDiv w:val="1"/>
      <w:marLeft w:val="0"/>
      <w:marRight w:val="0"/>
      <w:marTop w:val="0"/>
      <w:marBottom w:val="0"/>
      <w:divBdr>
        <w:top w:val="none" w:sz="0" w:space="0" w:color="auto"/>
        <w:left w:val="none" w:sz="0" w:space="0" w:color="auto"/>
        <w:bottom w:val="none" w:sz="0" w:space="0" w:color="auto"/>
        <w:right w:val="none" w:sz="0" w:space="0" w:color="auto"/>
      </w:divBdr>
    </w:div>
    <w:div w:id="739912946">
      <w:bodyDiv w:val="1"/>
      <w:marLeft w:val="0"/>
      <w:marRight w:val="0"/>
      <w:marTop w:val="0"/>
      <w:marBottom w:val="0"/>
      <w:divBdr>
        <w:top w:val="none" w:sz="0" w:space="0" w:color="auto"/>
        <w:left w:val="none" w:sz="0" w:space="0" w:color="auto"/>
        <w:bottom w:val="none" w:sz="0" w:space="0" w:color="auto"/>
        <w:right w:val="none" w:sz="0" w:space="0" w:color="auto"/>
      </w:divBdr>
    </w:div>
    <w:div w:id="741148349">
      <w:bodyDiv w:val="1"/>
      <w:marLeft w:val="0"/>
      <w:marRight w:val="0"/>
      <w:marTop w:val="0"/>
      <w:marBottom w:val="0"/>
      <w:divBdr>
        <w:top w:val="none" w:sz="0" w:space="0" w:color="auto"/>
        <w:left w:val="none" w:sz="0" w:space="0" w:color="auto"/>
        <w:bottom w:val="none" w:sz="0" w:space="0" w:color="auto"/>
        <w:right w:val="none" w:sz="0" w:space="0" w:color="auto"/>
      </w:divBdr>
      <w:divsChild>
        <w:div w:id="1366520880">
          <w:marLeft w:val="0"/>
          <w:marRight w:val="446"/>
          <w:marTop w:val="106"/>
          <w:marBottom w:val="120"/>
          <w:divBdr>
            <w:top w:val="none" w:sz="0" w:space="0" w:color="auto"/>
            <w:left w:val="none" w:sz="0" w:space="0" w:color="auto"/>
            <w:bottom w:val="none" w:sz="0" w:space="0" w:color="auto"/>
            <w:right w:val="none" w:sz="0" w:space="0" w:color="auto"/>
          </w:divBdr>
        </w:div>
        <w:div w:id="92171083">
          <w:marLeft w:val="0"/>
          <w:marRight w:val="446"/>
          <w:marTop w:val="106"/>
          <w:marBottom w:val="120"/>
          <w:divBdr>
            <w:top w:val="none" w:sz="0" w:space="0" w:color="auto"/>
            <w:left w:val="none" w:sz="0" w:space="0" w:color="auto"/>
            <w:bottom w:val="none" w:sz="0" w:space="0" w:color="auto"/>
            <w:right w:val="none" w:sz="0" w:space="0" w:color="auto"/>
          </w:divBdr>
        </w:div>
        <w:div w:id="214633651">
          <w:marLeft w:val="0"/>
          <w:marRight w:val="446"/>
          <w:marTop w:val="106"/>
          <w:marBottom w:val="120"/>
          <w:divBdr>
            <w:top w:val="none" w:sz="0" w:space="0" w:color="auto"/>
            <w:left w:val="none" w:sz="0" w:space="0" w:color="auto"/>
            <w:bottom w:val="none" w:sz="0" w:space="0" w:color="auto"/>
            <w:right w:val="none" w:sz="0" w:space="0" w:color="auto"/>
          </w:divBdr>
        </w:div>
        <w:div w:id="408356802">
          <w:marLeft w:val="0"/>
          <w:marRight w:val="446"/>
          <w:marTop w:val="106"/>
          <w:marBottom w:val="120"/>
          <w:divBdr>
            <w:top w:val="none" w:sz="0" w:space="0" w:color="auto"/>
            <w:left w:val="none" w:sz="0" w:space="0" w:color="auto"/>
            <w:bottom w:val="none" w:sz="0" w:space="0" w:color="auto"/>
            <w:right w:val="none" w:sz="0" w:space="0" w:color="auto"/>
          </w:divBdr>
        </w:div>
      </w:divsChild>
    </w:div>
    <w:div w:id="744301509">
      <w:bodyDiv w:val="1"/>
      <w:marLeft w:val="0"/>
      <w:marRight w:val="0"/>
      <w:marTop w:val="0"/>
      <w:marBottom w:val="0"/>
      <w:divBdr>
        <w:top w:val="none" w:sz="0" w:space="0" w:color="auto"/>
        <w:left w:val="none" w:sz="0" w:space="0" w:color="auto"/>
        <w:bottom w:val="none" w:sz="0" w:space="0" w:color="auto"/>
        <w:right w:val="none" w:sz="0" w:space="0" w:color="auto"/>
      </w:divBdr>
      <w:divsChild>
        <w:div w:id="1667397258">
          <w:marLeft w:val="0"/>
          <w:marRight w:val="0"/>
          <w:marTop w:val="0"/>
          <w:marBottom w:val="0"/>
          <w:divBdr>
            <w:top w:val="none" w:sz="0" w:space="0" w:color="auto"/>
            <w:left w:val="none" w:sz="0" w:space="0" w:color="auto"/>
            <w:bottom w:val="none" w:sz="0" w:space="0" w:color="auto"/>
            <w:right w:val="none" w:sz="0" w:space="0" w:color="auto"/>
          </w:divBdr>
        </w:div>
      </w:divsChild>
    </w:div>
    <w:div w:id="746996334">
      <w:bodyDiv w:val="1"/>
      <w:marLeft w:val="0"/>
      <w:marRight w:val="0"/>
      <w:marTop w:val="0"/>
      <w:marBottom w:val="0"/>
      <w:divBdr>
        <w:top w:val="none" w:sz="0" w:space="0" w:color="auto"/>
        <w:left w:val="none" w:sz="0" w:space="0" w:color="auto"/>
        <w:bottom w:val="none" w:sz="0" w:space="0" w:color="auto"/>
        <w:right w:val="none" w:sz="0" w:space="0" w:color="auto"/>
      </w:divBdr>
    </w:div>
    <w:div w:id="770932511">
      <w:bodyDiv w:val="1"/>
      <w:marLeft w:val="0"/>
      <w:marRight w:val="0"/>
      <w:marTop w:val="0"/>
      <w:marBottom w:val="0"/>
      <w:divBdr>
        <w:top w:val="none" w:sz="0" w:space="0" w:color="auto"/>
        <w:left w:val="none" w:sz="0" w:space="0" w:color="auto"/>
        <w:bottom w:val="none" w:sz="0" w:space="0" w:color="auto"/>
        <w:right w:val="none" w:sz="0" w:space="0" w:color="auto"/>
      </w:divBdr>
      <w:divsChild>
        <w:div w:id="909540368">
          <w:marLeft w:val="0"/>
          <w:marRight w:val="446"/>
          <w:marTop w:val="106"/>
          <w:marBottom w:val="120"/>
          <w:divBdr>
            <w:top w:val="none" w:sz="0" w:space="0" w:color="auto"/>
            <w:left w:val="none" w:sz="0" w:space="0" w:color="auto"/>
            <w:bottom w:val="none" w:sz="0" w:space="0" w:color="auto"/>
            <w:right w:val="none" w:sz="0" w:space="0" w:color="auto"/>
          </w:divBdr>
        </w:div>
      </w:divsChild>
    </w:div>
    <w:div w:id="771434494">
      <w:bodyDiv w:val="1"/>
      <w:marLeft w:val="0"/>
      <w:marRight w:val="0"/>
      <w:marTop w:val="0"/>
      <w:marBottom w:val="0"/>
      <w:divBdr>
        <w:top w:val="none" w:sz="0" w:space="0" w:color="auto"/>
        <w:left w:val="none" w:sz="0" w:space="0" w:color="auto"/>
        <w:bottom w:val="none" w:sz="0" w:space="0" w:color="auto"/>
        <w:right w:val="none" w:sz="0" w:space="0" w:color="auto"/>
      </w:divBdr>
      <w:divsChild>
        <w:div w:id="34894523">
          <w:marLeft w:val="0"/>
          <w:marRight w:val="29"/>
          <w:marTop w:val="72"/>
          <w:marBottom w:val="120"/>
          <w:divBdr>
            <w:top w:val="none" w:sz="0" w:space="0" w:color="auto"/>
            <w:left w:val="none" w:sz="0" w:space="0" w:color="auto"/>
            <w:bottom w:val="none" w:sz="0" w:space="0" w:color="auto"/>
            <w:right w:val="none" w:sz="0" w:space="0" w:color="auto"/>
          </w:divBdr>
        </w:div>
        <w:div w:id="990253622">
          <w:marLeft w:val="0"/>
          <w:marRight w:val="29"/>
          <w:marTop w:val="72"/>
          <w:marBottom w:val="120"/>
          <w:divBdr>
            <w:top w:val="none" w:sz="0" w:space="0" w:color="auto"/>
            <w:left w:val="none" w:sz="0" w:space="0" w:color="auto"/>
            <w:bottom w:val="none" w:sz="0" w:space="0" w:color="auto"/>
            <w:right w:val="none" w:sz="0" w:space="0" w:color="auto"/>
          </w:divBdr>
        </w:div>
        <w:div w:id="1821072576">
          <w:marLeft w:val="0"/>
          <w:marRight w:val="29"/>
          <w:marTop w:val="72"/>
          <w:marBottom w:val="120"/>
          <w:divBdr>
            <w:top w:val="none" w:sz="0" w:space="0" w:color="auto"/>
            <w:left w:val="none" w:sz="0" w:space="0" w:color="auto"/>
            <w:bottom w:val="none" w:sz="0" w:space="0" w:color="auto"/>
            <w:right w:val="none" w:sz="0" w:space="0" w:color="auto"/>
          </w:divBdr>
        </w:div>
        <w:div w:id="1823424578">
          <w:marLeft w:val="0"/>
          <w:marRight w:val="29"/>
          <w:marTop w:val="72"/>
          <w:marBottom w:val="120"/>
          <w:divBdr>
            <w:top w:val="none" w:sz="0" w:space="0" w:color="auto"/>
            <w:left w:val="none" w:sz="0" w:space="0" w:color="auto"/>
            <w:bottom w:val="none" w:sz="0" w:space="0" w:color="auto"/>
            <w:right w:val="none" w:sz="0" w:space="0" w:color="auto"/>
          </w:divBdr>
        </w:div>
      </w:divsChild>
    </w:div>
    <w:div w:id="795754472">
      <w:bodyDiv w:val="1"/>
      <w:marLeft w:val="0"/>
      <w:marRight w:val="0"/>
      <w:marTop w:val="0"/>
      <w:marBottom w:val="0"/>
      <w:divBdr>
        <w:top w:val="none" w:sz="0" w:space="0" w:color="auto"/>
        <w:left w:val="none" w:sz="0" w:space="0" w:color="auto"/>
        <w:bottom w:val="none" w:sz="0" w:space="0" w:color="auto"/>
        <w:right w:val="none" w:sz="0" w:space="0" w:color="auto"/>
      </w:divBdr>
    </w:div>
    <w:div w:id="796605400">
      <w:bodyDiv w:val="1"/>
      <w:marLeft w:val="0"/>
      <w:marRight w:val="0"/>
      <w:marTop w:val="0"/>
      <w:marBottom w:val="0"/>
      <w:divBdr>
        <w:top w:val="none" w:sz="0" w:space="0" w:color="auto"/>
        <w:left w:val="none" w:sz="0" w:space="0" w:color="auto"/>
        <w:bottom w:val="none" w:sz="0" w:space="0" w:color="auto"/>
        <w:right w:val="none" w:sz="0" w:space="0" w:color="auto"/>
      </w:divBdr>
    </w:div>
    <w:div w:id="799494309">
      <w:bodyDiv w:val="1"/>
      <w:marLeft w:val="0"/>
      <w:marRight w:val="0"/>
      <w:marTop w:val="0"/>
      <w:marBottom w:val="0"/>
      <w:divBdr>
        <w:top w:val="none" w:sz="0" w:space="0" w:color="auto"/>
        <w:left w:val="none" w:sz="0" w:space="0" w:color="auto"/>
        <w:bottom w:val="none" w:sz="0" w:space="0" w:color="auto"/>
        <w:right w:val="none" w:sz="0" w:space="0" w:color="auto"/>
      </w:divBdr>
    </w:div>
    <w:div w:id="801532804">
      <w:bodyDiv w:val="1"/>
      <w:marLeft w:val="0"/>
      <w:marRight w:val="0"/>
      <w:marTop w:val="0"/>
      <w:marBottom w:val="0"/>
      <w:divBdr>
        <w:top w:val="none" w:sz="0" w:space="0" w:color="auto"/>
        <w:left w:val="none" w:sz="0" w:space="0" w:color="auto"/>
        <w:bottom w:val="none" w:sz="0" w:space="0" w:color="auto"/>
        <w:right w:val="none" w:sz="0" w:space="0" w:color="auto"/>
      </w:divBdr>
      <w:divsChild>
        <w:div w:id="1114326936">
          <w:marLeft w:val="0"/>
          <w:marRight w:val="446"/>
          <w:marTop w:val="106"/>
          <w:marBottom w:val="120"/>
          <w:divBdr>
            <w:top w:val="none" w:sz="0" w:space="0" w:color="auto"/>
            <w:left w:val="none" w:sz="0" w:space="0" w:color="auto"/>
            <w:bottom w:val="none" w:sz="0" w:space="0" w:color="auto"/>
            <w:right w:val="none" w:sz="0" w:space="0" w:color="auto"/>
          </w:divBdr>
        </w:div>
      </w:divsChild>
    </w:div>
    <w:div w:id="802306923">
      <w:bodyDiv w:val="1"/>
      <w:marLeft w:val="0"/>
      <w:marRight w:val="0"/>
      <w:marTop w:val="0"/>
      <w:marBottom w:val="0"/>
      <w:divBdr>
        <w:top w:val="none" w:sz="0" w:space="0" w:color="auto"/>
        <w:left w:val="none" w:sz="0" w:space="0" w:color="auto"/>
        <w:bottom w:val="none" w:sz="0" w:space="0" w:color="auto"/>
        <w:right w:val="none" w:sz="0" w:space="0" w:color="auto"/>
      </w:divBdr>
    </w:div>
    <w:div w:id="809715034">
      <w:bodyDiv w:val="1"/>
      <w:marLeft w:val="0"/>
      <w:marRight w:val="0"/>
      <w:marTop w:val="0"/>
      <w:marBottom w:val="0"/>
      <w:divBdr>
        <w:top w:val="none" w:sz="0" w:space="0" w:color="auto"/>
        <w:left w:val="none" w:sz="0" w:space="0" w:color="auto"/>
        <w:bottom w:val="none" w:sz="0" w:space="0" w:color="auto"/>
        <w:right w:val="none" w:sz="0" w:space="0" w:color="auto"/>
      </w:divBdr>
    </w:div>
    <w:div w:id="811409403">
      <w:bodyDiv w:val="1"/>
      <w:marLeft w:val="0"/>
      <w:marRight w:val="0"/>
      <w:marTop w:val="0"/>
      <w:marBottom w:val="0"/>
      <w:divBdr>
        <w:top w:val="none" w:sz="0" w:space="0" w:color="auto"/>
        <w:left w:val="none" w:sz="0" w:space="0" w:color="auto"/>
        <w:bottom w:val="none" w:sz="0" w:space="0" w:color="auto"/>
        <w:right w:val="none" w:sz="0" w:space="0" w:color="auto"/>
      </w:divBdr>
    </w:div>
    <w:div w:id="817114661">
      <w:bodyDiv w:val="1"/>
      <w:marLeft w:val="0"/>
      <w:marRight w:val="0"/>
      <w:marTop w:val="0"/>
      <w:marBottom w:val="0"/>
      <w:divBdr>
        <w:top w:val="none" w:sz="0" w:space="0" w:color="auto"/>
        <w:left w:val="none" w:sz="0" w:space="0" w:color="auto"/>
        <w:bottom w:val="none" w:sz="0" w:space="0" w:color="auto"/>
        <w:right w:val="none" w:sz="0" w:space="0" w:color="auto"/>
      </w:divBdr>
    </w:div>
    <w:div w:id="817918773">
      <w:bodyDiv w:val="1"/>
      <w:marLeft w:val="0"/>
      <w:marRight w:val="0"/>
      <w:marTop w:val="0"/>
      <w:marBottom w:val="0"/>
      <w:divBdr>
        <w:top w:val="none" w:sz="0" w:space="0" w:color="auto"/>
        <w:left w:val="none" w:sz="0" w:space="0" w:color="auto"/>
        <w:bottom w:val="none" w:sz="0" w:space="0" w:color="auto"/>
        <w:right w:val="none" w:sz="0" w:space="0" w:color="auto"/>
      </w:divBdr>
      <w:divsChild>
        <w:div w:id="786509329">
          <w:marLeft w:val="0"/>
          <w:marRight w:val="446"/>
          <w:marTop w:val="115"/>
          <w:marBottom w:val="120"/>
          <w:divBdr>
            <w:top w:val="none" w:sz="0" w:space="0" w:color="auto"/>
            <w:left w:val="none" w:sz="0" w:space="0" w:color="auto"/>
            <w:bottom w:val="none" w:sz="0" w:space="0" w:color="auto"/>
            <w:right w:val="none" w:sz="0" w:space="0" w:color="auto"/>
          </w:divBdr>
        </w:div>
        <w:div w:id="1653288437">
          <w:marLeft w:val="0"/>
          <w:marRight w:val="446"/>
          <w:marTop w:val="115"/>
          <w:marBottom w:val="120"/>
          <w:divBdr>
            <w:top w:val="none" w:sz="0" w:space="0" w:color="auto"/>
            <w:left w:val="none" w:sz="0" w:space="0" w:color="auto"/>
            <w:bottom w:val="none" w:sz="0" w:space="0" w:color="auto"/>
            <w:right w:val="none" w:sz="0" w:space="0" w:color="auto"/>
          </w:divBdr>
        </w:div>
        <w:div w:id="537162076">
          <w:marLeft w:val="0"/>
          <w:marRight w:val="446"/>
          <w:marTop w:val="115"/>
          <w:marBottom w:val="120"/>
          <w:divBdr>
            <w:top w:val="none" w:sz="0" w:space="0" w:color="auto"/>
            <w:left w:val="none" w:sz="0" w:space="0" w:color="auto"/>
            <w:bottom w:val="none" w:sz="0" w:space="0" w:color="auto"/>
            <w:right w:val="none" w:sz="0" w:space="0" w:color="auto"/>
          </w:divBdr>
        </w:div>
        <w:div w:id="698823283">
          <w:marLeft w:val="0"/>
          <w:marRight w:val="446"/>
          <w:marTop w:val="115"/>
          <w:marBottom w:val="120"/>
          <w:divBdr>
            <w:top w:val="none" w:sz="0" w:space="0" w:color="auto"/>
            <w:left w:val="none" w:sz="0" w:space="0" w:color="auto"/>
            <w:bottom w:val="none" w:sz="0" w:space="0" w:color="auto"/>
            <w:right w:val="none" w:sz="0" w:space="0" w:color="auto"/>
          </w:divBdr>
        </w:div>
        <w:div w:id="910971545">
          <w:marLeft w:val="0"/>
          <w:marRight w:val="446"/>
          <w:marTop w:val="115"/>
          <w:marBottom w:val="120"/>
          <w:divBdr>
            <w:top w:val="none" w:sz="0" w:space="0" w:color="auto"/>
            <w:left w:val="none" w:sz="0" w:space="0" w:color="auto"/>
            <w:bottom w:val="none" w:sz="0" w:space="0" w:color="auto"/>
            <w:right w:val="none" w:sz="0" w:space="0" w:color="auto"/>
          </w:divBdr>
        </w:div>
        <w:div w:id="118114766">
          <w:marLeft w:val="0"/>
          <w:marRight w:val="446"/>
          <w:marTop w:val="115"/>
          <w:marBottom w:val="120"/>
          <w:divBdr>
            <w:top w:val="none" w:sz="0" w:space="0" w:color="auto"/>
            <w:left w:val="none" w:sz="0" w:space="0" w:color="auto"/>
            <w:bottom w:val="none" w:sz="0" w:space="0" w:color="auto"/>
            <w:right w:val="none" w:sz="0" w:space="0" w:color="auto"/>
          </w:divBdr>
        </w:div>
        <w:div w:id="1890874647">
          <w:marLeft w:val="0"/>
          <w:marRight w:val="446"/>
          <w:marTop w:val="115"/>
          <w:marBottom w:val="120"/>
          <w:divBdr>
            <w:top w:val="none" w:sz="0" w:space="0" w:color="auto"/>
            <w:left w:val="none" w:sz="0" w:space="0" w:color="auto"/>
            <w:bottom w:val="none" w:sz="0" w:space="0" w:color="auto"/>
            <w:right w:val="none" w:sz="0" w:space="0" w:color="auto"/>
          </w:divBdr>
        </w:div>
      </w:divsChild>
    </w:div>
    <w:div w:id="832142678">
      <w:bodyDiv w:val="1"/>
      <w:marLeft w:val="0"/>
      <w:marRight w:val="0"/>
      <w:marTop w:val="0"/>
      <w:marBottom w:val="0"/>
      <w:divBdr>
        <w:top w:val="none" w:sz="0" w:space="0" w:color="auto"/>
        <w:left w:val="none" w:sz="0" w:space="0" w:color="auto"/>
        <w:bottom w:val="none" w:sz="0" w:space="0" w:color="auto"/>
        <w:right w:val="none" w:sz="0" w:space="0" w:color="auto"/>
      </w:divBdr>
    </w:div>
    <w:div w:id="840896878">
      <w:bodyDiv w:val="1"/>
      <w:marLeft w:val="0"/>
      <w:marRight w:val="0"/>
      <w:marTop w:val="0"/>
      <w:marBottom w:val="0"/>
      <w:divBdr>
        <w:top w:val="none" w:sz="0" w:space="0" w:color="auto"/>
        <w:left w:val="none" w:sz="0" w:space="0" w:color="auto"/>
        <w:bottom w:val="none" w:sz="0" w:space="0" w:color="auto"/>
        <w:right w:val="none" w:sz="0" w:space="0" w:color="auto"/>
      </w:divBdr>
    </w:div>
    <w:div w:id="847064140">
      <w:bodyDiv w:val="1"/>
      <w:marLeft w:val="0"/>
      <w:marRight w:val="0"/>
      <w:marTop w:val="0"/>
      <w:marBottom w:val="0"/>
      <w:divBdr>
        <w:top w:val="none" w:sz="0" w:space="0" w:color="auto"/>
        <w:left w:val="none" w:sz="0" w:space="0" w:color="auto"/>
        <w:bottom w:val="none" w:sz="0" w:space="0" w:color="auto"/>
        <w:right w:val="none" w:sz="0" w:space="0" w:color="auto"/>
      </w:divBdr>
    </w:div>
    <w:div w:id="865486504">
      <w:bodyDiv w:val="1"/>
      <w:marLeft w:val="0"/>
      <w:marRight w:val="0"/>
      <w:marTop w:val="0"/>
      <w:marBottom w:val="0"/>
      <w:divBdr>
        <w:top w:val="none" w:sz="0" w:space="0" w:color="auto"/>
        <w:left w:val="none" w:sz="0" w:space="0" w:color="auto"/>
        <w:bottom w:val="none" w:sz="0" w:space="0" w:color="auto"/>
        <w:right w:val="none" w:sz="0" w:space="0" w:color="auto"/>
      </w:divBdr>
      <w:divsChild>
        <w:div w:id="12658416">
          <w:marLeft w:val="0"/>
          <w:marRight w:val="446"/>
          <w:marTop w:val="72"/>
          <w:marBottom w:val="120"/>
          <w:divBdr>
            <w:top w:val="none" w:sz="0" w:space="0" w:color="auto"/>
            <w:left w:val="none" w:sz="0" w:space="0" w:color="auto"/>
            <w:bottom w:val="none" w:sz="0" w:space="0" w:color="auto"/>
            <w:right w:val="none" w:sz="0" w:space="0" w:color="auto"/>
          </w:divBdr>
        </w:div>
        <w:div w:id="693729150">
          <w:marLeft w:val="0"/>
          <w:marRight w:val="446"/>
          <w:marTop w:val="72"/>
          <w:marBottom w:val="120"/>
          <w:divBdr>
            <w:top w:val="none" w:sz="0" w:space="0" w:color="auto"/>
            <w:left w:val="none" w:sz="0" w:space="0" w:color="auto"/>
            <w:bottom w:val="none" w:sz="0" w:space="0" w:color="auto"/>
            <w:right w:val="none" w:sz="0" w:space="0" w:color="auto"/>
          </w:divBdr>
        </w:div>
        <w:div w:id="1559979353">
          <w:marLeft w:val="0"/>
          <w:marRight w:val="1022"/>
          <w:marTop w:val="72"/>
          <w:marBottom w:val="120"/>
          <w:divBdr>
            <w:top w:val="none" w:sz="0" w:space="0" w:color="auto"/>
            <w:left w:val="none" w:sz="0" w:space="0" w:color="auto"/>
            <w:bottom w:val="none" w:sz="0" w:space="0" w:color="auto"/>
            <w:right w:val="none" w:sz="0" w:space="0" w:color="auto"/>
          </w:divBdr>
        </w:div>
      </w:divsChild>
    </w:div>
    <w:div w:id="876888857">
      <w:bodyDiv w:val="1"/>
      <w:marLeft w:val="0"/>
      <w:marRight w:val="0"/>
      <w:marTop w:val="0"/>
      <w:marBottom w:val="0"/>
      <w:divBdr>
        <w:top w:val="none" w:sz="0" w:space="0" w:color="auto"/>
        <w:left w:val="none" w:sz="0" w:space="0" w:color="auto"/>
        <w:bottom w:val="none" w:sz="0" w:space="0" w:color="auto"/>
        <w:right w:val="none" w:sz="0" w:space="0" w:color="auto"/>
      </w:divBdr>
    </w:div>
    <w:div w:id="895746768">
      <w:bodyDiv w:val="1"/>
      <w:marLeft w:val="0"/>
      <w:marRight w:val="0"/>
      <w:marTop w:val="0"/>
      <w:marBottom w:val="0"/>
      <w:divBdr>
        <w:top w:val="none" w:sz="0" w:space="0" w:color="auto"/>
        <w:left w:val="none" w:sz="0" w:space="0" w:color="auto"/>
        <w:bottom w:val="none" w:sz="0" w:space="0" w:color="auto"/>
        <w:right w:val="none" w:sz="0" w:space="0" w:color="auto"/>
      </w:divBdr>
      <w:divsChild>
        <w:div w:id="336003110">
          <w:marLeft w:val="0"/>
          <w:marRight w:val="0"/>
          <w:marTop w:val="0"/>
          <w:marBottom w:val="0"/>
          <w:divBdr>
            <w:top w:val="none" w:sz="0" w:space="0" w:color="auto"/>
            <w:left w:val="none" w:sz="0" w:space="0" w:color="auto"/>
            <w:bottom w:val="none" w:sz="0" w:space="0" w:color="auto"/>
            <w:right w:val="none" w:sz="0" w:space="0" w:color="auto"/>
          </w:divBdr>
        </w:div>
      </w:divsChild>
    </w:div>
    <w:div w:id="898707975">
      <w:bodyDiv w:val="1"/>
      <w:marLeft w:val="0"/>
      <w:marRight w:val="0"/>
      <w:marTop w:val="0"/>
      <w:marBottom w:val="0"/>
      <w:divBdr>
        <w:top w:val="none" w:sz="0" w:space="0" w:color="auto"/>
        <w:left w:val="none" w:sz="0" w:space="0" w:color="auto"/>
        <w:bottom w:val="none" w:sz="0" w:space="0" w:color="auto"/>
        <w:right w:val="none" w:sz="0" w:space="0" w:color="auto"/>
      </w:divBdr>
    </w:div>
    <w:div w:id="916093332">
      <w:bodyDiv w:val="1"/>
      <w:marLeft w:val="0"/>
      <w:marRight w:val="0"/>
      <w:marTop w:val="0"/>
      <w:marBottom w:val="0"/>
      <w:divBdr>
        <w:top w:val="none" w:sz="0" w:space="0" w:color="auto"/>
        <w:left w:val="none" w:sz="0" w:space="0" w:color="auto"/>
        <w:bottom w:val="none" w:sz="0" w:space="0" w:color="auto"/>
        <w:right w:val="none" w:sz="0" w:space="0" w:color="auto"/>
      </w:divBdr>
    </w:div>
    <w:div w:id="917398181">
      <w:bodyDiv w:val="1"/>
      <w:marLeft w:val="0"/>
      <w:marRight w:val="0"/>
      <w:marTop w:val="0"/>
      <w:marBottom w:val="0"/>
      <w:divBdr>
        <w:top w:val="none" w:sz="0" w:space="0" w:color="auto"/>
        <w:left w:val="none" w:sz="0" w:space="0" w:color="auto"/>
        <w:bottom w:val="none" w:sz="0" w:space="0" w:color="auto"/>
        <w:right w:val="none" w:sz="0" w:space="0" w:color="auto"/>
      </w:divBdr>
    </w:div>
    <w:div w:id="918827587">
      <w:bodyDiv w:val="1"/>
      <w:marLeft w:val="0"/>
      <w:marRight w:val="0"/>
      <w:marTop w:val="0"/>
      <w:marBottom w:val="0"/>
      <w:divBdr>
        <w:top w:val="none" w:sz="0" w:space="0" w:color="auto"/>
        <w:left w:val="none" w:sz="0" w:space="0" w:color="auto"/>
        <w:bottom w:val="none" w:sz="0" w:space="0" w:color="auto"/>
        <w:right w:val="none" w:sz="0" w:space="0" w:color="auto"/>
      </w:divBdr>
    </w:div>
    <w:div w:id="933973787">
      <w:bodyDiv w:val="1"/>
      <w:marLeft w:val="0"/>
      <w:marRight w:val="0"/>
      <w:marTop w:val="0"/>
      <w:marBottom w:val="0"/>
      <w:divBdr>
        <w:top w:val="none" w:sz="0" w:space="0" w:color="auto"/>
        <w:left w:val="none" w:sz="0" w:space="0" w:color="auto"/>
        <w:bottom w:val="none" w:sz="0" w:space="0" w:color="auto"/>
        <w:right w:val="none" w:sz="0" w:space="0" w:color="auto"/>
      </w:divBdr>
    </w:div>
    <w:div w:id="950549652">
      <w:bodyDiv w:val="1"/>
      <w:marLeft w:val="0"/>
      <w:marRight w:val="0"/>
      <w:marTop w:val="0"/>
      <w:marBottom w:val="0"/>
      <w:divBdr>
        <w:top w:val="none" w:sz="0" w:space="0" w:color="auto"/>
        <w:left w:val="none" w:sz="0" w:space="0" w:color="auto"/>
        <w:bottom w:val="none" w:sz="0" w:space="0" w:color="auto"/>
        <w:right w:val="none" w:sz="0" w:space="0" w:color="auto"/>
      </w:divBdr>
    </w:div>
    <w:div w:id="951060951">
      <w:bodyDiv w:val="1"/>
      <w:marLeft w:val="0"/>
      <w:marRight w:val="0"/>
      <w:marTop w:val="0"/>
      <w:marBottom w:val="0"/>
      <w:divBdr>
        <w:top w:val="none" w:sz="0" w:space="0" w:color="auto"/>
        <w:left w:val="none" w:sz="0" w:space="0" w:color="auto"/>
        <w:bottom w:val="none" w:sz="0" w:space="0" w:color="auto"/>
        <w:right w:val="none" w:sz="0" w:space="0" w:color="auto"/>
      </w:divBdr>
    </w:div>
    <w:div w:id="960721883">
      <w:bodyDiv w:val="1"/>
      <w:marLeft w:val="0"/>
      <w:marRight w:val="0"/>
      <w:marTop w:val="0"/>
      <w:marBottom w:val="0"/>
      <w:divBdr>
        <w:top w:val="none" w:sz="0" w:space="0" w:color="auto"/>
        <w:left w:val="none" w:sz="0" w:space="0" w:color="auto"/>
        <w:bottom w:val="none" w:sz="0" w:space="0" w:color="auto"/>
        <w:right w:val="none" w:sz="0" w:space="0" w:color="auto"/>
      </w:divBdr>
      <w:divsChild>
        <w:div w:id="832062727">
          <w:marLeft w:val="0"/>
          <w:marRight w:val="0"/>
          <w:marTop w:val="0"/>
          <w:marBottom w:val="0"/>
          <w:divBdr>
            <w:top w:val="none" w:sz="0" w:space="0" w:color="auto"/>
            <w:left w:val="none" w:sz="0" w:space="0" w:color="auto"/>
            <w:bottom w:val="none" w:sz="0" w:space="0" w:color="auto"/>
            <w:right w:val="none" w:sz="0" w:space="0" w:color="auto"/>
          </w:divBdr>
        </w:div>
      </w:divsChild>
    </w:div>
    <w:div w:id="967973631">
      <w:bodyDiv w:val="1"/>
      <w:marLeft w:val="0"/>
      <w:marRight w:val="0"/>
      <w:marTop w:val="0"/>
      <w:marBottom w:val="0"/>
      <w:divBdr>
        <w:top w:val="none" w:sz="0" w:space="0" w:color="auto"/>
        <w:left w:val="none" w:sz="0" w:space="0" w:color="auto"/>
        <w:bottom w:val="none" w:sz="0" w:space="0" w:color="auto"/>
        <w:right w:val="none" w:sz="0" w:space="0" w:color="auto"/>
      </w:divBdr>
      <w:divsChild>
        <w:div w:id="792748365">
          <w:marLeft w:val="0"/>
          <w:marRight w:val="446"/>
          <w:marTop w:val="115"/>
          <w:marBottom w:val="120"/>
          <w:divBdr>
            <w:top w:val="none" w:sz="0" w:space="0" w:color="auto"/>
            <w:left w:val="none" w:sz="0" w:space="0" w:color="auto"/>
            <w:bottom w:val="none" w:sz="0" w:space="0" w:color="auto"/>
            <w:right w:val="none" w:sz="0" w:space="0" w:color="auto"/>
          </w:divBdr>
        </w:div>
        <w:div w:id="721245398">
          <w:marLeft w:val="0"/>
          <w:marRight w:val="446"/>
          <w:marTop w:val="115"/>
          <w:marBottom w:val="120"/>
          <w:divBdr>
            <w:top w:val="none" w:sz="0" w:space="0" w:color="auto"/>
            <w:left w:val="none" w:sz="0" w:space="0" w:color="auto"/>
            <w:bottom w:val="none" w:sz="0" w:space="0" w:color="auto"/>
            <w:right w:val="none" w:sz="0" w:space="0" w:color="auto"/>
          </w:divBdr>
        </w:div>
        <w:div w:id="325665939">
          <w:marLeft w:val="0"/>
          <w:marRight w:val="446"/>
          <w:marTop w:val="115"/>
          <w:marBottom w:val="120"/>
          <w:divBdr>
            <w:top w:val="none" w:sz="0" w:space="0" w:color="auto"/>
            <w:left w:val="none" w:sz="0" w:space="0" w:color="auto"/>
            <w:bottom w:val="none" w:sz="0" w:space="0" w:color="auto"/>
            <w:right w:val="none" w:sz="0" w:space="0" w:color="auto"/>
          </w:divBdr>
        </w:div>
        <w:div w:id="436949217">
          <w:marLeft w:val="0"/>
          <w:marRight w:val="446"/>
          <w:marTop w:val="115"/>
          <w:marBottom w:val="120"/>
          <w:divBdr>
            <w:top w:val="none" w:sz="0" w:space="0" w:color="auto"/>
            <w:left w:val="none" w:sz="0" w:space="0" w:color="auto"/>
            <w:bottom w:val="none" w:sz="0" w:space="0" w:color="auto"/>
            <w:right w:val="none" w:sz="0" w:space="0" w:color="auto"/>
          </w:divBdr>
        </w:div>
        <w:div w:id="1286813828">
          <w:marLeft w:val="0"/>
          <w:marRight w:val="446"/>
          <w:marTop w:val="115"/>
          <w:marBottom w:val="120"/>
          <w:divBdr>
            <w:top w:val="none" w:sz="0" w:space="0" w:color="auto"/>
            <w:left w:val="none" w:sz="0" w:space="0" w:color="auto"/>
            <w:bottom w:val="none" w:sz="0" w:space="0" w:color="auto"/>
            <w:right w:val="none" w:sz="0" w:space="0" w:color="auto"/>
          </w:divBdr>
        </w:div>
      </w:divsChild>
    </w:div>
    <w:div w:id="976758882">
      <w:bodyDiv w:val="1"/>
      <w:marLeft w:val="0"/>
      <w:marRight w:val="0"/>
      <w:marTop w:val="0"/>
      <w:marBottom w:val="0"/>
      <w:divBdr>
        <w:top w:val="none" w:sz="0" w:space="0" w:color="auto"/>
        <w:left w:val="none" w:sz="0" w:space="0" w:color="auto"/>
        <w:bottom w:val="none" w:sz="0" w:space="0" w:color="auto"/>
        <w:right w:val="none" w:sz="0" w:space="0" w:color="auto"/>
      </w:divBdr>
      <w:divsChild>
        <w:div w:id="720592627">
          <w:marLeft w:val="0"/>
          <w:marRight w:val="0"/>
          <w:marTop w:val="0"/>
          <w:marBottom w:val="0"/>
          <w:divBdr>
            <w:top w:val="none" w:sz="0" w:space="0" w:color="auto"/>
            <w:left w:val="none" w:sz="0" w:space="0" w:color="auto"/>
            <w:bottom w:val="none" w:sz="0" w:space="0" w:color="auto"/>
            <w:right w:val="none" w:sz="0" w:space="0" w:color="auto"/>
          </w:divBdr>
        </w:div>
      </w:divsChild>
    </w:div>
    <w:div w:id="982544602">
      <w:bodyDiv w:val="1"/>
      <w:marLeft w:val="0"/>
      <w:marRight w:val="0"/>
      <w:marTop w:val="0"/>
      <w:marBottom w:val="0"/>
      <w:divBdr>
        <w:top w:val="none" w:sz="0" w:space="0" w:color="auto"/>
        <w:left w:val="none" w:sz="0" w:space="0" w:color="auto"/>
        <w:bottom w:val="none" w:sz="0" w:space="0" w:color="auto"/>
        <w:right w:val="none" w:sz="0" w:space="0" w:color="auto"/>
      </w:divBdr>
    </w:div>
    <w:div w:id="986014151">
      <w:bodyDiv w:val="1"/>
      <w:marLeft w:val="0"/>
      <w:marRight w:val="0"/>
      <w:marTop w:val="0"/>
      <w:marBottom w:val="0"/>
      <w:divBdr>
        <w:top w:val="none" w:sz="0" w:space="0" w:color="auto"/>
        <w:left w:val="none" w:sz="0" w:space="0" w:color="auto"/>
        <w:bottom w:val="none" w:sz="0" w:space="0" w:color="auto"/>
        <w:right w:val="none" w:sz="0" w:space="0" w:color="auto"/>
      </w:divBdr>
    </w:div>
    <w:div w:id="989095325">
      <w:bodyDiv w:val="1"/>
      <w:marLeft w:val="0"/>
      <w:marRight w:val="0"/>
      <w:marTop w:val="0"/>
      <w:marBottom w:val="0"/>
      <w:divBdr>
        <w:top w:val="none" w:sz="0" w:space="0" w:color="auto"/>
        <w:left w:val="none" w:sz="0" w:space="0" w:color="auto"/>
        <w:bottom w:val="none" w:sz="0" w:space="0" w:color="auto"/>
        <w:right w:val="none" w:sz="0" w:space="0" w:color="auto"/>
      </w:divBdr>
    </w:div>
    <w:div w:id="995838768">
      <w:bodyDiv w:val="1"/>
      <w:marLeft w:val="0"/>
      <w:marRight w:val="0"/>
      <w:marTop w:val="0"/>
      <w:marBottom w:val="0"/>
      <w:divBdr>
        <w:top w:val="none" w:sz="0" w:space="0" w:color="auto"/>
        <w:left w:val="none" w:sz="0" w:space="0" w:color="auto"/>
        <w:bottom w:val="none" w:sz="0" w:space="0" w:color="auto"/>
        <w:right w:val="none" w:sz="0" w:space="0" w:color="auto"/>
      </w:divBdr>
    </w:div>
    <w:div w:id="1004823216">
      <w:bodyDiv w:val="1"/>
      <w:marLeft w:val="0"/>
      <w:marRight w:val="0"/>
      <w:marTop w:val="0"/>
      <w:marBottom w:val="0"/>
      <w:divBdr>
        <w:top w:val="none" w:sz="0" w:space="0" w:color="auto"/>
        <w:left w:val="none" w:sz="0" w:space="0" w:color="auto"/>
        <w:bottom w:val="none" w:sz="0" w:space="0" w:color="auto"/>
        <w:right w:val="none" w:sz="0" w:space="0" w:color="auto"/>
      </w:divBdr>
      <w:divsChild>
        <w:div w:id="1965237187">
          <w:marLeft w:val="0"/>
          <w:marRight w:val="446"/>
          <w:marTop w:val="53"/>
          <w:marBottom w:val="120"/>
          <w:divBdr>
            <w:top w:val="none" w:sz="0" w:space="0" w:color="auto"/>
            <w:left w:val="none" w:sz="0" w:space="0" w:color="auto"/>
            <w:bottom w:val="none" w:sz="0" w:space="0" w:color="auto"/>
            <w:right w:val="none" w:sz="0" w:space="0" w:color="auto"/>
          </w:divBdr>
        </w:div>
        <w:div w:id="297540065">
          <w:marLeft w:val="0"/>
          <w:marRight w:val="446"/>
          <w:marTop w:val="53"/>
          <w:marBottom w:val="120"/>
          <w:divBdr>
            <w:top w:val="none" w:sz="0" w:space="0" w:color="auto"/>
            <w:left w:val="none" w:sz="0" w:space="0" w:color="auto"/>
            <w:bottom w:val="none" w:sz="0" w:space="0" w:color="auto"/>
            <w:right w:val="none" w:sz="0" w:space="0" w:color="auto"/>
          </w:divBdr>
        </w:div>
        <w:div w:id="1448312417">
          <w:marLeft w:val="0"/>
          <w:marRight w:val="446"/>
          <w:marTop w:val="53"/>
          <w:marBottom w:val="120"/>
          <w:divBdr>
            <w:top w:val="none" w:sz="0" w:space="0" w:color="auto"/>
            <w:left w:val="none" w:sz="0" w:space="0" w:color="auto"/>
            <w:bottom w:val="none" w:sz="0" w:space="0" w:color="auto"/>
            <w:right w:val="none" w:sz="0" w:space="0" w:color="auto"/>
          </w:divBdr>
        </w:div>
        <w:div w:id="768164897">
          <w:marLeft w:val="0"/>
          <w:marRight w:val="446"/>
          <w:marTop w:val="53"/>
          <w:marBottom w:val="120"/>
          <w:divBdr>
            <w:top w:val="none" w:sz="0" w:space="0" w:color="auto"/>
            <w:left w:val="none" w:sz="0" w:space="0" w:color="auto"/>
            <w:bottom w:val="none" w:sz="0" w:space="0" w:color="auto"/>
            <w:right w:val="none" w:sz="0" w:space="0" w:color="auto"/>
          </w:divBdr>
        </w:div>
      </w:divsChild>
    </w:div>
    <w:div w:id="1006640488">
      <w:bodyDiv w:val="1"/>
      <w:marLeft w:val="0"/>
      <w:marRight w:val="0"/>
      <w:marTop w:val="0"/>
      <w:marBottom w:val="0"/>
      <w:divBdr>
        <w:top w:val="none" w:sz="0" w:space="0" w:color="auto"/>
        <w:left w:val="none" w:sz="0" w:space="0" w:color="auto"/>
        <w:bottom w:val="none" w:sz="0" w:space="0" w:color="auto"/>
        <w:right w:val="none" w:sz="0" w:space="0" w:color="auto"/>
      </w:divBdr>
      <w:divsChild>
        <w:div w:id="473332880">
          <w:marLeft w:val="0"/>
          <w:marRight w:val="446"/>
          <w:marTop w:val="72"/>
          <w:marBottom w:val="120"/>
          <w:divBdr>
            <w:top w:val="none" w:sz="0" w:space="0" w:color="auto"/>
            <w:left w:val="none" w:sz="0" w:space="0" w:color="auto"/>
            <w:bottom w:val="none" w:sz="0" w:space="0" w:color="auto"/>
            <w:right w:val="none" w:sz="0" w:space="0" w:color="auto"/>
          </w:divBdr>
        </w:div>
      </w:divsChild>
    </w:div>
    <w:div w:id="1009451118">
      <w:bodyDiv w:val="1"/>
      <w:marLeft w:val="0"/>
      <w:marRight w:val="0"/>
      <w:marTop w:val="0"/>
      <w:marBottom w:val="0"/>
      <w:divBdr>
        <w:top w:val="none" w:sz="0" w:space="0" w:color="auto"/>
        <w:left w:val="none" w:sz="0" w:space="0" w:color="auto"/>
        <w:bottom w:val="none" w:sz="0" w:space="0" w:color="auto"/>
        <w:right w:val="none" w:sz="0" w:space="0" w:color="auto"/>
      </w:divBdr>
      <w:divsChild>
        <w:div w:id="1051802981">
          <w:marLeft w:val="0"/>
          <w:marRight w:val="0"/>
          <w:marTop w:val="0"/>
          <w:marBottom w:val="0"/>
          <w:divBdr>
            <w:top w:val="none" w:sz="0" w:space="0" w:color="auto"/>
            <w:left w:val="none" w:sz="0" w:space="0" w:color="auto"/>
            <w:bottom w:val="none" w:sz="0" w:space="0" w:color="auto"/>
            <w:right w:val="none" w:sz="0" w:space="0" w:color="auto"/>
          </w:divBdr>
        </w:div>
        <w:div w:id="1647321352">
          <w:marLeft w:val="0"/>
          <w:marRight w:val="0"/>
          <w:marTop w:val="0"/>
          <w:marBottom w:val="0"/>
          <w:divBdr>
            <w:top w:val="none" w:sz="0" w:space="0" w:color="auto"/>
            <w:left w:val="none" w:sz="0" w:space="0" w:color="auto"/>
            <w:bottom w:val="none" w:sz="0" w:space="0" w:color="auto"/>
            <w:right w:val="none" w:sz="0" w:space="0" w:color="auto"/>
          </w:divBdr>
        </w:div>
      </w:divsChild>
    </w:div>
    <w:div w:id="1021273388">
      <w:bodyDiv w:val="1"/>
      <w:marLeft w:val="0"/>
      <w:marRight w:val="0"/>
      <w:marTop w:val="0"/>
      <w:marBottom w:val="0"/>
      <w:divBdr>
        <w:top w:val="none" w:sz="0" w:space="0" w:color="auto"/>
        <w:left w:val="none" w:sz="0" w:space="0" w:color="auto"/>
        <w:bottom w:val="none" w:sz="0" w:space="0" w:color="auto"/>
        <w:right w:val="none" w:sz="0" w:space="0" w:color="auto"/>
      </w:divBdr>
    </w:div>
    <w:div w:id="1027290140">
      <w:bodyDiv w:val="1"/>
      <w:marLeft w:val="0"/>
      <w:marRight w:val="0"/>
      <w:marTop w:val="0"/>
      <w:marBottom w:val="0"/>
      <w:divBdr>
        <w:top w:val="none" w:sz="0" w:space="0" w:color="auto"/>
        <w:left w:val="none" w:sz="0" w:space="0" w:color="auto"/>
        <w:bottom w:val="none" w:sz="0" w:space="0" w:color="auto"/>
        <w:right w:val="none" w:sz="0" w:space="0" w:color="auto"/>
      </w:divBdr>
    </w:div>
    <w:div w:id="1056511612">
      <w:bodyDiv w:val="1"/>
      <w:marLeft w:val="0"/>
      <w:marRight w:val="0"/>
      <w:marTop w:val="0"/>
      <w:marBottom w:val="0"/>
      <w:divBdr>
        <w:top w:val="none" w:sz="0" w:space="0" w:color="auto"/>
        <w:left w:val="none" w:sz="0" w:space="0" w:color="auto"/>
        <w:bottom w:val="none" w:sz="0" w:space="0" w:color="auto"/>
        <w:right w:val="none" w:sz="0" w:space="0" w:color="auto"/>
      </w:divBdr>
    </w:div>
    <w:div w:id="1061055487">
      <w:bodyDiv w:val="1"/>
      <w:marLeft w:val="0"/>
      <w:marRight w:val="0"/>
      <w:marTop w:val="0"/>
      <w:marBottom w:val="0"/>
      <w:divBdr>
        <w:top w:val="none" w:sz="0" w:space="0" w:color="auto"/>
        <w:left w:val="none" w:sz="0" w:space="0" w:color="auto"/>
        <w:bottom w:val="none" w:sz="0" w:space="0" w:color="auto"/>
        <w:right w:val="none" w:sz="0" w:space="0" w:color="auto"/>
      </w:divBdr>
      <w:divsChild>
        <w:div w:id="189689905">
          <w:marLeft w:val="0"/>
          <w:marRight w:val="446"/>
          <w:marTop w:val="96"/>
          <w:marBottom w:val="120"/>
          <w:divBdr>
            <w:top w:val="none" w:sz="0" w:space="0" w:color="auto"/>
            <w:left w:val="none" w:sz="0" w:space="0" w:color="auto"/>
            <w:bottom w:val="none" w:sz="0" w:space="0" w:color="auto"/>
            <w:right w:val="none" w:sz="0" w:space="0" w:color="auto"/>
          </w:divBdr>
        </w:div>
        <w:div w:id="464930761">
          <w:marLeft w:val="0"/>
          <w:marRight w:val="446"/>
          <w:marTop w:val="96"/>
          <w:marBottom w:val="120"/>
          <w:divBdr>
            <w:top w:val="none" w:sz="0" w:space="0" w:color="auto"/>
            <w:left w:val="none" w:sz="0" w:space="0" w:color="auto"/>
            <w:bottom w:val="none" w:sz="0" w:space="0" w:color="auto"/>
            <w:right w:val="none" w:sz="0" w:space="0" w:color="auto"/>
          </w:divBdr>
        </w:div>
        <w:div w:id="859667231">
          <w:marLeft w:val="0"/>
          <w:marRight w:val="446"/>
          <w:marTop w:val="96"/>
          <w:marBottom w:val="120"/>
          <w:divBdr>
            <w:top w:val="none" w:sz="0" w:space="0" w:color="auto"/>
            <w:left w:val="none" w:sz="0" w:space="0" w:color="auto"/>
            <w:bottom w:val="none" w:sz="0" w:space="0" w:color="auto"/>
            <w:right w:val="none" w:sz="0" w:space="0" w:color="auto"/>
          </w:divBdr>
        </w:div>
        <w:div w:id="2001762962">
          <w:marLeft w:val="0"/>
          <w:marRight w:val="446"/>
          <w:marTop w:val="96"/>
          <w:marBottom w:val="120"/>
          <w:divBdr>
            <w:top w:val="none" w:sz="0" w:space="0" w:color="auto"/>
            <w:left w:val="none" w:sz="0" w:space="0" w:color="auto"/>
            <w:bottom w:val="none" w:sz="0" w:space="0" w:color="auto"/>
            <w:right w:val="none" w:sz="0" w:space="0" w:color="auto"/>
          </w:divBdr>
        </w:div>
        <w:div w:id="1993100214">
          <w:marLeft w:val="0"/>
          <w:marRight w:val="446"/>
          <w:marTop w:val="96"/>
          <w:marBottom w:val="120"/>
          <w:divBdr>
            <w:top w:val="none" w:sz="0" w:space="0" w:color="auto"/>
            <w:left w:val="none" w:sz="0" w:space="0" w:color="auto"/>
            <w:bottom w:val="none" w:sz="0" w:space="0" w:color="auto"/>
            <w:right w:val="none" w:sz="0" w:space="0" w:color="auto"/>
          </w:divBdr>
        </w:div>
        <w:div w:id="171188591">
          <w:marLeft w:val="0"/>
          <w:marRight w:val="446"/>
          <w:marTop w:val="96"/>
          <w:marBottom w:val="120"/>
          <w:divBdr>
            <w:top w:val="none" w:sz="0" w:space="0" w:color="auto"/>
            <w:left w:val="none" w:sz="0" w:space="0" w:color="auto"/>
            <w:bottom w:val="none" w:sz="0" w:space="0" w:color="auto"/>
            <w:right w:val="none" w:sz="0" w:space="0" w:color="auto"/>
          </w:divBdr>
        </w:div>
      </w:divsChild>
    </w:div>
    <w:div w:id="1061752558">
      <w:bodyDiv w:val="1"/>
      <w:marLeft w:val="0"/>
      <w:marRight w:val="0"/>
      <w:marTop w:val="0"/>
      <w:marBottom w:val="0"/>
      <w:divBdr>
        <w:top w:val="none" w:sz="0" w:space="0" w:color="auto"/>
        <w:left w:val="none" w:sz="0" w:space="0" w:color="auto"/>
        <w:bottom w:val="none" w:sz="0" w:space="0" w:color="auto"/>
        <w:right w:val="none" w:sz="0" w:space="0" w:color="auto"/>
      </w:divBdr>
      <w:divsChild>
        <w:div w:id="90013446">
          <w:marLeft w:val="0"/>
          <w:marRight w:val="0"/>
          <w:marTop w:val="0"/>
          <w:marBottom w:val="0"/>
          <w:divBdr>
            <w:top w:val="none" w:sz="0" w:space="0" w:color="auto"/>
            <w:left w:val="none" w:sz="0" w:space="0" w:color="auto"/>
            <w:bottom w:val="none" w:sz="0" w:space="0" w:color="auto"/>
            <w:right w:val="none" w:sz="0" w:space="0" w:color="auto"/>
          </w:divBdr>
        </w:div>
        <w:div w:id="758674166">
          <w:marLeft w:val="0"/>
          <w:marRight w:val="0"/>
          <w:marTop w:val="0"/>
          <w:marBottom w:val="0"/>
          <w:divBdr>
            <w:top w:val="none" w:sz="0" w:space="0" w:color="auto"/>
            <w:left w:val="none" w:sz="0" w:space="0" w:color="auto"/>
            <w:bottom w:val="none" w:sz="0" w:space="0" w:color="auto"/>
            <w:right w:val="none" w:sz="0" w:space="0" w:color="auto"/>
          </w:divBdr>
        </w:div>
        <w:div w:id="3946153">
          <w:marLeft w:val="0"/>
          <w:marRight w:val="0"/>
          <w:marTop w:val="0"/>
          <w:marBottom w:val="0"/>
          <w:divBdr>
            <w:top w:val="none" w:sz="0" w:space="0" w:color="auto"/>
            <w:left w:val="none" w:sz="0" w:space="0" w:color="auto"/>
            <w:bottom w:val="none" w:sz="0" w:space="0" w:color="auto"/>
            <w:right w:val="none" w:sz="0" w:space="0" w:color="auto"/>
          </w:divBdr>
        </w:div>
        <w:div w:id="450053476">
          <w:marLeft w:val="0"/>
          <w:marRight w:val="0"/>
          <w:marTop w:val="0"/>
          <w:marBottom w:val="0"/>
          <w:divBdr>
            <w:top w:val="none" w:sz="0" w:space="0" w:color="auto"/>
            <w:left w:val="none" w:sz="0" w:space="0" w:color="auto"/>
            <w:bottom w:val="none" w:sz="0" w:space="0" w:color="auto"/>
            <w:right w:val="none" w:sz="0" w:space="0" w:color="auto"/>
          </w:divBdr>
        </w:div>
        <w:div w:id="838009779">
          <w:marLeft w:val="0"/>
          <w:marRight w:val="0"/>
          <w:marTop w:val="0"/>
          <w:marBottom w:val="0"/>
          <w:divBdr>
            <w:top w:val="none" w:sz="0" w:space="0" w:color="auto"/>
            <w:left w:val="none" w:sz="0" w:space="0" w:color="auto"/>
            <w:bottom w:val="none" w:sz="0" w:space="0" w:color="auto"/>
            <w:right w:val="none" w:sz="0" w:space="0" w:color="auto"/>
          </w:divBdr>
        </w:div>
        <w:div w:id="1961108196">
          <w:marLeft w:val="0"/>
          <w:marRight w:val="0"/>
          <w:marTop w:val="0"/>
          <w:marBottom w:val="0"/>
          <w:divBdr>
            <w:top w:val="none" w:sz="0" w:space="0" w:color="auto"/>
            <w:left w:val="none" w:sz="0" w:space="0" w:color="auto"/>
            <w:bottom w:val="none" w:sz="0" w:space="0" w:color="auto"/>
            <w:right w:val="none" w:sz="0" w:space="0" w:color="auto"/>
          </w:divBdr>
        </w:div>
        <w:div w:id="661859539">
          <w:marLeft w:val="0"/>
          <w:marRight w:val="0"/>
          <w:marTop w:val="0"/>
          <w:marBottom w:val="0"/>
          <w:divBdr>
            <w:top w:val="none" w:sz="0" w:space="0" w:color="auto"/>
            <w:left w:val="none" w:sz="0" w:space="0" w:color="auto"/>
            <w:bottom w:val="none" w:sz="0" w:space="0" w:color="auto"/>
            <w:right w:val="none" w:sz="0" w:space="0" w:color="auto"/>
          </w:divBdr>
        </w:div>
        <w:div w:id="868488741">
          <w:marLeft w:val="0"/>
          <w:marRight w:val="0"/>
          <w:marTop w:val="0"/>
          <w:marBottom w:val="0"/>
          <w:divBdr>
            <w:top w:val="none" w:sz="0" w:space="0" w:color="auto"/>
            <w:left w:val="none" w:sz="0" w:space="0" w:color="auto"/>
            <w:bottom w:val="none" w:sz="0" w:space="0" w:color="auto"/>
            <w:right w:val="none" w:sz="0" w:space="0" w:color="auto"/>
          </w:divBdr>
        </w:div>
        <w:div w:id="462044985">
          <w:marLeft w:val="0"/>
          <w:marRight w:val="0"/>
          <w:marTop w:val="0"/>
          <w:marBottom w:val="0"/>
          <w:divBdr>
            <w:top w:val="none" w:sz="0" w:space="0" w:color="auto"/>
            <w:left w:val="none" w:sz="0" w:space="0" w:color="auto"/>
            <w:bottom w:val="none" w:sz="0" w:space="0" w:color="auto"/>
            <w:right w:val="none" w:sz="0" w:space="0" w:color="auto"/>
          </w:divBdr>
        </w:div>
        <w:div w:id="2029091553">
          <w:marLeft w:val="0"/>
          <w:marRight w:val="0"/>
          <w:marTop w:val="0"/>
          <w:marBottom w:val="0"/>
          <w:divBdr>
            <w:top w:val="none" w:sz="0" w:space="0" w:color="auto"/>
            <w:left w:val="none" w:sz="0" w:space="0" w:color="auto"/>
            <w:bottom w:val="none" w:sz="0" w:space="0" w:color="auto"/>
            <w:right w:val="none" w:sz="0" w:space="0" w:color="auto"/>
          </w:divBdr>
        </w:div>
        <w:div w:id="1110007588">
          <w:marLeft w:val="0"/>
          <w:marRight w:val="0"/>
          <w:marTop w:val="0"/>
          <w:marBottom w:val="0"/>
          <w:divBdr>
            <w:top w:val="none" w:sz="0" w:space="0" w:color="auto"/>
            <w:left w:val="none" w:sz="0" w:space="0" w:color="auto"/>
            <w:bottom w:val="none" w:sz="0" w:space="0" w:color="auto"/>
            <w:right w:val="none" w:sz="0" w:space="0" w:color="auto"/>
          </w:divBdr>
        </w:div>
        <w:div w:id="168913594">
          <w:marLeft w:val="0"/>
          <w:marRight w:val="0"/>
          <w:marTop w:val="0"/>
          <w:marBottom w:val="0"/>
          <w:divBdr>
            <w:top w:val="none" w:sz="0" w:space="0" w:color="auto"/>
            <w:left w:val="none" w:sz="0" w:space="0" w:color="auto"/>
            <w:bottom w:val="none" w:sz="0" w:space="0" w:color="auto"/>
            <w:right w:val="none" w:sz="0" w:space="0" w:color="auto"/>
          </w:divBdr>
        </w:div>
        <w:div w:id="2002610892">
          <w:marLeft w:val="0"/>
          <w:marRight w:val="0"/>
          <w:marTop w:val="0"/>
          <w:marBottom w:val="0"/>
          <w:divBdr>
            <w:top w:val="none" w:sz="0" w:space="0" w:color="auto"/>
            <w:left w:val="none" w:sz="0" w:space="0" w:color="auto"/>
            <w:bottom w:val="none" w:sz="0" w:space="0" w:color="auto"/>
            <w:right w:val="none" w:sz="0" w:space="0" w:color="auto"/>
          </w:divBdr>
        </w:div>
        <w:div w:id="800616372">
          <w:marLeft w:val="0"/>
          <w:marRight w:val="0"/>
          <w:marTop w:val="0"/>
          <w:marBottom w:val="0"/>
          <w:divBdr>
            <w:top w:val="none" w:sz="0" w:space="0" w:color="auto"/>
            <w:left w:val="none" w:sz="0" w:space="0" w:color="auto"/>
            <w:bottom w:val="none" w:sz="0" w:space="0" w:color="auto"/>
            <w:right w:val="none" w:sz="0" w:space="0" w:color="auto"/>
          </w:divBdr>
        </w:div>
        <w:div w:id="1857578105">
          <w:marLeft w:val="0"/>
          <w:marRight w:val="0"/>
          <w:marTop w:val="0"/>
          <w:marBottom w:val="0"/>
          <w:divBdr>
            <w:top w:val="none" w:sz="0" w:space="0" w:color="auto"/>
            <w:left w:val="none" w:sz="0" w:space="0" w:color="auto"/>
            <w:bottom w:val="none" w:sz="0" w:space="0" w:color="auto"/>
            <w:right w:val="none" w:sz="0" w:space="0" w:color="auto"/>
          </w:divBdr>
        </w:div>
        <w:div w:id="159078947">
          <w:marLeft w:val="0"/>
          <w:marRight w:val="0"/>
          <w:marTop w:val="0"/>
          <w:marBottom w:val="0"/>
          <w:divBdr>
            <w:top w:val="none" w:sz="0" w:space="0" w:color="auto"/>
            <w:left w:val="none" w:sz="0" w:space="0" w:color="auto"/>
            <w:bottom w:val="none" w:sz="0" w:space="0" w:color="auto"/>
            <w:right w:val="none" w:sz="0" w:space="0" w:color="auto"/>
          </w:divBdr>
        </w:div>
        <w:div w:id="257106081">
          <w:marLeft w:val="0"/>
          <w:marRight w:val="0"/>
          <w:marTop w:val="0"/>
          <w:marBottom w:val="0"/>
          <w:divBdr>
            <w:top w:val="none" w:sz="0" w:space="0" w:color="auto"/>
            <w:left w:val="none" w:sz="0" w:space="0" w:color="auto"/>
            <w:bottom w:val="none" w:sz="0" w:space="0" w:color="auto"/>
            <w:right w:val="none" w:sz="0" w:space="0" w:color="auto"/>
          </w:divBdr>
        </w:div>
        <w:div w:id="1170408055">
          <w:marLeft w:val="0"/>
          <w:marRight w:val="0"/>
          <w:marTop w:val="0"/>
          <w:marBottom w:val="0"/>
          <w:divBdr>
            <w:top w:val="none" w:sz="0" w:space="0" w:color="auto"/>
            <w:left w:val="none" w:sz="0" w:space="0" w:color="auto"/>
            <w:bottom w:val="none" w:sz="0" w:space="0" w:color="auto"/>
            <w:right w:val="none" w:sz="0" w:space="0" w:color="auto"/>
          </w:divBdr>
        </w:div>
        <w:div w:id="198515799">
          <w:marLeft w:val="0"/>
          <w:marRight w:val="0"/>
          <w:marTop w:val="0"/>
          <w:marBottom w:val="0"/>
          <w:divBdr>
            <w:top w:val="none" w:sz="0" w:space="0" w:color="auto"/>
            <w:left w:val="none" w:sz="0" w:space="0" w:color="auto"/>
            <w:bottom w:val="none" w:sz="0" w:space="0" w:color="auto"/>
            <w:right w:val="none" w:sz="0" w:space="0" w:color="auto"/>
          </w:divBdr>
        </w:div>
        <w:div w:id="1331055403">
          <w:marLeft w:val="0"/>
          <w:marRight w:val="0"/>
          <w:marTop w:val="0"/>
          <w:marBottom w:val="0"/>
          <w:divBdr>
            <w:top w:val="none" w:sz="0" w:space="0" w:color="auto"/>
            <w:left w:val="none" w:sz="0" w:space="0" w:color="auto"/>
            <w:bottom w:val="none" w:sz="0" w:space="0" w:color="auto"/>
            <w:right w:val="none" w:sz="0" w:space="0" w:color="auto"/>
          </w:divBdr>
        </w:div>
        <w:div w:id="1334378828">
          <w:marLeft w:val="0"/>
          <w:marRight w:val="0"/>
          <w:marTop w:val="0"/>
          <w:marBottom w:val="0"/>
          <w:divBdr>
            <w:top w:val="none" w:sz="0" w:space="0" w:color="auto"/>
            <w:left w:val="none" w:sz="0" w:space="0" w:color="auto"/>
            <w:bottom w:val="none" w:sz="0" w:space="0" w:color="auto"/>
            <w:right w:val="none" w:sz="0" w:space="0" w:color="auto"/>
          </w:divBdr>
        </w:div>
        <w:div w:id="1391342362">
          <w:marLeft w:val="0"/>
          <w:marRight w:val="0"/>
          <w:marTop w:val="0"/>
          <w:marBottom w:val="0"/>
          <w:divBdr>
            <w:top w:val="none" w:sz="0" w:space="0" w:color="auto"/>
            <w:left w:val="none" w:sz="0" w:space="0" w:color="auto"/>
            <w:bottom w:val="none" w:sz="0" w:space="0" w:color="auto"/>
            <w:right w:val="none" w:sz="0" w:space="0" w:color="auto"/>
          </w:divBdr>
        </w:div>
        <w:div w:id="1942562681">
          <w:marLeft w:val="0"/>
          <w:marRight w:val="0"/>
          <w:marTop w:val="0"/>
          <w:marBottom w:val="0"/>
          <w:divBdr>
            <w:top w:val="none" w:sz="0" w:space="0" w:color="auto"/>
            <w:left w:val="none" w:sz="0" w:space="0" w:color="auto"/>
            <w:bottom w:val="none" w:sz="0" w:space="0" w:color="auto"/>
            <w:right w:val="none" w:sz="0" w:space="0" w:color="auto"/>
          </w:divBdr>
        </w:div>
        <w:div w:id="1588878554">
          <w:marLeft w:val="0"/>
          <w:marRight w:val="0"/>
          <w:marTop w:val="0"/>
          <w:marBottom w:val="0"/>
          <w:divBdr>
            <w:top w:val="none" w:sz="0" w:space="0" w:color="auto"/>
            <w:left w:val="none" w:sz="0" w:space="0" w:color="auto"/>
            <w:bottom w:val="none" w:sz="0" w:space="0" w:color="auto"/>
            <w:right w:val="none" w:sz="0" w:space="0" w:color="auto"/>
          </w:divBdr>
        </w:div>
        <w:div w:id="1091050510">
          <w:marLeft w:val="0"/>
          <w:marRight w:val="0"/>
          <w:marTop w:val="0"/>
          <w:marBottom w:val="0"/>
          <w:divBdr>
            <w:top w:val="none" w:sz="0" w:space="0" w:color="auto"/>
            <w:left w:val="none" w:sz="0" w:space="0" w:color="auto"/>
            <w:bottom w:val="none" w:sz="0" w:space="0" w:color="auto"/>
            <w:right w:val="none" w:sz="0" w:space="0" w:color="auto"/>
          </w:divBdr>
        </w:div>
        <w:div w:id="1137724590">
          <w:marLeft w:val="0"/>
          <w:marRight w:val="0"/>
          <w:marTop w:val="0"/>
          <w:marBottom w:val="0"/>
          <w:divBdr>
            <w:top w:val="none" w:sz="0" w:space="0" w:color="auto"/>
            <w:left w:val="none" w:sz="0" w:space="0" w:color="auto"/>
            <w:bottom w:val="none" w:sz="0" w:space="0" w:color="auto"/>
            <w:right w:val="none" w:sz="0" w:space="0" w:color="auto"/>
          </w:divBdr>
        </w:div>
        <w:div w:id="1366441952">
          <w:marLeft w:val="0"/>
          <w:marRight w:val="0"/>
          <w:marTop w:val="0"/>
          <w:marBottom w:val="0"/>
          <w:divBdr>
            <w:top w:val="none" w:sz="0" w:space="0" w:color="auto"/>
            <w:left w:val="none" w:sz="0" w:space="0" w:color="auto"/>
            <w:bottom w:val="none" w:sz="0" w:space="0" w:color="auto"/>
            <w:right w:val="none" w:sz="0" w:space="0" w:color="auto"/>
          </w:divBdr>
        </w:div>
        <w:div w:id="393508910">
          <w:marLeft w:val="0"/>
          <w:marRight w:val="0"/>
          <w:marTop w:val="0"/>
          <w:marBottom w:val="0"/>
          <w:divBdr>
            <w:top w:val="none" w:sz="0" w:space="0" w:color="auto"/>
            <w:left w:val="none" w:sz="0" w:space="0" w:color="auto"/>
            <w:bottom w:val="none" w:sz="0" w:space="0" w:color="auto"/>
            <w:right w:val="none" w:sz="0" w:space="0" w:color="auto"/>
          </w:divBdr>
        </w:div>
        <w:div w:id="561674329">
          <w:marLeft w:val="0"/>
          <w:marRight w:val="0"/>
          <w:marTop w:val="0"/>
          <w:marBottom w:val="0"/>
          <w:divBdr>
            <w:top w:val="none" w:sz="0" w:space="0" w:color="auto"/>
            <w:left w:val="none" w:sz="0" w:space="0" w:color="auto"/>
            <w:bottom w:val="none" w:sz="0" w:space="0" w:color="auto"/>
            <w:right w:val="none" w:sz="0" w:space="0" w:color="auto"/>
          </w:divBdr>
        </w:div>
        <w:div w:id="629820145">
          <w:marLeft w:val="0"/>
          <w:marRight w:val="0"/>
          <w:marTop w:val="0"/>
          <w:marBottom w:val="0"/>
          <w:divBdr>
            <w:top w:val="none" w:sz="0" w:space="0" w:color="auto"/>
            <w:left w:val="none" w:sz="0" w:space="0" w:color="auto"/>
            <w:bottom w:val="none" w:sz="0" w:space="0" w:color="auto"/>
            <w:right w:val="none" w:sz="0" w:space="0" w:color="auto"/>
          </w:divBdr>
        </w:div>
        <w:div w:id="291638049">
          <w:marLeft w:val="0"/>
          <w:marRight w:val="0"/>
          <w:marTop w:val="0"/>
          <w:marBottom w:val="0"/>
          <w:divBdr>
            <w:top w:val="none" w:sz="0" w:space="0" w:color="auto"/>
            <w:left w:val="none" w:sz="0" w:space="0" w:color="auto"/>
            <w:bottom w:val="none" w:sz="0" w:space="0" w:color="auto"/>
            <w:right w:val="none" w:sz="0" w:space="0" w:color="auto"/>
          </w:divBdr>
        </w:div>
        <w:div w:id="15733798">
          <w:marLeft w:val="0"/>
          <w:marRight w:val="0"/>
          <w:marTop w:val="0"/>
          <w:marBottom w:val="0"/>
          <w:divBdr>
            <w:top w:val="none" w:sz="0" w:space="0" w:color="auto"/>
            <w:left w:val="none" w:sz="0" w:space="0" w:color="auto"/>
            <w:bottom w:val="none" w:sz="0" w:space="0" w:color="auto"/>
            <w:right w:val="none" w:sz="0" w:space="0" w:color="auto"/>
          </w:divBdr>
        </w:div>
        <w:div w:id="1902907754">
          <w:marLeft w:val="0"/>
          <w:marRight w:val="0"/>
          <w:marTop w:val="0"/>
          <w:marBottom w:val="0"/>
          <w:divBdr>
            <w:top w:val="none" w:sz="0" w:space="0" w:color="auto"/>
            <w:left w:val="none" w:sz="0" w:space="0" w:color="auto"/>
            <w:bottom w:val="none" w:sz="0" w:space="0" w:color="auto"/>
            <w:right w:val="none" w:sz="0" w:space="0" w:color="auto"/>
          </w:divBdr>
        </w:div>
        <w:div w:id="232550316">
          <w:marLeft w:val="0"/>
          <w:marRight w:val="0"/>
          <w:marTop w:val="0"/>
          <w:marBottom w:val="0"/>
          <w:divBdr>
            <w:top w:val="none" w:sz="0" w:space="0" w:color="auto"/>
            <w:left w:val="none" w:sz="0" w:space="0" w:color="auto"/>
            <w:bottom w:val="none" w:sz="0" w:space="0" w:color="auto"/>
            <w:right w:val="none" w:sz="0" w:space="0" w:color="auto"/>
          </w:divBdr>
        </w:div>
        <w:div w:id="974220721">
          <w:marLeft w:val="0"/>
          <w:marRight w:val="0"/>
          <w:marTop w:val="0"/>
          <w:marBottom w:val="0"/>
          <w:divBdr>
            <w:top w:val="none" w:sz="0" w:space="0" w:color="auto"/>
            <w:left w:val="none" w:sz="0" w:space="0" w:color="auto"/>
            <w:bottom w:val="none" w:sz="0" w:space="0" w:color="auto"/>
            <w:right w:val="none" w:sz="0" w:space="0" w:color="auto"/>
          </w:divBdr>
        </w:div>
        <w:div w:id="1135561786">
          <w:marLeft w:val="0"/>
          <w:marRight w:val="0"/>
          <w:marTop w:val="0"/>
          <w:marBottom w:val="0"/>
          <w:divBdr>
            <w:top w:val="none" w:sz="0" w:space="0" w:color="auto"/>
            <w:left w:val="none" w:sz="0" w:space="0" w:color="auto"/>
            <w:bottom w:val="none" w:sz="0" w:space="0" w:color="auto"/>
            <w:right w:val="none" w:sz="0" w:space="0" w:color="auto"/>
          </w:divBdr>
        </w:div>
        <w:div w:id="1662394004">
          <w:marLeft w:val="0"/>
          <w:marRight w:val="0"/>
          <w:marTop w:val="0"/>
          <w:marBottom w:val="0"/>
          <w:divBdr>
            <w:top w:val="none" w:sz="0" w:space="0" w:color="auto"/>
            <w:left w:val="none" w:sz="0" w:space="0" w:color="auto"/>
            <w:bottom w:val="none" w:sz="0" w:space="0" w:color="auto"/>
            <w:right w:val="none" w:sz="0" w:space="0" w:color="auto"/>
          </w:divBdr>
        </w:div>
        <w:div w:id="877011167">
          <w:marLeft w:val="0"/>
          <w:marRight w:val="0"/>
          <w:marTop w:val="0"/>
          <w:marBottom w:val="0"/>
          <w:divBdr>
            <w:top w:val="none" w:sz="0" w:space="0" w:color="auto"/>
            <w:left w:val="none" w:sz="0" w:space="0" w:color="auto"/>
            <w:bottom w:val="none" w:sz="0" w:space="0" w:color="auto"/>
            <w:right w:val="none" w:sz="0" w:space="0" w:color="auto"/>
          </w:divBdr>
        </w:div>
        <w:div w:id="725565029">
          <w:marLeft w:val="0"/>
          <w:marRight w:val="0"/>
          <w:marTop w:val="0"/>
          <w:marBottom w:val="0"/>
          <w:divBdr>
            <w:top w:val="none" w:sz="0" w:space="0" w:color="auto"/>
            <w:left w:val="none" w:sz="0" w:space="0" w:color="auto"/>
            <w:bottom w:val="none" w:sz="0" w:space="0" w:color="auto"/>
            <w:right w:val="none" w:sz="0" w:space="0" w:color="auto"/>
          </w:divBdr>
        </w:div>
        <w:div w:id="1436823857">
          <w:marLeft w:val="0"/>
          <w:marRight w:val="0"/>
          <w:marTop w:val="0"/>
          <w:marBottom w:val="0"/>
          <w:divBdr>
            <w:top w:val="none" w:sz="0" w:space="0" w:color="auto"/>
            <w:left w:val="none" w:sz="0" w:space="0" w:color="auto"/>
            <w:bottom w:val="none" w:sz="0" w:space="0" w:color="auto"/>
            <w:right w:val="none" w:sz="0" w:space="0" w:color="auto"/>
          </w:divBdr>
        </w:div>
        <w:div w:id="728457435">
          <w:marLeft w:val="0"/>
          <w:marRight w:val="0"/>
          <w:marTop w:val="0"/>
          <w:marBottom w:val="0"/>
          <w:divBdr>
            <w:top w:val="none" w:sz="0" w:space="0" w:color="auto"/>
            <w:left w:val="none" w:sz="0" w:space="0" w:color="auto"/>
            <w:bottom w:val="none" w:sz="0" w:space="0" w:color="auto"/>
            <w:right w:val="none" w:sz="0" w:space="0" w:color="auto"/>
          </w:divBdr>
        </w:div>
        <w:div w:id="1653751613">
          <w:marLeft w:val="0"/>
          <w:marRight w:val="0"/>
          <w:marTop w:val="0"/>
          <w:marBottom w:val="0"/>
          <w:divBdr>
            <w:top w:val="none" w:sz="0" w:space="0" w:color="auto"/>
            <w:left w:val="none" w:sz="0" w:space="0" w:color="auto"/>
            <w:bottom w:val="none" w:sz="0" w:space="0" w:color="auto"/>
            <w:right w:val="none" w:sz="0" w:space="0" w:color="auto"/>
          </w:divBdr>
        </w:div>
        <w:div w:id="310712943">
          <w:marLeft w:val="0"/>
          <w:marRight w:val="0"/>
          <w:marTop w:val="0"/>
          <w:marBottom w:val="0"/>
          <w:divBdr>
            <w:top w:val="none" w:sz="0" w:space="0" w:color="auto"/>
            <w:left w:val="none" w:sz="0" w:space="0" w:color="auto"/>
            <w:bottom w:val="none" w:sz="0" w:space="0" w:color="auto"/>
            <w:right w:val="none" w:sz="0" w:space="0" w:color="auto"/>
          </w:divBdr>
        </w:div>
        <w:div w:id="629481469">
          <w:marLeft w:val="0"/>
          <w:marRight w:val="0"/>
          <w:marTop w:val="0"/>
          <w:marBottom w:val="0"/>
          <w:divBdr>
            <w:top w:val="none" w:sz="0" w:space="0" w:color="auto"/>
            <w:left w:val="none" w:sz="0" w:space="0" w:color="auto"/>
            <w:bottom w:val="none" w:sz="0" w:space="0" w:color="auto"/>
            <w:right w:val="none" w:sz="0" w:space="0" w:color="auto"/>
          </w:divBdr>
        </w:div>
        <w:div w:id="873611963">
          <w:marLeft w:val="0"/>
          <w:marRight w:val="0"/>
          <w:marTop w:val="0"/>
          <w:marBottom w:val="0"/>
          <w:divBdr>
            <w:top w:val="none" w:sz="0" w:space="0" w:color="auto"/>
            <w:left w:val="none" w:sz="0" w:space="0" w:color="auto"/>
            <w:bottom w:val="none" w:sz="0" w:space="0" w:color="auto"/>
            <w:right w:val="none" w:sz="0" w:space="0" w:color="auto"/>
          </w:divBdr>
        </w:div>
        <w:div w:id="603876724">
          <w:marLeft w:val="0"/>
          <w:marRight w:val="0"/>
          <w:marTop w:val="0"/>
          <w:marBottom w:val="0"/>
          <w:divBdr>
            <w:top w:val="none" w:sz="0" w:space="0" w:color="auto"/>
            <w:left w:val="none" w:sz="0" w:space="0" w:color="auto"/>
            <w:bottom w:val="none" w:sz="0" w:space="0" w:color="auto"/>
            <w:right w:val="none" w:sz="0" w:space="0" w:color="auto"/>
          </w:divBdr>
        </w:div>
        <w:div w:id="592326392">
          <w:marLeft w:val="0"/>
          <w:marRight w:val="0"/>
          <w:marTop w:val="0"/>
          <w:marBottom w:val="0"/>
          <w:divBdr>
            <w:top w:val="none" w:sz="0" w:space="0" w:color="auto"/>
            <w:left w:val="none" w:sz="0" w:space="0" w:color="auto"/>
            <w:bottom w:val="none" w:sz="0" w:space="0" w:color="auto"/>
            <w:right w:val="none" w:sz="0" w:space="0" w:color="auto"/>
          </w:divBdr>
        </w:div>
        <w:div w:id="1786926274">
          <w:marLeft w:val="0"/>
          <w:marRight w:val="0"/>
          <w:marTop w:val="0"/>
          <w:marBottom w:val="0"/>
          <w:divBdr>
            <w:top w:val="none" w:sz="0" w:space="0" w:color="auto"/>
            <w:left w:val="none" w:sz="0" w:space="0" w:color="auto"/>
            <w:bottom w:val="none" w:sz="0" w:space="0" w:color="auto"/>
            <w:right w:val="none" w:sz="0" w:space="0" w:color="auto"/>
          </w:divBdr>
        </w:div>
        <w:div w:id="1172525454">
          <w:marLeft w:val="0"/>
          <w:marRight w:val="0"/>
          <w:marTop w:val="0"/>
          <w:marBottom w:val="0"/>
          <w:divBdr>
            <w:top w:val="none" w:sz="0" w:space="0" w:color="auto"/>
            <w:left w:val="none" w:sz="0" w:space="0" w:color="auto"/>
            <w:bottom w:val="none" w:sz="0" w:space="0" w:color="auto"/>
            <w:right w:val="none" w:sz="0" w:space="0" w:color="auto"/>
          </w:divBdr>
        </w:div>
        <w:div w:id="1731002679">
          <w:marLeft w:val="0"/>
          <w:marRight w:val="0"/>
          <w:marTop w:val="0"/>
          <w:marBottom w:val="0"/>
          <w:divBdr>
            <w:top w:val="none" w:sz="0" w:space="0" w:color="auto"/>
            <w:left w:val="none" w:sz="0" w:space="0" w:color="auto"/>
            <w:bottom w:val="none" w:sz="0" w:space="0" w:color="auto"/>
            <w:right w:val="none" w:sz="0" w:space="0" w:color="auto"/>
          </w:divBdr>
        </w:div>
        <w:div w:id="362050917">
          <w:marLeft w:val="0"/>
          <w:marRight w:val="0"/>
          <w:marTop w:val="0"/>
          <w:marBottom w:val="0"/>
          <w:divBdr>
            <w:top w:val="none" w:sz="0" w:space="0" w:color="auto"/>
            <w:left w:val="none" w:sz="0" w:space="0" w:color="auto"/>
            <w:bottom w:val="none" w:sz="0" w:space="0" w:color="auto"/>
            <w:right w:val="none" w:sz="0" w:space="0" w:color="auto"/>
          </w:divBdr>
        </w:div>
        <w:div w:id="1397583330">
          <w:marLeft w:val="0"/>
          <w:marRight w:val="0"/>
          <w:marTop w:val="0"/>
          <w:marBottom w:val="0"/>
          <w:divBdr>
            <w:top w:val="none" w:sz="0" w:space="0" w:color="auto"/>
            <w:left w:val="none" w:sz="0" w:space="0" w:color="auto"/>
            <w:bottom w:val="none" w:sz="0" w:space="0" w:color="auto"/>
            <w:right w:val="none" w:sz="0" w:space="0" w:color="auto"/>
          </w:divBdr>
        </w:div>
        <w:div w:id="377781595">
          <w:marLeft w:val="0"/>
          <w:marRight w:val="0"/>
          <w:marTop w:val="0"/>
          <w:marBottom w:val="0"/>
          <w:divBdr>
            <w:top w:val="none" w:sz="0" w:space="0" w:color="auto"/>
            <w:left w:val="none" w:sz="0" w:space="0" w:color="auto"/>
            <w:bottom w:val="none" w:sz="0" w:space="0" w:color="auto"/>
            <w:right w:val="none" w:sz="0" w:space="0" w:color="auto"/>
          </w:divBdr>
        </w:div>
        <w:div w:id="833451525">
          <w:marLeft w:val="0"/>
          <w:marRight w:val="0"/>
          <w:marTop w:val="0"/>
          <w:marBottom w:val="0"/>
          <w:divBdr>
            <w:top w:val="none" w:sz="0" w:space="0" w:color="auto"/>
            <w:left w:val="none" w:sz="0" w:space="0" w:color="auto"/>
            <w:bottom w:val="none" w:sz="0" w:space="0" w:color="auto"/>
            <w:right w:val="none" w:sz="0" w:space="0" w:color="auto"/>
          </w:divBdr>
        </w:div>
        <w:div w:id="909652289">
          <w:marLeft w:val="0"/>
          <w:marRight w:val="0"/>
          <w:marTop w:val="0"/>
          <w:marBottom w:val="0"/>
          <w:divBdr>
            <w:top w:val="none" w:sz="0" w:space="0" w:color="auto"/>
            <w:left w:val="none" w:sz="0" w:space="0" w:color="auto"/>
            <w:bottom w:val="none" w:sz="0" w:space="0" w:color="auto"/>
            <w:right w:val="none" w:sz="0" w:space="0" w:color="auto"/>
          </w:divBdr>
        </w:div>
        <w:div w:id="676806931">
          <w:marLeft w:val="0"/>
          <w:marRight w:val="0"/>
          <w:marTop w:val="0"/>
          <w:marBottom w:val="0"/>
          <w:divBdr>
            <w:top w:val="none" w:sz="0" w:space="0" w:color="auto"/>
            <w:left w:val="none" w:sz="0" w:space="0" w:color="auto"/>
            <w:bottom w:val="none" w:sz="0" w:space="0" w:color="auto"/>
            <w:right w:val="none" w:sz="0" w:space="0" w:color="auto"/>
          </w:divBdr>
        </w:div>
        <w:div w:id="292444580">
          <w:marLeft w:val="0"/>
          <w:marRight w:val="0"/>
          <w:marTop w:val="0"/>
          <w:marBottom w:val="0"/>
          <w:divBdr>
            <w:top w:val="none" w:sz="0" w:space="0" w:color="auto"/>
            <w:left w:val="none" w:sz="0" w:space="0" w:color="auto"/>
            <w:bottom w:val="none" w:sz="0" w:space="0" w:color="auto"/>
            <w:right w:val="none" w:sz="0" w:space="0" w:color="auto"/>
          </w:divBdr>
        </w:div>
        <w:div w:id="346175881">
          <w:marLeft w:val="0"/>
          <w:marRight w:val="0"/>
          <w:marTop w:val="0"/>
          <w:marBottom w:val="0"/>
          <w:divBdr>
            <w:top w:val="none" w:sz="0" w:space="0" w:color="auto"/>
            <w:left w:val="none" w:sz="0" w:space="0" w:color="auto"/>
            <w:bottom w:val="none" w:sz="0" w:space="0" w:color="auto"/>
            <w:right w:val="none" w:sz="0" w:space="0" w:color="auto"/>
          </w:divBdr>
        </w:div>
        <w:div w:id="1213998990">
          <w:marLeft w:val="0"/>
          <w:marRight w:val="0"/>
          <w:marTop w:val="0"/>
          <w:marBottom w:val="0"/>
          <w:divBdr>
            <w:top w:val="none" w:sz="0" w:space="0" w:color="auto"/>
            <w:left w:val="none" w:sz="0" w:space="0" w:color="auto"/>
            <w:bottom w:val="none" w:sz="0" w:space="0" w:color="auto"/>
            <w:right w:val="none" w:sz="0" w:space="0" w:color="auto"/>
          </w:divBdr>
        </w:div>
        <w:div w:id="73596929">
          <w:marLeft w:val="0"/>
          <w:marRight w:val="0"/>
          <w:marTop w:val="0"/>
          <w:marBottom w:val="0"/>
          <w:divBdr>
            <w:top w:val="none" w:sz="0" w:space="0" w:color="auto"/>
            <w:left w:val="none" w:sz="0" w:space="0" w:color="auto"/>
            <w:bottom w:val="none" w:sz="0" w:space="0" w:color="auto"/>
            <w:right w:val="none" w:sz="0" w:space="0" w:color="auto"/>
          </w:divBdr>
        </w:div>
        <w:div w:id="570119888">
          <w:marLeft w:val="0"/>
          <w:marRight w:val="0"/>
          <w:marTop w:val="0"/>
          <w:marBottom w:val="0"/>
          <w:divBdr>
            <w:top w:val="none" w:sz="0" w:space="0" w:color="auto"/>
            <w:left w:val="none" w:sz="0" w:space="0" w:color="auto"/>
            <w:bottom w:val="none" w:sz="0" w:space="0" w:color="auto"/>
            <w:right w:val="none" w:sz="0" w:space="0" w:color="auto"/>
          </w:divBdr>
        </w:div>
        <w:div w:id="438719398">
          <w:marLeft w:val="0"/>
          <w:marRight w:val="0"/>
          <w:marTop w:val="0"/>
          <w:marBottom w:val="0"/>
          <w:divBdr>
            <w:top w:val="none" w:sz="0" w:space="0" w:color="auto"/>
            <w:left w:val="none" w:sz="0" w:space="0" w:color="auto"/>
            <w:bottom w:val="none" w:sz="0" w:space="0" w:color="auto"/>
            <w:right w:val="none" w:sz="0" w:space="0" w:color="auto"/>
          </w:divBdr>
        </w:div>
        <w:div w:id="827477331">
          <w:marLeft w:val="0"/>
          <w:marRight w:val="0"/>
          <w:marTop w:val="0"/>
          <w:marBottom w:val="0"/>
          <w:divBdr>
            <w:top w:val="none" w:sz="0" w:space="0" w:color="auto"/>
            <w:left w:val="none" w:sz="0" w:space="0" w:color="auto"/>
            <w:bottom w:val="none" w:sz="0" w:space="0" w:color="auto"/>
            <w:right w:val="none" w:sz="0" w:space="0" w:color="auto"/>
          </w:divBdr>
        </w:div>
        <w:div w:id="46880457">
          <w:marLeft w:val="0"/>
          <w:marRight w:val="0"/>
          <w:marTop w:val="0"/>
          <w:marBottom w:val="0"/>
          <w:divBdr>
            <w:top w:val="none" w:sz="0" w:space="0" w:color="auto"/>
            <w:left w:val="none" w:sz="0" w:space="0" w:color="auto"/>
            <w:bottom w:val="none" w:sz="0" w:space="0" w:color="auto"/>
            <w:right w:val="none" w:sz="0" w:space="0" w:color="auto"/>
          </w:divBdr>
        </w:div>
        <w:div w:id="81218898">
          <w:marLeft w:val="0"/>
          <w:marRight w:val="0"/>
          <w:marTop w:val="0"/>
          <w:marBottom w:val="0"/>
          <w:divBdr>
            <w:top w:val="none" w:sz="0" w:space="0" w:color="auto"/>
            <w:left w:val="none" w:sz="0" w:space="0" w:color="auto"/>
            <w:bottom w:val="none" w:sz="0" w:space="0" w:color="auto"/>
            <w:right w:val="none" w:sz="0" w:space="0" w:color="auto"/>
          </w:divBdr>
        </w:div>
        <w:div w:id="1910070161">
          <w:marLeft w:val="0"/>
          <w:marRight w:val="0"/>
          <w:marTop w:val="0"/>
          <w:marBottom w:val="0"/>
          <w:divBdr>
            <w:top w:val="none" w:sz="0" w:space="0" w:color="auto"/>
            <w:left w:val="none" w:sz="0" w:space="0" w:color="auto"/>
            <w:bottom w:val="none" w:sz="0" w:space="0" w:color="auto"/>
            <w:right w:val="none" w:sz="0" w:space="0" w:color="auto"/>
          </w:divBdr>
        </w:div>
        <w:div w:id="1827865696">
          <w:marLeft w:val="0"/>
          <w:marRight w:val="0"/>
          <w:marTop w:val="0"/>
          <w:marBottom w:val="0"/>
          <w:divBdr>
            <w:top w:val="none" w:sz="0" w:space="0" w:color="auto"/>
            <w:left w:val="none" w:sz="0" w:space="0" w:color="auto"/>
            <w:bottom w:val="none" w:sz="0" w:space="0" w:color="auto"/>
            <w:right w:val="none" w:sz="0" w:space="0" w:color="auto"/>
          </w:divBdr>
        </w:div>
        <w:div w:id="1509906882">
          <w:marLeft w:val="0"/>
          <w:marRight w:val="0"/>
          <w:marTop w:val="0"/>
          <w:marBottom w:val="0"/>
          <w:divBdr>
            <w:top w:val="none" w:sz="0" w:space="0" w:color="auto"/>
            <w:left w:val="none" w:sz="0" w:space="0" w:color="auto"/>
            <w:bottom w:val="none" w:sz="0" w:space="0" w:color="auto"/>
            <w:right w:val="none" w:sz="0" w:space="0" w:color="auto"/>
          </w:divBdr>
        </w:div>
        <w:div w:id="211310115">
          <w:marLeft w:val="0"/>
          <w:marRight w:val="0"/>
          <w:marTop w:val="0"/>
          <w:marBottom w:val="0"/>
          <w:divBdr>
            <w:top w:val="none" w:sz="0" w:space="0" w:color="auto"/>
            <w:left w:val="none" w:sz="0" w:space="0" w:color="auto"/>
            <w:bottom w:val="none" w:sz="0" w:space="0" w:color="auto"/>
            <w:right w:val="none" w:sz="0" w:space="0" w:color="auto"/>
          </w:divBdr>
        </w:div>
        <w:div w:id="333804314">
          <w:marLeft w:val="0"/>
          <w:marRight w:val="0"/>
          <w:marTop w:val="0"/>
          <w:marBottom w:val="0"/>
          <w:divBdr>
            <w:top w:val="none" w:sz="0" w:space="0" w:color="auto"/>
            <w:left w:val="none" w:sz="0" w:space="0" w:color="auto"/>
            <w:bottom w:val="none" w:sz="0" w:space="0" w:color="auto"/>
            <w:right w:val="none" w:sz="0" w:space="0" w:color="auto"/>
          </w:divBdr>
        </w:div>
        <w:div w:id="1611888389">
          <w:marLeft w:val="0"/>
          <w:marRight w:val="0"/>
          <w:marTop w:val="0"/>
          <w:marBottom w:val="0"/>
          <w:divBdr>
            <w:top w:val="none" w:sz="0" w:space="0" w:color="auto"/>
            <w:left w:val="none" w:sz="0" w:space="0" w:color="auto"/>
            <w:bottom w:val="none" w:sz="0" w:space="0" w:color="auto"/>
            <w:right w:val="none" w:sz="0" w:space="0" w:color="auto"/>
          </w:divBdr>
        </w:div>
        <w:div w:id="896402787">
          <w:marLeft w:val="0"/>
          <w:marRight w:val="0"/>
          <w:marTop w:val="0"/>
          <w:marBottom w:val="0"/>
          <w:divBdr>
            <w:top w:val="none" w:sz="0" w:space="0" w:color="auto"/>
            <w:left w:val="none" w:sz="0" w:space="0" w:color="auto"/>
            <w:bottom w:val="none" w:sz="0" w:space="0" w:color="auto"/>
            <w:right w:val="none" w:sz="0" w:space="0" w:color="auto"/>
          </w:divBdr>
        </w:div>
        <w:div w:id="724178867">
          <w:marLeft w:val="0"/>
          <w:marRight w:val="0"/>
          <w:marTop w:val="0"/>
          <w:marBottom w:val="0"/>
          <w:divBdr>
            <w:top w:val="none" w:sz="0" w:space="0" w:color="auto"/>
            <w:left w:val="none" w:sz="0" w:space="0" w:color="auto"/>
            <w:bottom w:val="none" w:sz="0" w:space="0" w:color="auto"/>
            <w:right w:val="none" w:sz="0" w:space="0" w:color="auto"/>
          </w:divBdr>
        </w:div>
        <w:div w:id="893353374">
          <w:marLeft w:val="0"/>
          <w:marRight w:val="0"/>
          <w:marTop w:val="0"/>
          <w:marBottom w:val="0"/>
          <w:divBdr>
            <w:top w:val="none" w:sz="0" w:space="0" w:color="auto"/>
            <w:left w:val="none" w:sz="0" w:space="0" w:color="auto"/>
            <w:bottom w:val="none" w:sz="0" w:space="0" w:color="auto"/>
            <w:right w:val="none" w:sz="0" w:space="0" w:color="auto"/>
          </w:divBdr>
        </w:div>
        <w:div w:id="1264604074">
          <w:marLeft w:val="0"/>
          <w:marRight w:val="0"/>
          <w:marTop w:val="0"/>
          <w:marBottom w:val="0"/>
          <w:divBdr>
            <w:top w:val="none" w:sz="0" w:space="0" w:color="auto"/>
            <w:left w:val="none" w:sz="0" w:space="0" w:color="auto"/>
            <w:bottom w:val="none" w:sz="0" w:space="0" w:color="auto"/>
            <w:right w:val="none" w:sz="0" w:space="0" w:color="auto"/>
          </w:divBdr>
        </w:div>
        <w:div w:id="1186481719">
          <w:marLeft w:val="0"/>
          <w:marRight w:val="0"/>
          <w:marTop w:val="0"/>
          <w:marBottom w:val="0"/>
          <w:divBdr>
            <w:top w:val="none" w:sz="0" w:space="0" w:color="auto"/>
            <w:left w:val="none" w:sz="0" w:space="0" w:color="auto"/>
            <w:bottom w:val="none" w:sz="0" w:space="0" w:color="auto"/>
            <w:right w:val="none" w:sz="0" w:space="0" w:color="auto"/>
          </w:divBdr>
        </w:div>
        <w:div w:id="952900359">
          <w:marLeft w:val="0"/>
          <w:marRight w:val="0"/>
          <w:marTop w:val="0"/>
          <w:marBottom w:val="0"/>
          <w:divBdr>
            <w:top w:val="none" w:sz="0" w:space="0" w:color="auto"/>
            <w:left w:val="none" w:sz="0" w:space="0" w:color="auto"/>
            <w:bottom w:val="none" w:sz="0" w:space="0" w:color="auto"/>
            <w:right w:val="none" w:sz="0" w:space="0" w:color="auto"/>
          </w:divBdr>
        </w:div>
        <w:div w:id="1687822773">
          <w:marLeft w:val="0"/>
          <w:marRight w:val="0"/>
          <w:marTop w:val="0"/>
          <w:marBottom w:val="0"/>
          <w:divBdr>
            <w:top w:val="none" w:sz="0" w:space="0" w:color="auto"/>
            <w:left w:val="none" w:sz="0" w:space="0" w:color="auto"/>
            <w:bottom w:val="none" w:sz="0" w:space="0" w:color="auto"/>
            <w:right w:val="none" w:sz="0" w:space="0" w:color="auto"/>
          </w:divBdr>
        </w:div>
        <w:div w:id="479730237">
          <w:marLeft w:val="0"/>
          <w:marRight w:val="0"/>
          <w:marTop w:val="0"/>
          <w:marBottom w:val="0"/>
          <w:divBdr>
            <w:top w:val="none" w:sz="0" w:space="0" w:color="auto"/>
            <w:left w:val="none" w:sz="0" w:space="0" w:color="auto"/>
            <w:bottom w:val="none" w:sz="0" w:space="0" w:color="auto"/>
            <w:right w:val="none" w:sz="0" w:space="0" w:color="auto"/>
          </w:divBdr>
        </w:div>
        <w:div w:id="331877734">
          <w:marLeft w:val="0"/>
          <w:marRight w:val="0"/>
          <w:marTop w:val="0"/>
          <w:marBottom w:val="0"/>
          <w:divBdr>
            <w:top w:val="none" w:sz="0" w:space="0" w:color="auto"/>
            <w:left w:val="none" w:sz="0" w:space="0" w:color="auto"/>
            <w:bottom w:val="none" w:sz="0" w:space="0" w:color="auto"/>
            <w:right w:val="none" w:sz="0" w:space="0" w:color="auto"/>
          </w:divBdr>
        </w:div>
        <w:div w:id="517693906">
          <w:marLeft w:val="0"/>
          <w:marRight w:val="0"/>
          <w:marTop w:val="0"/>
          <w:marBottom w:val="0"/>
          <w:divBdr>
            <w:top w:val="none" w:sz="0" w:space="0" w:color="auto"/>
            <w:left w:val="none" w:sz="0" w:space="0" w:color="auto"/>
            <w:bottom w:val="none" w:sz="0" w:space="0" w:color="auto"/>
            <w:right w:val="none" w:sz="0" w:space="0" w:color="auto"/>
          </w:divBdr>
        </w:div>
        <w:div w:id="1384908237">
          <w:marLeft w:val="0"/>
          <w:marRight w:val="0"/>
          <w:marTop w:val="0"/>
          <w:marBottom w:val="0"/>
          <w:divBdr>
            <w:top w:val="none" w:sz="0" w:space="0" w:color="auto"/>
            <w:left w:val="none" w:sz="0" w:space="0" w:color="auto"/>
            <w:bottom w:val="none" w:sz="0" w:space="0" w:color="auto"/>
            <w:right w:val="none" w:sz="0" w:space="0" w:color="auto"/>
          </w:divBdr>
        </w:div>
        <w:div w:id="513499325">
          <w:marLeft w:val="0"/>
          <w:marRight w:val="0"/>
          <w:marTop w:val="0"/>
          <w:marBottom w:val="0"/>
          <w:divBdr>
            <w:top w:val="none" w:sz="0" w:space="0" w:color="auto"/>
            <w:left w:val="none" w:sz="0" w:space="0" w:color="auto"/>
            <w:bottom w:val="none" w:sz="0" w:space="0" w:color="auto"/>
            <w:right w:val="none" w:sz="0" w:space="0" w:color="auto"/>
          </w:divBdr>
        </w:div>
        <w:div w:id="1747146367">
          <w:marLeft w:val="0"/>
          <w:marRight w:val="0"/>
          <w:marTop w:val="0"/>
          <w:marBottom w:val="0"/>
          <w:divBdr>
            <w:top w:val="none" w:sz="0" w:space="0" w:color="auto"/>
            <w:left w:val="none" w:sz="0" w:space="0" w:color="auto"/>
            <w:bottom w:val="none" w:sz="0" w:space="0" w:color="auto"/>
            <w:right w:val="none" w:sz="0" w:space="0" w:color="auto"/>
          </w:divBdr>
        </w:div>
        <w:div w:id="1956863296">
          <w:marLeft w:val="0"/>
          <w:marRight w:val="0"/>
          <w:marTop w:val="0"/>
          <w:marBottom w:val="0"/>
          <w:divBdr>
            <w:top w:val="none" w:sz="0" w:space="0" w:color="auto"/>
            <w:left w:val="none" w:sz="0" w:space="0" w:color="auto"/>
            <w:bottom w:val="none" w:sz="0" w:space="0" w:color="auto"/>
            <w:right w:val="none" w:sz="0" w:space="0" w:color="auto"/>
          </w:divBdr>
        </w:div>
        <w:div w:id="2102942697">
          <w:marLeft w:val="0"/>
          <w:marRight w:val="0"/>
          <w:marTop w:val="0"/>
          <w:marBottom w:val="0"/>
          <w:divBdr>
            <w:top w:val="none" w:sz="0" w:space="0" w:color="auto"/>
            <w:left w:val="none" w:sz="0" w:space="0" w:color="auto"/>
            <w:bottom w:val="none" w:sz="0" w:space="0" w:color="auto"/>
            <w:right w:val="none" w:sz="0" w:space="0" w:color="auto"/>
          </w:divBdr>
        </w:div>
        <w:div w:id="426082136">
          <w:marLeft w:val="0"/>
          <w:marRight w:val="0"/>
          <w:marTop w:val="0"/>
          <w:marBottom w:val="0"/>
          <w:divBdr>
            <w:top w:val="none" w:sz="0" w:space="0" w:color="auto"/>
            <w:left w:val="none" w:sz="0" w:space="0" w:color="auto"/>
            <w:bottom w:val="none" w:sz="0" w:space="0" w:color="auto"/>
            <w:right w:val="none" w:sz="0" w:space="0" w:color="auto"/>
          </w:divBdr>
        </w:div>
        <w:div w:id="170537179">
          <w:marLeft w:val="0"/>
          <w:marRight w:val="0"/>
          <w:marTop w:val="0"/>
          <w:marBottom w:val="0"/>
          <w:divBdr>
            <w:top w:val="none" w:sz="0" w:space="0" w:color="auto"/>
            <w:left w:val="none" w:sz="0" w:space="0" w:color="auto"/>
            <w:bottom w:val="none" w:sz="0" w:space="0" w:color="auto"/>
            <w:right w:val="none" w:sz="0" w:space="0" w:color="auto"/>
          </w:divBdr>
        </w:div>
        <w:div w:id="1709836223">
          <w:marLeft w:val="0"/>
          <w:marRight w:val="0"/>
          <w:marTop w:val="0"/>
          <w:marBottom w:val="0"/>
          <w:divBdr>
            <w:top w:val="none" w:sz="0" w:space="0" w:color="auto"/>
            <w:left w:val="none" w:sz="0" w:space="0" w:color="auto"/>
            <w:bottom w:val="none" w:sz="0" w:space="0" w:color="auto"/>
            <w:right w:val="none" w:sz="0" w:space="0" w:color="auto"/>
          </w:divBdr>
        </w:div>
        <w:div w:id="1001812398">
          <w:marLeft w:val="0"/>
          <w:marRight w:val="0"/>
          <w:marTop w:val="0"/>
          <w:marBottom w:val="0"/>
          <w:divBdr>
            <w:top w:val="none" w:sz="0" w:space="0" w:color="auto"/>
            <w:left w:val="none" w:sz="0" w:space="0" w:color="auto"/>
            <w:bottom w:val="none" w:sz="0" w:space="0" w:color="auto"/>
            <w:right w:val="none" w:sz="0" w:space="0" w:color="auto"/>
          </w:divBdr>
        </w:div>
        <w:div w:id="967510012">
          <w:marLeft w:val="0"/>
          <w:marRight w:val="0"/>
          <w:marTop w:val="0"/>
          <w:marBottom w:val="0"/>
          <w:divBdr>
            <w:top w:val="none" w:sz="0" w:space="0" w:color="auto"/>
            <w:left w:val="none" w:sz="0" w:space="0" w:color="auto"/>
            <w:bottom w:val="none" w:sz="0" w:space="0" w:color="auto"/>
            <w:right w:val="none" w:sz="0" w:space="0" w:color="auto"/>
          </w:divBdr>
        </w:div>
        <w:div w:id="1528718899">
          <w:marLeft w:val="0"/>
          <w:marRight w:val="0"/>
          <w:marTop w:val="0"/>
          <w:marBottom w:val="0"/>
          <w:divBdr>
            <w:top w:val="none" w:sz="0" w:space="0" w:color="auto"/>
            <w:left w:val="none" w:sz="0" w:space="0" w:color="auto"/>
            <w:bottom w:val="none" w:sz="0" w:space="0" w:color="auto"/>
            <w:right w:val="none" w:sz="0" w:space="0" w:color="auto"/>
          </w:divBdr>
        </w:div>
        <w:div w:id="1782069682">
          <w:marLeft w:val="0"/>
          <w:marRight w:val="0"/>
          <w:marTop w:val="0"/>
          <w:marBottom w:val="0"/>
          <w:divBdr>
            <w:top w:val="none" w:sz="0" w:space="0" w:color="auto"/>
            <w:left w:val="none" w:sz="0" w:space="0" w:color="auto"/>
            <w:bottom w:val="none" w:sz="0" w:space="0" w:color="auto"/>
            <w:right w:val="none" w:sz="0" w:space="0" w:color="auto"/>
          </w:divBdr>
        </w:div>
        <w:div w:id="1743020531">
          <w:marLeft w:val="0"/>
          <w:marRight w:val="0"/>
          <w:marTop w:val="0"/>
          <w:marBottom w:val="0"/>
          <w:divBdr>
            <w:top w:val="none" w:sz="0" w:space="0" w:color="auto"/>
            <w:left w:val="none" w:sz="0" w:space="0" w:color="auto"/>
            <w:bottom w:val="none" w:sz="0" w:space="0" w:color="auto"/>
            <w:right w:val="none" w:sz="0" w:space="0" w:color="auto"/>
          </w:divBdr>
        </w:div>
        <w:div w:id="991256340">
          <w:marLeft w:val="0"/>
          <w:marRight w:val="0"/>
          <w:marTop w:val="0"/>
          <w:marBottom w:val="0"/>
          <w:divBdr>
            <w:top w:val="none" w:sz="0" w:space="0" w:color="auto"/>
            <w:left w:val="none" w:sz="0" w:space="0" w:color="auto"/>
            <w:bottom w:val="none" w:sz="0" w:space="0" w:color="auto"/>
            <w:right w:val="none" w:sz="0" w:space="0" w:color="auto"/>
          </w:divBdr>
        </w:div>
        <w:div w:id="541206719">
          <w:marLeft w:val="0"/>
          <w:marRight w:val="0"/>
          <w:marTop w:val="0"/>
          <w:marBottom w:val="0"/>
          <w:divBdr>
            <w:top w:val="none" w:sz="0" w:space="0" w:color="auto"/>
            <w:left w:val="none" w:sz="0" w:space="0" w:color="auto"/>
            <w:bottom w:val="none" w:sz="0" w:space="0" w:color="auto"/>
            <w:right w:val="none" w:sz="0" w:space="0" w:color="auto"/>
          </w:divBdr>
        </w:div>
        <w:div w:id="1195771088">
          <w:marLeft w:val="0"/>
          <w:marRight w:val="0"/>
          <w:marTop w:val="0"/>
          <w:marBottom w:val="0"/>
          <w:divBdr>
            <w:top w:val="none" w:sz="0" w:space="0" w:color="auto"/>
            <w:left w:val="none" w:sz="0" w:space="0" w:color="auto"/>
            <w:bottom w:val="none" w:sz="0" w:space="0" w:color="auto"/>
            <w:right w:val="none" w:sz="0" w:space="0" w:color="auto"/>
          </w:divBdr>
        </w:div>
        <w:div w:id="794176571">
          <w:marLeft w:val="0"/>
          <w:marRight w:val="0"/>
          <w:marTop w:val="0"/>
          <w:marBottom w:val="0"/>
          <w:divBdr>
            <w:top w:val="none" w:sz="0" w:space="0" w:color="auto"/>
            <w:left w:val="none" w:sz="0" w:space="0" w:color="auto"/>
            <w:bottom w:val="none" w:sz="0" w:space="0" w:color="auto"/>
            <w:right w:val="none" w:sz="0" w:space="0" w:color="auto"/>
          </w:divBdr>
        </w:div>
        <w:div w:id="1515342067">
          <w:marLeft w:val="0"/>
          <w:marRight w:val="0"/>
          <w:marTop w:val="0"/>
          <w:marBottom w:val="0"/>
          <w:divBdr>
            <w:top w:val="none" w:sz="0" w:space="0" w:color="auto"/>
            <w:left w:val="none" w:sz="0" w:space="0" w:color="auto"/>
            <w:bottom w:val="none" w:sz="0" w:space="0" w:color="auto"/>
            <w:right w:val="none" w:sz="0" w:space="0" w:color="auto"/>
          </w:divBdr>
        </w:div>
        <w:div w:id="645399907">
          <w:marLeft w:val="0"/>
          <w:marRight w:val="0"/>
          <w:marTop w:val="0"/>
          <w:marBottom w:val="0"/>
          <w:divBdr>
            <w:top w:val="none" w:sz="0" w:space="0" w:color="auto"/>
            <w:left w:val="none" w:sz="0" w:space="0" w:color="auto"/>
            <w:bottom w:val="none" w:sz="0" w:space="0" w:color="auto"/>
            <w:right w:val="none" w:sz="0" w:space="0" w:color="auto"/>
          </w:divBdr>
        </w:div>
        <w:div w:id="858199695">
          <w:marLeft w:val="0"/>
          <w:marRight w:val="0"/>
          <w:marTop w:val="0"/>
          <w:marBottom w:val="0"/>
          <w:divBdr>
            <w:top w:val="none" w:sz="0" w:space="0" w:color="auto"/>
            <w:left w:val="none" w:sz="0" w:space="0" w:color="auto"/>
            <w:bottom w:val="none" w:sz="0" w:space="0" w:color="auto"/>
            <w:right w:val="none" w:sz="0" w:space="0" w:color="auto"/>
          </w:divBdr>
        </w:div>
        <w:div w:id="197862536">
          <w:marLeft w:val="0"/>
          <w:marRight w:val="0"/>
          <w:marTop w:val="0"/>
          <w:marBottom w:val="0"/>
          <w:divBdr>
            <w:top w:val="none" w:sz="0" w:space="0" w:color="auto"/>
            <w:left w:val="none" w:sz="0" w:space="0" w:color="auto"/>
            <w:bottom w:val="none" w:sz="0" w:space="0" w:color="auto"/>
            <w:right w:val="none" w:sz="0" w:space="0" w:color="auto"/>
          </w:divBdr>
        </w:div>
        <w:div w:id="2139642043">
          <w:marLeft w:val="0"/>
          <w:marRight w:val="0"/>
          <w:marTop w:val="0"/>
          <w:marBottom w:val="0"/>
          <w:divBdr>
            <w:top w:val="none" w:sz="0" w:space="0" w:color="auto"/>
            <w:left w:val="none" w:sz="0" w:space="0" w:color="auto"/>
            <w:bottom w:val="none" w:sz="0" w:space="0" w:color="auto"/>
            <w:right w:val="none" w:sz="0" w:space="0" w:color="auto"/>
          </w:divBdr>
        </w:div>
        <w:div w:id="836653351">
          <w:marLeft w:val="0"/>
          <w:marRight w:val="0"/>
          <w:marTop w:val="0"/>
          <w:marBottom w:val="0"/>
          <w:divBdr>
            <w:top w:val="none" w:sz="0" w:space="0" w:color="auto"/>
            <w:left w:val="none" w:sz="0" w:space="0" w:color="auto"/>
            <w:bottom w:val="none" w:sz="0" w:space="0" w:color="auto"/>
            <w:right w:val="none" w:sz="0" w:space="0" w:color="auto"/>
          </w:divBdr>
        </w:div>
        <w:div w:id="1538734862">
          <w:marLeft w:val="0"/>
          <w:marRight w:val="0"/>
          <w:marTop w:val="0"/>
          <w:marBottom w:val="0"/>
          <w:divBdr>
            <w:top w:val="none" w:sz="0" w:space="0" w:color="auto"/>
            <w:left w:val="none" w:sz="0" w:space="0" w:color="auto"/>
            <w:bottom w:val="none" w:sz="0" w:space="0" w:color="auto"/>
            <w:right w:val="none" w:sz="0" w:space="0" w:color="auto"/>
          </w:divBdr>
        </w:div>
        <w:div w:id="777528472">
          <w:marLeft w:val="0"/>
          <w:marRight w:val="0"/>
          <w:marTop w:val="0"/>
          <w:marBottom w:val="0"/>
          <w:divBdr>
            <w:top w:val="none" w:sz="0" w:space="0" w:color="auto"/>
            <w:left w:val="none" w:sz="0" w:space="0" w:color="auto"/>
            <w:bottom w:val="none" w:sz="0" w:space="0" w:color="auto"/>
            <w:right w:val="none" w:sz="0" w:space="0" w:color="auto"/>
          </w:divBdr>
        </w:div>
        <w:div w:id="2068990064">
          <w:marLeft w:val="0"/>
          <w:marRight w:val="0"/>
          <w:marTop w:val="0"/>
          <w:marBottom w:val="0"/>
          <w:divBdr>
            <w:top w:val="none" w:sz="0" w:space="0" w:color="auto"/>
            <w:left w:val="none" w:sz="0" w:space="0" w:color="auto"/>
            <w:bottom w:val="none" w:sz="0" w:space="0" w:color="auto"/>
            <w:right w:val="none" w:sz="0" w:space="0" w:color="auto"/>
          </w:divBdr>
        </w:div>
        <w:div w:id="379985553">
          <w:marLeft w:val="0"/>
          <w:marRight w:val="0"/>
          <w:marTop w:val="0"/>
          <w:marBottom w:val="0"/>
          <w:divBdr>
            <w:top w:val="none" w:sz="0" w:space="0" w:color="auto"/>
            <w:left w:val="none" w:sz="0" w:space="0" w:color="auto"/>
            <w:bottom w:val="none" w:sz="0" w:space="0" w:color="auto"/>
            <w:right w:val="none" w:sz="0" w:space="0" w:color="auto"/>
          </w:divBdr>
        </w:div>
        <w:div w:id="830684682">
          <w:marLeft w:val="0"/>
          <w:marRight w:val="0"/>
          <w:marTop w:val="0"/>
          <w:marBottom w:val="0"/>
          <w:divBdr>
            <w:top w:val="none" w:sz="0" w:space="0" w:color="auto"/>
            <w:left w:val="none" w:sz="0" w:space="0" w:color="auto"/>
            <w:bottom w:val="none" w:sz="0" w:space="0" w:color="auto"/>
            <w:right w:val="none" w:sz="0" w:space="0" w:color="auto"/>
          </w:divBdr>
        </w:div>
        <w:div w:id="537475913">
          <w:marLeft w:val="0"/>
          <w:marRight w:val="0"/>
          <w:marTop w:val="0"/>
          <w:marBottom w:val="0"/>
          <w:divBdr>
            <w:top w:val="none" w:sz="0" w:space="0" w:color="auto"/>
            <w:left w:val="none" w:sz="0" w:space="0" w:color="auto"/>
            <w:bottom w:val="none" w:sz="0" w:space="0" w:color="auto"/>
            <w:right w:val="none" w:sz="0" w:space="0" w:color="auto"/>
          </w:divBdr>
        </w:div>
        <w:div w:id="150221286">
          <w:marLeft w:val="0"/>
          <w:marRight w:val="0"/>
          <w:marTop w:val="0"/>
          <w:marBottom w:val="0"/>
          <w:divBdr>
            <w:top w:val="none" w:sz="0" w:space="0" w:color="auto"/>
            <w:left w:val="none" w:sz="0" w:space="0" w:color="auto"/>
            <w:bottom w:val="none" w:sz="0" w:space="0" w:color="auto"/>
            <w:right w:val="none" w:sz="0" w:space="0" w:color="auto"/>
          </w:divBdr>
        </w:div>
        <w:div w:id="1532569844">
          <w:marLeft w:val="0"/>
          <w:marRight w:val="0"/>
          <w:marTop w:val="0"/>
          <w:marBottom w:val="0"/>
          <w:divBdr>
            <w:top w:val="none" w:sz="0" w:space="0" w:color="auto"/>
            <w:left w:val="none" w:sz="0" w:space="0" w:color="auto"/>
            <w:bottom w:val="none" w:sz="0" w:space="0" w:color="auto"/>
            <w:right w:val="none" w:sz="0" w:space="0" w:color="auto"/>
          </w:divBdr>
        </w:div>
        <w:div w:id="624241515">
          <w:marLeft w:val="0"/>
          <w:marRight w:val="0"/>
          <w:marTop w:val="0"/>
          <w:marBottom w:val="0"/>
          <w:divBdr>
            <w:top w:val="none" w:sz="0" w:space="0" w:color="auto"/>
            <w:left w:val="none" w:sz="0" w:space="0" w:color="auto"/>
            <w:bottom w:val="none" w:sz="0" w:space="0" w:color="auto"/>
            <w:right w:val="none" w:sz="0" w:space="0" w:color="auto"/>
          </w:divBdr>
        </w:div>
        <w:div w:id="980420793">
          <w:marLeft w:val="0"/>
          <w:marRight w:val="0"/>
          <w:marTop w:val="0"/>
          <w:marBottom w:val="0"/>
          <w:divBdr>
            <w:top w:val="none" w:sz="0" w:space="0" w:color="auto"/>
            <w:left w:val="none" w:sz="0" w:space="0" w:color="auto"/>
            <w:bottom w:val="none" w:sz="0" w:space="0" w:color="auto"/>
            <w:right w:val="none" w:sz="0" w:space="0" w:color="auto"/>
          </w:divBdr>
        </w:div>
        <w:div w:id="766771904">
          <w:marLeft w:val="0"/>
          <w:marRight w:val="0"/>
          <w:marTop w:val="0"/>
          <w:marBottom w:val="0"/>
          <w:divBdr>
            <w:top w:val="none" w:sz="0" w:space="0" w:color="auto"/>
            <w:left w:val="none" w:sz="0" w:space="0" w:color="auto"/>
            <w:bottom w:val="none" w:sz="0" w:space="0" w:color="auto"/>
            <w:right w:val="none" w:sz="0" w:space="0" w:color="auto"/>
          </w:divBdr>
        </w:div>
        <w:div w:id="103888966">
          <w:marLeft w:val="0"/>
          <w:marRight w:val="0"/>
          <w:marTop w:val="0"/>
          <w:marBottom w:val="0"/>
          <w:divBdr>
            <w:top w:val="none" w:sz="0" w:space="0" w:color="auto"/>
            <w:left w:val="none" w:sz="0" w:space="0" w:color="auto"/>
            <w:bottom w:val="none" w:sz="0" w:space="0" w:color="auto"/>
            <w:right w:val="none" w:sz="0" w:space="0" w:color="auto"/>
          </w:divBdr>
        </w:div>
        <w:div w:id="3745724">
          <w:marLeft w:val="0"/>
          <w:marRight w:val="0"/>
          <w:marTop w:val="0"/>
          <w:marBottom w:val="0"/>
          <w:divBdr>
            <w:top w:val="none" w:sz="0" w:space="0" w:color="auto"/>
            <w:left w:val="none" w:sz="0" w:space="0" w:color="auto"/>
            <w:bottom w:val="none" w:sz="0" w:space="0" w:color="auto"/>
            <w:right w:val="none" w:sz="0" w:space="0" w:color="auto"/>
          </w:divBdr>
        </w:div>
        <w:div w:id="2097509614">
          <w:marLeft w:val="0"/>
          <w:marRight w:val="0"/>
          <w:marTop w:val="0"/>
          <w:marBottom w:val="0"/>
          <w:divBdr>
            <w:top w:val="none" w:sz="0" w:space="0" w:color="auto"/>
            <w:left w:val="none" w:sz="0" w:space="0" w:color="auto"/>
            <w:bottom w:val="none" w:sz="0" w:space="0" w:color="auto"/>
            <w:right w:val="none" w:sz="0" w:space="0" w:color="auto"/>
          </w:divBdr>
        </w:div>
        <w:div w:id="1877960713">
          <w:marLeft w:val="0"/>
          <w:marRight w:val="0"/>
          <w:marTop w:val="0"/>
          <w:marBottom w:val="0"/>
          <w:divBdr>
            <w:top w:val="none" w:sz="0" w:space="0" w:color="auto"/>
            <w:left w:val="none" w:sz="0" w:space="0" w:color="auto"/>
            <w:bottom w:val="none" w:sz="0" w:space="0" w:color="auto"/>
            <w:right w:val="none" w:sz="0" w:space="0" w:color="auto"/>
          </w:divBdr>
        </w:div>
        <w:div w:id="995917165">
          <w:marLeft w:val="0"/>
          <w:marRight w:val="0"/>
          <w:marTop w:val="0"/>
          <w:marBottom w:val="0"/>
          <w:divBdr>
            <w:top w:val="none" w:sz="0" w:space="0" w:color="auto"/>
            <w:left w:val="none" w:sz="0" w:space="0" w:color="auto"/>
            <w:bottom w:val="none" w:sz="0" w:space="0" w:color="auto"/>
            <w:right w:val="none" w:sz="0" w:space="0" w:color="auto"/>
          </w:divBdr>
        </w:div>
        <w:div w:id="1549150881">
          <w:marLeft w:val="0"/>
          <w:marRight w:val="0"/>
          <w:marTop w:val="0"/>
          <w:marBottom w:val="0"/>
          <w:divBdr>
            <w:top w:val="none" w:sz="0" w:space="0" w:color="auto"/>
            <w:left w:val="none" w:sz="0" w:space="0" w:color="auto"/>
            <w:bottom w:val="none" w:sz="0" w:space="0" w:color="auto"/>
            <w:right w:val="none" w:sz="0" w:space="0" w:color="auto"/>
          </w:divBdr>
        </w:div>
        <w:div w:id="1934892088">
          <w:marLeft w:val="0"/>
          <w:marRight w:val="0"/>
          <w:marTop w:val="0"/>
          <w:marBottom w:val="0"/>
          <w:divBdr>
            <w:top w:val="none" w:sz="0" w:space="0" w:color="auto"/>
            <w:left w:val="none" w:sz="0" w:space="0" w:color="auto"/>
            <w:bottom w:val="none" w:sz="0" w:space="0" w:color="auto"/>
            <w:right w:val="none" w:sz="0" w:space="0" w:color="auto"/>
          </w:divBdr>
        </w:div>
        <w:div w:id="332681523">
          <w:marLeft w:val="0"/>
          <w:marRight w:val="0"/>
          <w:marTop w:val="0"/>
          <w:marBottom w:val="0"/>
          <w:divBdr>
            <w:top w:val="none" w:sz="0" w:space="0" w:color="auto"/>
            <w:left w:val="none" w:sz="0" w:space="0" w:color="auto"/>
            <w:bottom w:val="none" w:sz="0" w:space="0" w:color="auto"/>
            <w:right w:val="none" w:sz="0" w:space="0" w:color="auto"/>
          </w:divBdr>
        </w:div>
        <w:div w:id="964578231">
          <w:marLeft w:val="0"/>
          <w:marRight w:val="0"/>
          <w:marTop w:val="0"/>
          <w:marBottom w:val="0"/>
          <w:divBdr>
            <w:top w:val="none" w:sz="0" w:space="0" w:color="auto"/>
            <w:left w:val="none" w:sz="0" w:space="0" w:color="auto"/>
            <w:bottom w:val="none" w:sz="0" w:space="0" w:color="auto"/>
            <w:right w:val="none" w:sz="0" w:space="0" w:color="auto"/>
          </w:divBdr>
        </w:div>
        <w:div w:id="1381200969">
          <w:marLeft w:val="0"/>
          <w:marRight w:val="0"/>
          <w:marTop w:val="0"/>
          <w:marBottom w:val="0"/>
          <w:divBdr>
            <w:top w:val="none" w:sz="0" w:space="0" w:color="auto"/>
            <w:left w:val="none" w:sz="0" w:space="0" w:color="auto"/>
            <w:bottom w:val="none" w:sz="0" w:space="0" w:color="auto"/>
            <w:right w:val="none" w:sz="0" w:space="0" w:color="auto"/>
          </w:divBdr>
        </w:div>
        <w:div w:id="916864211">
          <w:marLeft w:val="0"/>
          <w:marRight w:val="0"/>
          <w:marTop w:val="0"/>
          <w:marBottom w:val="0"/>
          <w:divBdr>
            <w:top w:val="none" w:sz="0" w:space="0" w:color="auto"/>
            <w:left w:val="none" w:sz="0" w:space="0" w:color="auto"/>
            <w:bottom w:val="none" w:sz="0" w:space="0" w:color="auto"/>
            <w:right w:val="none" w:sz="0" w:space="0" w:color="auto"/>
          </w:divBdr>
        </w:div>
        <w:div w:id="104619008">
          <w:marLeft w:val="0"/>
          <w:marRight w:val="0"/>
          <w:marTop w:val="0"/>
          <w:marBottom w:val="0"/>
          <w:divBdr>
            <w:top w:val="none" w:sz="0" w:space="0" w:color="auto"/>
            <w:left w:val="none" w:sz="0" w:space="0" w:color="auto"/>
            <w:bottom w:val="none" w:sz="0" w:space="0" w:color="auto"/>
            <w:right w:val="none" w:sz="0" w:space="0" w:color="auto"/>
          </w:divBdr>
        </w:div>
        <w:div w:id="472723821">
          <w:marLeft w:val="0"/>
          <w:marRight w:val="0"/>
          <w:marTop w:val="0"/>
          <w:marBottom w:val="0"/>
          <w:divBdr>
            <w:top w:val="none" w:sz="0" w:space="0" w:color="auto"/>
            <w:left w:val="none" w:sz="0" w:space="0" w:color="auto"/>
            <w:bottom w:val="none" w:sz="0" w:space="0" w:color="auto"/>
            <w:right w:val="none" w:sz="0" w:space="0" w:color="auto"/>
          </w:divBdr>
        </w:div>
        <w:div w:id="921255788">
          <w:marLeft w:val="0"/>
          <w:marRight w:val="0"/>
          <w:marTop w:val="0"/>
          <w:marBottom w:val="0"/>
          <w:divBdr>
            <w:top w:val="none" w:sz="0" w:space="0" w:color="auto"/>
            <w:left w:val="none" w:sz="0" w:space="0" w:color="auto"/>
            <w:bottom w:val="none" w:sz="0" w:space="0" w:color="auto"/>
            <w:right w:val="none" w:sz="0" w:space="0" w:color="auto"/>
          </w:divBdr>
        </w:div>
        <w:div w:id="651836427">
          <w:marLeft w:val="0"/>
          <w:marRight w:val="0"/>
          <w:marTop w:val="0"/>
          <w:marBottom w:val="0"/>
          <w:divBdr>
            <w:top w:val="none" w:sz="0" w:space="0" w:color="auto"/>
            <w:left w:val="none" w:sz="0" w:space="0" w:color="auto"/>
            <w:bottom w:val="none" w:sz="0" w:space="0" w:color="auto"/>
            <w:right w:val="none" w:sz="0" w:space="0" w:color="auto"/>
          </w:divBdr>
        </w:div>
        <w:div w:id="483814022">
          <w:marLeft w:val="0"/>
          <w:marRight w:val="0"/>
          <w:marTop w:val="0"/>
          <w:marBottom w:val="0"/>
          <w:divBdr>
            <w:top w:val="none" w:sz="0" w:space="0" w:color="auto"/>
            <w:left w:val="none" w:sz="0" w:space="0" w:color="auto"/>
            <w:bottom w:val="none" w:sz="0" w:space="0" w:color="auto"/>
            <w:right w:val="none" w:sz="0" w:space="0" w:color="auto"/>
          </w:divBdr>
        </w:div>
        <w:div w:id="813108100">
          <w:marLeft w:val="0"/>
          <w:marRight w:val="0"/>
          <w:marTop w:val="0"/>
          <w:marBottom w:val="0"/>
          <w:divBdr>
            <w:top w:val="none" w:sz="0" w:space="0" w:color="auto"/>
            <w:left w:val="none" w:sz="0" w:space="0" w:color="auto"/>
            <w:bottom w:val="none" w:sz="0" w:space="0" w:color="auto"/>
            <w:right w:val="none" w:sz="0" w:space="0" w:color="auto"/>
          </w:divBdr>
        </w:div>
        <w:div w:id="1171334867">
          <w:marLeft w:val="0"/>
          <w:marRight w:val="0"/>
          <w:marTop w:val="0"/>
          <w:marBottom w:val="0"/>
          <w:divBdr>
            <w:top w:val="none" w:sz="0" w:space="0" w:color="auto"/>
            <w:left w:val="none" w:sz="0" w:space="0" w:color="auto"/>
            <w:bottom w:val="none" w:sz="0" w:space="0" w:color="auto"/>
            <w:right w:val="none" w:sz="0" w:space="0" w:color="auto"/>
          </w:divBdr>
        </w:div>
        <w:div w:id="2072194053">
          <w:marLeft w:val="0"/>
          <w:marRight w:val="0"/>
          <w:marTop w:val="0"/>
          <w:marBottom w:val="0"/>
          <w:divBdr>
            <w:top w:val="none" w:sz="0" w:space="0" w:color="auto"/>
            <w:left w:val="none" w:sz="0" w:space="0" w:color="auto"/>
            <w:bottom w:val="none" w:sz="0" w:space="0" w:color="auto"/>
            <w:right w:val="none" w:sz="0" w:space="0" w:color="auto"/>
          </w:divBdr>
        </w:div>
        <w:div w:id="1085885709">
          <w:marLeft w:val="0"/>
          <w:marRight w:val="0"/>
          <w:marTop w:val="0"/>
          <w:marBottom w:val="0"/>
          <w:divBdr>
            <w:top w:val="none" w:sz="0" w:space="0" w:color="auto"/>
            <w:left w:val="none" w:sz="0" w:space="0" w:color="auto"/>
            <w:bottom w:val="none" w:sz="0" w:space="0" w:color="auto"/>
            <w:right w:val="none" w:sz="0" w:space="0" w:color="auto"/>
          </w:divBdr>
        </w:div>
        <w:div w:id="258493993">
          <w:marLeft w:val="0"/>
          <w:marRight w:val="0"/>
          <w:marTop w:val="0"/>
          <w:marBottom w:val="0"/>
          <w:divBdr>
            <w:top w:val="none" w:sz="0" w:space="0" w:color="auto"/>
            <w:left w:val="none" w:sz="0" w:space="0" w:color="auto"/>
            <w:bottom w:val="none" w:sz="0" w:space="0" w:color="auto"/>
            <w:right w:val="none" w:sz="0" w:space="0" w:color="auto"/>
          </w:divBdr>
        </w:div>
        <w:div w:id="695618230">
          <w:marLeft w:val="0"/>
          <w:marRight w:val="0"/>
          <w:marTop w:val="0"/>
          <w:marBottom w:val="0"/>
          <w:divBdr>
            <w:top w:val="none" w:sz="0" w:space="0" w:color="auto"/>
            <w:left w:val="none" w:sz="0" w:space="0" w:color="auto"/>
            <w:bottom w:val="none" w:sz="0" w:space="0" w:color="auto"/>
            <w:right w:val="none" w:sz="0" w:space="0" w:color="auto"/>
          </w:divBdr>
        </w:div>
        <w:div w:id="1313369177">
          <w:marLeft w:val="0"/>
          <w:marRight w:val="0"/>
          <w:marTop w:val="0"/>
          <w:marBottom w:val="0"/>
          <w:divBdr>
            <w:top w:val="none" w:sz="0" w:space="0" w:color="auto"/>
            <w:left w:val="none" w:sz="0" w:space="0" w:color="auto"/>
            <w:bottom w:val="none" w:sz="0" w:space="0" w:color="auto"/>
            <w:right w:val="none" w:sz="0" w:space="0" w:color="auto"/>
          </w:divBdr>
        </w:div>
        <w:div w:id="1208832817">
          <w:marLeft w:val="0"/>
          <w:marRight w:val="0"/>
          <w:marTop w:val="0"/>
          <w:marBottom w:val="0"/>
          <w:divBdr>
            <w:top w:val="none" w:sz="0" w:space="0" w:color="auto"/>
            <w:left w:val="none" w:sz="0" w:space="0" w:color="auto"/>
            <w:bottom w:val="none" w:sz="0" w:space="0" w:color="auto"/>
            <w:right w:val="none" w:sz="0" w:space="0" w:color="auto"/>
          </w:divBdr>
        </w:div>
        <w:div w:id="703747072">
          <w:marLeft w:val="0"/>
          <w:marRight w:val="0"/>
          <w:marTop w:val="0"/>
          <w:marBottom w:val="0"/>
          <w:divBdr>
            <w:top w:val="none" w:sz="0" w:space="0" w:color="auto"/>
            <w:left w:val="none" w:sz="0" w:space="0" w:color="auto"/>
            <w:bottom w:val="none" w:sz="0" w:space="0" w:color="auto"/>
            <w:right w:val="none" w:sz="0" w:space="0" w:color="auto"/>
          </w:divBdr>
        </w:div>
        <w:div w:id="788469853">
          <w:marLeft w:val="0"/>
          <w:marRight w:val="0"/>
          <w:marTop w:val="0"/>
          <w:marBottom w:val="0"/>
          <w:divBdr>
            <w:top w:val="none" w:sz="0" w:space="0" w:color="auto"/>
            <w:left w:val="none" w:sz="0" w:space="0" w:color="auto"/>
            <w:bottom w:val="none" w:sz="0" w:space="0" w:color="auto"/>
            <w:right w:val="none" w:sz="0" w:space="0" w:color="auto"/>
          </w:divBdr>
        </w:div>
        <w:div w:id="944120547">
          <w:marLeft w:val="0"/>
          <w:marRight w:val="0"/>
          <w:marTop w:val="0"/>
          <w:marBottom w:val="0"/>
          <w:divBdr>
            <w:top w:val="none" w:sz="0" w:space="0" w:color="auto"/>
            <w:left w:val="none" w:sz="0" w:space="0" w:color="auto"/>
            <w:bottom w:val="none" w:sz="0" w:space="0" w:color="auto"/>
            <w:right w:val="none" w:sz="0" w:space="0" w:color="auto"/>
          </w:divBdr>
        </w:div>
        <w:div w:id="1756395464">
          <w:marLeft w:val="0"/>
          <w:marRight w:val="0"/>
          <w:marTop w:val="0"/>
          <w:marBottom w:val="0"/>
          <w:divBdr>
            <w:top w:val="none" w:sz="0" w:space="0" w:color="auto"/>
            <w:left w:val="none" w:sz="0" w:space="0" w:color="auto"/>
            <w:bottom w:val="none" w:sz="0" w:space="0" w:color="auto"/>
            <w:right w:val="none" w:sz="0" w:space="0" w:color="auto"/>
          </w:divBdr>
        </w:div>
        <w:div w:id="1771199898">
          <w:marLeft w:val="0"/>
          <w:marRight w:val="0"/>
          <w:marTop w:val="0"/>
          <w:marBottom w:val="0"/>
          <w:divBdr>
            <w:top w:val="none" w:sz="0" w:space="0" w:color="auto"/>
            <w:left w:val="none" w:sz="0" w:space="0" w:color="auto"/>
            <w:bottom w:val="none" w:sz="0" w:space="0" w:color="auto"/>
            <w:right w:val="none" w:sz="0" w:space="0" w:color="auto"/>
          </w:divBdr>
        </w:div>
        <w:div w:id="1914192781">
          <w:marLeft w:val="0"/>
          <w:marRight w:val="0"/>
          <w:marTop w:val="0"/>
          <w:marBottom w:val="0"/>
          <w:divBdr>
            <w:top w:val="none" w:sz="0" w:space="0" w:color="auto"/>
            <w:left w:val="none" w:sz="0" w:space="0" w:color="auto"/>
            <w:bottom w:val="none" w:sz="0" w:space="0" w:color="auto"/>
            <w:right w:val="none" w:sz="0" w:space="0" w:color="auto"/>
          </w:divBdr>
        </w:div>
        <w:div w:id="334235245">
          <w:marLeft w:val="0"/>
          <w:marRight w:val="0"/>
          <w:marTop w:val="0"/>
          <w:marBottom w:val="0"/>
          <w:divBdr>
            <w:top w:val="none" w:sz="0" w:space="0" w:color="auto"/>
            <w:left w:val="none" w:sz="0" w:space="0" w:color="auto"/>
            <w:bottom w:val="none" w:sz="0" w:space="0" w:color="auto"/>
            <w:right w:val="none" w:sz="0" w:space="0" w:color="auto"/>
          </w:divBdr>
        </w:div>
        <w:div w:id="2088375539">
          <w:marLeft w:val="0"/>
          <w:marRight w:val="0"/>
          <w:marTop w:val="0"/>
          <w:marBottom w:val="0"/>
          <w:divBdr>
            <w:top w:val="none" w:sz="0" w:space="0" w:color="auto"/>
            <w:left w:val="none" w:sz="0" w:space="0" w:color="auto"/>
            <w:bottom w:val="none" w:sz="0" w:space="0" w:color="auto"/>
            <w:right w:val="none" w:sz="0" w:space="0" w:color="auto"/>
          </w:divBdr>
        </w:div>
        <w:div w:id="862936384">
          <w:marLeft w:val="0"/>
          <w:marRight w:val="0"/>
          <w:marTop w:val="0"/>
          <w:marBottom w:val="0"/>
          <w:divBdr>
            <w:top w:val="none" w:sz="0" w:space="0" w:color="auto"/>
            <w:left w:val="none" w:sz="0" w:space="0" w:color="auto"/>
            <w:bottom w:val="none" w:sz="0" w:space="0" w:color="auto"/>
            <w:right w:val="none" w:sz="0" w:space="0" w:color="auto"/>
          </w:divBdr>
        </w:div>
        <w:div w:id="369962534">
          <w:marLeft w:val="0"/>
          <w:marRight w:val="0"/>
          <w:marTop w:val="0"/>
          <w:marBottom w:val="0"/>
          <w:divBdr>
            <w:top w:val="none" w:sz="0" w:space="0" w:color="auto"/>
            <w:left w:val="none" w:sz="0" w:space="0" w:color="auto"/>
            <w:bottom w:val="none" w:sz="0" w:space="0" w:color="auto"/>
            <w:right w:val="none" w:sz="0" w:space="0" w:color="auto"/>
          </w:divBdr>
        </w:div>
        <w:div w:id="176819474">
          <w:marLeft w:val="0"/>
          <w:marRight w:val="0"/>
          <w:marTop w:val="0"/>
          <w:marBottom w:val="0"/>
          <w:divBdr>
            <w:top w:val="none" w:sz="0" w:space="0" w:color="auto"/>
            <w:left w:val="none" w:sz="0" w:space="0" w:color="auto"/>
            <w:bottom w:val="none" w:sz="0" w:space="0" w:color="auto"/>
            <w:right w:val="none" w:sz="0" w:space="0" w:color="auto"/>
          </w:divBdr>
        </w:div>
        <w:div w:id="1971936562">
          <w:marLeft w:val="0"/>
          <w:marRight w:val="0"/>
          <w:marTop w:val="0"/>
          <w:marBottom w:val="0"/>
          <w:divBdr>
            <w:top w:val="none" w:sz="0" w:space="0" w:color="auto"/>
            <w:left w:val="none" w:sz="0" w:space="0" w:color="auto"/>
            <w:bottom w:val="none" w:sz="0" w:space="0" w:color="auto"/>
            <w:right w:val="none" w:sz="0" w:space="0" w:color="auto"/>
          </w:divBdr>
        </w:div>
        <w:div w:id="1632976754">
          <w:marLeft w:val="0"/>
          <w:marRight w:val="0"/>
          <w:marTop w:val="0"/>
          <w:marBottom w:val="0"/>
          <w:divBdr>
            <w:top w:val="none" w:sz="0" w:space="0" w:color="auto"/>
            <w:left w:val="none" w:sz="0" w:space="0" w:color="auto"/>
            <w:bottom w:val="none" w:sz="0" w:space="0" w:color="auto"/>
            <w:right w:val="none" w:sz="0" w:space="0" w:color="auto"/>
          </w:divBdr>
        </w:div>
        <w:div w:id="181750449">
          <w:marLeft w:val="0"/>
          <w:marRight w:val="0"/>
          <w:marTop w:val="0"/>
          <w:marBottom w:val="0"/>
          <w:divBdr>
            <w:top w:val="none" w:sz="0" w:space="0" w:color="auto"/>
            <w:left w:val="none" w:sz="0" w:space="0" w:color="auto"/>
            <w:bottom w:val="none" w:sz="0" w:space="0" w:color="auto"/>
            <w:right w:val="none" w:sz="0" w:space="0" w:color="auto"/>
          </w:divBdr>
        </w:div>
        <w:div w:id="230625974">
          <w:marLeft w:val="0"/>
          <w:marRight w:val="0"/>
          <w:marTop w:val="0"/>
          <w:marBottom w:val="0"/>
          <w:divBdr>
            <w:top w:val="none" w:sz="0" w:space="0" w:color="auto"/>
            <w:left w:val="none" w:sz="0" w:space="0" w:color="auto"/>
            <w:bottom w:val="none" w:sz="0" w:space="0" w:color="auto"/>
            <w:right w:val="none" w:sz="0" w:space="0" w:color="auto"/>
          </w:divBdr>
        </w:div>
        <w:div w:id="1689990793">
          <w:marLeft w:val="0"/>
          <w:marRight w:val="0"/>
          <w:marTop w:val="0"/>
          <w:marBottom w:val="0"/>
          <w:divBdr>
            <w:top w:val="none" w:sz="0" w:space="0" w:color="auto"/>
            <w:left w:val="none" w:sz="0" w:space="0" w:color="auto"/>
            <w:bottom w:val="none" w:sz="0" w:space="0" w:color="auto"/>
            <w:right w:val="none" w:sz="0" w:space="0" w:color="auto"/>
          </w:divBdr>
        </w:div>
        <w:div w:id="1315256364">
          <w:marLeft w:val="0"/>
          <w:marRight w:val="0"/>
          <w:marTop w:val="0"/>
          <w:marBottom w:val="0"/>
          <w:divBdr>
            <w:top w:val="none" w:sz="0" w:space="0" w:color="auto"/>
            <w:left w:val="none" w:sz="0" w:space="0" w:color="auto"/>
            <w:bottom w:val="none" w:sz="0" w:space="0" w:color="auto"/>
            <w:right w:val="none" w:sz="0" w:space="0" w:color="auto"/>
          </w:divBdr>
        </w:div>
        <w:div w:id="275330342">
          <w:marLeft w:val="0"/>
          <w:marRight w:val="0"/>
          <w:marTop w:val="0"/>
          <w:marBottom w:val="0"/>
          <w:divBdr>
            <w:top w:val="none" w:sz="0" w:space="0" w:color="auto"/>
            <w:left w:val="none" w:sz="0" w:space="0" w:color="auto"/>
            <w:bottom w:val="none" w:sz="0" w:space="0" w:color="auto"/>
            <w:right w:val="none" w:sz="0" w:space="0" w:color="auto"/>
          </w:divBdr>
        </w:div>
        <w:div w:id="81605273">
          <w:marLeft w:val="0"/>
          <w:marRight w:val="0"/>
          <w:marTop w:val="0"/>
          <w:marBottom w:val="0"/>
          <w:divBdr>
            <w:top w:val="none" w:sz="0" w:space="0" w:color="auto"/>
            <w:left w:val="none" w:sz="0" w:space="0" w:color="auto"/>
            <w:bottom w:val="none" w:sz="0" w:space="0" w:color="auto"/>
            <w:right w:val="none" w:sz="0" w:space="0" w:color="auto"/>
          </w:divBdr>
        </w:div>
        <w:div w:id="924993068">
          <w:marLeft w:val="0"/>
          <w:marRight w:val="0"/>
          <w:marTop w:val="0"/>
          <w:marBottom w:val="0"/>
          <w:divBdr>
            <w:top w:val="none" w:sz="0" w:space="0" w:color="auto"/>
            <w:left w:val="none" w:sz="0" w:space="0" w:color="auto"/>
            <w:bottom w:val="none" w:sz="0" w:space="0" w:color="auto"/>
            <w:right w:val="none" w:sz="0" w:space="0" w:color="auto"/>
          </w:divBdr>
        </w:div>
        <w:div w:id="841745600">
          <w:marLeft w:val="0"/>
          <w:marRight w:val="0"/>
          <w:marTop w:val="0"/>
          <w:marBottom w:val="0"/>
          <w:divBdr>
            <w:top w:val="none" w:sz="0" w:space="0" w:color="auto"/>
            <w:left w:val="none" w:sz="0" w:space="0" w:color="auto"/>
            <w:bottom w:val="none" w:sz="0" w:space="0" w:color="auto"/>
            <w:right w:val="none" w:sz="0" w:space="0" w:color="auto"/>
          </w:divBdr>
        </w:div>
        <w:div w:id="1348409148">
          <w:marLeft w:val="0"/>
          <w:marRight w:val="0"/>
          <w:marTop w:val="0"/>
          <w:marBottom w:val="0"/>
          <w:divBdr>
            <w:top w:val="none" w:sz="0" w:space="0" w:color="auto"/>
            <w:left w:val="none" w:sz="0" w:space="0" w:color="auto"/>
            <w:bottom w:val="none" w:sz="0" w:space="0" w:color="auto"/>
            <w:right w:val="none" w:sz="0" w:space="0" w:color="auto"/>
          </w:divBdr>
        </w:div>
        <w:div w:id="1619750553">
          <w:marLeft w:val="0"/>
          <w:marRight w:val="0"/>
          <w:marTop w:val="0"/>
          <w:marBottom w:val="0"/>
          <w:divBdr>
            <w:top w:val="none" w:sz="0" w:space="0" w:color="auto"/>
            <w:left w:val="none" w:sz="0" w:space="0" w:color="auto"/>
            <w:bottom w:val="none" w:sz="0" w:space="0" w:color="auto"/>
            <w:right w:val="none" w:sz="0" w:space="0" w:color="auto"/>
          </w:divBdr>
        </w:div>
        <w:div w:id="353311203">
          <w:marLeft w:val="0"/>
          <w:marRight w:val="0"/>
          <w:marTop w:val="0"/>
          <w:marBottom w:val="0"/>
          <w:divBdr>
            <w:top w:val="none" w:sz="0" w:space="0" w:color="auto"/>
            <w:left w:val="none" w:sz="0" w:space="0" w:color="auto"/>
            <w:bottom w:val="none" w:sz="0" w:space="0" w:color="auto"/>
            <w:right w:val="none" w:sz="0" w:space="0" w:color="auto"/>
          </w:divBdr>
        </w:div>
        <w:div w:id="595941316">
          <w:marLeft w:val="0"/>
          <w:marRight w:val="0"/>
          <w:marTop w:val="0"/>
          <w:marBottom w:val="0"/>
          <w:divBdr>
            <w:top w:val="none" w:sz="0" w:space="0" w:color="auto"/>
            <w:left w:val="none" w:sz="0" w:space="0" w:color="auto"/>
            <w:bottom w:val="none" w:sz="0" w:space="0" w:color="auto"/>
            <w:right w:val="none" w:sz="0" w:space="0" w:color="auto"/>
          </w:divBdr>
        </w:div>
        <w:div w:id="189731147">
          <w:marLeft w:val="0"/>
          <w:marRight w:val="0"/>
          <w:marTop w:val="0"/>
          <w:marBottom w:val="0"/>
          <w:divBdr>
            <w:top w:val="none" w:sz="0" w:space="0" w:color="auto"/>
            <w:left w:val="none" w:sz="0" w:space="0" w:color="auto"/>
            <w:bottom w:val="none" w:sz="0" w:space="0" w:color="auto"/>
            <w:right w:val="none" w:sz="0" w:space="0" w:color="auto"/>
          </w:divBdr>
        </w:div>
        <w:div w:id="2016105007">
          <w:marLeft w:val="0"/>
          <w:marRight w:val="0"/>
          <w:marTop w:val="0"/>
          <w:marBottom w:val="0"/>
          <w:divBdr>
            <w:top w:val="none" w:sz="0" w:space="0" w:color="auto"/>
            <w:left w:val="none" w:sz="0" w:space="0" w:color="auto"/>
            <w:bottom w:val="none" w:sz="0" w:space="0" w:color="auto"/>
            <w:right w:val="none" w:sz="0" w:space="0" w:color="auto"/>
          </w:divBdr>
        </w:div>
        <w:div w:id="62216184">
          <w:marLeft w:val="0"/>
          <w:marRight w:val="0"/>
          <w:marTop w:val="0"/>
          <w:marBottom w:val="0"/>
          <w:divBdr>
            <w:top w:val="none" w:sz="0" w:space="0" w:color="auto"/>
            <w:left w:val="none" w:sz="0" w:space="0" w:color="auto"/>
            <w:bottom w:val="none" w:sz="0" w:space="0" w:color="auto"/>
            <w:right w:val="none" w:sz="0" w:space="0" w:color="auto"/>
          </w:divBdr>
        </w:div>
        <w:div w:id="1883903817">
          <w:marLeft w:val="0"/>
          <w:marRight w:val="0"/>
          <w:marTop w:val="0"/>
          <w:marBottom w:val="0"/>
          <w:divBdr>
            <w:top w:val="none" w:sz="0" w:space="0" w:color="auto"/>
            <w:left w:val="none" w:sz="0" w:space="0" w:color="auto"/>
            <w:bottom w:val="none" w:sz="0" w:space="0" w:color="auto"/>
            <w:right w:val="none" w:sz="0" w:space="0" w:color="auto"/>
          </w:divBdr>
        </w:div>
        <w:div w:id="1671829444">
          <w:marLeft w:val="0"/>
          <w:marRight w:val="0"/>
          <w:marTop w:val="0"/>
          <w:marBottom w:val="0"/>
          <w:divBdr>
            <w:top w:val="none" w:sz="0" w:space="0" w:color="auto"/>
            <w:left w:val="none" w:sz="0" w:space="0" w:color="auto"/>
            <w:bottom w:val="none" w:sz="0" w:space="0" w:color="auto"/>
            <w:right w:val="none" w:sz="0" w:space="0" w:color="auto"/>
          </w:divBdr>
        </w:div>
        <w:div w:id="1413701648">
          <w:marLeft w:val="0"/>
          <w:marRight w:val="0"/>
          <w:marTop w:val="0"/>
          <w:marBottom w:val="0"/>
          <w:divBdr>
            <w:top w:val="none" w:sz="0" w:space="0" w:color="auto"/>
            <w:left w:val="none" w:sz="0" w:space="0" w:color="auto"/>
            <w:bottom w:val="none" w:sz="0" w:space="0" w:color="auto"/>
            <w:right w:val="none" w:sz="0" w:space="0" w:color="auto"/>
          </w:divBdr>
        </w:div>
        <w:div w:id="1821922587">
          <w:marLeft w:val="0"/>
          <w:marRight w:val="0"/>
          <w:marTop w:val="0"/>
          <w:marBottom w:val="0"/>
          <w:divBdr>
            <w:top w:val="none" w:sz="0" w:space="0" w:color="auto"/>
            <w:left w:val="none" w:sz="0" w:space="0" w:color="auto"/>
            <w:bottom w:val="none" w:sz="0" w:space="0" w:color="auto"/>
            <w:right w:val="none" w:sz="0" w:space="0" w:color="auto"/>
          </w:divBdr>
        </w:div>
        <w:div w:id="441918826">
          <w:marLeft w:val="0"/>
          <w:marRight w:val="0"/>
          <w:marTop w:val="0"/>
          <w:marBottom w:val="0"/>
          <w:divBdr>
            <w:top w:val="none" w:sz="0" w:space="0" w:color="auto"/>
            <w:left w:val="none" w:sz="0" w:space="0" w:color="auto"/>
            <w:bottom w:val="none" w:sz="0" w:space="0" w:color="auto"/>
            <w:right w:val="none" w:sz="0" w:space="0" w:color="auto"/>
          </w:divBdr>
        </w:div>
        <w:div w:id="2025394554">
          <w:marLeft w:val="0"/>
          <w:marRight w:val="0"/>
          <w:marTop w:val="0"/>
          <w:marBottom w:val="0"/>
          <w:divBdr>
            <w:top w:val="none" w:sz="0" w:space="0" w:color="auto"/>
            <w:left w:val="none" w:sz="0" w:space="0" w:color="auto"/>
            <w:bottom w:val="none" w:sz="0" w:space="0" w:color="auto"/>
            <w:right w:val="none" w:sz="0" w:space="0" w:color="auto"/>
          </w:divBdr>
        </w:div>
        <w:div w:id="48499663">
          <w:marLeft w:val="0"/>
          <w:marRight w:val="0"/>
          <w:marTop w:val="0"/>
          <w:marBottom w:val="0"/>
          <w:divBdr>
            <w:top w:val="none" w:sz="0" w:space="0" w:color="auto"/>
            <w:left w:val="none" w:sz="0" w:space="0" w:color="auto"/>
            <w:bottom w:val="none" w:sz="0" w:space="0" w:color="auto"/>
            <w:right w:val="none" w:sz="0" w:space="0" w:color="auto"/>
          </w:divBdr>
        </w:div>
        <w:div w:id="515267872">
          <w:marLeft w:val="0"/>
          <w:marRight w:val="0"/>
          <w:marTop w:val="0"/>
          <w:marBottom w:val="0"/>
          <w:divBdr>
            <w:top w:val="none" w:sz="0" w:space="0" w:color="auto"/>
            <w:left w:val="none" w:sz="0" w:space="0" w:color="auto"/>
            <w:bottom w:val="none" w:sz="0" w:space="0" w:color="auto"/>
            <w:right w:val="none" w:sz="0" w:space="0" w:color="auto"/>
          </w:divBdr>
        </w:div>
        <w:div w:id="897783652">
          <w:marLeft w:val="0"/>
          <w:marRight w:val="0"/>
          <w:marTop w:val="0"/>
          <w:marBottom w:val="0"/>
          <w:divBdr>
            <w:top w:val="none" w:sz="0" w:space="0" w:color="auto"/>
            <w:left w:val="none" w:sz="0" w:space="0" w:color="auto"/>
            <w:bottom w:val="none" w:sz="0" w:space="0" w:color="auto"/>
            <w:right w:val="none" w:sz="0" w:space="0" w:color="auto"/>
          </w:divBdr>
        </w:div>
        <w:div w:id="1841693646">
          <w:marLeft w:val="0"/>
          <w:marRight w:val="0"/>
          <w:marTop w:val="0"/>
          <w:marBottom w:val="0"/>
          <w:divBdr>
            <w:top w:val="none" w:sz="0" w:space="0" w:color="auto"/>
            <w:left w:val="none" w:sz="0" w:space="0" w:color="auto"/>
            <w:bottom w:val="none" w:sz="0" w:space="0" w:color="auto"/>
            <w:right w:val="none" w:sz="0" w:space="0" w:color="auto"/>
          </w:divBdr>
        </w:div>
        <w:div w:id="250890809">
          <w:marLeft w:val="0"/>
          <w:marRight w:val="0"/>
          <w:marTop w:val="0"/>
          <w:marBottom w:val="0"/>
          <w:divBdr>
            <w:top w:val="none" w:sz="0" w:space="0" w:color="auto"/>
            <w:left w:val="none" w:sz="0" w:space="0" w:color="auto"/>
            <w:bottom w:val="none" w:sz="0" w:space="0" w:color="auto"/>
            <w:right w:val="none" w:sz="0" w:space="0" w:color="auto"/>
          </w:divBdr>
        </w:div>
        <w:div w:id="192353674">
          <w:marLeft w:val="0"/>
          <w:marRight w:val="0"/>
          <w:marTop w:val="0"/>
          <w:marBottom w:val="0"/>
          <w:divBdr>
            <w:top w:val="none" w:sz="0" w:space="0" w:color="auto"/>
            <w:left w:val="none" w:sz="0" w:space="0" w:color="auto"/>
            <w:bottom w:val="none" w:sz="0" w:space="0" w:color="auto"/>
            <w:right w:val="none" w:sz="0" w:space="0" w:color="auto"/>
          </w:divBdr>
        </w:div>
        <w:div w:id="1248618122">
          <w:marLeft w:val="0"/>
          <w:marRight w:val="0"/>
          <w:marTop w:val="0"/>
          <w:marBottom w:val="0"/>
          <w:divBdr>
            <w:top w:val="none" w:sz="0" w:space="0" w:color="auto"/>
            <w:left w:val="none" w:sz="0" w:space="0" w:color="auto"/>
            <w:bottom w:val="none" w:sz="0" w:space="0" w:color="auto"/>
            <w:right w:val="none" w:sz="0" w:space="0" w:color="auto"/>
          </w:divBdr>
        </w:div>
        <w:div w:id="1501195465">
          <w:marLeft w:val="0"/>
          <w:marRight w:val="0"/>
          <w:marTop w:val="0"/>
          <w:marBottom w:val="0"/>
          <w:divBdr>
            <w:top w:val="none" w:sz="0" w:space="0" w:color="auto"/>
            <w:left w:val="none" w:sz="0" w:space="0" w:color="auto"/>
            <w:bottom w:val="none" w:sz="0" w:space="0" w:color="auto"/>
            <w:right w:val="none" w:sz="0" w:space="0" w:color="auto"/>
          </w:divBdr>
        </w:div>
        <w:div w:id="377441356">
          <w:marLeft w:val="0"/>
          <w:marRight w:val="0"/>
          <w:marTop w:val="0"/>
          <w:marBottom w:val="0"/>
          <w:divBdr>
            <w:top w:val="none" w:sz="0" w:space="0" w:color="auto"/>
            <w:left w:val="none" w:sz="0" w:space="0" w:color="auto"/>
            <w:bottom w:val="none" w:sz="0" w:space="0" w:color="auto"/>
            <w:right w:val="none" w:sz="0" w:space="0" w:color="auto"/>
          </w:divBdr>
        </w:div>
        <w:div w:id="245506287">
          <w:marLeft w:val="0"/>
          <w:marRight w:val="0"/>
          <w:marTop w:val="0"/>
          <w:marBottom w:val="0"/>
          <w:divBdr>
            <w:top w:val="none" w:sz="0" w:space="0" w:color="auto"/>
            <w:left w:val="none" w:sz="0" w:space="0" w:color="auto"/>
            <w:bottom w:val="none" w:sz="0" w:space="0" w:color="auto"/>
            <w:right w:val="none" w:sz="0" w:space="0" w:color="auto"/>
          </w:divBdr>
        </w:div>
        <w:div w:id="26377820">
          <w:marLeft w:val="0"/>
          <w:marRight w:val="0"/>
          <w:marTop w:val="0"/>
          <w:marBottom w:val="0"/>
          <w:divBdr>
            <w:top w:val="none" w:sz="0" w:space="0" w:color="auto"/>
            <w:left w:val="none" w:sz="0" w:space="0" w:color="auto"/>
            <w:bottom w:val="none" w:sz="0" w:space="0" w:color="auto"/>
            <w:right w:val="none" w:sz="0" w:space="0" w:color="auto"/>
          </w:divBdr>
        </w:div>
        <w:div w:id="1025785418">
          <w:marLeft w:val="0"/>
          <w:marRight w:val="0"/>
          <w:marTop w:val="0"/>
          <w:marBottom w:val="0"/>
          <w:divBdr>
            <w:top w:val="none" w:sz="0" w:space="0" w:color="auto"/>
            <w:left w:val="none" w:sz="0" w:space="0" w:color="auto"/>
            <w:bottom w:val="none" w:sz="0" w:space="0" w:color="auto"/>
            <w:right w:val="none" w:sz="0" w:space="0" w:color="auto"/>
          </w:divBdr>
        </w:div>
        <w:div w:id="1130980128">
          <w:marLeft w:val="0"/>
          <w:marRight w:val="0"/>
          <w:marTop w:val="0"/>
          <w:marBottom w:val="0"/>
          <w:divBdr>
            <w:top w:val="none" w:sz="0" w:space="0" w:color="auto"/>
            <w:left w:val="none" w:sz="0" w:space="0" w:color="auto"/>
            <w:bottom w:val="none" w:sz="0" w:space="0" w:color="auto"/>
            <w:right w:val="none" w:sz="0" w:space="0" w:color="auto"/>
          </w:divBdr>
        </w:div>
        <w:div w:id="1495802262">
          <w:marLeft w:val="0"/>
          <w:marRight w:val="0"/>
          <w:marTop w:val="0"/>
          <w:marBottom w:val="0"/>
          <w:divBdr>
            <w:top w:val="none" w:sz="0" w:space="0" w:color="auto"/>
            <w:left w:val="none" w:sz="0" w:space="0" w:color="auto"/>
            <w:bottom w:val="none" w:sz="0" w:space="0" w:color="auto"/>
            <w:right w:val="none" w:sz="0" w:space="0" w:color="auto"/>
          </w:divBdr>
        </w:div>
        <w:div w:id="98569040">
          <w:marLeft w:val="0"/>
          <w:marRight w:val="0"/>
          <w:marTop w:val="0"/>
          <w:marBottom w:val="0"/>
          <w:divBdr>
            <w:top w:val="none" w:sz="0" w:space="0" w:color="auto"/>
            <w:left w:val="none" w:sz="0" w:space="0" w:color="auto"/>
            <w:bottom w:val="none" w:sz="0" w:space="0" w:color="auto"/>
            <w:right w:val="none" w:sz="0" w:space="0" w:color="auto"/>
          </w:divBdr>
        </w:div>
        <w:div w:id="76218793">
          <w:marLeft w:val="0"/>
          <w:marRight w:val="0"/>
          <w:marTop w:val="0"/>
          <w:marBottom w:val="0"/>
          <w:divBdr>
            <w:top w:val="none" w:sz="0" w:space="0" w:color="auto"/>
            <w:left w:val="none" w:sz="0" w:space="0" w:color="auto"/>
            <w:bottom w:val="none" w:sz="0" w:space="0" w:color="auto"/>
            <w:right w:val="none" w:sz="0" w:space="0" w:color="auto"/>
          </w:divBdr>
        </w:div>
        <w:div w:id="953514826">
          <w:marLeft w:val="0"/>
          <w:marRight w:val="0"/>
          <w:marTop w:val="0"/>
          <w:marBottom w:val="0"/>
          <w:divBdr>
            <w:top w:val="none" w:sz="0" w:space="0" w:color="auto"/>
            <w:left w:val="none" w:sz="0" w:space="0" w:color="auto"/>
            <w:bottom w:val="none" w:sz="0" w:space="0" w:color="auto"/>
            <w:right w:val="none" w:sz="0" w:space="0" w:color="auto"/>
          </w:divBdr>
        </w:div>
        <w:div w:id="1823886370">
          <w:marLeft w:val="0"/>
          <w:marRight w:val="0"/>
          <w:marTop w:val="0"/>
          <w:marBottom w:val="0"/>
          <w:divBdr>
            <w:top w:val="none" w:sz="0" w:space="0" w:color="auto"/>
            <w:left w:val="none" w:sz="0" w:space="0" w:color="auto"/>
            <w:bottom w:val="none" w:sz="0" w:space="0" w:color="auto"/>
            <w:right w:val="none" w:sz="0" w:space="0" w:color="auto"/>
          </w:divBdr>
        </w:div>
        <w:div w:id="1251233489">
          <w:marLeft w:val="0"/>
          <w:marRight w:val="0"/>
          <w:marTop w:val="0"/>
          <w:marBottom w:val="0"/>
          <w:divBdr>
            <w:top w:val="none" w:sz="0" w:space="0" w:color="auto"/>
            <w:left w:val="none" w:sz="0" w:space="0" w:color="auto"/>
            <w:bottom w:val="none" w:sz="0" w:space="0" w:color="auto"/>
            <w:right w:val="none" w:sz="0" w:space="0" w:color="auto"/>
          </w:divBdr>
        </w:div>
        <w:div w:id="1025445593">
          <w:marLeft w:val="0"/>
          <w:marRight w:val="0"/>
          <w:marTop w:val="0"/>
          <w:marBottom w:val="0"/>
          <w:divBdr>
            <w:top w:val="none" w:sz="0" w:space="0" w:color="auto"/>
            <w:left w:val="none" w:sz="0" w:space="0" w:color="auto"/>
            <w:bottom w:val="none" w:sz="0" w:space="0" w:color="auto"/>
            <w:right w:val="none" w:sz="0" w:space="0" w:color="auto"/>
          </w:divBdr>
        </w:div>
        <w:div w:id="383483778">
          <w:marLeft w:val="0"/>
          <w:marRight w:val="0"/>
          <w:marTop w:val="0"/>
          <w:marBottom w:val="0"/>
          <w:divBdr>
            <w:top w:val="none" w:sz="0" w:space="0" w:color="auto"/>
            <w:left w:val="none" w:sz="0" w:space="0" w:color="auto"/>
            <w:bottom w:val="none" w:sz="0" w:space="0" w:color="auto"/>
            <w:right w:val="none" w:sz="0" w:space="0" w:color="auto"/>
          </w:divBdr>
        </w:div>
        <w:div w:id="963119265">
          <w:marLeft w:val="0"/>
          <w:marRight w:val="0"/>
          <w:marTop w:val="0"/>
          <w:marBottom w:val="0"/>
          <w:divBdr>
            <w:top w:val="none" w:sz="0" w:space="0" w:color="auto"/>
            <w:left w:val="none" w:sz="0" w:space="0" w:color="auto"/>
            <w:bottom w:val="none" w:sz="0" w:space="0" w:color="auto"/>
            <w:right w:val="none" w:sz="0" w:space="0" w:color="auto"/>
          </w:divBdr>
        </w:div>
        <w:div w:id="332228304">
          <w:marLeft w:val="0"/>
          <w:marRight w:val="0"/>
          <w:marTop w:val="0"/>
          <w:marBottom w:val="0"/>
          <w:divBdr>
            <w:top w:val="none" w:sz="0" w:space="0" w:color="auto"/>
            <w:left w:val="none" w:sz="0" w:space="0" w:color="auto"/>
            <w:bottom w:val="none" w:sz="0" w:space="0" w:color="auto"/>
            <w:right w:val="none" w:sz="0" w:space="0" w:color="auto"/>
          </w:divBdr>
        </w:div>
        <w:div w:id="1599949074">
          <w:marLeft w:val="0"/>
          <w:marRight w:val="0"/>
          <w:marTop w:val="0"/>
          <w:marBottom w:val="0"/>
          <w:divBdr>
            <w:top w:val="none" w:sz="0" w:space="0" w:color="auto"/>
            <w:left w:val="none" w:sz="0" w:space="0" w:color="auto"/>
            <w:bottom w:val="none" w:sz="0" w:space="0" w:color="auto"/>
            <w:right w:val="none" w:sz="0" w:space="0" w:color="auto"/>
          </w:divBdr>
        </w:div>
        <w:div w:id="1632518222">
          <w:marLeft w:val="0"/>
          <w:marRight w:val="0"/>
          <w:marTop w:val="0"/>
          <w:marBottom w:val="0"/>
          <w:divBdr>
            <w:top w:val="none" w:sz="0" w:space="0" w:color="auto"/>
            <w:left w:val="none" w:sz="0" w:space="0" w:color="auto"/>
            <w:bottom w:val="none" w:sz="0" w:space="0" w:color="auto"/>
            <w:right w:val="none" w:sz="0" w:space="0" w:color="auto"/>
          </w:divBdr>
        </w:div>
        <w:div w:id="446969310">
          <w:marLeft w:val="0"/>
          <w:marRight w:val="0"/>
          <w:marTop w:val="0"/>
          <w:marBottom w:val="0"/>
          <w:divBdr>
            <w:top w:val="none" w:sz="0" w:space="0" w:color="auto"/>
            <w:left w:val="none" w:sz="0" w:space="0" w:color="auto"/>
            <w:bottom w:val="none" w:sz="0" w:space="0" w:color="auto"/>
            <w:right w:val="none" w:sz="0" w:space="0" w:color="auto"/>
          </w:divBdr>
        </w:div>
        <w:div w:id="240137708">
          <w:marLeft w:val="0"/>
          <w:marRight w:val="0"/>
          <w:marTop w:val="0"/>
          <w:marBottom w:val="0"/>
          <w:divBdr>
            <w:top w:val="none" w:sz="0" w:space="0" w:color="auto"/>
            <w:left w:val="none" w:sz="0" w:space="0" w:color="auto"/>
            <w:bottom w:val="none" w:sz="0" w:space="0" w:color="auto"/>
            <w:right w:val="none" w:sz="0" w:space="0" w:color="auto"/>
          </w:divBdr>
        </w:div>
        <w:div w:id="1063718375">
          <w:marLeft w:val="0"/>
          <w:marRight w:val="0"/>
          <w:marTop w:val="0"/>
          <w:marBottom w:val="0"/>
          <w:divBdr>
            <w:top w:val="none" w:sz="0" w:space="0" w:color="auto"/>
            <w:left w:val="none" w:sz="0" w:space="0" w:color="auto"/>
            <w:bottom w:val="none" w:sz="0" w:space="0" w:color="auto"/>
            <w:right w:val="none" w:sz="0" w:space="0" w:color="auto"/>
          </w:divBdr>
        </w:div>
        <w:div w:id="1620793853">
          <w:marLeft w:val="0"/>
          <w:marRight w:val="0"/>
          <w:marTop w:val="0"/>
          <w:marBottom w:val="0"/>
          <w:divBdr>
            <w:top w:val="none" w:sz="0" w:space="0" w:color="auto"/>
            <w:left w:val="none" w:sz="0" w:space="0" w:color="auto"/>
            <w:bottom w:val="none" w:sz="0" w:space="0" w:color="auto"/>
            <w:right w:val="none" w:sz="0" w:space="0" w:color="auto"/>
          </w:divBdr>
        </w:div>
        <w:div w:id="1598750799">
          <w:marLeft w:val="0"/>
          <w:marRight w:val="0"/>
          <w:marTop w:val="0"/>
          <w:marBottom w:val="0"/>
          <w:divBdr>
            <w:top w:val="none" w:sz="0" w:space="0" w:color="auto"/>
            <w:left w:val="none" w:sz="0" w:space="0" w:color="auto"/>
            <w:bottom w:val="none" w:sz="0" w:space="0" w:color="auto"/>
            <w:right w:val="none" w:sz="0" w:space="0" w:color="auto"/>
          </w:divBdr>
        </w:div>
        <w:div w:id="1804806931">
          <w:marLeft w:val="0"/>
          <w:marRight w:val="0"/>
          <w:marTop w:val="0"/>
          <w:marBottom w:val="0"/>
          <w:divBdr>
            <w:top w:val="none" w:sz="0" w:space="0" w:color="auto"/>
            <w:left w:val="none" w:sz="0" w:space="0" w:color="auto"/>
            <w:bottom w:val="none" w:sz="0" w:space="0" w:color="auto"/>
            <w:right w:val="none" w:sz="0" w:space="0" w:color="auto"/>
          </w:divBdr>
        </w:div>
        <w:div w:id="423456100">
          <w:marLeft w:val="0"/>
          <w:marRight w:val="0"/>
          <w:marTop w:val="0"/>
          <w:marBottom w:val="0"/>
          <w:divBdr>
            <w:top w:val="none" w:sz="0" w:space="0" w:color="auto"/>
            <w:left w:val="none" w:sz="0" w:space="0" w:color="auto"/>
            <w:bottom w:val="none" w:sz="0" w:space="0" w:color="auto"/>
            <w:right w:val="none" w:sz="0" w:space="0" w:color="auto"/>
          </w:divBdr>
        </w:div>
        <w:div w:id="1200044851">
          <w:marLeft w:val="0"/>
          <w:marRight w:val="0"/>
          <w:marTop w:val="0"/>
          <w:marBottom w:val="0"/>
          <w:divBdr>
            <w:top w:val="none" w:sz="0" w:space="0" w:color="auto"/>
            <w:left w:val="none" w:sz="0" w:space="0" w:color="auto"/>
            <w:bottom w:val="none" w:sz="0" w:space="0" w:color="auto"/>
            <w:right w:val="none" w:sz="0" w:space="0" w:color="auto"/>
          </w:divBdr>
        </w:div>
        <w:div w:id="903952518">
          <w:marLeft w:val="0"/>
          <w:marRight w:val="0"/>
          <w:marTop w:val="0"/>
          <w:marBottom w:val="0"/>
          <w:divBdr>
            <w:top w:val="none" w:sz="0" w:space="0" w:color="auto"/>
            <w:left w:val="none" w:sz="0" w:space="0" w:color="auto"/>
            <w:bottom w:val="none" w:sz="0" w:space="0" w:color="auto"/>
            <w:right w:val="none" w:sz="0" w:space="0" w:color="auto"/>
          </w:divBdr>
        </w:div>
        <w:div w:id="258367744">
          <w:marLeft w:val="0"/>
          <w:marRight w:val="0"/>
          <w:marTop w:val="0"/>
          <w:marBottom w:val="0"/>
          <w:divBdr>
            <w:top w:val="none" w:sz="0" w:space="0" w:color="auto"/>
            <w:left w:val="none" w:sz="0" w:space="0" w:color="auto"/>
            <w:bottom w:val="none" w:sz="0" w:space="0" w:color="auto"/>
            <w:right w:val="none" w:sz="0" w:space="0" w:color="auto"/>
          </w:divBdr>
        </w:div>
        <w:div w:id="1421827511">
          <w:marLeft w:val="0"/>
          <w:marRight w:val="0"/>
          <w:marTop w:val="0"/>
          <w:marBottom w:val="0"/>
          <w:divBdr>
            <w:top w:val="none" w:sz="0" w:space="0" w:color="auto"/>
            <w:left w:val="none" w:sz="0" w:space="0" w:color="auto"/>
            <w:bottom w:val="none" w:sz="0" w:space="0" w:color="auto"/>
            <w:right w:val="none" w:sz="0" w:space="0" w:color="auto"/>
          </w:divBdr>
        </w:div>
        <w:div w:id="1365639726">
          <w:marLeft w:val="0"/>
          <w:marRight w:val="0"/>
          <w:marTop w:val="0"/>
          <w:marBottom w:val="0"/>
          <w:divBdr>
            <w:top w:val="none" w:sz="0" w:space="0" w:color="auto"/>
            <w:left w:val="none" w:sz="0" w:space="0" w:color="auto"/>
            <w:bottom w:val="none" w:sz="0" w:space="0" w:color="auto"/>
            <w:right w:val="none" w:sz="0" w:space="0" w:color="auto"/>
          </w:divBdr>
        </w:div>
        <w:div w:id="717439082">
          <w:marLeft w:val="0"/>
          <w:marRight w:val="0"/>
          <w:marTop w:val="0"/>
          <w:marBottom w:val="0"/>
          <w:divBdr>
            <w:top w:val="none" w:sz="0" w:space="0" w:color="auto"/>
            <w:left w:val="none" w:sz="0" w:space="0" w:color="auto"/>
            <w:bottom w:val="none" w:sz="0" w:space="0" w:color="auto"/>
            <w:right w:val="none" w:sz="0" w:space="0" w:color="auto"/>
          </w:divBdr>
        </w:div>
        <w:div w:id="805463617">
          <w:marLeft w:val="0"/>
          <w:marRight w:val="0"/>
          <w:marTop w:val="0"/>
          <w:marBottom w:val="0"/>
          <w:divBdr>
            <w:top w:val="none" w:sz="0" w:space="0" w:color="auto"/>
            <w:left w:val="none" w:sz="0" w:space="0" w:color="auto"/>
            <w:bottom w:val="none" w:sz="0" w:space="0" w:color="auto"/>
            <w:right w:val="none" w:sz="0" w:space="0" w:color="auto"/>
          </w:divBdr>
        </w:div>
        <w:div w:id="1683316212">
          <w:marLeft w:val="0"/>
          <w:marRight w:val="0"/>
          <w:marTop w:val="0"/>
          <w:marBottom w:val="0"/>
          <w:divBdr>
            <w:top w:val="none" w:sz="0" w:space="0" w:color="auto"/>
            <w:left w:val="none" w:sz="0" w:space="0" w:color="auto"/>
            <w:bottom w:val="none" w:sz="0" w:space="0" w:color="auto"/>
            <w:right w:val="none" w:sz="0" w:space="0" w:color="auto"/>
          </w:divBdr>
        </w:div>
        <w:div w:id="1977950350">
          <w:marLeft w:val="0"/>
          <w:marRight w:val="0"/>
          <w:marTop w:val="0"/>
          <w:marBottom w:val="0"/>
          <w:divBdr>
            <w:top w:val="none" w:sz="0" w:space="0" w:color="auto"/>
            <w:left w:val="none" w:sz="0" w:space="0" w:color="auto"/>
            <w:bottom w:val="none" w:sz="0" w:space="0" w:color="auto"/>
            <w:right w:val="none" w:sz="0" w:space="0" w:color="auto"/>
          </w:divBdr>
        </w:div>
        <w:div w:id="1997176660">
          <w:marLeft w:val="0"/>
          <w:marRight w:val="0"/>
          <w:marTop w:val="0"/>
          <w:marBottom w:val="0"/>
          <w:divBdr>
            <w:top w:val="none" w:sz="0" w:space="0" w:color="auto"/>
            <w:left w:val="none" w:sz="0" w:space="0" w:color="auto"/>
            <w:bottom w:val="none" w:sz="0" w:space="0" w:color="auto"/>
            <w:right w:val="none" w:sz="0" w:space="0" w:color="auto"/>
          </w:divBdr>
        </w:div>
        <w:div w:id="1881629424">
          <w:marLeft w:val="0"/>
          <w:marRight w:val="0"/>
          <w:marTop w:val="0"/>
          <w:marBottom w:val="0"/>
          <w:divBdr>
            <w:top w:val="none" w:sz="0" w:space="0" w:color="auto"/>
            <w:left w:val="none" w:sz="0" w:space="0" w:color="auto"/>
            <w:bottom w:val="none" w:sz="0" w:space="0" w:color="auto"/>
            <w:right w:val="none" w:sz="0" w:space="0" w:color="auto"/>
          </w:divBdr>
        </w:div>
        <w:div w:id="1236015730">
          <w:marLeft w:val="0"/>
          <w:marRight w:val="0"/>
          <w:marTop w:val="0"/>
          <w:marBottom w:val="0"/>
          <w:divBdr>
            <w:top w:val="none" w:sz="0" w:space="0" w:color="auto"/>
            <w:left w:val="none" w:sz="0" w:space="0" w:color="auto"/>
            <w:bottom w:val="none" w:sz="0" w:space="0" w:color="auto"/>
            <w:right w:val="none" w:sz="0" w:space="0" w:color="auto"/>
          </w:divBdr>
        </w:div>
        <w:div w:id="515579924">
          <w:marLeft w:val="0"/>
          <w:marRight w:val="0"/>
          <w:marTop w:val="0"/>
          <w:marBottom w:val="0"/>
          <w:divBdr>
            <w:top w:val="none" w:sz="0" w:space="0" w:color="auto"/>
            <w:left w:val="none" w:sz="0" w:space="0" w:color="auto"/>
            <w:bottom w:val="none" w:sz="0" w:space="0" w:color="auto"/>
            <w:right w:val="none" w:sz="0" w:space="0" w:color="auto"/>
          </w:divBdr>
        </w:div>
        <w:div w:id="518542776">
          <w:marLeft w:val="0"/>
          <w:marRight w:val="0"/>
          <w:marTop w:val="0"/>
          <w:marBottom w:val="0"/>
          <w:divBdr>
            <w:top w:val="none" w:sz="0" w:space="0" w:color="auto"/>
            <w:left w:val="none" w:sz="0" w:space="0" w:color="auto"/>
            <w:bottom w:val="none" w:sz="0" w:space="0" w:color="auto"/>
            <w:right w:val="none" w:sz="0" w:space="0" w:color="auto"/>
          </w:divBdr>
        </w:div>
        <w:div w:id="46999958">
          <w:marLeft w:val="0"/>
          <w:marRight w:val="0"/>
          <w:marTop w:val="0"/>
          <w:marBottom w:val="0"/>
          <w:divBdr>
            <w:top w:val="none" w:sz="0" w:space="0" w:color="auto"/>
            <w:left w:val="none" w:sz="0" w:space="0" w:color="auto"/>
            <w:bottom w:val="none" w:sz="0" w:space="0" w:color="auto"/>
            <w:right w:val="none" w:sz="0" w:space="0" w:color="auto"/>
          </w:divBdr>
        </w:div>
        <w:div w:id="89815566">
          <w:marLeft w:val="0"/>
          <w:marRight w:val="0"/>
          <w:marTop w:val="0"/>
          <w:marBottom w:val="0"/>
          <w:divBdr>
            <w:top w:val="none" w:sz="0" w:space="0" w:color="auto"/>
            <w:left w:val="none" w:sz="0" w:space="0" w:color="auto"/>
            <w:bottom w:val="none" w:sz="0" w:space="0" w:color="auto"/>
            <w:right w:val="none" w:sz="0" w:space="0" w:color="auto"/>
          </w:divBdr>
        </w:div>
        <w:div w:id="164057487">
          <w:marLeft w:val="0"/>
          <w:marRight w:val="0"/>
          <w:marTop w:val="0"/>
          <w:marBottom w:val="0"/>
          <w:divBdr>
            <w:top w:val="none" w:sz="0" w:space="0" w:color="auto"/>
            <w:left w:val="none" w:sz="0" w:space="0" w:color="auto"/>
            <w:bottom w:val="none" w:sz="0" w:space="0" w:color="auto"/>
            <w:right w:val="none" w:sz="0" w:space="0" w:color="auto"/>
          </w:divBdr>
        </w:div>
        <w:div w:id="125586010">
          <w:marLeft w:val="0"/>
          <w:marRight w:val="0"/>
          <w:marTop w:val="0"/>
          <w:marBottom w:val="0"/>
          <w:divBdr>
            <w:top w:val="none" w:sz="0" w:space="0" w:color="auto"/>
            <w:left w:val="none" w:sz="0" w:space="0" w:color="auto"/>
            <w:bottom w:val="none" w:sz="0" w:space="0" w:color="auto"/>
            <w:right w:val="none" w:sz="0" w:space="0" w:color="auto"/>
          </w:divBdr>
        </w:div>
        <w:div w:id="2040276169">
          <w:marLeft w:val="0"/>
          <w:marRight w:val="0"/>
          <w:marTop w:val="0"/>
          <w:marBottom w:val="0"/>
          <w:divBdr>
            <w:top w:val="none" w:sz="0" w:space="0" w:color="auto"/>
            <w:left w:val="none" w:sz="0" w:space="0" w:color="auto"/>
            <w:bottom w:val="none" w:sz="0" w:space="0" w:color="auto"/>
            <w:right w:val="none" w:sz="0" w:space="0" w:color="auto"/>
          </w:divBdr>
        </w:div>
        <w:div w:id="1345398624">
          <w:marLeft w:val="0"/>
          <w:marRight w:val="0"/>
          <w:marTop w:val="0"/>
          <w:marBottom w:val="0"/>
          <w:divBdr>
            <w:top w:val="none" w:sz="0" w:space="0" w:color="auto"/>
            <w:left w:val="none" w:sz="0" w:space="0" w:color="auto"/>
            <w:bottom w:val="none" w:sz="0" w:space="0" w:color="auto"/>
            <w:right w:val="none" w:sz="0" w:space="0" w:color="auto"/>
          </w:divBdr>
        </w:div>
        <w:div w:id="528448877">
          <w:marLeft w:val="0"/>
          <w:marRight w:val="0"/>
          <w:marTop w:val="0"/>
          <w:marBottom w:val="0"/>
          <w:divBdr>
            <w:top w:val="none" w:sz="0" w:space="0" w:color="auto"/>
            <w:left w:val="none" w:sz="0" w:space="0" w:color="auto"/>
            <w:bottom w:val="none" w:sz="0" w:space="0" w:color="auto"/>
            <w:right w:val="none" w:sz="0" w:space="0" w:color="auto"/>
          </w:divBdr>
        </w:div>
        <w:div w:id="2063867544">
          <w:marLeft w:val="0"/>
          <w:marRight w:val="0"/>
          <w:marTop w:val="0"/>
          <w:marBottom w:val="0"/>
          <w:divBdr>
            <w:top w:val="none" w:sz="0" w:space="0" w:color="auto"/>
            <w:left w:val="none" w:sz="0" w:space="0" w:color="auto"/>
            <w:bottom w:val="none" w:sz="0" w:space="0" w:color="auto"/>
            <w:right w:val="none" w:sz="0" w:space="0" w:color="auto"/>
          </w:divBdr>
        </w:div>
        <w:div w:id="1214124513">
          <w:marLeft w:val="0"/>
          <w:marRight w:val="0"/>
          <w:marTop w:val="0"/>
          <w:marBottom w:val="0"/>
          <w:divBdr>
            <w:top w:val="none" w:sz="0" w:space="0" w:color="auto"/>
            <w:left w:val="none" w:sz="0" w:space="0" w:color="auto"/>
            <w:bottom w:val="none" w:sz="0" w:space="0" w:color="auto"/>
            <w:right w:val="none" w:sz="0" w:space="0" w:color="auto"/>
          </w:divBdr>
        </w:div>
        <w:div w:id="1766075535">
          <w:marLeft w:val="0"/>
          <w:marRight w:val="0"/>
          <w:marTop w:val="0"/>
          <w:marBottom w:val="0"/>
          <w:divBdr>
            <w:top w:val="none" w:sz="0" w:space="0" w:color="auto"/>
            <w:left w:val="none" w:sz="0" w:space="0" w:color="auto"/>
            <w:bottom w:val="none" w:sz="0" w:space="0" w:color="auto"/>
            <w:right w:val="none" w:sz="0" w:space="0" w:color="auto"/>
          </w:divBdr>
        </w:div>
        <w:div w:id="251940797">
          <w:marLeft w:val="0"/>
          <w:marRight w:val="0"/>
          <w:marTop w:val="0"/>
          <w:marBottom w:val="0"/>
          <w:divBdr>
            <w:top w:val="none" w:sz="0" w:space="0" w:color="auto"/>
            <w:left w:val="none" w:sz="0" w:space="0" w:color="auto"/>
            <w:bottom w:val="none" w:sz="0" w:space="0" w:color="auto"/>
            <w:right w:val="none" w:sz="0" w:space="0" w:color="auto"/>
          </w:divBdr>
        </w:div>
        <w:div w:id="774444990">
          <w:marLeft w:val="0"/>
          <w:marRight w:val="0"/>
          <w:marTop w:val="0"/>
          <w:marBottom w:val="0"/>
          <w:divBdr>
            <w:top w:val="none" w:sz="0" w:space="0" w:color="auto"/>
            <w:left w:val="none" w:sz="0" w:space="0" w:color="auto"/>
            <w:bottom w:val="none" w:sz="0" w:space="0" w:color="auto"/>
            <w:right w:val="none" w:sz="0" w:space="0" w:color="auto"/>
          </w:divBdr>
        </w:div>
        <w:div w:id="1374692636">
          <w:marLeft w:val="0"/>
          <w:marRight w:val="0"/>
          <w:marTop w:val="0"/>
          <w:marBottom w:val="0"/>
          <w:divBdr>
            <w:top w:val="none" w:sz="0" w:space="0" w:color="auto"/>
            <w:left w:val="none" w:sz="0" w:space="0" w:color="auto"/>
            <w:bottom w:val="none" w:sz="0" w:space="0" w:color="auto"/>
            <w:right w:val="none" w:sz="0" w:space="0" w:color="auto"/>
          </w:divBdr>
        </w:div>
        <w:div w:id="791675294">
          <w:marLeft w:val="0"/>
          <w:marRight w:val="0"/>
          <w:marTop w:val="0"/>
          <w:marBottom w:val="0"/>
          <w:divBdr>
            <w:top w:val="none" w:sz="0" w:space="0" w:color="auto"/>
            <w:left w:val="none" w:sz="0" w:space="0" w:color="auto"/>
            <w:bottom w:val="none" w:sz="0" w:space="0" w:color="auto"/>
            <w:right w:val="none" w:sz="0" w:space="0" w:color="auto"/>
          </w:divBdr>
        </w:div>
        <w:div w:id="424501476">
          <w:marLeft w:val="0"/>
          <w:marRight w:val="0"/>
          <w:marTop w:val="0"/>
          <w:marBottom w:val="0"/>
          <w:divBdr>
            <w:top w:val="none" w:sz="0" w:space="0" w:color="auto"/>
            <w:left w:val="none" w:sz="0" w:space="0" w:color="auto"/>
            <w:bottom w:val="none" w:sz="0" w:space="0" w:color="auto"/>
            <w:right w:val="none" w:sz="0" w:space="0" w:color="auto"/>
          </w:divBdr>
        </w:div>
        <w:div w:id="1092093610">
          <w:marLeft w:val="0"/>
          <w:marRight w:val="0"/>
          <w:marTop w:val="0"/>
          <w:marBottom w:val="0"/>
          <w:divBdr>
            <w:top w:val="none" w:sz="0" w:space="0" w:color="auto"/>
            <w:left w:val="none" w:sz="0" w:space="0" w:color="auto"/>
            <w:bottom w:val="none" w:sz="0" w:space="0" w:color="auto"/>
            <w:right w:val="none" w:sz="0" w:space="0" w:color="auto"/>
          </w:divBdr>
        </w:div>
        <w:div w:id="632642396">
          <w:marLeft w:val="0"/>
          <w:marRight w:val="0"/>
          <w:marTop w:val="0"/>
          <w:marBottom w:val="0"/>
          <w:divBdr>
            <w:top w:val="none" w:sz="0" w:space="0" w:color="auto"/>
            <w:left w:val="none" w:sz="0" w:space="0" w:color="auto"/>
            <w:bottom w:val="none" w:sz="0" w:space="0" w:color="auto"/>
            <w:right w:val="none" w:sz="0" w:space="0" w:color="auto"/>
          </w:divBdr>
        </w:div>
        <w:div w:id="2026325961">
          <w:marLeft w:val="0"/>
          <w:marRight w:val="0"/>
          <w:marTop w:val="0"/>
          <w:marBottom w:val="0"/>
          <w:divBdr>
            <w:top w:val="none" w:sz="0" w:space="0" w:color="auto"/>
            <w:left w:val="none" w:sz="0" w:space="0" w:color="auto"/>
            <w:bottom w:val="none" w:sz="0" w:space="0" w:color="auto"/>
            <w:right w:val="none" w:sz="0" w:space="0" w:color="auto"/>
          </w:divBdr>
        </w:div>
        <w:div w:id="388770207">
          <w:marLeft w:val="0"/>
          <w:marRight w:val="0"/>
          <w:marTop w:val="0"/>
          <w:marBottom w:val="0"/>
          <w:divBdr>
            <w:top w:val="none" w:sz="0" w:space="0" w:color="auto"/>
            <w:left w:val="none" w:sz="0" w:space="0" w:color="auto"/>
            <w:bottom w:val="none" w:sz="0" w:space="0" w:color="auto"/>
            <w:right w:val="none" w:sz="0" w:space="0" w:color="auto"/>
          </w:divBdr>
        </w:div>
        <w:div w:id="1154763529">
          <w:marLeft w:val="0"/>
          <w:marRight w:val="0"/>
          <w:marTop w:val="0"/>
          <w:marBottom w:val="0"/>
          <w:divBdr>
            <w:top w:val="none" w:sz="0" w:space="0" w:color="auto"/>
            <w:left w:val="none" w:sz="0" w:space="0" w:color="auto"/>
            <w:bottom w:val="none" w:sz="0" w:space="0" w:color="auto"/>
            <w:right w:val="none" w:sz="0" w:space="0" w:color="auto"/>
          </w:divBdr>
        </w:div>
        <w:div w:id="1059087992">
          <w:marLeft w:val="0"/>
          <w:marRight w:val="0"/>
          <w:marTop w:val="0"/>
          <w:marBottom w:val="0"/>
          <w:divBdr>
            <w:top w:val="none" w:sz="0" w:space="0" w:color="auto"/>
            <w:left w:val="none" w:sz="0" w:space="0" w:color="auto"/>
            <w:bottom w:val="none" w:sz="0" w:space="0" w:color="auto"/>
            <w:right w:val="none" w:sz="0" w:space="0" w:color="auto"/>
          </w:divBdr>
        </w:div>
        <w:div w:id="846141817">
          <w:marLeft w:val="0"/>
          <w:marRight w:val="0"/>
          <w:marTop w:val="0"/>
          <w:marBottom w:val="0"/>
          <w:divBdr>
            <w:top w:val="none" w:sz="0" w:space="0" w:color="auto"/>
            <w:left w:val="none" w:sz="0" w:space="0" w:color="auto"/>
            <w:bottom w:val="none" w:sz="0" w:space="0" w:color="auto"/>
            <w:right w:val="none" w:sz="0" w:space="0" w:color="auto"/>
          </w:divBdr>
        </w:div>
        <w:div w:id="954603954">
          <w:marLeft w:val="0"/>
          <w:marRight w:val="0"/>
          <w:marTop w:val="0"/>
          <w:marBottom w:val="0"/>
          <w:divBdr>
            <w:top w:val="none" w:sz="0" w:space="0" w:color="auto"/>
            <w:left w:val="none" w:sz="0" w:space="0" w:color="auto"/>
            <w:bottom w:val="none" w:sz="0" w:space="0" w:color="auto"/>
            <w:right w:val="none" w:sz="0" w:space="0" w:color="auto"/>
          </w:divBdr>
        </w:div>
        <w:div w:id="1357348481">
          <w:marLeft w:val="0"/>
          <w:marRight w:val="0"/>
          <w:marTop w:val="0"/>
          <w:marBottom w:val="0"/>
          <w:divBdr>
            <w:top w:val="none" w:sz="0" w:space="0" w:color="auto"/>
            <w:left w:val="none" w:sz="0" w:space="0" w:color="auto"/>
            <w:bottom w:val="none" w:sz="0" w:space="0" w:color="auto"/>
            <w:right w:val="none" w:sz="0" w:space="0" w:color="auto"/>
          </w:divBdr>
        </w:div>
        <w:div w:id="1460567643">
          <w:marLeft w:val="0"/>
          <w:marRight w:val="0"/>
          <w:marTop w:val="0"/>
          <w:marBottom w:val="0"/>
          <w:divBdr>
            <w:top w:val="none" w:sz="0" w:space="0" w:color="auto"/>
            <w:left w:val="none" w:sz="0" w:space="0" w:color="auto"/>
            <w:bottom w:val="none" w:sz="0" w:space="0" w:color="auto"/>
            <w:right w:val="none" w:sz="0" w:space="0" w:color="auto"/>
          </w:divBdr>
        </w:div>
        <w:div w:id="161900531">
          <w:marLeft w:val="0"/>
          <w:marRight w:val="0"/>
          <w:marTop w:val="0"/>
          <w:marBottom w:val="0"/>
          <w:divBdr>
            <w:top w:val="none" w:sz="0" w:space="0" w:color="auto"/>
            <w:left w:val="none" w:sz="0" w:space="0" w:color="auto"/>
            <w:bottom w:val="none" w:sz="0" w:space="0" w:color="auto"/>
            <w:right w:val="none" w:sz="0" w:space="0" w:color="auto"/>
          </w:divBdr>
        </w:div>
        <w:div w:id="56124585">
          <w:marLeft w:val="0"/>
          <w:marRight w:val="0"/>
          <w:marTop w:val="0"/>
          <w:marBottom w:val="0"/>
          <w:divBdr>
            <w:top w:val="none" w:sz="0" w:space="0" w:color="auto"/>
            <w:left w:val="none" w:sz="0" w:space="0" w:color="auto"/>
            <w:bottom w:val="none" w:sz="0" w:space="0" w:color="auto"/>
            <w:right w:val="none" w:sz="0" w:space="0" w:color="auto"/>
          </w:divBdr>
        </w:div>
        <w:div w:id="1097940855">
          <w:marLeft w:val="0"/>
          <w:marRight w:val="0"/>
          <w:marTop w:val="0"/>
          <w:marBottom w:val="0"/>
          <w:divBdr>
            <w:top w:val="none" w:sz="0" w:space="0" w:color="auto"/>
            <w:left w:val="none" w:sz="0" w:space="0" w:color="auto"/>
            <w:bottom w:val="none" w:sz="0" w:space="0" w:color="auto"/>
            <w:right w:val="none" w:sz="0" w:space="0" w:color="auto"/>
          </w:divBdr>
        </w:div>
        <w:div w:id="1701276667">
          <w:marLeft w:val="0"/>
          <w:marRight w:val="0"/>
          <w:marTop w:val="0"/>
          <w:marBottom w:val="0"/>
          <w:divBdr>
            <w:top w:val="none" w:sz="0" w:space="0" w:color="auto"/>
            <w:left w:val="none" w:sz="0" w:space="0" w:color="auto"/>
            <w:bottom w:val="none" w:sz="0" w:space="0" w:color="auto"/>
            <w:right w:val="none" w:sz="0" w:space="0" w:color="auto"/>
          </w:divBdr>
        </w:div>
        <w:div w:id="816454444">
          <w:marLeft w:val="0"/>
          <w:marRight w:val="0"/>
          <w:marTop w:val="0"/>
          <w:marBottom w:val="0"/>
          <w:divBdr>
            <w:top w:val="none" w:sz="0" w:space="0" w:color="auto"/>
            <w:left w:val="none" w:sz="0" w:space="0" w:color="auto"/>
            <w:bottom w:val="none" w:sz="0" w:space="0" w:color="auto"/>
            <w:right w:val="none" w:sz="0" w:space="0" w:color="auto"/>
          </w:divBdr>
        </w:div>
        <w:div w:id="1700355840">
          <w:marLeft w:val="0"/>
          <w:marRight w:val="0"/>
          <w:marTop w:val="0"/>
          <w:marBottom w:val="0"/>
          <w:divBdr>
            <w:top w:val="none" w:sz="0" w:space="0" w:color="auto"/>
            <w:left w:val="none" w:sz="0" w:space="0" w:color="auto"/>
            <w:bottom w:val="none" w:sz="0" w:space="0" w:color="auto"/>
            <w:right w:val="none" w:sz="0" w:space="0" w:color="auto"/>
          </w:divBdr>
        </w:div>
        <w:div w:id="645863186">
          <w:marLeft w:val="0"/>
          <w:marRight w:val="0"/>
          <w:marTop w:val="0"/>
          <w:marBottom w:val="0"/>
          <w:divBdr>
            <w:top w:val="none" w:sz="0" w:space="0" w:color="auto"/>
            <w:left w:val="none" w:sz="0" w:space="0" w:color="auto"/>
            <w:bottom w:val="none" w:sz="0" w:space="0" w:color="auto"/>
            <w:right w:val="none" w:sz="0" w:space="0" w:color="auto"/>
          </w:divBdr>
        </w:div>
        <w:div w:id="476073662">
          <w:marLeft w:val="0"/>
          <w:marRight w:val="0"/>
          <w:marTop w:val="0"/>
          <w:marBottom w:val="0"/>
          <w:divBdr>
            <w:top w:val="none" w:sz="0" w:space="0" w:color="auto"/>
            <w:left w:val="none" w:sz="0" w:space="0" w:color="auto"/>
            <w:bottom w:val="none" w:sz="0" w:space="0" w:color="auto"/>
            <w:right w:val="none" w:sz="0" w:space="0" w:color="auto"/>
          </w:divBdr>
        </w:div>
        <w:div w:id="1952518378">
          <w:marLeft w:val="0"/>
          <w:marRight w:val="0"/>
          <w:marTop w:val="0"/>
          <w:marBottom w:val="0"/>
          <w:divBdr>
            <w:top w:val="none" w:sz="0" w:space="0" w:color="auto"/>
            <w:left w:val="none" w:sz="0" w:space="0" w:color="auto"/>
            <w:bottom w:val="none" w:sz="0" w:space="0" w:color="auto"/>
            <w:right w:val="none" w:sz="0" w:space="0" w:color="auto"/>
          </w:divBdr>
        </w:div>
        <w:div w:id="2110083036">
          <w:marLeft w:val="0"/>
          <w:marRight w:val="0"/>
          <w:marTop w:val="0"/>
          <w:marBottom w:val="0"/>
          <w:divBdr>
            <w:top w:val="none" w:sz="0" w:space="0" w:color="auto"/>
            <w:left w:val="none" w:sz="0" w:space="0" w:color="auto"/>
            <w:bottom w:val="none" w:sz="0" w:space="0" w:color="auto"/>
            <w:right w:val="none" w:sz="0" w:space="0" w:color="auto"/>
          </w:divBdr>
        </w:div>
        <w:div w:id="1152481722">
          <w:marLeft w:val="0"/>
          <w:marRight w:val="0"/>
          <w:marTop w:val="0"/>
          <w:marBottom w:val="0"/>
          <w:divBdr>
            <w:top w:val="none" w:sz="0" w:space="0" w:color="auto"/>
            <w:left w:val="none" w:sz="0" w:space="0" w:color="auto"/>
            <w:bottom w:val="none" w:sz="0" w:space="0" w:color="auto"/>
            <w:right w:val="none" w:sz="0" w:space="0" w:color="auto"/>
          </w:divBdr>
        </w:div>
        <w:div w:id="1938754836">
          <w:marLeft w:val="0"/>
          <w:marRight w:val="0"/>
          <w:marTop w:val="0"/>
          <w:marBottom w:val="0"/>
          <w:divBdr>
            <w:top w:val="none" w:sz="0" w:space="0" w:color="auto"/>
            <w:left w:val="none" w:sz="0" w:space="0" w:color="auto"/>
            <w:bottom w:val="none" w:sz="0" w:space="0" w:color="auto"/>
            <w:right w:val="none" w:sz="0" w:space="0" w:color="auto"/>
          </w:divBdr>
        </w:div>
        <w:div w:id="1276719266">
          <w:marLeft w:val="0"/>
          <w:marRight w:val="0"/>
          <w:marTop w:val="0"/>
          <w:marBottom w:val="0"/>
          <w:divBdr>
            <w:top w:val="none" w:sz="0" w:space="0" w:color="auto"/>
            <w:left w:val="none" w:sz="0" w:space="0" w:color="auto"/>
            <w:bottom w:val="none" w:sz="0" w:space="0" w:color="auto"/>
            <w:right w:val="none" w:sz="0" w:space="0" w:color="auto"/>
          </w:divBdr>
        </w:div>
        <w:div w:id="1612316887">
          <w:marLeft w:val="0"/>
          <w:marRight w:val="0"/>
          <w:marTop w:val="0"/>
          <w:marBottom w:val="0"/>
          <w:divBdr>
            <w:top w:val="none" w:sz="0" w:space="0" w:color="auto"/>
            <w:left w:val="none" w:sz="0" w:space="0" w:color="auto"/>
            <w:bottom w:val="none" w:sz="0" w:space="0" w:color="auto"/>
            <w:right w:val="none" w:sz="0" w:space="0" w:color="auto"/>
          </w:divBdr>
        </w:div>
        <w:div w:id="1179348875">
          <w:marLeft w:val="0"/>
          <w:marRight w:val="0"/>
          <w:marTop w:val="0"/>
          <w:marBottom w:val="0"/>
          <w:divBdr>
            <w:top w:val="none" w:sz="0" w:space="0" w:color="auto"/>
            <w:left w:val="none" w:sz="0" w:space="0" w:color="auto"/>
            <w:bottom w:val="none" w:sz="0" w:space="0" w:color="auto"/>
            <w:right w:val="none" w:sz="0" w:space="0" w:color="auto"/>
          </w:divBdr>
        </w:div>
        <w:div w:id="1573158321">
          <w:marLeft w:val="0"/>
          <w:marRight w:val="0"/>
          <w:marTop w:val="0"/>
          <w:marBottom w:val="0"/>
          <w:divBdr>
            <w:top w:val="none" w:sz="0" w:space="0" w:color="auto"/>
            <w:left w:val="none" w:sz="0" w:space="0" w:color="auto"/>
            <w:bottom w:val="none" w:sz="0" w:space="0" w:color="auto"/>
            <w:right w:val="none" w:sz="0" w:space="0" w:color="auto"/>
          </w:divBdr>
        </w:div>
        <w:div w:id="253052735">
          <w:marLeft w:val="0"/>
          <w:marRight w:val="0"/>
          <w:marTop w:val="0"/>
          <w:marBottom w:val="0"/>
          <w:divBdr>
            <w:top w:val="none" w:sz="0" w:space="0" w:color="auto"/>
            <w:left w:val="none" w:sz="0" w:space="0" w:color="auto"/>
            <w:bottom w:val="none" w:sz="0" w:space="0" w:color="auto"/>
            <w:right w:val="none" w:sz="0" w:space="0" w:color="auto"/>
          </w:divBdr>
        </w:div>
        <w:div w:id="1572930013">
          <w:marLeft w:val="0"/>
          <w:marRight w:val="0"/>
          <w:marTop w:val="0"/>
          <w:marBottom w:val="0"/>
          <w:divBdr>
            <w:top w:val="none" w:sz="0" w:space="0" w:color="auto"/>
            <w:left w:val="none" w:sz="0" w:space="0" w:color="auto"/>
            <w:bottom w:val="none" w:sz="0" w:space="0" w:color="auto"/>
            <w:right w:val="none" w:sz="0" w:space="0" w:color="auto"/>
          </w:divBdr>
        </w:div>
        <w:div w:id="143087325">
          <w:marLeft w:val="0"/>
          <w:marRight w:val="0"/>
          <w:marTop w:val="0"/>
          <w:marBottom w:val="0"/>
          <w:divBdr>
            <w:top w:val="none" w:sz="0" w:space="0" w:color="auto"/>
            <w:left w:val="none" w:sz="0" w:space="0" w:color="auto"/>
            <w:bottom w:val="none" w:sz="0" w:space="0" w:color="auto"/>
            <w:right w:val="none" w:sz="0" w:space="0" w:color="auto"/>
          </w:divBdr>
        </w:div>
        <w:div w:id="1852066190">
          <w:marLeft w:val="0"/>
          <w:marRight w:val="0"/>
          <w:marTop w:val="0"/>
          <w:marBottom w:val="0"/>
          <w:divBdr>
            <w:top w:val="none" w:sz="0" w:space="0" w:color="auto"/>
            <w:left w:val="none" w:sz="0" w:space="0" w:color="auto"/>
            <w:bottom w:val="none" w:sz="0" w:space="0" w:color="auto"/>
            <w:right w:val="none" w:sz="0" w:space="0" w:color="auto"/>
          </w:divBdr>
        </w:div>
        <w:div w:id="1948002705">
          <w:marLeft w:val="0"/>
          <w:marRight w:val="0"/>
          <w:marTop w:val="0"/>
          <w:marBottom w:val="0"/>
          <w:divBdr>
            <w:top w:val="none" w:sz="0" w:space="0" w:color="auto"/>
            <w:left w:val="none" w:sz="0" w:space="0" w:color="auto"/>
            <w:bottom w:val="none" w:sz="0" w:space="0" w:color="auto"/>
            <w:right w:val="none" w:sz="0" w:space="0" w:color="auto"/>
          </w:divBdr>
        </w:div>
        <w:div w:id="647323457">
          <w:marLeft w:val="0"/>
          <w:marRight w:val="0"/>
          <w:marTop w:val="0"/>
          <w:marBottom w:val="0"/>
          <w:divBdr>
            <w:top w:val="none" w:sz="0" w:space="0" w:color="auto"/>
            <w:left w:val="none" w:sz="0" w:space="0" w:color="auto"/>
            <w:bottom w:val="none" w:sz="0" w:space="0" w:color="auto"/>
            <w:right w:val="none" w:sz="0" w:space="0" w:color="auto"/>
          </w:divBdr>
        </w:div>
        <w:div w:id="1562059349">
          <w:marLeft w:val="0"/>
          <w:marRight w:val="0"/>
          <w:marTop w:val="0"/>
          <w:marBottom w:val="0"/>
          <w:divBdr>
            <w:top w:val="none" w:sz="0" w:space="0" w:color="auto"/>
            <w:left w:val="none" w:sz="0" w:space="0" w:color="auto"/>
            <w:bottom w:val="none" w:sz="0" w:space="0" w:color="auto"/>
            <w:right w:val="none" w:sz="0" w:space="0" w:color="auto"/>
          </w:divBdr>
        </w:div>
        <w:div w:id="966203771">
          <w:marLeft w:val="0"/>
          <w:marRight w:val="0"/>
          <w:marTop w:val="0"/>
          <w:marBottom w:val="0"/>
          <w:divBdr>
            <w:top w:val="none" w:sz="0" w:space="0" w:color="auto"/>
            <w:left w:val="none" w:sz="0" w:space="0" w:color="auto"/>
            <w:bottom w:val="none" w:sz="0" w:space="0" w:color="auto"/>
            <w:right w:val="none" w:sz="0" w:space="0" w:color="auto"/>
          </w:divBdr>
        </w:div>
        <w:div w:id="265040693">
          <w:marLeft w:val="0"/>
          <w:marRight w:val="0"/>
          <w:marTop w:val="0"/>
          <w:marBottom w:val="0"/>
          <w:divBdr>
            <w:top w:val="none" w:sz="0" w:space="0" w:color="auto"/>
            <w:left w:val="none" w:sz="0" w:space="0" w:color="auto"/>
            <w:bottom w:val="none" w:sz="0" w:space="0" w:color="auto"/>
            <w:right w:val="none" w:sz="0" w:space="0" w:color="auto"/>
          </w:divBdr>
        </w:div>
        <w:div w:id="460273975">
          <w:marLeft w:val="0"/>
          <w:marRight w:val="0"/>
          <w:marTop w:val="0"/>
          <w:marBottom w:val="0"/>
          <w:divBdr>
            <w:top w:val="none" w:sz="0" w:space="0" w:color="auto"/>
            <w:left w:val="none" w:sz="0" w:space="0" w:color="auto"/>
            <w:bottom w:val="none" w:sz="0" w:space="0" w:color="auto"/>
            <w:right w:val="none" w:sz="0" w:space="0" w:color="auto"/>
          </w:divBdr>
        </w:div>
        <w:div w:id="106168700">
          <w:marLeft w:val="0"/>
          <w:marRight w:val="0"/>
          <w:marTop w:val="0"/>
          <w:marBottom w:val="0"/>
          <w:divBdr>
            <w:top w:val="none" w:sz="0" w:space="0" w:color="auto"/>
            <w:left w:val="none" w:sz="0" w:space="0" w:color="auto"/>
            <w:bottom w:val="none" w:sz="0" w:space="0" w:color="auto"/>
            <w:right w:val="none" w:sz="0" w:space="0" w:color="auto"/>
          </w:divBdr>
        </w:div>
        <w:div w:id="2045203875">
          <w:marLeft w:val="0"/>
          <w:marRight w:val="0"/>
          <w:marTop w:val="0"/>
          <w:marBottom w:val="0"/>
          <w:divBdr>
            <w:top w:val="none" w:sz="0" w:space="0" w:color="auto"/>
            <w:left w:val="none" w:sz="0" w:space="0" w:color="auto"/>
            <w:bottom w:val="none" w:sz="0" w:space="0" w:color="auto"/>
            <w:right w:val="none" w:sz="0" w:space="0" w:color="auto"/>
          </w:divBdr>
        </w:div>
        <w:div w:id="1681814560">
          <w:marLeft w:val="0"/>
          <w:marRight w:val="0"/>
          <w:marTop w:val="0"/>
          <w:marBottom w:val="0"/>
          <w:divBdr>
            <w:top w:val="none" w:sz="0" w:space="0" w:color="auto"/>
            <w:left w:val="none" w:sz="0" w:space="0" w:color="auto"/>
            <w:bottom w:val="none" w:sz="0" w:space="0" w:color="auto"/>
            <w:right w:val="none" w:sz="0" w:space="0" w:color="auto"/>
          </w:divBdr>
        </w:div>
        <w:div w:id="570703416">
          <w:marLeft w:val="0"/>
          <w:marRight w:val="0"/>
          <w:marTop w:val="0"/>
          <w:marBottom w:val="0"/>
          <w:divBdr>
            <w:top w:val="none" w:sz="0" w:space="0" w:color="auto"/>
            <w:left w:val="none" w:sz="0" w:space="0" w:color="auto"/>
            <w:bottom w:val="none" w:sz="0" w:space="0" w:color="auto"/>
            <w:right w:val="none" w:sz="0" w:space="0" w:color="auto"/>
          </w:divBdr>
        </w:div>
        <w:div w:id="344291702">
          <w:marLeft w:val="0"/>
          <w:marRight w:val="0"/>
          <w:marTop w:val="0"/>
          <w:marBottom w:val="0"/>
          <w:divBdr>
            <w:top w:val="none" w:sz="0" w:space="0" w:color="auto"/>
            <w:left w:val="none" w:sz="0" w:space="0" w:color="auto"/>
            <w:bottom w:val="none" w:sz="0" w:space="0" w:color="auto"/>
            <w:right w:val="none" w:sz="0" w:space="0" w:color="auto"/>
          </w:divBdr>
        </w:div>
        <w:div w:id="1345279193">
          <w:marLeft w:val="0"/>
          <w:marRight w:val="0"/>
          <w:marTop w:val="0"/>
          <w:marBottom w:val="0"/>
          <w:divBdr>
            <w:top w:val="none" w:sz="0" w:space="0" w:color="auto"/>
            <w:left w:val="none" w:sz="0" w:space="0" w:color="auto"/>
            <w:bottom w:val="none" w:sz="0" w:space="0" w:color="auto"/>
            <w:right w:val="none" w:sz="0" w:space="0" w:color="auto"/>
          </w:divBdr>
        </w:div>
        <w:div w:id="574248310">
          <w:marLeft w:val="0"/>
          <w:marRight w:val="0"/>
          <w:marTop w:val="0"/>
          <w:marBottom w:val="0"/>
          <w:divBdr>
            <w:top w:val="none" w:sz="0" w:space="0" w:color="auto"/>
            <w:left w:val="none" w:sz="0" w:space="0" w:color="auto"/>
            <w:bottom w:val="none" w:sz="0" w:space="0" w:color="auto"/>
            <w:right w:val="none" w:sz="0" w:space="0" w:color="auto"/>
          </w:divBdr>
        </w:div>
        <w:div w:id="996762689">
          <w:marLeft w:val="0"/>
          <w:marRight w:val="0"/>
          <w:marTop w:val="0"/>
          <w:marBottom w:val="0"/>
          <w:divBdr>
            <w:top w:val="none" w:sz="0" w:space="0" w:color="auto"/>
            <w:left w:val="none" w:sz="0" w:space="0" w:color="auto"/>
            <w:bottom w:val="none" w:sz="0" w:space="0" w:color="auto"/>
            <w:right w:val="none" w:sz="0" w:space="0" w:color="auto"/>
          </w:divBdr>
        </w:div>
        <w:div w:id="738525534">
          <w:marLeft w:val="0"/>
          <w:marRight w:val="0"/>
          <w:marTop w:val="0"/>
          <w:marBottom w:val="0"/>
          <w:divBdr>
            <w:top w:val="none" w:sz="0" w:space="0" w:color="auto"/>
            <w:left w:val="none" w:sz="0" w:space="0" w:color="auto"/>
            <w:bottom w:val="none" w:sz="0" w:space="0" w:color="auto"/>
            <w:right w:val="none" w:sz="0" w:space="0" w:color="auto"/>
          </w:divBdr>
        </w:div>
        <w:div w:id="1816139522">
          <w:marLeft w:val="0"/>
          <w:marRight w:val="0"/>
          <w:marTop w:val="0"/>
          <w:marBottom w:val="0"/>
          <w:divBdr>
            <w:top w:val="none" w:sz="0" w:space="0" w:color="auto"/>
            <w:left w:val="none" w:sz="0" w:space="0" w:color="auto"/>
            <w:bottom w:val="none" w:sz="0" w:space="0" w:color="auto"/>
            <w:right w:val="none" w:sz="0" w:space="0" w:color="auto"/>
          </w:divBdr>
        </w:div>
        <w:div w:id="979845233">
          <w:marLeft w:val="0"/>
          <w:marRight w:val="0"/>
          <w:marTop w:val="0"/>
          <w:marBottom w:val="0"/>
          <w:divBdr>
            <w:top w:val="none" w:sz="0" w:space="0" w:color="auto"/>
            <w:left w:val="none" w:sz="0" w:space="0" w:color="auto"/>
            <w:bottom w:val="none" w:sz="0" w:space="0" w:color="auto"/>
            <w:right w:val="none" w:sz="0" w:space="0" w:color="auto"/>
          </w:divBdr>
        </w:div>
        <w:div w:id="1422332076">
          <w:marLeft w:val="0"/>
          <w:marRight w:val="0"/>
          <w:marTop w:val="0"/>
          <w:marBottom w:val="0"/>
          <w:divBdr>
            <w:top w:val="none" w:sz="0" w:space="0" w:color="auto"/>
            <w:left w:val="none" w:sz="0" w:space="0" w:color="auto"/>
            <w:bottom w:val="none" w:sz="0" w:space="0" w:color="auto"/>
            <w:right w:val="none" w:sz="0" w:space="0" w:color="auto"/>
          </w:divBdr>
        </w:div>
        <w:div w:id="546725015">
          <w:marLeft w:val="0"/>
          <w:marRight w:val="0"/>
          <w:marTop w:val="0"/>
          <w:marBottom w:val="0"/>
          <w:divBdr>
            <w:top w:val="none" w:sz="0" w:space="0" w:color="auto"/>
            <w:left w:val="none" w:sz="0" w:space="0" w:color="auto"/>
            <w:bottom w:val="none" w:sz="0" w:space="0" w:color="auto"/>
            <w:right w:val="none" w:sz="0" w:space="0" w:color="auto"/>
          </w:divBdr>
        </w:div>
        <w:div w:id="798036657">
          <w:marLeft w:val="0"/>
          <w:marRight w:val="0"/>
          <w:marTop w:val="0"/>
          <w:marBottom w:val="0"/>
          <w:divBdr>
            <w:top w:val="none" w:sz="0" w:space="0" w:color="auto"/>
            <w:left w:val="none" w:sz="0" w:space="0" w:color="auto"/>
            <w:bottom w:val="none" w:sz="0" w:space="0" w:color="auto"/>
            <w:right w:val="none" w:sz="0" w:space="0" w:color="auto"/>
          </w:divBdr>
        </w:div>
        <w:div w:id="758213134">
          <w:marLeft w:val="0"/>
          <w:marRight w:val="0"/>
          <w:marTop w:val="0"/>
          <w:marBottom w:val="0"/>
          <w:divBdr>
            <w:top w:val="none" w:sz="0" w:space="0" w:color="auto"/>
            <w:left w:val="none" w:sz="0" w:space="0" w:color="auto"/>
            <w:bottom w:val="none" w:sz="0" w:space="0" w:color="auto"/>
            <w:right w:val="none" w:sz="0" w:space="0" w:color="auto"/>
          </w:divBdr>
        </w:div>
        <w:div w:id="947002161">
          <w:marLeft w:val="0"/>
          <w:marRight w:val="0"/>
          <w:marTop w:val="0"/>
          <w:marBottom w:val="0"/>
          <w:divBdr>
            <w:top w:val="none" w:sz="0" w:space="0" w:color="auto"/>
            <w:left w:val="none" w:sz="0" w:space="0" w:color="auto"/>
            <w:bottom w:val="none" w:sz="0" w:space="0" w:color="auto"/>
            <w:right w:val="none" w:sz="0" w:space="0" w:color="auto"/>
          </w:divBdr>
        </w:div>
        <w:div w:id="1238053013">
          <w:marLeft w:val="0"/>
          <w:marRight w:val="0"/>
          <w:marTop w:val="0"/>
          <w:marBottom w:val="0"/>
          <w:divBdr>
            <w:top w:val="none" w:sz="0" w:space="0" w:color="auto"/>
            <w:left w:val="none" w:sz="0" w:space="0" w:color="auto"/>
            <w:bottom w:val="none" w:sz="0" w:space="0" w:color="auto"/>
            <w:right w:val="none" w:sz="0" w:space="0" w:color="auto"/>
          </w:divBdr>
        </w:div>
        <w:div w:id="1763721004">
          <w:marLeft w:val="0"/>
          <w:marRight w:val="0"/>
          <w:marTop w:val="0"/>
          <w:marBottom w:val="0"/>
          <w:divBdr>
            <w:top w:val="none" w:sz="0" w:space="0" w:color="auto"/>
            <w:left w:val="none" w:sz="0" w:space="0" w:color="auto"/>
            <w:bottom w:val="none" w:sz="0" w:space="0" w:color="auto"/>
            <w:right w:val="none" w:sz="0" w:space="0" w:color="auto"/>
          </w:divBdr>
        </w:div>
        <w:div w:id="313026778">
          <w:marLeft w:val="0"/>
          <w:marRight w:val="0"/>
          <w:marTop w:val="0"/>
          <w:marBottom w:val="0"/>
          <w:divBdr>
            <w:top w:val="none" w:sz="0" w:space="0" w:color="auto"/>
            <w:left w:val="none" w:sz="0" w:space="0" w:color="auto"/>
            <w:bottom w:val="none" w:sz="0" w:space="0" w:color="auto"/>
            <w:right w:val="none" w:sz="0" w:space="0" w:color="auto"/>
          </w:divBdr>
        </w:div>
        <w:div w:id="447742991">
          <w:marLeft w:val="0"/>
          <w:marRight w:val="0"/>
          <w:marTop w:val="0"/>
          <w:marBottom w:val="0"/>
          <w:divBdr>
            <w:top w:val="none" w:sz="0" w:space="0" w:color="auto"/>
            <w:left w:val="none" w:sz="0" w:space="0" w:color="auto"/>
            <w:bottom w:val="none" w:sz="0" w:space="0" w:color="auto"/>
            <w:right w:val="none" w:sz="0" w:space="0" w:color="auto"/>
          </w:divBdr>
        </w:div>
        <w:div w:id="1175269652">
          <w:marLeft w:val="0"/>
          <w:marRight w:val="0"/>
          <w:marTop w:val="0"/>
          <w:marBottom w:val="0"/>
          <w:divBdr>
            <w:top w:val="none" w:sz="0" w:space="0" w:color="auto"/>
            <w:left w:val="none" w:sz="0" w:space="0" w:color="auto"/>
            <w:bottom w:val="none" w:sz="0" w:space="0" w:color="auto"/>
            <w:right w:val="none" w:sz="0" w:space="0" w:color="auto"/>
          </w:divBdr>
        </w:div>
        <w:div w:id="1599824938">
          <w:marLeft w:val="0"/>
          <w:marRight w:val="0"/>
          <w:marTop w:val="0"/>
          <w:marBottom w:val="0"/>
          <w:divBdr>
            <w:top w:val="none" w:sz="0" w:space="0" w:color="auto"/>
            <w:left w:val="none" w:sz="0" w:space="0" w:color="auto"/>
            <w:bottom w:val="none" w:sz="0" w:space="0" w:color="auto"/>
            <w:right w:val="none" w:sz="0" w:space="0" w:color="auto"/>
          </w:divBdr>
        </w:div>
        <w:div w:id="1373458530">
          <w:marLeft w:val="0"/>
          <w:marRight w:val="0"/>
          <w:marTop w:val="0"/>
          <w:marBottom w:val="0"/>
          <w:divBdr>
            <w:top w:val="none" w:sz="0" w:space="0" w:color="auto"/>
            <w:left w:val="none" w:sz="0" w:space="0" w:color="auto"/>
            <w:bottom w:val="none" w:sz="0" w:space="0" w:color="auto"/>
            <w:right w:val="none" w:sz="0" w:space="0" w:color="auto"/>
          </w:divBdr>
        </w:div>
        <w:div w:id="1340306291">
          <w:marLeft w:val="0"/>
          <w:marRight w:val="0"/>
          <w:marTop w:val="0"/>
          <w:marBottom w:val="0"/>
          <w:divBdr>
            <w:top w:val="none" w:sz="0" w:space="0" w:color="auto"/>
            <w:left w:val="none" w:sz="0" w:space="0" w:color="auto"/>
            <w:bottom w:val="none" w:sz="0" w:space="0" w:color="auto"/>
            <w:right w:val="none" w:sz="0" w:space="0" w:color="auto"/>
          </w:divBdr>
        </w:div>
        <w:div w:id="805588198">
          <w:marLeft w:val="0"/>
          <w:marRight w:val="0"/>
          <w:marTop w:val="0"/>
          <w:marBottom w:val="0"/>
          <w:divBdr>
            <w:top w:val="none" w:sz="0" w:space="0" w:color="auto"/>
            <w:left w:val="none" w:sz="0" w:space="0" w:color="auto"/>
            <w:bottom w:val="none" w:sz="0" w:space="0" w:color="auto"/>
            <w:right w:val="none" w:sz="0" w:space="0" w:color="auto"/>
          </w:divBdr>
        </w:div>
        <w:div w:id="660624852">
          <w:marLeft w:val="0"/>
          <w:marRight w:val="0"/>
          <w:marTop w:val="0"/>
          <w:marBottom w:val="0"/>
          <w:divBdr>
            <w:top w:val="none" w:sz="0" w:space="0" w:color="auto"/>
            <w:left w:val="none" w:sz="0" w:space="0" w:color="auto"/>
            <w:bottom w:val="none" w:sz="0" w:space="0" w:color="auto"/>
            <w:right w:val="none" w:sz="0" w:space="0" w:color="auto"/>
          </w:divBdr>
        </w:div>
        <w:div w:id="953250246">
          <w:marLeft w:val="0"/>
          <w:marRight w:val="0"/>
          <w:marTop w:val="0"/>
          <w:marBottom w:val="0"/>
          <w:divBdr>
            <w:top w:val="none" w:sz="0" w:space="0" w:color="auto"/>
            <w:left w:val="none" w:sz="0" w:space="0" w:color="auto"/>
            <w:bottom w:val="none" w:sz="0" w:space="0" w:color="auto"/>
            <w:right w:val="none" w:sz="0" w:space="0" w:color="auto"/>
          </w:divBdr>
        </w:div>
        <w:div w:id="1424687325">
          <w:marLeft w:val="0"/>
          <w:marRight w:val="0"/>
          <w:marTop w:val="0"/>
          <w:marBottom w:val="0"/>
          <w:divBdr>
            <w:top w:val="none" w:sz="0" w:space="0" w:color="auto"/>
            <w:left w:val="none" w:sz="0" w:space="0" w:color="auto"/>
            <w:bottom w:val="none" w:sz="0" w:space="0" w:color="auto"/>
            <w:right w:val="none" w:sz="0" w:space="0" w:color="auto"/>
          </w:divBdr>
        </w:div>
        <w:div w:id="536894018">
          <w:marLeft w:val="0"/>
          <w:marRight w:val="0"/>
          <w:marTop w:val="0"/>
          <w:marBottom w:val="0"/>
          <w:divBdr>
            <w:top w:val="none" w:sz="0" w:space="0" w:color="auto"/>
            <w:left w:val="none" w:sz="0" w:space="0" w:color="auto"/>
            <w:bottom w:val="none" w:sz="0" w:space="0" w:color="auto"/>
            <w:right w:val="none" w:sz="0" w:space="0" w:color="auto"/>
          </w:divBdr>
        </w:div>
        <w:div w:id="1234007093">
          <w:marLeft w:val="0"/>
          <w:marRight w:val="0"/>
          <w:marTop w:val="0"/>
          <w:marBottom w:val="0"/>
          <w:divBdr>
            <w:top w:val="none" w:sz="0" w:space="0" w:color="auto"/>
            <w:left w:val="none" w:sz="0" w:space="0" w:color="auto"/>
            <w:bottom w:val="none" w:sz="0" w:space="0" w:color="auto"/>
            <w:right w:val="none" w:sz="0" w:space="0" w:color="auto"/>
          </w:divBdr>
        </w:div>
        <w:div w:id="945579912">
          <w:marLeft w:val="0"/>
          <w:marRight w:val="0"/>
          <w:marTop w:val="0"/>
          <w:marBottom w:val="0"/>
          <w:divBdr>
            <w:top w:val="none" w:sz="0" w:space="0" w:color="auto"/>
            <w:left w:val="none" w:sz="0" w:space="0" w:color="auto"/>
            <w:bottom w:val="none" w:sz="0" w:space="0" w:color="auto"/>
            <w:right w:val="none" w:sz="0" w:space="0" w:color="auto"/>
          </w:divBdr>
        </w:div>
        <w:div w:id="1686512711">
          <w:marLeft w:val="0"/>
          <w:marRight w:val="0"/>
          <w:marTop w:val="0"/>
          <w:marBottom w:val="0"/>
          <w:divBdr>
            <w:top w:val="none" w:sz="0" w:space="0" w:color="auto"/>
            <w:left w:val="none" w:sz="0" w:space="0" w:color="auto"/>
            <w:bottom w:val="none" w:sz="0" w:space="0" w:color="auto"/>
            <w:right w:val="none" w:sz="0" w:space="0" w:color="auto"/>
          </w:divBdr>
        </w:div>
        <w:div w:id="1226382057">
          <w:marLeft w:val="0"/>
          <w:marRight w:val="0"/>
          <w:marTop w:val="0"/>
          <w:marBottom w:val="0"/>
          <w:divBdr>
            <w:top w:val="none" w:sz="0" w:space="0" w:color="auto"/>
            <w:left w:val="none" w:sz="0" w:space="0" w:color="auto"/>
            <w:bottom w:val="none" w:sz="0" w:space="0" w:color="auto"/>
            <w:right w:val="none" w:sz="0" w:space="0" w:color="auto"/>
          </w:divBdr>
        </w:div>
        <w:div w:id="1626347481">
          <w:marLeft w:val="0"/>
          <w:marRight w:val="0"/>
          <w:marTop w:val="0"/>
          <w:marBottom w:val="0"/>
          <w:divBdr>
            <w:top w:val="none" w:sz="0" w:space="0" w:color="auto"/>
            <w:left w:val="none" w:sz="0" w:space="0" w:color="auto"/>
            <w:bottom w:val="none" w:sz="0" w:space="0" w:color="auto"/>
            <w:right w:val="none" w:sz="0" w:space="0" w:color="auto"/>
          </w:divBdr>
        </w:div>
        <w:div w:id="1704095198">
          <w:marLeft w:val="0"/>
          <w:marRight w:val="0"/>
          <w:marTop w:val="0"/>
          <w:marBottom w:val="0"/>
          <w:divBdr>
            <w:top w:val="none" w:sz="0" w:space="0" w:color="auto"/>
            <w:left w:val="none" w:sz="0" w:space="0" w:color="auto"/>
            <w:bottom w:val="none" w:sz="0" w:space="0" w:color="auto"/>
            <w:right w:val="none" w:sz="0" w:space="0" w:color="auto"/>
          </w:divBdr>
        </w:div>
        <w:div w:id="105274474">
          <w:marLeft w:val="0"/>
          <w:marRight w:val="0"/>
          <w:marTop w:val="0"/>
          <w:marBottom w:val="0"/>
          <w:divBdr>
            <w:top w:val="none" w:sz="0" w:space="0" w:color="auto"/>
            <w:left w:val="none" w:sz="0" w:space="0" w:color="auto"/>
            <w:bottom w:val="none" w:sz="0" w:space="0" w:color="auto"/>
            <w:right w:val="none" w:sz="0" w:space="0" w:color="auto"/>
          </w:divBdr>
        </w:div>
        <w:div w:id="1878618802">
          <w:marLeft w:val="0"/>
          <w:marRight w:val="0"/>
          <w:marTop w:val="0"/>
          <w:marBottom w:val="0"/>
          <w:divBdr>
            <w:top w:val="none" w:sz="0" w:space="0" w:color="auto"/>
            <w:left w:val="none" w:sz="0" w:space="0" w:color="auto"/>
            <w:bottom w:val="none" w:sz="0" w:space="0" w:color="auto"/>
            <w:right w:val="none" w:sz="0" w:space="0" w:color="auto"/>
          </w:divBdr>
        </w:div>
        <w:div w:id="1030688310">
          <w:marLeft w:val="0"/>
          <w:marRight w:val="0"/>
          <w:marTop w:val="0"/>
          <w:marBottom w:val="0"/>
          <w:divBdr>
            <w:top w:val="none" w:sz="0" w:space="0" w:color="auto"/>
            <w:left w:val="none" w:sz="0" w:space="0" w:color="auto"/>
            <w:bottom w:val="none" w:sz="0" w:space="0" w:color="auto"/>
            <w:right w:val="none" w:sz="0" w:space="0" w:color="auto"/>
          </w:divBdr>
        </w:div>
        <w:div w:id="952054823">
          <w:marLeft w:val="0"/>
          <w:marRight w:val="0"/>
          <w:marTop w:val="0"/>
          <w:marBottom w:val="0"/>
          <w:divBdr>
            <w:top w:val="none" w:sz="0" w:space="0" w:color="auto"/>
            <w:left w:val="none" w:sz="0" w:space="0" w:color="auto"/>
            <w:bottom w:val="none" w:sz="0" w:space="0" w:color="auto"/>
            <w:right w:val="none" w:sz="0" w:space="0" w:color="auto"/>
          </w:divBdr>
        </w:div>
        <w:div w:id="1545559860">
          <w:marLeft w:val="0"/>
          <w:marRight w:val="0"/>
          <w:marTop w:val="0"/>
          <w:marBottom w:val="0"/>
          <w:divBdr>
            <w:top w:val="none" w:sz="0" w:space="0" w:color="auto"/>
            <w:left w:val="none" w:sz="0" w:space="0" w:color="auto"/>
            <w:bottom w:val="none" w:sz="0" w:space="0" w:color="auto"/>
            <w:right w:val="none" w:sz="0" w:space="0" w:color="auto"/>
          </w:divBdr>
        </w:div>
        <w:div w:id="1647395465">
          <w:marLeft w:val="0"/>
          <w:marRight w:val="0"/>
          <w:marTop w:val="0"/>
          <w:marBottom w:val="0"/>
          <w:divBdr>
            <w:top w:val="none" w:sz="0" w:space="0" w:color="auto"/>
            <w:left w:val="none" w:sz="0" w:space="0" w:color="auto"/>
            <w:bottom w:val="none" w:sz="0" w:space="0" w:color="auto"/>
            <w:right w:val="none" w:sz="0" w:space="0" w:color="auto"/>
          </w:divBdr>
        </w:div>
        <w:div w:id="543057971">
          <w:marLeft w:val="0"/>
          <w:marRight w:val="0"/>
          <w:marTop w:val="0"/>
          <w:marBottom w:val="0"/>
          <w:divBdr>
            <w:top w:val="none" w:sz="0" w:space="0" w:color="auto"/>
            <w:left w:val="none" w:sz="0" w:space="0" w:color="auto"/>
            <w:bottom w:val="none" w:sz="0" w:space="0" w:color="auto"/>
            <w:right w:val="none" w:sz="0" w:space="0" w:color="auto"/>
          </w:divBdr>
        </w:div>
        <w:div w:id="448471055">
          <w:marLeft w:val="0"/>
          <w:marRight w:val="0"/>
          <w:marTop w:val="0"/>
          <w:marBottom w:val="0"/>
          <w:divBdr>
            <w:top w:val="none" w:sz="0" w:space="0" w:color="auto"/>
            <w:left w:val="none" w:sz="0" w:space="0" w:color="auto"/>
            <w:bottom w:val="none" w:sz="0" w:space="0" w:color="auto"/>
            <w:right w:val="none" w:sz="0" w:space="0" w:color="auto"/>
          </w:divBdr>
        </w:div>
        <w:div w:id="1633436058">
          <w:marLeft w:val="0"/>
          <w:marRight w:val="0"/>
          <w:marTop w:val="0"/>
          <w:marBottom w:val="0"/>
          <w:divBdr>
            <w:top w:val="none" w:sz="0" w:space="0" w:color="auto"/>
            <w:left w:val="none" w:sz="0" w:space="0" w:color="auto"/>
            <w:bottom w:val="none" w:sz="0" w:space="0" w:color="auto"/>
            <w:right w:val="none" w:sz="0" w:space="0" w:color="auto"/>
          </w:divBdr>
        </w:div>
        <w:div w:id="1466854647">
          <w:marLeft w:val="0"/>
          <w:marRight w:val="0"/>
          <w:marTop w:val="0"/>
          <w:marBottom w:val="0"/>
          <w:divBdr>
            <w:top w:val="none" w:sz="0" w:space="0" w:color="auto"/>
            <w:left w:val="none" w:sz="0" w:space="0" w:color="auto"/>
            <w:bottom w:val="none" w:sz="0" w:space="0" w:color="auto"/>
            <w:right w:val="none" w:sz="0" w:space="0" w:color="auto"/>
          </w:divBdr>
        </w:div>
        <w:div w:id="1746419847">
          <w:marLeft w:val="0"/>
          <w:marRight w:val="0"/>
          <w:marTop w:val="0"/>
          <w:marBottom w:val="0"/>
          <w:divBdr>
            <w:top w:val="none" w:sz="0" w:space="0" w:color="auto"/>
            <w:left w:val="none" w:sz="0" w:space="0" w:color="auto"/>
            <w:bottom w:val="none" w:sz="0" w:space="0" w:color="auto"/>
            <w:right w:val="none" w:sz="0" w:space="0" w:color="auto"/>
          </w:divBdr>
        </w:div>
        <w:div w:id="662125654">
          <w:marLeft w:val="0"/>
          <w:marRight w:val="0"/>
          <w:marTop w:val="0"/>
          <w:marBottom w:val="0"/>
          <w:divBdr>
            <w:top w:val="none" w:sz="0" w:space="0" w:color="auto"/>
            <w:left w:val="none" w:sz="0" w:space="0" w:color="auto"/>
            <w:bottom w:val="none" w:sz="0" w:space="0" w:color="auto"/>
            <w:right w:val="none" w:sz="0" w:space="0" w:color="auto"/>
          </w:divBdr>
        </w:div>
        <w:div w:id="1406957008">
          <w:marLeft w:val="0"/>
          <w:marRight w:val="0"/>
          <w:marTop w:val="0"/>
          <w:marBottom w:val="0"/>
          <w:divBdr>
            <w:top w:val="none" w:sz="0" w:space="0" w:color="auto"/>
            <w:left w:val="none" w:sz="0" w:space="0" w:color="auto"/>
            <w:bottom w:val="none" w:sz="0" w:space="0" w:color="auto"/>
            <w:right w:val="none" w:sz="0" w:space="0" w:color="auto"/>
          </w:divBdr>
        </w:div>
        <w:div w:id="1415781372">
          <w:marLeft w:val="0"/>
          <w:marRight w:val="0"/>
          <w:marTop w:val="0"/>
          <w:marBottom w:val="0"/>
          <w:divBdr>
            <w:top w:val="none" w:sz="0" w:space="0" w:color="auto"/>
            <w:left w:val="none" w:sz="0" w:space="0" w:color="auto"/>
            <w:bottom w:val="none" w:sz="0" w:space="0" w:color="auto"/>
            <w:right w:val="none" w:sz="0" w:space="0" w:color="auto"/>
          </w:divBdr>
        </w:div>
        <w:div w:id="752436926">
          <w:marLeft w:val="0"/>
          <w:marRight w:val="0"/>
          <w:marTop w:val="0"/>
          <w:marBottom w:val="0"/>
          <w:divBdr>
            <w:top w:val="none" w:sz="0" w:space="0" w:color="auto"/>
            <w:left w:val="none" w:sz="0" w:space="0" w:color="auto"/>
            <w:bottom w:val="none" w:sz="0" w:space="0" w:color="auto"/>
            <w:right w:val="none" w:sz="0" w:space="0" w:color="auto"/>
          </w:divBdr>
        </w:div>
        <w:div w:id="1989626418">
          <w:marLeft w:val="0"/>
          <w:marRight w:val="0"/>
          <w:marTop w:val="0"/>
          <w:marBottom w:val="0"/>
          <w:divBdr>
            <w:top w:val="none" w:sz="0" w:space="0" w:color="auto"/>
            <w:left w:val="none" w:sz="0" w:space="0" w:color="auto"/>
            <w:bottom w:val="none" w:sz="0" w:space="0" w:color="auto"/>
            <w:right w:val="none" w:sz="0" w:space="0" w:color="auto"/>
          </w:divBdr>
        </w:div>
        <w:div w:id="75135876">
          <w:marLeft w:val="0"/>
          <w:marRight w:val="0"/>
          <w:marTop w:val="0"/>
          <w:marBottom w:val="0"/>
          <w:divBdr>
            <w:top w:val="none" w:sz="0" w:space="0" w:color="auto"/>
            <w:left w:val="none" w:sz="0" w:space="0" w:color="auto"/>
            <w:bottom w:val="none" w:sz="0" w:space="0" w:color="auto"/>
            <w:right w:val="none" w:sz="0" w:space="0" w:color="auto"/>
          </w:divBdr>
        </w:div>
        <w:div w:id="721515204">
          <w:marLeft w:val="0"/>
          <w:marRight w:val="0"/>
          <w:marTop w:val="0"/>
          <w:marBottom w:val="0"/>
          <w:divBdr>
            <w:top w:val="none" w:sz="0" w:space="0" w:color="auto"/>
            <w:left w:val="none" w:sz="0" w:space="0" w:color="auto"/>
            <w:bottom w:val="none" w:sz="0" w:space="0" w:color="auto"/>
            <w:right w:val="none" w:sz="0" w:space="0" w:color="auto"/>
          </w:divBdr>
        </w:div>
        <w:div w:id="1789733485">
          <w:marLeft w:val="0"/>
          <w:marRight w:val="0"/>
          <w:marTop w:val="0"/>
          <w:marBottom w:val="0"/>
          <w:divBdr>
            <w:top w:val="none" w:sz="0" w:space="0" w:color="auto"/>
            <w:left w:val="none" w:sz="0" w:space="0" w:color="auto"/>
            <w:bottom w:val="none" w:sz="0" w:space="0" w:color="auto"/>
            <w:right w:val="none" w:sz="0" w:space="0" w:color="auto"/>
          </w:divBdr>
        </w:div>
        <w:div w:id="520322204">
          <w:marLeft w:val="0"/>
          <w:marRight w:val="0"/>
          <w:marTop w:val="0"/>
          <w:marBottom w:val="0"/>
          <w:divBdr>
            <w:top w:val="none" w:sz="0" w:space="0" w:color="auto"/>
            <w:left w:val="none" w:sz="0" w:space="0" w:color="auto"/>
            <w:bottom w:val="none" w:sz="0" w:space="0" w:color="auto"/>
            <w:right w:val="none" w:sz="0" w:space="0" w:color="auto"/>
          </w:divBdr>
        </w:div>
        <w:div w:id="683364202">
          <w:marLeft w:val="0"/>
          <w:marRight w:val="0"/>
          <w:marTop w:val="0"/>
          <w:marBottom w:val="0"/>
          <w:divBdr>
            <w:top w:val="none" w:sz="0" w:space="0" w:color="auto"/>
            <w:left w:val="none" w:sz="0" w:space="0" w:color="auto"/>
            <w:bottom w:val="none" w:sz="0" w:space="0" w:color="auto"/>
            <w:right w:val="none" w:sz="0" w:space="0" w:color="auto"/>
          </w:divBdr>
        </w:div>
        <w:div w:id="1199776758">
          <w:marLeft w:val="0"/>
          <w:marRight w:val="0"/>
          <w:marTop w:val="0"/>
          <w:marBottom w:val="0"/>
          <w:divBdr>
            <w:top w:val="none" w:sz="0" w:space="0" w:color="auto"/>
            <w:left w:val="none" w:sz="0" w:space="0" w:color="auto"/>
            <w:bottom w:val="none" w:sz="0" w:space="0" w:color="auto"/>
            <w:right w:val="none" w:sz="0" w:space="0" w:color="auto"/>
          </w:divBdr>
        </w:div>
        <w:div w:id="483618471">
          <w:marLeft w:val="0"/>
          <w:marRight w:val="0"/>
          <w:marTop w:val="0"/>
          <w:marBottom w:val="0"/>
          <w:divBdr>
            <w:top w:val="none" w:sz="0" w:space="0" w:color="auto"/>
            <w:left w:val="none" w:sz="0" w:space="0" w:color="auto"/>
            <w:bottom w:val="none" w:sz="0" w:space="0" w:color="auto"/>
            <w:right w:val="none" w:sz="0" w:space="0" w:color="auto"/>
          </w:divBdr>
        </w:div>
        <w:div w:id="927466540">
          <w:marLeft w:val="0"/>
          <w:marRight w:val="0"/>
          <w:marTop w:val="0"/>
          <w:marBottom w:val="0"/>
          <w:divBdr>
            <w:top w:val="none" w:sz="0" w:space="0" w:color="auto"/>
            <w:left w:val="none" w:sz="0" w:space="0" w:color="auto"/>
            <w:bottom w:val="none" w:sz="0" w:space="0" w:color="auto"/>
            <w:right w:val="none" w:sz="0" w:space="0" w:color="auto"/>
          </w:divBdr>
        </w:div>
        <w:div w:id="383451571">
          <w:marLeft w:val="0"/>
          <w:marRight w:val="0"/>
          <w:marTop w:val="0"/>
          <w:marBottom w:val="0"/>
          <w:divBdr>
            <w:top w:val="none" w:sz="0" w:space="0" w:color="auto"/>
            <w:left w:val="none" w:sz="0" w:space="0" w:color="auto"/>
            <w:bottom w:val="none" w:sz="0" w:space="0" w:color="auto"/>
            <w:right w:val="none" w:sz="0" w:space="0" w:color="auto"/>
          </w:divBdr>
        </w:div>
        <w:div w:id="1112627955">
          <w:marLeft w:val="0"/>
          <w:marRight w:val="0"/>
          <w:marTop w:val="0"/>
          <w:marBottom w:val="0"/>
          <w:divBdr>
            <w:top w:val="none" w:sz="0" w:space="0" w:color="auto"/>
            <w:left w:val="none" w:sz="0" w:space="0" w:color="auto"/>
            <w:bottom w:val="none" w:sz="0" w:space="0" w:color="auto"/>
            <w:right w:val="none" w:sz="0" w:space="0" w:color="auto"/>
          </w:divBdr>
        </w:div>
        <w:div w:id="1149830361">
          <w:marLeft w:val="0"/>
          <w:marRight w:val="0"/>
          <w:marTop w:val="0"/>
          <w:marBottom w:val="0"/>
          <w:divBdr>
            <w:top w:val="none" w:sz="0" w:space="0" w:color="auto"/>
            <w:left w:val="none" w:sz="0" w:space="0" w:color="auto"/>
            <w:bottom w:val="none" w:sz="0" w:space="0" w:color="auto"/>
            <w:right w:val="none" w:sz="0" w:space="0" w:color="auto"/>
          </w:divBdr>
        </w:div>
        <w:div w:id="1967391963">
          <w:marLeft w:val="0"/>
          <w:marRight w:val="0"/>
          <w:marTop w:val="0"/>
          <w:marBottom w:val="0"/>
          <w:divBdr>
            <w:top w:val="none" w:sz="0" w:space="0" w:color="auto"/>
            <w:left w:val="none" w:sz="0" w:space="0" w:color="auto"/>
            <w:bottom w:val="none" w:sz="0" w:space="0" w:color="auto"/>
            <w:right w:val="none" w:sz="0" w:space="0" w:color="auto"/>
          </w:divBdr>
        </w:div>
        <w:div w:id="1260454924">
          <w:marLeft w:val="0"/>
          <w:marRight w:val="0"/>
          <w:marTop w:val="0"/>
          <w:marBottom w:val="0"/>
          <w:divBdr>
            <w:top w:val="none" w:sz="0" w:space="0" w:color="auto"/>
            <w:left w:val="none" w:sz="0" w:space="0" w:color="auto"/>
            <w:bottom w:val="none" w:sz="0" w:space="0" w:color="auto"/>
            <w:right w:val="none" w:sz="0" w:space="0" w:color="auto"/>
          </w:divBdr>
        </w:div>
        <w:div w:id="1431461976">
          <w:marLeft w:val="0"/>
          <w:marRight w:val="0"/>
          <w:marTop w:val="0"/>
          <w:marBottom w:val="0"/>
          <w:divBdr>
            <w:top w:val="none" w:sz="0" w:space="0" w:color="auto"/>
            <w:left w:val="none" w:sz="0" w:space="0" w:color="auto"/>
            <w:bottom w:val="none" w:sz="0" w:space="0" w:color="auto"/>
            <w:right w:val="none" w:sz="0" w:space="0" w:color="auto"/>
          </w:divBdr>
        </w:div>
        <w:div w:id="1041631714">
          <w:marLeft w:val="0"/>
          <w:marRight w:val="0"/>
          <w:marTop w:val="0"/>
          <w:marBottom w:val="0"/>
          <w:divBdr>
            <w:top w:val="none" w:sz="0" w:space="0" w:color="auto"/>
            <w:left w:val="none" w:sz="0" w:space="0" w:color="auto"/>
            <w:bottom w:val="none" w:sz="0" w:space="0" w:color="auto"/>
            <w:right w:val="none" w:sz="0" w:space="0" w:color="auto"/>
          </w:divBdr>
        </w:div>
        <w:div w:id="870413246">
          <w:marLeft w:val="0"/>
          <w:marRight w:val="0"/>
          <w:marTop w:val="0"/>
          <w:marBottom w:val="0"/>
          <w:divBdr>
            <w:top w:val="none" w:sz="0" w:space="0" w:color="auto"/>
            <w:left w:val="none" w:sz="0" w:space="0" w:color="auto"/>
            <w:bottom w:val="none" w:sz="0" w:space="0" w:color="auto"/>
            <w:right w:val="none" w:sz="0" w:space="0" w:color="auto"/>
          </w:divBdr>
        </w:div>
        <w:div w:id="1890146336">
          <w:marLeft w:val="0"/>
          <w:marRight w:val="0"/>
          <w:marTop w:val="0"/>
          <w:marBottom w:val="0"/>
          <w:divBdr>
            <w:top w:val="none" w:sz="0" w:space="0" w:color="auto"/>
            <w:left w:val="none" w:sz="0" w:space="0" w:color="auto"/>
            <w:bottom w:val="none" w:sz="0" w:space="0" w:color="auto"/>
            <w:right w:val="none" w:sz="0" w:space="0" w:color="auto"/>
          </w:divBdr>
        </w:div>
        <w:div w:id="2018190983">
          <w:marLeft w:val="0"/>
          <w:marRight w:val="0"/>
          <w:marTop w:val="0"/>
          <w:marBottom w:val="0"/>
          <w:divBdr>
            <w:top w:val="none" w:sz="0" w:space="0" w:color="auto"/>
            <w:left w:val="none" w:sz="0" w:space="0" w:color="auto"/>
            <w:bottom w:val="none" w:sz="0" w:space="0" w:color="auto"/>
            <w:right w:val="none" w:sz="0" w:space="0" w:color="auto"/>
          </w:divBdr>
        </w:div>
        <w:div w:id="345401995">
          <w:marLeft w:val="0"/>
          <w:marRight w:val="0"/>
          <w:marTop w:val="0"/>
          <w:marBottom w:val="0"/>
          <w:divBdr>
            <w:top w:val="none" w:sz="0" w:space="0" w:color="auto"/>
            <w:left w:val="none" w:sz="0" w:space="0" w:color="auto"/>
            <w:bottom w:val="none" w:sz="0" w:space="0" w:color="auto"/>
            <w:right w:val="none" w:sz="0" w:space="0" w:color="auto"/>
          </w:divBdr>
        </w:div>
        <w:div w:id="1936746732">
          <w:marLeft w:val="0"/>
          <w:marRight w:val="0"/>
          <w:marTop w:val="0"/>
          <w:marBottom w:val="0"/>
          <w:divBdr>
            <w:top w:val="none" w:sz="0" w:space="0" w:color="auto"/>
            <w:left w:val="none" w:sz="0" w:space="0" w:color="auto"/>
            <w:bottom w:val="none" w:sz="0" w:space="0" w:color="auto"/>
            <w:right w:val="none" w:sz="0" w:space="0" w:color="auto"/>
          </w:divBdr>
        </w:div>
        <w:div w:id="1204908930">
          <w:marLeft w:val="0"/>
          <w:marRight w:val="0"/>
          <w:marTop w:val="0"/>
          <w:marBottom w:val="0"/>
          <w:divBdr>
            <w:top w:val="none" w:sz="0" w:space="0" w:color="auto"/>
            <w:left w:val="none" w:sz="0" w:space="0" w:color="auto"/>
            <w:bottom w:val="none" w:sz="0" w:space="0" w:color="auto"/>
            <w:right w:val="none" w:sz="0" w:space="0" w:color="auto"/>
          </w:divBdr>
        </w:div>
        <w:div w:id="1978606816">
          <w:marLeft w:val="0"/>
          <w:marRight w:val="0"/>
          <w:marTop w:val="0"/>
          <w:marBottom w:val="0"/>
          <w:divBdr>
            <w:top w:val="none" w:sz="0" w:space="0" w:color="auto"/>
            <w:left w:val="none" w:sz="0" w:space="0" w:color="auto"/>
            <w:bottom w:val="none" w:sz="0" w:space="0" w:color="auto"/>
            <w:right w:val="none" w:sz="0" w:space="0" w:color="auto"/>
          </w:divBdr>
        </w:div>
        <w:div w:id="991562662">
          <w:marLeft w:val="0"/>
          <w:marRight w:val="0"/>
          <w:marTop w:val="0"/>
          <w:marBottom w:val="0"/>
          <w:divBdr>
            <w:top w:val="none" w:sz="0" w:space="0" w:color="auto"/>
            <w:left w:val="none" w:sz="0" w:space="0" w:color="auto"/>
            <w:bottom w:val="none" w:sz="0" w:space="0" w:color="auto"/>
            <w:right w:val="none" w:sz="0" w:space="0" w:color="auto"/>
          </w:divBdr>
        </w:div>
        <w:div w:id="1491553673">
          <w:marLeft w:val="0"/>
          <w:marRight w:val="0"/>
          <w:marTop w:val="0"/>
          <w:marBottom w:val="0"/>
          <w:divBdr>
            <w:top w:val="none" w:sz="0" w:space="0" w:color="auto"/>
            <w:left w:val="none" w:sz="0" w:space="0" w:color="auto"/>
            <w:bottom w:val="none" w:sz="0" w:space="0" w:color="auto"/>
            <w:right w:val="none" w:sz="0" w:space="0" w:color="auto"/>
          </w:divBdr>
        </w:div>
        <w:div w:id="306859441">
          <w:marLeft w:val="0"/>
          <w:marRight w:val="0"/>
          <w:marTop w:val="0"/>
          <w:marBottom w:val="0"/>
          <w:divBdr>
            <w:top w:val="none" w:sz="0" w:space="0" w:color="auto"/>
            <w:left w:val="none" w:sz="0" w:space="0" w:color="auto"/>
            <w:bottom w:val="none" w:sz="0" w:space="0" w:color="auto"/>
            <w:right w:val="none" w:sz="0" w:space="0" w:color="auto"/>
          </w:divBdr>
        </w:div>
        <w:div w:id="437258978">
          <w:marLeft w:val="0"/>
          <w:marRight w:val="0"/>
          <w:marTop w:val="0"/>
          <w:marBottom w:val="0"/>
          <w:divBdr>
            <w:top w:val="none" w:sz="0" w:space="0" w:color="auto"/>
            <w:left w:val="none" w:sz="0" w:space="0" w:color="auto"/>
            <w:bottom w:val="none" w:sz="0" w:space="0" w:color="auto"/>
            <w:right w:val="none" w:sz="0" w:space="0" w:color="auto"/>
          </w:divBdr>
        </w:div>
        <w:div w:id="298388984">
          <w:marLeft w:val="0"/>
          <w:marRight w:val="0"/>
          <w:marTop w:val="0"/>
          <w:marBottom w:val="0"/>
          <w:divBdr>
            <w:top w:val="none" w:sz="0" w:space="0" w:color="auto"/>
            <w:left w:val="none" w:sz="0" w:space="0" w:color="auto"/>
            <w:bottom w:val="none" w:sz="0" w:space="0" w:color="auto"/>
            <w:right w:val="none" w:sz="0" w:space="0" w:color="auto"/>
          </w:divBdr>
        </w:div>
        <w:div w:id="746789">
          <w:marLeft w:val="0"/>
          <w:marRight w:val="0"/>
          <w:marTop w:val="0"/>
          <w:marBottom w:val="0"/>
          <w:divBdr>
            <w:top w:val="none" w:sz="0" w:space="0" w:color="auto"/>
            <w:left w:val="none" w:sz="0" w:space="0" w:color="auto"/>
            <w:bottom w:val="none" w:sz="0" w:space="0" w:color="auto"/>
            <w:right w:val="none" w:sz="0" w:space="0" w:color="auto"/>
          </w:divBdr>
        </w:div>
        <w:div w:id="1567642860">
          <w:marLeft w:val="0"/>
          <w:marRight w:val="0"/>
          <w:marTop w:val="0"/>
          <w:marBottom w:val="0"/>
          <w:divBdr>
            <w:top w:val="none" w:sz="0" w:space="0" w:color="auto"/>
            <w:left w:val="none" w:sz="0" w:space="0" w:color="auto"/>
            <w:bottom w:val="none" w:sz="0" w:space="0" w:color="auto"/>
            <w:right w:val="none" w:sz="0" w:space="0" w:color="auto"/>
          </w:divBdr>
        </w:div>
        <w:div w:id="360057379">
          <w:marLeft w:val="0"/>
          <w:marRight w:val="0"/>
          <w:marTop w:val="0"/>
          <w:marBottom w:val="0"/>
          <w:divBdr>
            <w:top w:val="none" w:sz="0" w:space="0" w:color="auto"/>
            <w:left w:val="none" w:sz="0" w:space="0" w:color="auto"/>
            <w:bottom w:val="none" w:sz="0" w:space="0" w:color="auto"/>
            <w:right w:val="none" w:sz="0" w:space="0" w:color="auto"/>
          </w:divBdr>
        </w:div>
        <w:div w:id="1977250154">
          <w:marLeft w:val="0"/>
          <w:marRight w:val="0"/>
          <w:marTop w:val="0"/>
          <w:marBottom w:val="0"/>
          <w:divBdr>
            <w:top w:val="none" w:sz="0" w:space="0" w:color="auto"/>
            <w:left w:val="none" w:sz="0" w:space="0" w:color="auto"/>
            <w:bottom w:val="none" w:sz="0" w:space="0" w:color="auto"/>
            <w:right w:val="none" w:sz="0" w:space="0" w:color="auto"/>
          </w:divBdr>
        </w:div>
        <w:div w:id="416906579">
          <w:marLeft w:val="0"/>
          <w:marRight w:val="0"/>
          <w:marTop w:val="0"/>
          <w:marBottom w:val="0"/>
          <w:divBdr>
            <w:top w:val="none" w:sz="0" w:space="0" w:color="auto"/>
            <w:left w:val="none" w:sz="0" w:space="0" w:color="auto"/>
            <w:bottom w:val="none" w:sz="0" w:space="0" w:color="auto"/>
            <w:right w:val="none" w:sz="0" w:space="0" w:color="auto"/>
          </w:divBdr>
        </w:div>
        <w:div w:id="2102556067">
          <w:marLeft w:val="0"/>
          <w:marRight w:val="0"/>
          <w:marTop w:val="0"/>
          <w:marBottom w:val="0"/>
          <w:divBdr>
            <w:top w:val="none" w:sz="0" w:space="0" w:color="auto"/>
            <w:left w:val="none" w:sz="0" w:space="0" w:color="auto"/>
            <w:bottom w:val="none" w:sz="0" w:space="0" w:color="auto"/>
            <w:right w:val="none" w:sz="0" w:space="0" w:color="auto"/>
          </w:divBdr>
        </w:div>
        <w:div w:id="461071946">
          <w:marLeft w:val="0"/>
          <w:marRight w:val="0"/>
          <w:marTop w:val="0"/>
          <w:marBottom w:val="0"/>
          <w:divBdr>
            <w:top w:val="none" w:sz="0" w:space="0" w:color="auto"/>
            <w:left w:val="none" w:sz="0" w:space="0" w:color="auto"/>
            <w:bottom w:val="none" w:sz="0" w:space="0" w:color="auto"/>
            <w:right w:val="none" w:sz="0" w:space="0" w:color="auto"/>
          </w:divBdr>
        </w:div>
        <w:div w:id="1193034212">
          <w:marLeft w:val="0"/>
          <w:marRight w:val="0"/>
          <w:marTop w:val="0"/>
          <w:marBottom w:val="0"/>
          <w:divBdr>
            <w:top w:val="none" w:sz="0" w:space="0" w:color="auto"/>
            <w:left w:val="none" w:sz="0" w:space="0" w:color="auto"/>
            <w:bottom w:val="none" w:sz="0" w:space="0" w:color="auto"/>
            <w:right w:val="none" w:sz="0" w:space="0" w:color="auto"/>
          </w:divBdr>
        </w:div>
        <w:div w:id="1472098100">
          <w:marLeft w:val="0"/>
          <w:marRight w:val="0"/>
          <w:marTop w:val="0"/>
          <w:marBottom w:val="0"/>
          <w:divBdr>
            <w:top w:val="none" w:sz="0" w:space="0" w:color="auto"/>
            <w:left w:val="none" w:sz="0" w:space="0" w:color="auto"/>
            <w:bottom w:val="none" w:sz="0" w:space="0" w:color="auto"/>
            <w:right w:val="none" w:sz="0" w:space="0" w:color="auto"/>
          </w:divBdr>
        </w:div>
        <w:div w:id="900823330">
          <w:marLeft w:val="0"/>
          <w:marRight w:val="0"/>
          <w:marTop w:val="0"/>
          <w:marBottom w:val="0"/>
          <w:divBdr>
            <w:top w:val="none" w:sz="0" w:space="0" w:color="auto"/>
            <w:left w:val="none" w:sz="0" w:space="0" w:color="auto"/>
            <w:bottom w:val="none" w:sz="0" w:space="0" w:color="auto"/>
            <w:right w:val="none" w:sz="0" w:space="0" w:color="auto"/>
          </w:divBdr>
        </w:div>
        <w:div w:id="1155031163">
          <w:marLeft w:val="0"/>
          <w:marRight w:val="0"/>
          <w:marTop w:val="0"/>
          <w:marBottom w:val="0"/>
          <w:divBdr>
            <w:top w:val="none" w:sz="0" w:space="0" w:color="auto"/>
            <w:left w:val="none" w:sz="0" w:space="0" w:color="auto"/>
            <w:bottom w:val="none" w:sz="0" w:space="0" w:color="auto"/>
            <w:right w:val="none" w:sz="0" w:space="0" w:color="auto"/>
          </w:divBdr>
        </w:div>
        <w:div w:id="1757045299">
          <w:marLeft w:val="0"/>
          <w:marRight w:val="0"/>
          <w:marTop w:val="0"/>
          <w:marBottom w:val="0"/>
          <w:divBdr>
            <w:top w:val="none" w:sz="0" w:space="0" w:color="auto"/>
            <w:left w:val="none" w:sz="0" w:space="0" w:color="auto"/>
            <w:bottom w:val="none" w:sz="0" w:space="0" w:color="auto"/>
            <w:right w:val="none" w:sz="0" w:space="0" w:color="auto"/>
          </w:divBdr>
        </w:div>
        <w:div w:id="1904296833">
          <w:marLeft w:val="0"/>
          <w:marRight w:val="0"/>
          <w:marTop w:val="0"/>
          <w:marBottom w:val="0"/>
          <w:divBdr>
            <w:top w:val="none" w:sz="0" w:space="0" w:color="auto"/>
            <w:left w:val="none" w:sz="0" w:space="0" w:color="auto"/>
            <w:bottom w:val="none" w:sz="0" w:space="0" w:color="auto"/>
            <w:right w:val="none" w:sz="0" w:space="0" w:color="auto"/>
          </w:divBdr>
        </w:div>
        <w:div w:id="926305943">
          <w:marLeft w:val="0"/>
          <w:marRight w:val="0"/>
          <w:marTop w:val="0"/>
          <w:marBottom w:val="0"/>
          <w:divBdr>
            <w:top w:val="none" w:sz="0" w:space="0" w:color="auto"/>
            <w:left w:val="none" w:sz="0" w:space="0" w:color="auto"/>
            <w:bottom w:val="none" w:sz="0" w:space="0" w:color="auto"/>
            <w:right w:val="none" w:sz="0" w:space="0" w:color="auto"/>
          </w:divBdr>
        </w:div>
        <w:div w:id="385881475">
          <w:marLeft w:val="0"/>
          <w:marRight w:val="0"/>
          <w:marTop w:val="0"/>
          <w:marBottom w:val="0"/>
          <w:divBdr>
            <w:top w:val="none" w:sz="0" w:space="0" w:color="auto"/>
            <w:left w:val="none" w:sz="0" w:space="0" w:color="auto"/>
            <w:bottom w:val="none" w:sz="0" w:space="0" w:color="auto"/>
            <w:right w:val="none" w:sz="0" w:space="0" w:color="auto"/>
          </w:divBdr>
        </w:div>
        <w:div w:id="1409838816">
          <w:marLeft w:val="0"/>
          <w:marRight w:val="0"/>
          <w:marTop w:val="0"/>
          <w:marBottom w:val="0"/>
          <w:divBdr>
            <w:top w:val="none" w:sz="0" w:space="0" w:color="auto"/>
            <w:left w:val="none" w:sz="0" w:space="0" w:color="auto"/>
            <w:bottom w:val="none" w:sz="0" w:space="0" w:color="auto"/>
            <w:right w:val="none" w:sz="0" w:space="0" w:color="auto"/>
          </w:divBdr>
        </w:div>
        <w:div w:id="745036955">
          <w:marLeft w:val="0"/>
          <w:marRight w:val="0"/>
          <w:marTop w:val="0"/>
          <w:marBottom w:val="0"/>
          <w:divBdr>
            <w:top w:val="none" w:sz="0" w:space="0" w:color="auto"/>
            <w:left w:val="none" w:sz="0" w:space="0" w:color="auto"/>
            <w:bottom w:val="none" w:sz="0" w:space="0" w:color="auto"/>
            <w:right w:val="none" w:sz="0" w:space="0" w:color="auto"/>
          </w:divBdr>
        </w:div>
        <w:div w:id="1286815981">
          <w:marLeft w:val="0"/>
          <w:marRight w:val="0"/>
          <w:marTop w:val="0"/>
          <w:marBottom w:val="0"/>
          <w:divBdr>
            <w:top w:val="none" w:sz="0" w:space="0" w:color="auto"/>
            <w:left w:val="none" w:sz="0" w:space="0" w:color="auto"/>
            <w:bottom w:val="none" w:sz="0" w:space="0" w:color="auto"/>
            <w:right w:val="none" w:sz="0" w:space="0" w:color="auto"/>
          </w:divBdr>
        </w:div>
        <w:div w:id="1889605309">
          <w:marLeft w:val="0"/>
          <w:marRight w:val="0"/>
          <w:marTop w:val="0"/>
          <w:marBottom w:val="0"/>
          <w:divBdr>
            <w:top w:val="none" w:sz="0" w:space="0" w:color="auto"/>
            <w:left w:val="none" w:sz="0" w:space="0" w:color="auto"/>
            <w:bottom w:val="none" w:sz="0" w:space="0" w:color="auto"/>
            <w:right w:val="none" w:sz="0" w:space="0" w:color="auto"/>
          </w:divBdr>
        </w:div>
        <w:div w:id="1462922727">
          <w:marLeft w:val="0"/>
          <w:marRight w:val="0"/>
          <w:marTop w:val="0"/>
          <w:marBottom w:val="0"/>
          <w:divBdr>
            <w:top w:val="none" w:sz="0" w:space="0" w:color="auto"/>
            <w:left w:val="none" w:sz="0" w:space="0" w:color="auto"/>
            <w:bottom w:val="none" w:sz="0" w:space="0" w:color="auto"/>
            <w:right w:val="none" w:sz="0" w:space="0" w:color="auto"/>
          </w:divBdr>
        </w:div>
        <w:div w:id="1500543012">
          <w:marLeft w:val="0"/>
          <w:marRight w:val="0"/>
          <w:marTop w:val="0"/>
          <w:marBottom w:val="0"/>
          <w:divBdr>
            <w:top w:val="none" w:sz="0" w:space="0" w:color="auto"/>
            <w:left w:val="none" w:sz="0" w:space="0" w:color="auto"/>
            <w:bottom w:val="none" w:sz="0" w:space="0" w:color="auto"/>
            <w:right w:val="none" w:sz="0" w:space="0" w:color="auto"/>
          </w:divBdr>
        </w:div>
        <w:div w:id="827945497">
          <w:marLeft w:val="0"/>
          <w:marRight w:val="0"/>
          <w:marTop w:val="0"/>
          <w:marBottom w:val="0"/>
          <w:divBdr>
            <w:top w:val="none" w:sz="0" w:space="0" w:color="auto"/>
            <w:left w:val="none" w:sz="0" w:space="0" w:color="auto"/>
            <w:bottom w:val="none" w:sz="0" w:space="0" w:color="auto"/>
            <w:right w:val="none" w:sz="0" w:space="0" w:color="auto"/>
          </w:divBdr>
        </w:div>
        <w:div w:id="1391423287">
          <w:marLeft w:val="0"/>
          <w:marRight w:val="0"/>
          <w:marTop w:val="0"/>
          <w:marBottom w:val="0"/>
          <w:divBdr>
            <w:top w:val="none" w:sz="0" w:space="0" w:color="auto"/>
            <w:left w:val="none" w:sz="0" w:space="0" w:color="auto"/>
            <w:bottom w:val="none" w:sz="0" w:space="0" w:color="auto"/>
            <w:right w:val="none" w:sz="0" w:space="0" w:color="auto"/>
          </w:divBdr>
        </w:div>
        <w:div w:id="1293705877">
          <w:marLeft w:val="0"/>
          <w:marRight w:val="0"/>
          <w:marTop w:val="0"/>
          <w:marBottom w:val="0"/>
          <w:divBdr>
            <w:top w:val="none" w:sz="0" w:space="0" w:color="auto"/>
            <w:left w:val="none" w:sz="0" w:space="0" w:color="auto"/>
            <w:bottom w:val="none" w:sz="0" w:space="0" w:color="auto"/>
            <w:right w:val="none" w:sz="0" w:space="0" w:color="auto"/>
          </w:divBdr>
        </w:div>
        <w:div w:id="626470256">
          <w:marLeft w:val="0"/>
          <w:marRight w:val="0"/>
          <w:marTop w:val="0"/>
          <w:marBottom w:val="0"/>
          <w:divBdr>
            <w:top w:val="none" w:sz="0" w:space="0" w:color="auto"/>
            <w:left w:val="none" w:sz="0" w:space="0" w:color="auto"/>
            <w:bottom w:val="none" w:sz="0" w:space="0" w:color="auto"/>
            <w:right w:val="none" w:sz="0" w:space="0" w:color="auto"/>
          </w:divBdr>
        </w:div>
        <w:div w:id="676494599">
          <w:marLeft w:val="0"/>
          <w:marRight w:val="0"/>
          <w:marTop w:val="0"/>
          <w:marBottom w:val="0"/>
          <w:divBdr>
            <w:top w:val="none" w:sz="0" w:space="0" w:color="auto"/>
            <w:left w:val="none" w:sz="0" w:space="0" w:color="auto"/>
            <w:bottom w:val="none" w:sz="0" w:space="0" w:color="auto"/>
            <w:right w:val="none" w:sz="0" w:space="0" w:color="auto"/>
          </w:divBdr>
        </w:div>
        <w:div w:id="302273181">
          <w:marLeft w:val="0"/>
          <w:marRight w:val="0"/>
          <w:marTop w:val="0"/>
          <w:marBottom w:val="0"/>
          <w:divBdr>
            <w:top w:val="none" w:sz="0" w:space="0" w:color="auto"/>
            <w:left w:val="none" w:sz="0" w:space="0" w:color="auto"/>
            <w:bottom w:val="none" w:sz="0" w:space="0" w:color="auto"/>
            <w:right w:val="none" w:sz="0" w:space="0" w:color="auto"/>
          </w:divBdr>
        </w:div>
        <w:div w:id="33620787">
          <w:marLeft w:val="0"/>
          <w:marRight w:val="0"/>
          <w:marTop w:val="0"/>
          <w:marBottom w:val="0"/>
          <w:divBdr>
            <w:top w:val="none" w:sz="0" w:space="0" w:color="auto"/>
            <w:left w:val="none" w:sz="0" w:space="0" w:color="auto"/>
            <w:bottom w:val="none" w:sz="0" w:space="0" w:color="auto"/>
            <w:right w:val="none" w:sz="0" w:space="0" w:color="auto"/>
          </w:divBdr>
        </w:div>
        <w:div w:id="1020006584">
          <w:marLeft w:val="0"/>
          <w:marRight w:val="0"/>
          <w:marTop w:val="0"/>
          <w:marBottom w:val="0"/>
          <w:divBdr>
            <w:top w:val="none" w:sz="0" w:space="0" w:color="auto"/>
            <w:left w:val="none" w:sz="0" w:space="0" w:color="auto"/>
            <w:bottom w:val="none" w:sz="0" w:space="0" w:color="auto"/>
            <w:right w:val="none" w:sz="0" w:space="0" w:color="auto"/>
          </w:divBdr>
        </w:div>
        <w:div w:id="1846246359">
          <w:marLeft w:val="0"/>
          <w:marRight w:val="0"/>
          <w:marTop w:val="0"/>
          <w:marBottom w:val="0"/>
          <w:divBdr>
            <w:top w:val="none" w:sz="0" w:space="0" w:color="auto"/>
            <w:left w:val="none" w:sz="0" w:space="0" w:color="auto"/>
            <w:bottom w:val="none" w:sz="0" w:space="0" w:color="auto"/>
            <w:right w:val="none" w:sz="0" w:space="0" w:color="auto"/>
          </w:divBdr>
        </w:div>
        <w:div w:id="426657381">
          <w:marLeft w:val="0"/>
          <w:marRight w:val="0"/>
          <w:marTop w:val="0"/>
          <w:marBottom w:val="0"/>
          <w:divBdr>
            <w:top w:val="none" w:sz="0" w:space="0" w:color="auto"/>
            <w:left w:val="none" w:sz="0" w:space="0" w:color="auto"/>
            <w:bottom w:val="none" w:sz="0" w:space="0" w:color="auto"/>
            <w:right w:val="none" w:sz="0" w:space="0" w:color="auto"/>
          </w:divBdr>
        </w:div>
        <w:div w:id="1020863566">
          <w:marLeft w:val="0"/>
          <w:marRight w:val="0"/>
          <w:marTop w:val="0"/>
          <w:marBottom w:val="0"/>
          <w:divBdr>
            <w:top w:val="none" w:sz="0" w:space="0" w:color="auto"/>
            <w:left w:val="none" w:sz="0" w:space="0" w:color="auto"/>
            <w:bottom w:val="none" w:sz="0" w:space="0" w:color="auto"/>
            <w:right w:val="none" w:sz="0" w:space="0" w:color="auto"/>
          </w:divBdr>
        </w:div>
        <w:div w:id="1320959335">
          <w:marLeft w:val="0"/>
          <w:marRight w:val="0"/>
          <w:marTop w:val="0"/>
          <w:marBottom w:val="0"/>
          <w:divBdr>
            <w:top w:val="none" w:sz="0" w:space="0" w:color="auto"/>
            <w:left w:val="none" w:sz="0" w:space="0" w:color="auto"/>
            <w:bottom w:val="none" w:sz="0" w:space="0" w:color="auto"/>
            <w:right w:val="none" w:sz="0" w:space="0" w:color="auto"/>
          </w:divBdr>
        </w:div>
        <w:div w:id="1161889834">
          <w:marLeft w:val="0"/>
          <w:marRight w:val="0"/>
          <w:marTop w:val="0"/>
          <w:marBottom w:val="0"/>
          <w:divBdr>
            <w:top w:val="none" w:sz="0" w:space="0" w:color="auto"/>
            <w:left w:val="none" w:sz="0" w:space="0" w:color="auto"/>
            <w:bottom w:val="none" w:sz="0" w:space="0" w:color="auto"/>
            <w:right w:val="none" w:sz="0" w:space="0" w:color="auto"/>
          </w:divBdr>
        </w:div>
        <w:div w:id="1255170095">
          <w:marLeft w:val="0"/>
          <w:marRight w:val="0"/>
          <w:marTop w:val="0"/>
          <w:marBottom w:val="0"/>
          <w:divBdr>
            <w:top w:val="none" w:sz="0" w:space="0" w:color="auto"/>
            <w:left w:val="none" w:sz="0" w:space="0" w:color="auto"/>
            <w:bottom w:val="none" w:sz="0" w:space="0" w:color="auto"/>
            <w:right w:val="none" w:sz="0" w:space="0" w:color="auto"/>
          </w:divBdr>
        </w:div>
        <w:div w:id="2091609764">
          <w:marLeft w:val="0"/>
          <w:marRight w:val="0"/>
          <w:marTop w:val="0"/>
          <w:marBottom w:val="0"/>
          <w:divBdr>
            <w:top w:val="none" w:sz="0" w:space="0" w:color="auto"/>
            <w:left w:val="none" w:sz="0" w:space="0" w:color="auto"/>
            <w:bottom w:val="none" w:sz="0" w:space="0" w:color="auto"/>
            <w:right w:val="none" w:sz="0" w:space="0" w:color="auto"/>
          </w:divBdr>
        </w:div>
        <w:div w:id="676808966">
          <w:marLeft w:val="0"/>
          <w:marRight w:val="0"/>
          <w:marTop w:val="0"/>
          <w:marBottom w:val="0"/>
          <w:divBdr>
            <w:top w:val="none" w:sz="0" w:space="0" w:color="auto"/>
            <w:left w:val="none" w:sz="0" w:space="0" w:color="auto"/>
            <w:bottom w:val="none" w:sz="0" w:space="0" w:color="auto"/>
            <w:right w:val="none" w:sz="0" w:space="0" w:color="auto"/>
          </w:divBdr>
        </w:div>
        <w:div w:id="34621734">
          <w:marLeft w:val="0"/>
          <w:marRight w:val="0"/>
          <w:marTop w:val="0"/>
          <w:marBottom w:val="0"/>
          <w:divBdr>
            <w:top w:val="none" w:sz="0" w:space="0" w:color="auto"/>
            <w:left w:val="none" w:sz="0" w:space="0" w:color="auto"/>
            <w:bottom w:val="none" w:sz="0" w:space="0" w:color="auto"/>
            <w:right w:val="none" w:sz="0" w:space="0" w:color="auto"/>
          </w:divBdr>
        </w:div>
        <w:div w:id="1361782501">
          <w:marLeft w:val="0"/>
          <w:marRight w:val="0"/>
          <w:marTop w:val="0"/>
          <w:marBottom w:val="0"/>
          <w:divBdr>
            <w:top w:val="none" w:sz="0" w:space="0" w:color="auto"/>
            <w:left w:val="none" w:sz="0" w:space="0" w:color="auto"/>
            <w:bottom w:val="none" w:sz="0" w:space="0" w:color="auto"/>
            <w:right w:val="none" w:sz="0" w:space="0" w:color="auto"/>
          </w:divBdr>
        </w:div>
        <w:div w:id="699353189">
          <w:marLeft w:val="0"/>
          <w:marRight w:val="0"/>
          <w:marTop w:val="0"/>
          <w:marBottom w:val="0"/>
          <w:divBdr>
            <w:top w:val="none" w:sz="0" w:space="0" w:color="auto"/>
            <w:left w:val="none" w:sz="0" w:space="0" w:color="auto"/>
            <w:bottom w:val="none" w:sz="0" w:space="0" w:color="auto"/>
            <w:right w:val="none" w:sz="0" w:space="0" w:color="auto"/>
          </w:divBdr>
        </w:div>
        <w:div w:id="1991669804">
          <w:marLeft w:val="0"/>
          <w:marRight w:val="0"/>
          <w:marTop w:val="0"/>
          <w:marBottom w:val="0"/>
          <w:divBdr>
            <w:top w:val="none" w:sz="0" w:space="0" w:color="auto"/>
            <w:left w:val="none" w:sz="0" w:space="0" w:color="auto"/>
            <w:bottom w:val="none" w:sz="0" w:space="0" w:color="auto"/>
            <w:right w:val="none" w:sz="0" w:space="0" w:color="auto"/>
          </w:divBdr>
        </w:div>
        <w:div w:id="1306817780">
          <w:marLeft w:val="0"/>
          <w:marRight w:val="0"/>
          <w:marTop w:val="0"/>
          <w:marBottom w:val="0"/>
          <w:divBdr>
            <w:top w:val="none" w:sz="0" w:space="0" w:color="auto"/>
            <w:left w:val="none" w:sz="0" w:space="0" w:color="auto"/>
            <w:bottom w:val="none" w:sz="0" w:space="0" w:color="auto"/>
            <w:right w:val="none" w:sz="0" w:space="0" w:color="auto"/>
          </w:divBdr>
        </w:div>
        <w:div w:id="1322655123">
          <w:marLeft w:val="0"/>
          <w:marRight w:val="0"/>
          <w:marTop w:val="0"/>
          <w:marBottom w:val="0"/>
          <w:divBdr>
            <w:top w:val="none" w:sz="0" w:space="0" w:color="auto"/>
            <w:left w:val="none" w:sz="0" w:space="0" w:color="auto"/>
            <w:bottom w:val="none" w:sz="0" w:space="0" w:color="auto"/>
            <w:right w:val="none" w:sz="0" w:space="0" w:color="auto"/>
          </w:divBdr>
        </w:div>
        <w:div w:id="746072914">
          <w:marLeft w:val="0"/>
          <w:marRight w:val="0"/>
          <w:marTop w:val="0"/>
          <w:marBottom w:val="0"/>
          <w:divBdr>
            <w:top w:val="none" w:sz="0" w:space="0" w:color="auto"/>
            <w:left w:val="none" w:sz="0" w:space="0" w:color="auto"/>
            <w:bottom w:val="none" w:sz="0" w:space="0" w:color="auto"/>
            <w:right w:val="none" w:sz="0" w:space="0" w:color="auto"/>
          </w:divBdr>
        </w:div>
        <w:div w:id="2127432632">
          <w:marLeft w:val="0"/>
          <w:marRight w:val="0"/>
          <w:marTop w:val="0"/>
          <w:marBottom w:val="0"/>
          <w:divBdr>
            <w:top w:val="none" w:sz="0" w:space="0" w:color="auto"/>
            <w:left w:val="none" w:sz="0" w:space="0" w:color="auto"/>
            <w:bottom w:val="none" w:sz="0" w:space="0" w:color="auto"/>
            <w:right w:val="none" w:sz="0" w:space="0" w:color="auto"/>
          </w:divBdr>
        </w:div>
        <w:div w:id="678584669">
          <w:marLeft w:val="0"/>
          <w:marRight w:val="0"/>
          <w:marTop w:val="0"/>
          <w:marBottom w:val="0"/>
          <w:divBdr>
            <w:top w:val="none" w:sz="0" w:space="0" w:color="auto"/>
            <w:left w:val="none" w:sz="0" w:space="0" w:color="auto"/>
            <w:bottom w:val="none" w:sz="0" w:space="0" w:color="auto"/>
            <w:right w:val="none" w:sz="0" w:space="0" w:color="auto"/>
          </w:divBdr>
        </w:div>
        <w:div w:id="1321929957">
          <w:marLeft w:val="0"/>
          <w:marRight w:val="0"/>
          <w:marTop w:val="0"/>
          <w:marBottom w:val="0"/>
          <w:divBdr>
            <w:top w:val="none" w:sz="0" w:space="0" w:color="auto"/>
            <w:left w:val="none" w:sz="0" w:space="0" w:color="auto"/>
            <w:bottom w:val="none" w:sz="0" w:space="0" w:color="auto"/>
            <w:right w:val="none" w:sz="0" w:space="0" w:color="auto"/>
          </w:divBdr>
        </w:div>
        <w:div w:id="1019772744">
          <w:marLeft w:val="0"/>
          <w:marRight w:val="0"/>
          <w:marTop w:val="0"/>
          <w:marBottom w:val="0"/>
          <w:divBdr>
            <w:top w:val="none" w:sz="0" w:space="0" w:color="auto"/>
            <w:left w:val="none" w:sz="0" w:space="0" w:color="auto"/>
            <w:bottom w:val="none" w:sz="0" w:space="0" w:color="auto"/>
            <w:right w:val="none" w:sz="0" w:space="0" w:color="auto"/>
          </w:divBdr>
        </w:div>
        <w:div w:id="306667137">
          <w:marLeft w:val="0"/>
          <w:marRight w:val="0"/>
          <w:marTop w:val="0"/>
          <w:marBottom w:val="0"/>
          <w:divBdr>
            <w:top w:val="none" w:sz="0" w:space="0" w:color="auto"/>
            <w:left w:val="none" w:sz="0" w:space="0" w:color="auto"/>
            <w:bottom w:val="none" w:sz="0" w:space="0" w:color="auto"/>
            <w:right w:val="none" w:sz="0" w:space="0" w:color="auto"/>
          </w:divBdr>
        </w:div>
        <w:div w:id="221407656">
          <w:marLeft w:val="0"/>
          <w:marRight w:val="0"/>
          <w:marTop w:val="0"/>
          <w:marBottom w:val="0"/>
          <w:divBdr>
            <w:top w:val="none" w:sz="0" w:space="0" w:color="auto"/>
            <w:left w:val="none" w:sz="0" w:space="0" w:color="auto"/>
            <w:bottom w:val="none" w:sz="0" w:space="0" w:color="auto"/>
            <w:right w:val="none" w:sz="0" w:space="0" w:color="auto"/>
          </w:divBdr>
        </w:div>
        <w:div w:id="1736584702">
          <w:marLeft w:val="0"/>
          <w:marRight w:val="0"/>
          <w:marTop w:val="0"/>
          <w:marBottom w:val="0"/>
          <w:divBdr>
            <w:top w:val="none" w:sz="0" w:space="0" w:color="auto"/>
            <w:left w:val="none" w:sz="0" w:space="0" w:color="auto"/>
            <w:bottom w:val="none" w:sz="0" w:space="0" w:color="auto"/>
            <w:right w:val="none" w:sz="0" w:space="0" w:color="auto"/>
          </w:divBdr>
        </w:div>
        <w:div w:id="215047330">
          <w:marLeft w:val="0"/>
          <w:marRight w:val="0"/>
          <w:marTop w:val="0"/>
          <w:marBottom w:val="0"/>
          <w:divBdr>
            <w:top w:val="none" w:sz="0" w:space="0" w:color="auto"/>
            <w:left w:val="none" w:sz="0" w:space="0" w:color="auto"/>
            <w:bottom w:val="none" w:sz="0" w:space="0" w:color="auto"/>
            <w:right w:val="none" w:sz="0" w:space="0" w:color="auto"/>
          </w:divBdr>
        </w:div>
        <w:div w:id="1171605516">
          <w:marLeft w:val="0"/>
          <w:marRight w:val="0"/>
          <w:marTop w:val="0"/>
          <w:marBottom w:val="0"/>
          <w:divBdr>
            <w:top w:val="none" w:sz="0" w:space="0" w:color="auto"/>
            <w:left w:val="none" w:sz="0" w:space="0" w:color="auto"/>
            <w:bottom w:val="none" w:sz="0" w:space="0" w:color="auto"/>
            <w:right w:val="none" w:sz="0" w:space="0" w:color="auto"/>
          </w:divBdr>
        </w:div>
        <w:div w:id="552540363">
          <w:marLeft w:val="0"/>
          <w:marRight w:val="0"/>
          <w:marTop w:val="0"/>
          <w:marBottom w:val="0"/>
          <w:divBdr>
            <w:top w:val="none" w:sz="0" w:space="0" w:color="auto"/>
            <w:left w:val="none" w:sz="0" w:space="0" w:color="auto"/>
            <w:bottom w:val="none" w:sz="0" w:space="0" w:color="auto"/>
            <w:right w:val="none" w:sz="0" w:space="0" w:color="auto"/>
          </w:divBdr>
        </w:div>
        <w:div w:id="1112549549">
          <w:marLeft w:val="0"/>
          <w:marRight w:val="0"/>
          <w:marTop w:val="0"/>
          <w:marBottom w:val="0"/>
          <w:divBdr>
            <w:top w:val="none" w:sz="0" w:space="0" w:color="auto"/>
            <w:left w:val="none" w:sz="0" w:space="0" w:color="auto"/>
            <w:bottom w:val="none" w:sz="0" w:space="0" w:color="auto"/>
            <w:right w:val="none" w:sz="0" w:space="0" w:color="auto"/>
          </w:divBdr>
        </w:div>
        <w:div w:id="155416160">
          <w:marLeft w:val="0"/>
          <w:marRight w:val="0"/>
          <w:marTop w:val="0"/>
          <w:marBottom w:val="0"/>
          <w:divBdr>
            <w:top w:val="none" w:sz="0" w:space="0" w:color="auto"/>
            <w:left w:val="none" w:sz="0" w:space="0" w:color="auto"/>
            <w:bottom w:val="none" w:sz="0" w:space="0" w:color="auto"/>
            <w:right w:val="none" w:sz="0" w:space="0" w:color="auto"/>
          </w:divBdr>
        </w:div>
        <w:div w:id="976029948">
          <w:marLeft w:val="0"/>
          <w:marRight w:val="0"/>
          <w:marTop w:val="0"/>
          <w:marBottom w:val="0"/>
          <w:divBdr>
            <w:top w:val="none" w:sz="0" w:space="0" w:color="auto"/>
            <w:left w:val="none" w:sz="0" w:space="0" w:color="auto"/>
            <w:bottom w:val="none" w:sz="0" w:space="0" w:color="auto"/>
            <w:right w:val="none" w:sz="0" w:space="0" w:color="auto"/>
          </w:divBdr>
          <w:divsChild>
            <w:div w:id="2130851859">
              <w:marLeft w:val="0"/>
              <w:marRight w:val="0"/>
              <w:marTop w:val="0"/>
              <w:marBottom w:val="0"/>
              <w:divBdr>
                <w:top w:val="none" w:sz="0" w:space="0" w:color="auto"/>
                <w:left w:val="none" w:sz="0" w:space="0" w:color="auto"/>
                <w:bottom w:val="none" w:sz="0" w:space="0" w:color="auto"/>
                <w:right w:val="none" w:sz="0" w:space="0" w:color="auto"/>
              </w:divBdr>
            </w:div>
          </w:divsChild>
        </w:div>
        <w:div w:id="372775694">
          <w:marLeft w:val="0"/>
          <w:marRight w:val="0"/>
          <w:marTop w:val="0"/>
          <w:marBottom w:val="0"/>
          <w:divBdr>
            <w:top w:val="none" w:sz="0" w:space="0" w:color="auto"/>
            <w:left w:val="none" w:sz="0" w:space="0" w:color="auto"/>
            <w:bottom w:val="none" w:sz="0" w:space="0" w:color="auto"/>
            <w:right w:val="none" w:sz="0" w:space="0" w:color="auto"/>
          </w:divBdr>
        </w:div>
        <w:div w:id="1396852956">
          <w:marLeft w:val="0"/>
          <w:marRight w:val="0"/>
          <w:marTop w:val="0"/>
          <w:marBottom w:val="0"/>
          <w:divBdr>
            <w:top w:val="none" w:sz="0" w:space="0" w:color="auto"/>
            <w:left w:val="none" w:sz="0" w:space="0" w:color="auto"/>
            <w:bottom w:val="none" w:sz="0" w:space="0" w:color="auto"/>
            <w:right w:val="none" w:sz="0" w:space="0" w:color="auto"/>
          </w:divBdr>
        </w:div>
      </w:divsChild>
    </w:div>
    <w:div w:id="1078282625">
      <w:bodyDiv w:val="1"/>
      <w:marLeft w:val="0"/>
      <w:marRight w:val="0"/>
      <w:marTop w:val="0"/>
      <w:marBottom w:val="0"/>
      <w:divBdr>
        <w:top w:val="none" w:sz="0" w:space="0" w:color="auto"/>
        <w:left w:val="none" w:sz="0" w:space="0" w:color="auto"/>
        <w:bottom w:val="none" w:sz="0" w:space="0" w:color="auto"/>
        <w:right w:val="none" w:sz="0" w:space="0" w:color="auto"/>
      </w:divBdr>
    </w:div>
    <w:div w:id="1079593470">
      <w:bodyDiv w:val="1"/>
      <w:marLeft w:val="0"/>
      <w:marRight w:val="0"/>
      <w:marTop w:val="0"/>
      <w:marBottom w:val="0"/>
      <w:divBdr>
        <w:top w:val="none" w:sz="0" w:space="0" w:color="auto"/>
        <w:left w:val="none" w:sz="0" w:space="0" w:color="auto"/>
        <w:bottom w:val="none" w:sz="0" w:space="0" w:color="auto"/>
        <w:right w:val="none" w:sz="0" w:space="0" w:color="auto"/>
      </w:divBdr>
    </w:div>
    <w:div w:id="1107850783">
      <w:bodyDiv w:val="1"/>
      <w:marLeft w:val="0"/>
      <w:marRight w:val="0"/>
      <w:marTop w:val="0"/>
      <w:marBottom w:val="0"/>
      <w:divBdr>
        <w:top w:val="none" w:sz="0" w:space="0" w:color="auto"/>
        <w:left w:val="none" w:sz="0" w:space="0" w:color="auto"/>
        <w:bottom w:val="none" w:sz="0" w:space="0" w:color="auto"/>
        <w:right w:val="none" w:sz="0" w:space="0" w:color="auto"/>
      </w:divBdr>
      <w:divsChild>
        <w:div w:id="385880969">
          <w:marLeft w:val="0"/>
          <w:marRight w:val="446"/>
          <w:marTop w:val="106"/>
          <w:marBottom w:val="120"/>
          <w:divBdr>
            <w:top w:val="none" w:sz="0" w:space="0" w:color="auto"/>
            <w:left w:val="none" w:sz="0" w:space="0" w:color="auto"/>
            <w:bottom w:val="none" w:sz="0" w:space="0" w:color="auto"/>
            <w:right w:val="none" w:sz="0" w:space="0" w:color="auto"/>
          </w:divBdr>
        </w:div>
        <w:div w:id="235744457">
          <w:marLeft w:val="0"/>
          <w:marRight w:val="446"/>
          <w:marTop w:val="106"/>
          <w:marBottom w:val="120"/>
          <w:divBdr>
            <w:top w:val="none" w:sz="0" w:space="0" w:color="auto"/>
            <w:left w:val="none" w:sz="0" w:space="0" w:color="auto"/>
            <w:bottom w:val="none" w:sz="0" w:space="0" w:color="auto"/>
            <w:right w:val="none" w:sz="0" w:space="0" w:color="auto"/>
          </w:divBdr>
        </w:div>
      </w:divsChild>
    </w:div>
    <w:div w:id="1115246158">
      <w:bodyDiv w:val="1"/>
      <w:marLeft w:val="0"/>
      <w:marRight w:val="0"/>
      <w:marTop w:val="0"/>
      <w:marBottom w:val="0"/>
      <w:divBdr>
        <w:top w:val="none" w:sz="0" w:space="0" w:color="auto"/>
        <w:left w:val="none" w:sz="0" w:space="0" w:color="auto"/>
        <w:bottom w:val="none" w:sz="0" w:space="0" w:color="auto"/>
        <w:right w:val="none" w:sz="0" w:space="0" w:color="auto"/>
      </w:divBdr>
    </w:div>
    <w:div w:id="1116173678">
      <w:bodyDiv w:val="1"/>
      <w:marLeft w:val="0"/>
      <w:marRight w:val="0"/>
      <w:marTop w:val="0"/>
      <w:marBottom w:val="0"/>
      <w:divBdr>
        <w:top w:val="none" w:sz="0" w:space="0" w:color="auto"/>
        <w:left w:val="none" w:sz="0" w:space="0" w:color="auto"/>
        <w:bottom w:val="none" w:sz="0" w:space="0" w:color="auto"/>
        <w:right w:val="none" w:sz="0" w:space="0" w:color="auto"/>
      </w:divBdr>
      <w:divsChild>
        <w:div w:id="1135179913">
          <w:marLeft w:val="0"/>
          <w:marRight w:val="446"/>
          <w:marTop w:val="106"/>
          <w:marBottom w:val="120"/>
          <w:divBdr>
            <w:top w:val="none" w:sz="0" w:space="0" w:color="auto"/>
            <w:left w:val="none" w:sz="0" w:space="0" w:color="auto"/>
            <w:bottom w:val="none" w:sz="0" w:space="0" w:color="auto"/>
            <w:right w:val="none" w:sz="0" w:space="0" w:color="auto"/>
          </w:divBdr>
        </w:div>
      </w:divsChild>
    </w:div>
    <w:div w:id="1118066535">
      <w:bodyDiv w:val="1"/>
      <w:marLeft w:val="0"/>
      <w:marRight w:val="0"/>
      <w:marTop w:val="0"/>
      <w:marBottom w:val="0"/>
      <w:divBdr>
        <w:top w:val="none" w:sz="0" w:space="0" w:color="auto"/>
        <w:left w:val="none" w:sz="0" w:space="0" w:color="auto"/>
        <w:bottom w:val="none" w:sz="0" w:space="0" w:color="auto"/>
        <w:right w:val="none" w:sz="0" w:space="0" w:color="auto"/>
      </w:divBdr>
      <w:divsChild>
        <w:div w:id="1302271805">
          <w:marLeft w:val="0"/>
          <w:marRight w:val="0"/>
          <w:marTop w:val="0"/>
          <w:marBottom w:val="0"/>
          <w:divBdr>
            <w:top w:val="none" w:sz="0" w:space="0" w:color="auto"/>
            <w:left w:val="none" w:sz="0" w:space="0" w:color="auto"/>
            <w:bottom w:val="none" w:sz="0" w:space="0" w:color="auto"/>
            <w:right w:val="none" w:sz="0" w:space="0" w:color="auto"/>
          </w:divBdr>
        </w:div>
        <w:div w:id="2114472817">
          <w:marLeft w:val="0"/>
          <w:marRight w:val="0"/>
          <w:marTop w:val="0"/>
          <w:marBottom w:val="0"/>
          <w:divBdr>
            <w:top w:val="none" w:sz="0" w:space="0" w:color="auto"/>
            <w:left w:val="none" w:sz="0" w:space="0" w:color="auto"/>
            <w:bottom w:val="none" w:sz="0" w:space="0" w:color="auto"/>
            <w:right w:val="none" w:sz="0" w:space="0" w:color="auto"/>
          </w:divBdr>
        </w:div>
        <w:div w:id="1513882037">
          <w:marLeft w:val="0"/>
          <w:marRight w:val="0"/>
          <w:marTop w:val="0"/>
          <w:marBottom w:val="0"/>
          <w:divBdr>
            <w:top w:val="none" w:sz="0" w:space="0" w:color="auto"/>
            <w:left w:val="none" w:sz="0" w:space="0" w:color="auto"/>
            <w:bottom w:val="none" w:sz="0" w:space="0" w:color="auto"/>
            <w:right w:val="none" w:sz="0" w:space="0" w:color="auto"/>
          </w:divBdr>
        </w:div>
        <w:div w:id="32047897">
          <w:marLeft w:val="0"/>
          <w:marRight w:val="0"/>
          <w:marTop w:val="0"/>
          <w:marBottom w:val="0"/>
          <w:divBdr>
            <w:top w:val="none" w:sz="0" w:space="0" w:color="auto"/>
            <w:left w:val="none" w:sz="0" w:space="0" w:color="auto"/>
            <w:bottom w:val="none" w:sz="0" w:space="0" w:color="auto"/>
            <w:right w:val="none" w:sz="0" w:space="0" w:color="auto"/>
          </w:divBdr>
        </w:div>
        <w:div w:id="1646275509">
          <w:marLeft w:val="0"/>
          <w:marRight w:val="0"/>
          <w:marTop w:val="0"/>
          <w:marBottom w:val="0"/>
          <w:divBdr>
            <w:top w:val="none" w:sz="0" w:space="0" w:color="auto"/>
            <w:left w:val="none" w:sz="0" w:space="0" w:color="auto"/>
            <w:bottom w:val="none" w:sz="0" w:space="0" w:color="auto"/>
            <w:right w:val="none" w:sz="0" w:space="0" w:color="auto"/>
          </w:divBdr>
        </w:div>
      </w:divsChild>
    </w:div>
    <w:div w:id="1126006776">
      <w:bodyDiv w:val="1"/>
      <w:marLeft w:val="0"/>
      <w:marRight w:val="0"/>
      <w:marTop w:val="0"/>
      <w:marBottom w:val="0"/>
      <w:divBdr>
        <w:top w:val="none" w:sz="0" w:space="0" w:color="auto"/>
        <w:left w:val="none" w:sz="0" w:space="0" w:color="auto"/>
        <w:bottom w:val="none" w:sz="0" w:space="0" w:color="auto"/>
        <w:right w:val="none" w:sz="0" w:space="0" w:color="auto"/>
      </w:divBdr>
    </w:div>
    <w:div w:id="1144390515">
      <w:bodyDiv w:val="1"/>
      <w:marLeft w:val="0"/>
      <w:marRight w:val="0"/>
      <w:marTop w:val="0"/>
      <w:marBottom w:val="0"/>
      <w:divBdr>
        <w:top w:val="none" w:sz="0" w:space="0" w:color="auto"/>
        <w:left w:val="none" w:sz="0" w:space="0" w:color="auto"/>
        <w:bottom w:val="none" w:sz="0" w:space="0" w:color="auto"/>
        <w:right w:val="none" w:sz="0" w:space="0" w:color="auto"/>
      </w:divBdr>
    </w:div>
    <w:div w:id="1150364596">
      <w:bodyDiv w:val="1"/>
      <w:marLeft w:val="0"/>
      <w:marRight w:val="0"/>
      <w:marTop w:val="0"/>
      <w:marBottom w:val="0"/>
      <w:divBdr>
        <w:top w:val="none" w:sz="0" w:space="0" w:color="auto"/>
        <w:left w:val="none" w:sz="0" w:space="0" w:color="auto"/>
        <w:bottom w:val="none" w:sz="0" w:space="0" w:color="auto"/>
        <w:right w:val="none" w:sz="0" w:space="0" w:color="auto"/>
      </w:divBdr>
    </w:div>
    <w:div w:id="1157527302">
      <w:bodyDiv w:val="1"/>
      <w:marLeft w:val="0"/>
      <w:marRight w:val="0"/>
      <w:marTop w:val="0"/>
      <w:marBottom w:val="0"/>
      <w:divBdr>
        <w:top w:val="none" w:sz="0" w:space="0" w:color="auto"/>
        <w:left w:val="none" w:sz="0" w:space="0" w:color="auto"/>
        <w:bottom w:val="none" w:sz="0" w:space="0" w:color="auto"/>
        <w:right w:val="none" w:sz="0" w:space="0" w:color="auto"/>
      </w:divBdr>
    </w:div>
    <w:div w:id="1160468084">
      <w:bodyDiv w:val="1"/>
      <w:marLeft w:val="0"/>
      <w:marRight w:val="0"/>
      <w:marTop w:val="0"/>
      <w:marBottom w:val="0"/>
      <w:divBdr>
        <w:top w:val="none" w:sz="0" w:space="0" w:color="auto"/>
        <w:left w:val="none" w:sz="0" w:space="0" w:color="auto"/>
        <w:bottom w:val="none" w:sz="0" w:space="0" w:color="auto"/>
        <w:right w:val="none" w:sz="0" w:space="0" w:color="auto"/>
      </w:divBdr>
      <w:divsChild>
        <w:div w:id="1101028677">
          <w:marLeft w:val="0"/>
          <w:marRight w:val="446"/>
          <w:marTop w:val="96"/>
          <w:marBottom w:val="120"/>
          <w:divBdr>
            <w:top w:val="none" w:sz="0" w:space="0" w:color="auto"/>
            <w:left w:val="none" w:sz="0" w:space="0" w:color="auto"/>
            <w:bottom w:val="none" w:sz="0" w:space="0" w:color="auto"/>
            <w:right w:val="none" w:sz="0" w:space="0" w:color="auto"/>
          </w:divBdr>
        </w:div>
      </w:divsChild>
    </w:div>
    <w:div w:id="1167791129">
      <w:bodyDiv w:val="1"/>
      <w:marLeft w:val="0"/>
      <w:marRight w:val="0"/>
      <w:marTop w:val="0"/>
      <w:marBottom w:val="0"/>
      <w:divBdr>
        <w:top w:val="none" w:sz="0" w:space="0" w:color="auto"/>
        <w:left w:val="none" w:sz="0" w:space="0" w:color="auto"/>
        <w:bottom w:val="none" w:sz="0" w:space="0" w:color="auto"/>
        <w:right w:val="none" w:sz="0" w:space="0" w:color="auto"/>
      </w:divBdr>
    </w:div>
    <w:div w:id="1174957442">
      <w:bodyDiv w:val="1"/>
      <w:marLeft w:val="0"/>
      <w:marRight w:val="0"/>
      <w:marTop w:val="0"/>
      <w:marBottom w:val="0"/>
      <w:divBdr>
        <w:top w:val="none" w:sz="0" w:space="0" w:color="auto"/>
        <w:left w:val="none" w:sz="0" w:space="0" w:color="auto"/>
        <w:bottom w:val="none" w:sz="0" w:space="0" w:color="auto"/>
        <w:right w:val="none" w:sz="0" w:space="0" w:color="auto"/>
      </w:divBdr>
    </w:div>
    <w:div w:id="1179732703">
      <w:bodyDiv w:val="1"/>
      <w:marLeft w:val="0"/>
      <w:marRight w:val="0"/>
      <w:marTop w:val="0"/>
      <w:marBottom w:val="0"/>
      <w:divBdr>
        <w:top w:val="none" w:sz="0" w:space="0" w:color="auto"/>
        <w:left w:val="none" w:sz="0" w:space="0" w:color="auto"/>
        <w:bottom w:val="none" w:sz="0" w:space="0" w:color="auto"/>
        <w:right w:val="none" w:sz="0" w:space="0" w:color="auto"/>
      </w:divBdr>
    </w:div>
    <w:div w:id="1183086472">
      <w:bodyDiv w:val="1"/>
      <w:marLeft w:val="0"/>
      <w:marRight w:val="0"/>
      <w:marTop w:val="0"/>
      <w:marBottom w:val="0"/>
      <w:divBdr>
        <w:top w:val="none" w:sz="0" w:space="0" w:color="auto"/>
        <w:left w:val="none" w:sz="0" w:space="0" w:color="auto"/>
        <w:bottom w:val="none" w:sz="0" w:space="0" w:color="auto"/>
        <w:right w:val="none" w:sz="0" w:space="0" w:color="auto"/>
      </w:divBdr>
      <w:divsChild>
        <w:div w:id="1963226896">
          <w:marLeft w:val="0"/>
          <w:marRight w:val="446"/>
          <w:marTop w:val="106"/>
          <w:marBottom w:val="120"/>
          <w:divBdr>
            <w:top w:val="none" w:sz="0" w:space="0" w:color="auto"/>
            <w:left w:val="none" w:sz="0" w:space="0" w:color="auto"/>
            <w:bottom w:val="none" w:sz="0" w:space="0" w:color="auto"/>
            <w:right w:val="none" w:sz="0" w:space="0" w:color="auto"/>
          </w:divBdr>
        </w:div>
      </w:divsChild>
    </w:div>
    <w:div w:id="1192576275">
      <w:bodyDiv w:val="1"/>
      <w:marLeft w:val="0"/>
      <w:marRight w:val="0"/>
      <w:marTop w:val="0"/>
      <w:marBottom w:val="0"/>
      <w:divBdr>
        <w:top w:val="none" w:sz="0" w:space="0" w:color="auto"/>
        <w:left w:val="none" w:sz="0" w:space="0" w:color="auto"/>
        <w:bottom w:val="none" w:sz="0" w:space="0" w:color="auto"/>
        <w:right w:val="none" w:sz="0" w:space="0" w:color="auto"/>
      </w:divBdr>
    </w:div>
    <w:div w:id="1202671498">
      <w:bodyDiv w:val="1"/>
      <w:marLeft w:val="0"/>
      <w:marRight w:val="0"/>
      <w:marTop w:val="0"/>
      <w:marBottom w:val="0"/>
      <w:divBdr>
        <w:top w:val="none" w:sz="0" w:space="0" w:color="auto"/>
        <w:left w:val="none" w:sz="0" w:space="0" w:color="auto"/>
        <w:bottom w:val="none" w:sz="0" w:space="0" w:color="auto"/>
        <w:right w:val="none" w:sz="0" w:space="0" w:color="auto"/>
      </w:divBdr>
      <w:divsChild>
        <w:div w:id="1084763160">
          <w:marLeft w:val="0"/>
          <w:marRight w:val="446"/>
          <w:marTop w:val="115"/>
          <w:marBottom w:val="120"/>
          <w:divBdr>
            <w:top w:val="none" w:sz="0" w:space="0" w:color="auto"/>
            <w:left w:val="none" w:sz="0" w:space="0" w:color="auto"/>
            <w:bottom w:val="none" w:sz="0" w:space="0" w:color="auto"/>
            <w:right w:val="none" w:sz="0" w:space="0" w:color="auto"/>
          </w:divBdr>
        </w:div>
        <w:div w:id="1259366260">
          <w:marLeft w:val="0"/>
          <w:marRight w:val="446"/>
          <w:marTop w:val="115"/>
          <w:marBottom w:val="120"/>
          <w:divBdr>
            <w:top w:val="none" w:sz="0" w:space="0" w:color="auto"/>
            <w:left w:val="none" w:sz="0" w:space="0" w:color="auto"/>
            <w:bottom w:val="none" w:sz="0" w:space="0" w:color="auto"/>
            <w:right w:val="none" w:sz="0" w:space="0" w:color="auto"/>
          </w:divBdr>
        </w:div>
        <w:div w:id="742920845">
          <w:marLeft w:val="0"/>
          <w:marRight w:val="446"/>
          <w:marTop w:val="115"/>
          <w:marBottom w:val="120"/>
          <w:divBdr>
            <w:top w:val="none" w:sz="0" w:space="0" w:color="auto"/>
            <w:left w:val="none" w:sz="0" w:space="0" w:color="auto"/>
            <w:bottom w:val="none" w:sz="0" w:space="0" w:color="auto"/>
            <w:right w:val="none" w:sz="0" w:space="0" w:color="auto"/>
          </w:divBdr>
        </w:div>
        <w:div w:id="1050347135">
          <w:marLeft w:val="0"/>
          <w:marRight w:val="446"/>
          <w:marTop w:val="115"/>
          <w:marBottom w:val="120"/>
          <w:divBdr>
            <w:top w:val="none" w:sz="0" w:space="0" w:color="auto"/>
            <w:left w:val="none" w:sz="0" w:space="0" w:color="auto"/>
            <w:bottom w:val="none" w:sz="0" w:space="0" w:color="auto"/>
            <w:right w:val="none" w:sz="0" w:space="0" w:color="auto"/>
          </w:divBdr>
        </w:div>
      </w:divsChild>
    </w:div>
    <w:div w:id="1203011570">
      <w:bodyDiv w:val="1"/>
      <w:marLeft w:val="0"/>
      <w:marRight w:val="0"/>
      <w:marTop w:val="0"/>
      <w:marBottom w:val="0"/>
      <w:divBdr>
        <w:top w:val="none" w:sz="0" w:space="0" w:color="auto"/>
        <w:left w:val="none" w:sz="0" w:space="0" w:color="auto"/>
        <w:bottom w:val="none" w:sz="0" w:space="0" w:color="auto"/>
        <w:right w:val="none" w:sz="0" w:space="0" w:color="auto"/>
      </w:divBdr>
    </w:div>
    <w:div w:id="1205099909">
      <w:bodyDiv w:val="1"/>
      <w:marLeft w:val="0"/>
      <w:marRight w:val="0"/>
      <w:marTop w:val="0"/>
      <w:marBottom w:val="0"/>
      <w:divBdr>
        <w:top w:val="none" w:sz="0" w:space="0" w:color="auto"/>
        <w:left w:val="none" w:sz="0" w:space="0" w:color="auto"/>
        <w:bottom w:val="none" w:sz="0" w:space="0" w:color="auto"/>
        <w:right w:val="none" w:sz="0" w:space="0" w:color="auto"/>
      </w:divBdr>
      <w:divsChild>
        <w:div w:id="533689825">
          <w:marLeft w:val="0"/>
          <w:marRight w:val="446"/>
          <w:marTop w:val="82"/>
          <w:marBottom w:val="120"/>
          <w:divBdr>
            <w:top w:val="none" w:sz="0" w:space="0" w:color="auto"/>
            <w:left w:val="none" w:sz="0" w:space="0" w:color="auto"/>
            <w:bottom w:val="none" w:sz="0" w:space="0" w:color="auto"/>
            <w:right w:val="none" w:sz="0" w:space="0" w:color="auto"/>
          </w:divBdr>
        </w:div>
        <w:div w:id="915553926">
          <w:marLeft w:val="0"/>
          <w:marRight w:val="446"/>
          <w:marTop w:val="82"/>
          <w:marBottom w:val="120"/>
          <w:divBdr>
            <w:top w:val="none" w:sz="0" w:space="0" w:color="auto"/>
            <w:left w:val="none" w:sz="0" w:space="0" w:color="auto"/>
            <w:bottom w:val="none" w:sz="0" w:space="0" w:color="auto"/>
            <w:right w:val="none" w:sz="0" w:space="0" w:color="auto"/>
          </w:divBdr>
        </w:div>
      </w:divsChild>
    </w:div>
    <w:div w:id="1211069282">
      <w:bodyDiv w:val="1"/>
      <w:marLeft w:val="0"/>
      <w:marRight w:val="0"/>
      <w:marTop w:val="0"/>
      <w:marBottom w:val="0"/>
      <w:divBdr>
        <w:top w:val="none" w:sz="0" w:space="0" w:color="auto"/>
        <w:left w:val="none" w:sz="0" w:space="0" w:color="auto"/>
        <w:bottom w:val="none" w:sz="0" w:space="0" w:color="auto"/>
        <w:right w:val="none" w:sz="0" w:space="0" w:color="auto"/>
      </w:divBdr>
    </w:div>
    <w:div w:id="1218053706">
      <w:bodyDiv w:val="1"/>
      <w:marLeft w:val="0"/>
      <w:marRight w:val="0"/>
      <w:marTop w:val="0"/>
      <w:marBottom w:val="0"/>
      <w:divBdr>
        <w:top w:val="none" w:sz="0" w:space="0" w:color="auto"/>
        <w:left w:val="none" w:sz="0" w:space="0" w:color="auto"/>
        <w:bottom w:val="none" w:sz="0" w:space="0" w:color="auto"/>
        <w:right w:val="none" w:sz="0" w:space="0" w:color="auto"/>
      </w:divBdr>
    </w:div>
    <w:div w:id="1223709197">
      <w:bodyDiv w:val="1"/>
      <w:marLeft w:val="0"/>
      <w:marRight w:val="0"/>
      <w:marTop w:val="0"/>
      <w:marBottom w:val="0"/>
      <w:divBdr>
        <w:top w:val="none" w:sz="0" w:space="0" w:color="auto"/>
        <w:left w:val="none" w:sz="0" w:space="0" w:color="auto"/>
        <w:bottom w:val="none" w:sz="0" w:space="0" w:color="auto"/>
        <w:right w:val="none" w:sz="0" w:space="0" w:color="auto"/>
      </w:divBdr>
    </w:div>
    <w:div w:id="1245870435">
      <w:bodyDiv w:val="1"/>
      <w:marLeft w:val="0"/>
      <w:marRight w:val="0"/>
      <w:marTop w:val="0"/>
      <w:marBottom w:val="0"/>
      <w:divBdr>
        <w:top w:val="none" w:sz="0" w:space="0" w:color="auto"/>
        <w:left w:val="none" w:sz="0" w:space="0" w:color="auto"/>
        <w:bottom w:val="none" w:sz="0" w:space="0" w:color="auto"/>
        <w:right w:val="none" w:sz="0" w:space="0" w:color="auto"/>
      </w:divBdr>
    </w:div>
    <w:div w:id="1247298913">
      <w:bodyDiv w:val="1"/>
      <w:marLeft w:val="0"/>
      <w:marRight w:val="0"/>
      <w:marTop w:val="0"/>
      <w:marBottom w:val="0"/>
      <w:divBdr>
        <w:top w:val="none" w:sz="0" w:space="0" w:color="auto"/>
        <w:left w:val="none" w:sz="0" w:space="0" w:color="auto"/>
        <w:bottom w:val="none" w:sz="0" w:space="0" w:color="auto"/>
        <w:right w:val="none" w:sz="0" w:space="0" w:color="auto"/>
      </w:divBdr>
      <w:divsChild>
        <w:div w:id="1835954499">
          <w:marLeft w:val="0"/>
          <w:marRight w:val="446"/>
          <w:marTop w:val="106"/>
          <w:marBottom w:val="120"/>
          <w:divBdr>
            <w:top w:val="none" w:sz="0" w:space="0" w:color="auto"/>
            <w:left w:val="none" w:sz="0" w:space="0" w:color="auto"/>
            <w:bottom w:val="none" w:sz="0" w:space="0" w:color="auto"/>
            <w:right w:val="none" w:sz="0" w:space="0" w:color="auto"/>
          </w:divBdr>
        </w:div>
      </w:divsChild>
    </w:div>
    <w:div w:id="1260336140">
      <w:bodyDiv w:val="1"/>
      <w:marLeft w:val="0"/>
      <w:marRight w:val="0"/>
      <w:marTop w:val="0"/>
      <w:marBottom w:val="0"/>
      <w:divBdr>
        <w:top w:val="none" w:sz="0" w:space="0" w:color="auto"/>
        <w:left w:val="none" w:sz="0" w:space="0" w:color="auto"/>
        <w:bottom w:val="none" w:sz="0" w:space="0" w:color="auto"/>
        <w:right w:val="none" w:sz="0" w:space="0" w:color="auto"/>
      </w:divBdr>
    </w:div>
    <w:div w:id="1264806001">
      <w:bodyDiv w:val="1"/>
      <w:marLeft w:val="0"/>
      <w:marRight w:val="0"/>
      <w:marTop w:val="0"/>
      <w:marBottom w:val="0"/>
      <w:divBdr>
        <w:top w:val="none" w:sz="0" w:space="0" w:color="auto"/>
        <w:left w:val="none" w:sz="0" w:space="0" w:color="auto"/>
        <w:bottom w:val="none" w:sz="0" w:space="0" w:color="auto"/>
        <w:right w:val="none" w:sz="0" w:space="0" w:color="auto"/>
      </w:divBdr>
    </w:div>
    <w:div w:id="1268199114">
      <w:bodyDiv w:val="1"/>
      <w:marLeft w:val="0"/>
      <w:marRight w:val="0"/>
      <w:marTop w:val="0"/>
      <w:marBottom w:val="0"/>
      <w:divBdr>
        <w:top w:val="none" w:sz="0" w:space="0" w:color="auto"/>
        <w:left w:val="none" w:sz="0" w:space="0" w:color="auto"/>
        <w:bottom w:val="none" w:sz="0" w:space="0" w:color="auto"/>
        <w:right w:val="none" w:sz="0" w:space="0" w:color="auto"/>
      </w:divBdr>
      <w:divsChild>
        <w:div w:id="1331062453">
          <w:marLeft w:val="0"/>
          <w:marRight w:val="446"/>
          <w:marTop w:val="106"/>
          <w:marBottom w:val="120"/>
          <w:divBdr>
            <w:top w:val="none" w:sz="0" w:space="0" w:color="auto"/>
            <w:left w:val="none" w:sz="0" w:space="0" w:color="auto"/>
            <w:bottom w:val="none" w:sz="0" w:space="0" w:color="auto"/>
            <w:right w:val="none" w:sz="0" w:space="0" w:color="auto"/>
          </w:divBdr>
        </w:div>
      </w:divsChild>
    </w:div>
    <w:div w:id="1308164966">
      <w:bodyDiv w:val="1"/>
      <w:marLeft w:val="0"/>
      <w:marRight w:val="0"/>
      <w:marTop w:val="0"/>
      <w:marBottom w:val="0"/>
      <w:divBdr>
        <w:top w:val="none" w:sz="0" w:space="0" w:color="auto"/>
        <w:left w:val="none" w:sz="0" w:space="0" w:color="auto"/>
        <w:bottom w:val="none" w:sz="0" w:space="0" w:color="auto"/>
        <w:right w:val="none" w:sz="0" w:space="0" w:color="auto"/>
      </w:divBdr>
    </w:div>
    <w:div w:id="1324892957">
      <w:bodyDiv w:val="1"/>
      <w:marLeft w:val="0"/>
      <w:marRight w:val="0"/>
      <w:marTop w:val="0"/>
      <w:marBottom w:val="0"/>
      <w:divBdr>
        <w:top w:val="none" w:sz="0" w:space="0" w:color="auto"/>
        <w:left w:val="none" w:sz="0" w:space="0" w:color="auto"/>
        <w:bottom w:val="none" w:sz="0" w:space="0" w:color="auto"/>
        <w:right w:val="none" w:sz="0" w:space="0" w:color="auto"/>
      </w:divBdr>
      <w:divsChild>
        <w:div w:id="1707679438">
          <w:marLeft w:val="0"/>
          <w:marRight w:val="446"/>
          <w:marTop w:val="106"/>
          <w:marBottom w:val="120"/>
          <w:divBdr>
            <w:top w:val="none" w:sz="0" w:space="0" w:color="auto"/>
            <w:left w:val="none" w:sz="0" w:space="0" w:color="auto"/>
            <w:bottom w:val="none" w:sz="0" w:space="0" w:color="auto"/>
            <w:right w:val="none" w:sz="0" w:space="0" w:color="auto"/>
          </w:divBdr>
        </w:div>
      </w:divsChild>
    </w:div>
    <w:div w:id="1330592951">
      <w:bodyDiv w:val="1"/>
      <w:marLeft w:val="0"/>
      <w:marRight w:val="0"/>
      <w:marTop w:val="0"/>
      <w:marBottom w:val="0"/>
      <w:divBdr>
        <w:top w:val="none" w:sz="0" w:space="0" w:color="auto"/>
        <w:left w:val="none" w:sz="0" w:space="0" w:color="auto"/>
        <w:bottom w:val="none" w:sz="0" w:space="0" w:color="auto"/>
        <w:right w:val="none" w:sz="0" w:space="0" w:color="auto"/>
      </w:divBdr>
      <w:divsChild>
        <w:div w:id="302926249">
          <w:marLeft w:val="0"/>
          <w:marRight w:val="446"/>
          <w:marTop w:val="115"/>
          <w:marBottom w:val="120"/>
          <w:divBdr>
            <w:top w:val="none" w:sz="0" w:space="0" w:color="auto"/>
            <w:left w:val="none" w:sz="0" w:space="0" w:color="auto"/>
            <w:bottom w:val="none" w:sz="0" w:space="0" w:color="auto"/>
            <w:right w:val="none" w:sz="0" w:space="0" w:color="auto"/>
          </w:divBdr>
        </w:div>
        <w:div w:id="987323923">
          <w:marLeft w:val="0"/>
          <w:marRight w:val="446"/>
          <w:marTop w:val="115"/>
          <w:marBottom w:val="120"/>
          <w:divBdr>
            <w:top w:val="none" w:sz="0" w:space="0" w:color="auto"/>
            <w:left w:val="none" w:sz="0" w:space="0" w:color="auto"/>
            <w:bottom w:val="none" w:sz="0" w:space="0" w:color="auto"/>
            <w:right w:val="none" w:sz="0" w:space="0" w:color="auto"/>
          </w:divBdr>
        </w:div>
        <w:div w:id="1673871631">
          <w:marLeft w:val="0"/>
          <w:marRight w:val="446"/>
          <w:marTop w:val="115"/>
          <w:marBottom w:val="120"/>
          <w:divBdr>
            <w:top w:val="none" w:sz="0" w:space="0" w:color="auto"/>
            <w:left w:val="none" w:sz="0" w:space="0" w:color="auto"/>
            <w:bottom w:val="none" w:sz="0" w:space="0" w:color="auto"/>
            <w:right w:val="none" w:sz="0" w:space="0" w:color="auto"/>
          </w:divBdr>
        </w:div>
        <w:div w:id="1976327617">
          <w:marLeft w:val="0"/>
          <w:marRight w:val="446"/>
          <w:marTop w:val="115"/>
          <w:marBottom w:val="120"/>
          <w:divBdr>
            <w:top w:val="none" w:sz="0" w:space="0" w:color="auto"/>
            <w:left w:val="none" w:sz="0" w:space="0" w:color="auto"/>
            <w:bottom w:val="none" w:sz="0" w:space="0" w:color="auto"/>
            <w:right w:val="none" w:sz="0" w:space="0" w:color="auto"/>
          </w:divBdr>
        </w:div>
      </w:divsChild>
    </w:div>
    <w:div w:id="1347903777">
      <w:bodyDiv w:val="1"/>
      <w:marLeft w:val="0"/>
      <w:marRight w:val="0"/>
      <w:marTop w:val="0"/>
      <w:marBottom w:val="0"/>
      <w:divBdr>
        <w:top w:val="none" w:sz="0" w:space="0" w:color="auto"/>
        <w:left w:val="none" w:sz="0" w:space="0" w:color="auto"/>
        <w:bottom w:val="none" w:sz="0" w:space="0" w:color="auto"/>
        <w:right w:val="none" w:sz="0" w:space="0" w:color="auto"/>
      </w:divBdr>
    </w:div>
    <w:div w:id="1355888532">
      <w:bodyDiv w:val="1"/>
      <w:marLeft w:val="0"/>
      <w:marRight w:val="0"/>
      <w:marTop w:val="0"/>
      <w:marBottom w:val="0"/>
      <w:divBdr>
        <w:top w:val="none" w:sz="0" w:space="0" w:color="auto"/>
        <w:left w:val="none" w:sz="0" w:space="0" w:color="auto"/>
        <w:bottom w:val="none" w:sz="0" w:space="0" w:color="auto"/>
        <w:right w:val="none" w:sz="0" w:space="0" w:color="auto"/>
      </w:divBdr>
      <w:divsChild>
        <w:div w:id="1364743567">
          <w:marLeft w:val="0"/>
          <w:marRight w:val="0"/>
          <w:marTop w:val="0"/>
          <w:marBottom w:val="0"/>
          <w:divBdr>
            <w:top w:val="none" w:sz="0" w:space="0" w:color="auto"/>
            <w:left w:val="none" w:sz="0" w:space="0" w:color="auto"/>
            <w:bottom w:val="none" w:sz="0" w:space="0" w:color="auto"/>
            <w:right w:val="none" w:sz="0" w:space="0" w:color="auto"/>
          </w:divBdr>
        </w:div>
        <w:div w:id="1572227430">
          <w:marLeft w:val="0"/>
          <w:marRight w:val="0"/>
          <w:marTop w:val="0"/>
          <w:marBottom w:val="0"/>
          <w:divBdr>
            <w:top w:val="none" w:sz="0" w:space="0" w:color="auto"/>
            <w:left w:val="none" w:sz="0" w:space="0" w:color="auto"/>
            <w:bottom w:val="none" w:sz="0" w:space="0" w:color="auto"/>
            <w:right w:val="none" w:sz="0" w:space="0" w:color="auto"/>
          </w:divBdr>
        </w:div>
        <w:div w:id="1724065134">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 w:id="1820073633">
          <w:marLeft w:val="0"/>
          <w:marRight w:val="0"/>
          <w:marTop w:val="0"/>
          <w:marBottom w:val="0"/>
          <w:divBdr>
            <w:top w:val="none" w:sz="0" w:space="0" w:color="auto"/>
            <w:left w:val="none" w:sz="0" w:space="0" w:color="auto"/>
            <w:bottom w:val="none" w:sz="0" w:space="0" w:color="auto"/>
            <w:right w:val="none" w:sz="0" w:space="0" w:color="auto"/>
          </w:divBdr>
        </w:div>
        <w:div w:id="440497827">
          <w:marLeft w:val="0"/>
          <w:marRight w:val="0"/>
          <w:marTop w:val="0"/>
          <w:marBottom w:val="0"/>
          <w:divBdr>
            <w:top w:val="none" w:sz="0" w:space="0" w:color="auto"/>
            <w:left w:val="none" w:sz="0" w:space="0" w:color="auto"/>
            <w:bottom w:val="none" w:sz="0" w:space="0" w:color="auto"/>
            <w:right w:val="none" w:sz="0" w:space="0" w:color="auto"/>
          </w:divBdr>
        </w:div>
        <w:div w:id="1951013898">
          <w:marLeft w:val="0"/>
          <w:marRight w:val="0"/>
          <w:marTop w:val="0"/>
          <w:marBottom w:val="0"/>
          <w:divBdr>
            <w:top w:val="none" w:sz="0" w:space="0" w:color="auto"/>
            <w:left w:val="none" w:sz="0" w:space="0" w:color="auto"/>
            <w:bottom w:val="none" w:sz="0" w:space="0" w:color="auto"/>
            <w:right w:val="none" w:sz="0" w:space="0" w:color="auto"/>
          </w:divBdr>
        </w:div>
        <w:div w:id="951549531">
          <w:marLeft w:val="0"/>
          <w:marRight w:val="0"/>
          <w:marTop w:val="0"/>
          <w:marBottom w:val="0"/>
          <w:divBdr>
            <w:top w:val="none" w:sz="0" w:space="0" w:color="auto"/>
            <w:left w:val="none" w:sz="0" w:space="0" w:color="auto"/>
            <w:bottom w:val="none" w:sz="0" w:space="0" w:color="auto"/>
            <w:right w:val="none" w:sz="0" w:space="0" w:color="auto"/>
          </w:divBdr>
        </w:div>
        <w:div w:id="638649305">
          <w:marLeft w:val="0"/>
          <w:marRight w:val="0"/>
          <w:marTop w:val="0"/>
          <w:marBottom w:val="0"/>
          <w:divBdr>
            <w:top w:val="none" w:sz="0" w:space="0" w:color="auto"/>
            <w:left w:val="none" w:sz="0" w:space="0" w:color="auto"/>
            <w:bottom w:val="none" w:sz="0" w:space="0" w:color="auto"/>
            <w:right w:val="none" w:sz="0" w:space="0" w:color="auto"/>
          </w:divBdr>
        </w:div>
        <w:div w:id="359667368">
          <w:marLeft w:val="0"/>
          <w:marRight w:val="0"/>
          <w:marTop w:val="0"/>
          <w:marBottom w:val="0"/>
          <w:divBdr>
            <w:top w:val="none" w:sz="0" w:space="0" w:color="auto"/>
            <w:left w:val="none" w:sz="0" w:space="0" w:color="auto"/>
            <w:bottom w:val="none" w:sz="0" w:space="0" w:color="auto"/>
            <w:right w:val="none" w:sz="0" w:space="0" w:color="auto"/>
          </w:divBdr>
        </w:div>
        <w:div w:id="1274627492">
          <w:marLeft w:val="0"/>
          <w:marRight w:val="0"/>
          <w:marTop w:val="0"/>
          <w:marBottom w:val="0"/>
          <w:divBdr>
            <w:top w:val="none" w:sz="0" w:space="0" w:color="auto"/>
            <w:left w:val="none" w:sz="0" w:space="0" w:color="auto"/>
            <w:bottom w:val="none" w:sz="0" w:space="0" w:color="auto"/>
            <w:right w:val="none" w:sz="0" w:space="0" w:color="auto"/>
          </w:divBdr>
        </w:div>
        <w:div w:id="884870829">
          <w:marLeft w:val="0"/>
          <w:marRight w:val="0"/>
          <w:marTop w:val="0"/>
          <w:marBottom w:val="0"/>
          <w:divBdr>
            <w:top w:val="none" w:sz="0" w:space="0" w:color="auto"/>
            <w:left w:val="none" w:sz="0" w:space="0" w:color="auto"/>
            <w:bottom w:val="none" w:sz="0" w:space="0" w:color="auto"/>
            <w:right w:val="none" w:sz="0" w:space="0" w:color="auto"/>
          </w:divBdr>
        </w:div>
        <w:div w:id="385758565">
          <w:marLeft w:val="0"/>
          <w:marRight w:val="0"/>
          <w:marTop w:val="0"/>
          <w:marBottom w:val="0"/>
          <w:divBdr>
            <w:top w:val="none" w:sz="0" w:space="0" w:color="auto"/>
            <w:left w:val="none" w:sz="0" w:space="0" w:color="auto"/>
            <w:bottom w:val="none" w:sz="0" w:space="0" w:color="auto"/>
            <w:right w:val="none" w:sz="0" w:space="0" w:color="auto"/>
          </w:divBdr>
        </w:div>
        <w:div w:id="142700251">
          <w:marLeft w:val="0"/>
          <w:marRight w:val="0"/>
          <w:marTop w:val="0"/>
          <w:marBottom w:val="0"/>
          <w:divBdr>
            <w:top w:val="none" w:sz="0" w:space="0" w:color="auto"/>
            <w:left w:val="none" w:sz="0" w:space="0" w:color="auto"/>
            <w:bottom w:val="none" w:sz="0" w:space="0" w:color="auto"/>
            <w:right w:val="none" w:sz="0" w:space="0" w:color="auto"/>
          </w:divBdr>
        </w:div>
        <w:div w:id="2100591333">
          <w:marLeft w:val="0"/>
          <w:marRight w:val="0"/>
          <w:marTop w:val="0"/>
          <w:marBottom w:val="0"/>
          <w:divBdr>
            <w:top w:val="none" w:sz="0" w:space="0" w:color="auto"/>
            <w:left w:val="none" w:sz="0" w:space="0" w:color="auto"/>
            <w:bottom w:val="none" w:sz="0" w:space="0" w:color="auto"/>
            <w:right w:val="none" w:sz="0" w:space="0" w:color="auto"/>
          </w:divBdr>
        </w:div>
        <w:div w:id="1163163667">
          <w:marLeft w:val="0"/>
          <w:marRight w:val="0"/>
          <w:marTop w:val="0"/>
          <w:marBottom w:val="0"/>
          <w:divBdr>
            <w:top w:val="none" w:sz="0" w:space="0" w:color="auto"/>
            <w:left w:val="none" w:sz="0" w:space="0" w:color="auto"/>
            <w:bottom w:val="none" w:sz="0" w:space="0" w:color="auto"/>
            <w:right w:val="none" w:sz="0" w:space="0" w:color="auto"/>
          </w:divBdr>
        </w:div>
        <w:div w:id="683360593">
          <w:marLeft w:val="0"/>
          <w:marRight w:val="0"/>
          <w:marTop w:val="0"/>
          <w:marBottom w:val="0"/>
          <w:divBdr>
            <w:top w:val="none" w:sz="0" w:space="0" w:color="auto"/>
            <w:left w:val="none" w:sz="0" w:space="0" w:color="auto"/>
            <w:bottom w:val="none" w:sz="0" w:space="0" w:color="auto"/>
            <w:right w:val="none" w:sz="0" w:space="0" w:color="auto"/>
          </w:divBdr>
        </w:div>
        <w:div w:id="1364942499">
          <w:marLeft w:val="0"/>
          <w:marRight w:val="0"/>
          <w:marTop w:val="0"/>
          <w:marBottom w:val="0"/>
          <w:divBdr>
            <w:top w:val="none" w:sz="0" w:space="0" w:color="auto"/>
            <w:left w:val="none" w:sz="0" w:space="0" w:color="auto"/>
            <w:bottom w:val="none" w:sz="0" w:space="0" w:color="auto"/>
            <w:right w:val="none" w:sz="0" w:space="0" w:color="auto"/>
          </w:divBdr>
        </w:div>
        <w:div w:id="1080836503">
          <w:marLeft w:val="0"/>
          <w:marRight w:val="0"/>
          <w:marTop w:val="0"/>
          <w:marBottom w:val="0"/>
          <w:divBdr>
            <w:top w:val="none" w:sz="0" w:space="0" w:color="auto"/>
            <w:left w:val="none" w:sz="0" w:space="0" w:color="auto"/>
            <w:bottom w:val="none" w:sz="0" w:space="0" w:color="auto"/>
            <w:right w:val="none" w:sz="0" w:space="0" w:color="auto"/>
          </w:divBdr>
        </w:div>
        <w:div w:id="1217082030">
          <w:marLeft w:val="0"/>
          <w:marRight w:val="0"/>
          <w:marTop w:val="0"/>
          <w:marBottom w:val="0"/>
          <w:divBdr>
            <w:top w:val="none" w:sz="0" w:space="0" w:color="auto"/>
            <w:left w:val="none" w:sz="0" w:space="0" w:color="auto"/>
            <w:bottom w:val="none" w:sz="0" w:space="0" w:color="auto"/>
            <w:right w:val="none" w:sz="0" w:space="0" w:color="auto"/>
          </w:divBdr>
        </w:div>
        <w:div w:id="1616865002">
          <w:marLeft w:val="0"/>
          <w:marRight w:val="0"/>
          <w:marTop w:val="0"/>
          <w:marBottom w:val="0"/>
          <w:divBdr>
            <w:top w:val="none" w:sz="0" w:space="0" w:color="auto"/>
            <w:left w:val="none" w:sz="0" w:space="0" w:color="auto"/>
            <w:bottom w:val="none" w:sz="0" w:space="0" w:color="auto"/>
            <w:right w:val="none" w:sz="0" w:space="0" w:color="auto"/>
          </w:divBdr>
        </w:div>
        <w:div w:id="1418792863">
          <w:marLeft w:val="0"/>
          <w:marRight w:val="0"/>
          <w:marTop w:val="0"/>
          <w:marBottom w:val="0"/>
          <w:divBdr>
            <w:top w:val="none" w:sz="0" w:space="0" w:color="auto"/>
            <w:left w:val="none" w:sz="0" w:space="0" w:color="auto"/>
            <w:bottom w:val="none" w:sz="0" w:space="0" w:color="auto"/>
            <w:right w:val="none" w:sz="0" w:space="0" w:color="auto"/>
          </w:divBdr>
        </w:div>
        <w:div w:id="1453666812">
          <w:marLeft w:val="0"/>
          <w:marRight w:val="0"/>
          <w:marTop w:val="0"/>
          <w:marBottom w:val="0"/>
          <w:divBdr>
            <w:top w:val="none" w:sz="0" w:space="0" w:color="auto"/>
            <w:left w:val="none" w:sz="0" w:space="0" w:color="auto"/>
            <w:bottom w:val="none" w:sz="0" w:space="0" w:color="auto"/>
            <w:right w:val="none" w:sz="0" w:space="0" w:color="auto"/>
          </w:divBdr>
        </w:div>
        <w:div w:id="547423278">
          <w:marLeft w:val="0"/>
          <w:marRight w:val="0"/>
          <w:marTop w:val="0"/>
          <w:marBottom w:val="0"/>
          <w:divBdr>
            <w:top w:val="none" w:sz="0" w:space="0" w:color="auto"/>
            <w:left w:val="none" w:sz="0" w:space="0" w:color="auto"/>
            <w:bottom w:val="none" w:sz="0" w:space="0" w:color="auto"/>
            <w:right w:val="none" w:sz="0" w:space="0" w:color="auto"/>
          </w:divBdr>
        </w:div>
        <w:div w:id="1944873470">
          <w:marLeft w:val="0"/>
          <w:marRight w:val="0"/>
          <w:marTop w:val="0"/>
          <w:marBottom w:val="0"/>
          <w:divBdr>
            <w:top w:val="none" w:sz="0" w:space="0" w:color="auto"/>
            <w:left w:val="none" w:sz="0" w:space="0" w:color="auto"/>
            <w:bottom w:val="none" w:sz="0" w:space="0" w:color="auto"/>
            <w:right w:val="none" w:sz="0" w:space="0" w:color="auto"/>
          </w:divBdr>
        </w:div>
        <w:div w:id="1555505319">
          <w:marLeft w:val="0"/>
          <w:marRight w:val="0"/>
          <w:marTop w:val="0"/>
          <w:marBottom w:val="0"/>
          <w:divBdr>
            <w:top w:val="none" w:sz="0" w:space="0" w:color="auto"/>
            <w:left w:val="none" w:sz="0" w:space="0" w:color="auto"/>
            <w:bottom w:val="none" w:sz="0" w:space="0" w:color="auto"/>
            <w:right w:val="none" w:sz="0" w:space="0" w:color="auto"/>
          </w:divBdr>
        </w:div>
        <w:div w:id="926036116">
          <w:marLeft w:val="0"/>
          <w:marRight w:val="0"/>
          <w:marTop w:val="0"/>
          <w:marBottom w:val="0"/>
          <w:divBdr>
            <w:top w:val="none" w:sz="0" w:space="0" w:color="auto"/>
            <w:left w:val="none" w:sz="0" w:space="0" w:color="auto"/>
            <w:bottom w:val="none" w:sz="0" w:space="0" w:color="auto"/>
            <w:right w:val="none" w:sz="0" w:space="0" w:color="auto"/>
          </w:divBdr>
        </w:div>
        <w:div w:id="900555487">
          <w:marLeft w:val="0"/>
          <w:marRight w:val="0"/>
          <w:marTop w:val="0"/>
          <w:marBottom w:val="0"/>
          <w:divBdr>
            <w:top w:val="none" w:sz="0" w:space="0" w:color="auto"/>
            <w:left w:val="none" w:sz="0" w:space="0" w:color="auto"/>
            <w:bottom w:val="none" w:sz="0" w:space="0" w:color="auto"/>
            <w:right w:val="none" w:sz="0" w:space="0" w:color="auto"/>
          </w:divBdr>
        </w:div>
        <w:div w:id="952706198">
          <w:marLeft w:val="0"/>
          <w:marRight w:val="0"/>
          <w:marTop w:val="0"/>
          <w:marBottom w:val="0"/>
          <w:divBdr>
            <w:top w:val="none" w:sz="0" w:space="0" w:color="auto"/>
            <w:left w:val="none" w:sz="0" w:space="0" w:color="auto"/>
            <w:bottom w:val="none" w:sz="0" w:space="0" w:color="auto"/>
            <w:right w:val="none" w:sz="0" w:space="0" w:color="auto"/>
          </w:divBdr>
        </w:div>
        <w:div w:id="829176424">
          <w:marLeft w:val="0"/>
          <w:marRight w:val="0"/>
          <w:marTop w:val="0"/>
          <w:marBottom w:val="0"/>
          <w:divBdr>
            <w:top w:val="none" w:sz="0" w:space="0" w:color="auto"/>
            <w:left w:val="none" w:sz="0" w:space="0" w:color="auto"/>
            <w:bottom w:val="none" w:sz="0" w:space="0" w:color="auto"/>
            <w:right w:val="none" w:sz="0" w:space="0" w:color="auto"/>
          </w:divBdr>
        </w:div>
        <w:div w:id="928276388">
          <w:marLeft w:val="0"/>
          <w:marRight w:val="0"/>
          <w:marTop w:val="0"/>
          <w:marBottom w:val="0"/>
          <w:divBdr>
            <w:top w:val="none" w:sz="0" w:space="0" w:color="auto"/>
            <w:left w:val="none" w:sz="0" w:space="0" w:color="auto"/>
            <w:bottom w:val="none" w:sz="0" w:space="0" w:color="auto"/>
            <w:right w:val="none" w:sz="0" w:space="0" w:color="auto"/>
          </w:divBdr>
        </w:div>
        <w:div w:id="910584781">
          <w:marLeft w:val="0"/>
          <w:marRight w:val="0"/>
          <w:marTop w:val="0"/>
          <w:marBottom w:val="0"/>
          <w:divBdr>
            <w:top w:val="none" w:sz="0" w:space="0" w:color="auto"/>
            <w:left w:val="none" w:sz="0" w:space="0" w:color="auto"/>
            <w:bottom w:val="none" w:sz="0" w:space="0" w:color="auto"/>
            <w:right w:val="none" w:sz="0" w:space="0" w:color="auto"/>
          </w:divBdr>
        </w:div>
        <w:div w:id="1172913712">
          <w:marLeft w:val="0"/>
          <w:marRight w:val="0"/>
          <w:marTop w:val="0"/>
          <w:marBottom w:val="0"/>
          <w:divBdr>
            <w:top w:val="none" w:sz="0" w:space="0" w:color="auto"/>
            <w:left w:val="none" w:sz="0" w:space="0" w:color="auto"/>
            <w:bottom w:val="none" w:sz="0" w:space="0" w:color="auto"/>
            <w:right w:val="none" w:sz="0" w:space="0" w:color="auto"/>
          </w:divBdr>
        </w:div>
        <w:div w:id="1365600279">
          <w:marLeft w:val="0"/>
          <w:marRight w:val="0"/>
          <w:marTop w:val="0"/>
          <w:marBottom w:val="0"/>
          <w:divBdr>
            <w:top w:val="none" w:sz="0" w:space="0" w:color="auto"/>
            <w:left w:val="none" w:sz="0" w:space="0" w:color="auto"/>
            <w:bottom w:val="none" w:sz="0" w:space="0" w:color="auto"/>
            <w:right w:val="none" w:sz="0" w:space="0" w:color="auto"/>
          </w:divBdr>
        </w:div>
        <w:div w:id="1758748911">
          <w:marLeft w:val="0"/>
          <w:marRight w:val="0"/>
          <w:marTop w:val="0"/>
          <w:marBottom w:val="0"/>
          <w:divBdr>
            <w:top w:val="none" w:sz="0" w:space="0" w:color="auto"/>
            <w:left w:val="none" w:sz="0" w:space="0" w:color="auto"/>
            <w:bottom w:val="none" w:sz="0" w:space="0" w:color="auto"/>
            <w:right w:val="none" w:sz="0" w:space="0" w:color="auto"/>
          </w:divBdr>
        </w:div>
        <w:div w:id="1614434029">
          <w:marLeft w:val="0"/>
          <w:marRight w:val="0"/>
          <w:marTop w:val="0"/>
          <w:marBottom w:val="0"/>
          <w:divBdr>
            <w:top w:val="none" w:sz="0" w:space="0" w:color="auto"/>
            <w:left w:val="none" w:sz="0" w:space="0" w:color="auto"/>
            <w:bottom w:val="none" w:sz="0" w:space="0" w:color="auto"/>
            <w:right w:val="none" w:sz="0" w:space="0" w:color="auto"/>
          </w:divBdr>
        </w:div>
        <w:div w:id="130943704">
          <w:marLeft w:val="0"/>
          <w:marRight w:val="0"/>
          <w:marTop w:val="0"/>
          <w:marBottom w:val="0"/>
          <w:divBdr>
            <w:top w:val="none" w:sz="0" w:space="0" w:color="auto"/>
            <w:left w:val="none" w:sz="0" w:space="0" w:color="auto"/>
            <w:bottom w:val="none" w:sz="0" w:space="0" w:color="auto"/>
            <w:right w:val="none" w:sz="0" w:space="0" w:color="auto"/>
          </w:divBdr>
        </w:div>
        <w:div w:id="214706946">
          <w:marLeft w:val="0"/>
          <w:marRight w:val="0"/>
          <w:marTop w:val="0"/>
          <w:marBottom w:val="0"/>
          <w:divBdr>
            <w:top w:val="none" w:sz="0" w:space="0" w:color="auto"/>
            <w:left w:val="none" w:sz="0" w:space="0" w:color="auto"/>
            <w:bottom w:val="none" w:sz="0" w:space="0" w:color="auto"/>
            <w:right w:val="none" w:sz="0" w:space="0" w:color="auto"/>
          </w:divBdr>
        </w:div>
        <w:div w:id="2094667693">
          <w:marLeft w:val="0"/>
          <w:marRight w:val="0"/>
          <w:marTop w:val="0"/>
          <w:marBottom w:val="0"/>
          <w:divBdr>
            <w:top w:val="none" w:sz="0" w:space="0" w:color="auto"/>
            <w:left w:val="none" w:sz="0" w:space="0" w:color="auto"/>
            <w:bottom w:val="none" w:sz="0" w:space="0" w:color="auto"/>
            <w:right w:val="none" w:sz="0" w:space="0" w:color="auto"/>
          </w:divBdr>
        </w:div>
        <w:div w:id="1252663678">
          <w:marLeft w:val="0"/>
          <w:marRight w:val="0"/>
          <w:marTop w:val="0"/>
          <w:marBottom w:val="0"/>
          <w:divBdr>
            <w:top w:val="none" w:sz="0" w:space="0" w:color="auto"/>
            <w:left w:val="none" w:sz="0" w:space="0" w:color="auto"/>
            <w:bottom w:val="none" w:sz="0" w:space="0" w:color="auto"/>
            <w:right w:val="none" w:sz="0" w:space="0" w:color="auto"/>
          </w:divBdr>
        </w:div>
        <w:div w:id="1733305467">
          <w:marLeft w:val="0"/>
          <w:marRight w:val="0"/>
          <w:marTop w:val="0"/>
          <w:marBottom w:val="0"/>
          <w:divBdr>
            <w:top w:val="none" w:sz="0" w:space="0" w:color="auto"/>
            <w:left w:val="none" w:sz="0" w:space="0" w:color="auto"/>
            <w:bottom w:val="none" w:sz="0" w:space="0" w:color="auto"/>
            <w:right w:val="none" w:sz="0" w:space="0" w:color="auto"/>
          </w:divBdr>
        </w:div>
        <w:div w:id="565384591">
          <w:marLeft w:val="0"/>
          <w:marRight w:val="0"/>
          <w:marTop w:val="0"/>
          <w:marBottom w:val="0"/>
          <w:divBdr>
            <w:top w:val="none" w:sz="0" w:space="0" w:color="auto"/>
            <w:left w:val="none" w:sz="0" w:space="0" w:color="auto"/>
            <w:bottom w:val="none" w:sz="0" w:space="0" w:color="auto"/>
            <w:right w:val="none" w:sz="0" w:space="0" w:color="auto"/>
          </w:divBdr>
        </w:div>
        <w:div w:id="747313304">
          <w:marLeft w:val="0"/>
          <w:marRight w:val="0"/>
          <w:marTop w:val="0"/>
          <w:marBottom w:val="0"/>
          <w:divBdr>
            <w:top w:val="none" w:sz="0" w:space="0" w:color="auto"/>
            <w:left w:val="none" w:sz="0" w:space="0" w:color="auto"/>
            <w:bottom w:val="none" w:sz="0" w:space="0" w:color="auto"/>
            <w:right w:val="none" w:sz="0" w:space="0" w:color="auto"/>
          </w:divBdr>
        </w:div>
        <w:div w:id="417025972">
          <w:marLeft w:val="0"/>
          <w:marRight w:val="0"/>
          <w:marTop w:val="0"/>
          <w:marBottom w:val="0"/>
          <w:divBdr>
            <w:top w:val="none" w:sz="0" w:space="0" w:color="auto"/>
            <w:left w:val="none" w:sz="0" w:space="0" w:color="auto"/>
            <w:bottom w:val="none" w:sz="0" w:space="0" w:color="auto"/>
            <w:right w:val="none" w:sz="0" w:space="0" w:color="auto"/>
          </w:divBdr>
        </w:div>
        <w:div w:id="1349334650">
          <w:marLeft w:val="0"/>
          <w:marRight w:val="0"/>
          <w:marTop w:val="0"/>
          <w:marBottom w:val="0"/>
          <w:divBdr>
            <w:top w:val="none" w:sz="0" w:space="0" w:color="auto"/>
            <w:left w:val="none" w:sz="0" w:space="0" w:color="auto"/>
            <w:bottom w:val="none" w:sz="0" w:space="0" w:color="auto"/>
            <w:right w:val="none" w:sz="0" w:space="0" w:color="auto"/>
          </w:divBdr>
        </w:div>
        <w:div w:id="2107267301">
          <w:marLeft w:val="0"/>
          <w:marRight w:val="0"/>
          <w:marTop w:val="0"/>
          <w:marBottom w:val="0"/>
          <w:divBdr>
            <w:top w:val="none" w:sz="0" w:space="0" w:color="auto"/>
            <w:left w:val="none" w:sz="0" w:space="0" w:color="auto"/>
            <w:bottom w:val="none" w:sz="0" w:space="0" w:color="auto"/>
            <w:right w:val="none" w:sz="0" w:space="0" w:color="auto"/>
          </w:divBdr>
        </w:div>
        <w:div w:id="2021816004">
          <w:marLeft w:val="0"/>
          <w:marRight w:val="0"/>
          <w:marTop w:val="0"/>
          <w:marBottom w:val="0"/>
          <w:divBdr>
            <w:top w:val="none" w:sz="0" w:space="0" w:color="auto"/>
            <w:left w:val="none" w:sz="0" w:space="0" w:color="auto"/>
            <w:bottom w:val="none" w:sz="0" w:space="0" w:color="auto"/>
            <w:right w:val="none" w:sz="0" w:space="0" w:color="auto"/>
          </w:divBdr>
        </w:div>
        <w:div w:id="2051953542">
          <w:marLeft w:val="0"/>
          <w:marRight w:val="0"/>
          <w:marTop w:val="0"/>
          <w:marBottom w:val="0"/>
          <w:divBdr>
            <w:top w:val="none" w:sz="0" w:space="0" w:color="auto"/>
            <w:left w:val="none" w:sz="0" w:space="0" w:color="auto"/>
            <w:bottom w:val="none" w:sz="0" w:space="0" w:color="auto"/>
            <w:right w:val="none" w:sz="0" w:space="0" w:color="auto"/>
          </w:divBdr>
        </w:div>
        <w:div w:id="1568563764">
          <w:marLeft w:val="0"/>
          <w:marRight w:val="0"/>
          <w:marTop w:val="0"/>
          <w:marBottom w:val="0"/>
          <w:divBdr>
            <w:top w:val="none" w:sz="0" w:space="0" w:color="auto"/>
            <w:left w:val="none" w:sz="0" w:space="0" w:color="auto"/>
            <w:bottom w:val="none" w:sz="0" w:space="0" w:color="auto"/>
            <w:right w:val="none" w:sz="0" w:space="0" w:color="auto"/>
          </w:divBdr>
        </w:div>
        <w:div w:id="87964691">
          <w:marLeft w:val="0"/>
          <w:marRight w:val="0"/>
          <w:marTop w:val="0"/>
          <w:marBottom w:val="0"/>
          <w:divBdr>
            <w:top w:val="none" w:sz="0" w:space="0" w:color="auto"/>
            <w:left w:val="none" w:sz="0" w:space="0" w:color="auto"/>
            <w:bottom w:val="none" w:sz="0" w:space="0" w:color="auto"/>
            <w:right w:val="none" w:sz="0" w:space="0" w:color="auto"/>
          </w:divBdr>
        </w:div>
      </w:divsChild>
    </w:div>
    <w:div w:id="1356077460">
      <w:bodyDiv w:val="1"/>
      <w:marLeft w:val="0"/>
      <w:marRight w:val="0"/>
      <w:marTop w:val="0"/>
      <w:marBottom w:val="0"/>
      <w:divBdr>
        <w:top w:val="none" w:sz="0" w:space="0" w:color="auto"/>
        <w:left w:val="none" w:sz="0" w:space="0" w:color="auto"/>
        <w:bottom w:val="none" w:sz="0" w:space="0" w:color="auto"/>
        <w:right w:val="none" w:sz="0" w:space="0" w:color="auto"/>
      </w:divBdr>
    </w:div>
    <w:div w:id="1369136670">
      <w:bodyDiv w:val="1"/>
      <w:marLeft w:val="0"/>
      <w:marRight w:val="0"/>
      <w:marTop w:val="0"/>
      <w:marBottom w:val="0"/>
      <w:divBdr>
        <w:top w:val="none" w:sz="0" w:space="0" w:color="auto"/>
        <w:left w:val="none" w:sz="0" w:space="0" w:color="auto"/>
        <w:bottom w:val="none" w:sz="0" w:space="0" w:color="auto"/>
        <w:right w:val="none" w:sz="0" w:space="0" w:color="auto"/>
      </w:divBdr>
    </w:div>
    <w:div w:id="1369377190">
      <w:bodyDiv w:val="1"/>
      <w:marLeft w:val="0"/>
      <w:marRight w:val="0"/>
      <w:marTop w:val="0"/>
      <w:marBottom w:val="0"/>
      <w:divBdr>
        <w:top w:val="none" w:sz="0" w:space="0" w:color="auto"/>
        <w:left w:val="none" w:sz="0" w:space="0" w:color="auto"/>
        <w:bottom w:val="none" w:sz="0" w:space="0" w:color="auto"/>
        <w:right w:val="none" w:sz="0" w:space="0" w:color="auto"/>
      </w:divBdr>
    </w:div>
    <w:div w:id="1377774820">
      <w:bodyDiv w:val="1"/>
      <w:marLeft w:val="0"/>
      <w:marRight w:val="0"/>
      <w:marTop w:val="0"/>
      <w:marBottom w:val="0"/>
      <w:divBdr>
        <w:top w:val="none" w:sz="0" w:space="0" w:color="auto"/>
        <w:left w:val="none" w:sz="0" w:space="0" w:color="auto"/>
        <w:bottom w:val="none" w:sz="0" w:space="0" w:color="auto"/>
        <w:right w:val="none" w:sz="0" w:space="0" w:color="auto"/>
      </w:divBdr>
    </w:div>
    <w:div w:id="1380009053">
      <w:bodyDiv w:val="1"/>
      <w:marLeft w:val="0"/>
      <w:marRight w:val="0"/>
      <w:marTop w:val="0"/>
      <w:marBottom w:val="0"/>
      <w:divBdr>
        <w:top w:val="none" w:sz="0" w:space="0" w:color="auto"/>
        <w:left w:val="none" w:sz="0" w:space="0" w:color="auto"/>
        <w:bottom w:val="none" w:sz="0" w:space="0" w:color="auto"/>
        <w:right w:val="none" w:sz="0" w:space="0" w:color="auto"/>
      </w:divBdr>
    </w:div>
    <w:div w:id="1393575930">
      <w:bodyDiv w:val="1"/>
      <w:marLeft w:val="0"/>
      <w:marRight w:val="0"/>
      <w:marTop w:val="0"/>
      <w:marBottom w:val="0"/>
      <w:divBdr>
        <w:top w:val="none" w:sz="0" w:space="0" w:color="auto"/>
        <w:left w:val="none" w:sz="0" w:space="0" w:color="auto"/>
        <w:bottom w:val="none" w:sz="0" w:space="0" w:color="auto"/>
        <w:right w:val="none" w:sz="0" w:space="0" w:color="auto"/>
      </w:divBdr>
      <w:divsChild>
        <w:div w:id="1848447897">
          <w:marLeft w:val="0"/>
          <w:marRight w:val="0"/>
          <w:marTop w:val="0"/>
          <w:marBottom w:val="0"/>
          <w:divBdr>
            <w:top w:val="none" w:sz="0" w:space="0" w:color="auto"/>
            <w:left w:val="none" w:sz="0" w:space="0" w:color="auto"/>
            <w:bottom w:val="none" w:sz="0" w:space="0" w:color="auto"/>
            <w:right w:val="none" w:sz="0" w:space="0" w:color="auto"/>
          </w:divBdr>
        </w:div>
        <w:div w:id="1891111951">
          <w:marLeft w:val="0"/>
          <w:marRight w:val="0"/>
          <w:marTop w:val="0"/>
          <w:marBottom w:val="0"/>
          <w:divBdr>
            <w:top w:val="none" w:sz="0" w:space="0" w:color="auto"/>
            <w:left w:val="none" w:sz="0" w:space="0" w:color="auto"/>
            <w:bottom w:val="none" w:sz="0" w:space="0" w:color="auto"/>
            <w:right w:val="none" w:sz="0" w:space="0" w:color="auto"/>
          </w:divBdr>
        </w:div>
        <w:div w:id="414741305">
          <w:marLeft w:val="0"/>
          <w:marRight w:val="0"/>
          <w:marTop w:val="0"/>
          <w:marBottom w:val="0"/>
          <w:divBdr>
            <w:top w:val="none" w:sz="0" w:space="0" w:color="auto"/>
            <w:left w:val="none" w:sz="0" w:space="0" w:color="auto"/>
            <w:bottom w:val="none" w:sz="0" w:space="0" w:color="auto"/>
            <w:right w:val="none" w:sz="0" w:space="0" w:color="auto"/>
          </w:divBdr>
        </w:div>
        <w:div w:id="2137523663">
          <w:marLeft w:val="0"/>
          <w:marRight w:val="0"/>
          <w:marTop w:val="0"/>
          <w:marBottom w:val="0"/>
          <w:divBdr>
            <w:top w:val="none" w:sz="0" w:space="0" w:color="auto"/>
            <w:left w:val="none" w:sz="0" w:space="0" w:color="auto"/>
            <w:bottom w:val="none" w:sz="0" w:space="0" w:color="auto"/>
            <w:right w:val="none" w:sz="0" w:space="0" w:color="auto"/>
          </w:divBdr>
        </w:div>
      </w:divsChild>
    </w:div>
    <w:div w:id="139370097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6805597">
      <w:bodyDiv w:val="1"/>
      <w:marLeft w:val="0"/>
      <w:marRight w:val="0"/>
      <w:marTop w:val="0"/>
      <w:marBottom w:val="0"/>
      <w:divBdr>
        <w:top w:val="none" w:sz="0" w:space="0" w:color="auto"/>
        <w:left w:val="none" w:sz="0" w:space="0" w:color="auto"/>
        <w:bottom w:val="none" w:sz="0" w:space="0" w:color="auto"/>
        <w:right w:val="none" w:sz="0" w:space="0" w:color="auto"/>
      </w:divBdr>
    </w:div>
    <w:div w:id="1412505292">
      <w:bodyDiv w:val="1"/>
      <w:marLeft w:val="0"/>
      <w:marRight w:val="0"/>
      <w:marTop w:val="0"/>
      <w:marBottom w:val="0"/>
      <w:divBdr>
        <w:top w:val="none" w:sz="0" w:space="0" w:color="auto"/>
        <w:left w:val="none" w:sz="0" w:space="0" w:color="auto"/>
        <w:bottom w:val="none" w:sz="0" w:space="0" w:color="auto"/>
        <w:right w:val="none" w:sz="0" w:space="0" w:color="auto"/>
      </w:divBdr>
    </w:div>
    <w:div w:id="1412845554">
      <w:bodyDiv w:val="1"/>
      <w:marLeft w:val="0"/>
      <w:marRight w:val="0"/>
      <w:marTop w:val="0"/>
      <w:marBottom w:val="0"/>
      <w:divBdr>
        <w:top w:val="none" w:sz="0" w:space="0" w:color="auto"/>
        <w:left w:val="none" w:sz="0" w:space="0" w:color="auto"/>
        <w:bottom w:val="none" w:sz="0" w:space="0" w:color="auto"/>
        <w:right w:val="none" w:sz="0" w:space="0" w:color="auto"/>
      </w:divBdr>
      <w:divsChild>
        <w:div w:id="1092817813">
          <w:marLeft w:val="0"/>
          <w:marRight w:val="0"/>
          <w:marTop w:val="0"/>
          <w:marBottom w:val="0"/>
          <w:divBdr>
            <w:top w:val="none" w:sz="0" w:space="0" w:color="auto"/>
            <w:left w:val="none" w:sz="0" w:space="0" w:color="auto"/>
            <w:bottom w:val="none" w:sz="0" w:space="0" w:color="auto"/>
            <w:right w:val="none" w:sz="0" w:space="0" w:color="auto"/>
          </w:divBdr>
        </w:div>
      </w:divsChild>
    </w:div>
    <w:div w:id="1414549196">
      <w:bodyDiv w:val="1"/>
      <w:marLeft w:val="0"/>
      <w:marRight w:val="0"/>
      <w:marTop w:val="0"/>
      <w:marBottom w:val="0"/>
      <w:divBdr>
        <w:top w:val="none" w:sz="0" w:space="0" w:color="auto"/>
        <w:left w:val="none" w:sz="0" w:space="0" w:color="auto"/>
        <w:bottom w:val="none" w:sz="0" w:space="0" w:color="auto"/>
        <w:right w:val="none" w:sz="0" w:space="0" w:color="auto"/>
      </w:divBdr>
      <w:divsChild>
        <w:div w:id="1235894312">
          <w:marLeft w:val="0"/>
          <w:marRight w:val="0"/>
          <w:marTop w:val="0"/>
          <w:marBottom w:val="0"/>
          <w:divBdr>
            <w:top w:val="none" w:sz="0" w:space="0" w:color="auto"/>
            <w:left w:val="none" w:sz="0" w:space="0" w:color="auto"/>
            <w:bottom w:val="none" w:sz="0" w:space="0" w:color="auto"/>
            <w:right w:val="none" w:sz="0" w:space="0" w:color="auto"/>
          </w:divBdr>
        </w:div>
        <w:div w:id="1465005142">
          <w:marLeft w:val="0"/>
          <w:marRight w:val="0"/>
          <w:marTop w:val="0"/>
          <w:marBottom w:val="0"/>
          <w:divBdr>
            <w:top w:val="none" w:sz="0" w:space="0" w:color="auto"/>
            <w:left w:val="none" w:sz="0" w:space="0" w:color="auto"/>
            <w:bottom w:val="none" w:sz="0" w:space="0" w:color="auto"/>
            <w:right w:val="none" w:sz="0" w:space="0" w:color="auto"/>
          </w:divBdr>
        </w:div>
        <w:div w:id="1634409089">
          <w:marLeft w:val="0"/>
          <w:marRight w:val="0"/>
          <w:marTop w:val="0"/>
          <w:marBottom w:val="0"/>
          <w:divBdr>
            <w:top w:val="none" w:sz="0" w:space="0" w:color="auto"/>
            <w:left w:val="none" w:sz="0" w:space="0" w:color="auto"/>
            <w:bottom w:val="none" w:sz="0" w:space="0" w:color="auto"/>
            <w:right w:val="none" w:sz="0" w:space="0" w:color="auto"/>
          </w:divBdr>
        </w:div>
        <w:div w:id="1494760714">
          <w:marLeft w:val="0"/>
          <w:marRight w:val="0"/>
          <w:marTop w:val="0"/>
          <w:marBottom w:val="0"/>
          <w:divBdr>
            <w:top w:val="none" w:sz="0" w:space="0" w:color="auto"/>
            <w:left w:val="none" w:sz="0" w:space="0" w:color="auto"/>
            <w:bottom w:val="none" w:sz="0" w:space="0" w:color="auto"/>
            <w:right w:val="none" w:sz="0" w:space="0" w:color="auto"/>
          </w:divBdr>
        </w:div>
      </w:divsChild>
    </w:div>
    <w:div w:id="1415587953">
      <w:bodyDiv w:val="1"/>
      <w:marLeft w:val="0"/>
      <w:marRight w:val="0"/>
      <w:marTop w:val="0"/>
      <w:marBottom w:val="0"/>
      <w:divBdr>
        <w:top w:val="none" w:sz="0" w:space="0" w:color="auto"/>
        <w:left w:val="none" w:sz="0" w:space="0" w:color="auto"/>
        <w:bottom w:val="none" w:sz="0" w:space="0" w:color="auto"/>
        <w:right w:val="none" w:sz="0" w:space="0" w:color="auto"/>
      </w:divBdr>
    </w:div>
    <w:div w:id="1416855410">
      <w:bodyDiv w:val="1"/>
      <w:marLeft w:val="0"/>
      <w:marRight w:val="0"/>
      <w:marTop w:val="0"/>
      <w:marBottom w:val="0"/>
      <w:divBdr>
        <w:top w:val="none" w:sz="0" w:space="0" w:color="auto"/>
        <w:left w:val="none" w:sz="0" w:space="0" w:color="auto"/>
        <w:bottom w:val="none" w:sz="0" w:space="0" w:color="auto"/>
        <w:right w:val="none" w:sz="0" w:space="0" w:color="auto"/>
      </w:divBdr>
    </w:div>
    <w:div w:id="1419133813">
      <w:bodyDiv w:val="1"/>
      <w:marLeft w:val="0"/>
      <w:marRight w:val="0"/>
      <w:marTop w:val="0"/>
      <w:marBottom w:val="0"/>
      <w:divBdr>
        <w:top w:val="none" w:sz="0" w:space="0" w:color="auto"/>
        <w:left w:val="none" w:sz="0" w:space="0" w:color="auto"/>
        <w:bottom w:val="none" w:sz="0" w:space="0" w:color="auto"/>
        <w:right w:val="none" w:sz="0" w:space="0" w:color="auto"/>
      </w:divBdr>
    </w:div>
    <w:div w:id="1422263152">
      <w:bodyDiv w:val="1"/>
      <w:marLeft w:val="0"/>
      <w:marRight w:val="0"/>
      <w:marTop w:val="0"/>
      <w:marBottom w:val="0"/>
      <w:divBdr>
        <w:top w:val="none" w:sz="0" w:space="0" w:color="auto"/>
        <w:left w:val="none" w:sz="0" w:space="0" w:color="auto"/>
        <w:bottom w:val="none" w:sz="0" w:space="0" w:color="auto"/>
        <w:right w:val="none" w:sz="0" w:space="0" w:color="auto"/>
      </w:divBdr>
      <w:divsChild>
        <w:div w:id="1002393124">
          <w:marLeft w:val="0"/>
          <w:marRight w:val="720"/>
          <w:marTop w:val="96"/>
          <w:marBottom w:val="120"/>
          <w:divBdr>
            <w:top w:val="none" w:sz="0" w:space="0" w:color="auto"/>
            <w:left w:val="none" w:sz="0" w:space="0" w:color="auto"/>
            <w:bottom w:val="none" w:sz="0" w:space="0" w:color="auto"/>
            <w:right w:val="none" w:sz="0" w:space="0" w:color="auto"/>
          </w:divBdr>
        </w:div>
      </w:divsChild>
    </w:div>
    <w:div w:id="1426683045">
      <w:bodyDiv w:val="1"/>
      <w:marLeft w:val="0"/>
      <w:marRight w:val="0"/>
      <w:marTop w:val="0"/>
      <w:marBottom w:val="0"/>
      <w:divBdr>
        <w:top w:val="none" w:sz="0" w:space="0" w:color="auto"/>
        <w:left w:val="none" w:sz="0" w:space="0" w:color="auto"/>
        <w:bottom w:val="none" w:sz="0" w:space="0" w:color="auto"/>
        <w:right w:val="none" w:sz="0" w:space="0" w:color="auto"/>
      </w:divBdr>
    </w:div>
    <w:div w:id="1435782663">
      <w:bodyDiv w:val="1"/>
      <w:marLeft w:val="0"/>
      <w:marRight w:val="0"/>
      <w:marTop w:val="0"/>
      <w:marBottom w:val="0"/>
      <w:divBdr>
        <w:top w:val="none" w:sz="0" w:space="0" w:color="auto"/>
        <w:left w:val="none" w:sz="0" w:space="0" w:color="auto"/>
        <w:bottom w:val="none" w:sz="0" w:space="0" w:color="auto"/>
        <w:right w:val="none" w:sz="0" w:space="0" w:color="auto"/>
      </w:divBdr>
      <w:divsChild>
        <w:div w:id="1172571023">
          <w:marLeft w:val="0"/>
          <w:marRight w:val="446"/>
          <w:marTop w:val="106"/>
          <w:marBottom w:val="120"/>
          <w:divBdr>
            <w:top w:val="none" w:sz="0" w:space="0" w:color="auto"/>
            <w:left w:val="none" w:sz="0" w:space="0" w:color="auto"/>
            <w:bottom w:val="none" w:sz="0" w:space="0" w:color="auto"/>
            <w:right w:val="none" w:sz="0" w:space="0" w:color="auto"/>
          </w:divBdr>
        </w:div>
        <w:div w:id="695811166">
          <w:marLeft w:val="0"/>
          <w:marRight w:val="446"/>
          <w:marTop w:val="106"/>
          <w:marBottom w:val="120"/>
          <w:divBdr>
            <w:top w:val="none" w:sz="0" w:space="0" w:color="auto"/>
            <w:left w:val="none" w:sz="0" w:space="0" w:color="auto"/>
            <w:bottom w:val="none" w:sz="0" w:space="0" w:color="auto"/>
            <w:right w:val="none" w:sz="0" w:space="0" w:color="auto"/>
          </w:divBdr>
        </w:div>
        <w:div w:id="357320305">
          <w:marLeft w:val="0"/>
          <w:marRight w:val="446"/>
          <w:marTop w:val="106"/>
          <w:marBottom w:val="120"/>
          <w:divBdr>
            <w:top w:val="none" w:sz="0" w:space="0" w:color="auto"/>
            <w:left w:val="none" w:sz="0" w:space="0" w:color="auto"/>
            <w:bottom w:val="none" w:sz="0" w:space="0" w:color="auto"/>
            <w:right w:val="none" w:sz="0" w:space="0" w:color="auto"/>
          </w:divBdr>
        </w:div>
        <w:div w:id="1720326471">
          <w:marLeft w:val="0"/>
          <w:marRight w:val="446"/>
          <w:marTop w:val="106"/>
          <w:marBottom w:val="120"/>
          <w:divBdr>
            <w:top w:val="none" w:sz="0" w:space="0" w:color="auto"/>
            <w:left w:val="none" w:sz="0" w:space="0" w:color="auto"/>
            <w:bottom w:val="none" w:sz="0" w:space="0" w:color="auto"/>
            <w:right w:val="none" w:sz="0" w:space="0" w:color="auto"/>
          </w:divBdr>
        </w:div>
      </w:divsChild>
    </w:div>
    <w:div w:id="1436559430">
      <w:bodyDiv w:val="1"/>
      <w:marLeft w:val="0"/>
      <w:marRight w:val="0"/>
      <w:marTop w:val="0"/>
      <w:marBottom w:val="0"/>
      <w:divBdr>
        <w:top w:val="none" w:sz="0" w:space="0" w:color="auto"/>
        <w:left w:val="none" w:sz="0" w:space="0" w:color="auto"/>
        <w:bottom w:val="none" w:sz="0" w:space="0" w:color="auto"/>
        <w:right w:val="none" w:sz="0" w:space="0" w:color="auto"/>
      </w:divBdr>
    </w:div>
    <w:div w:id="1437940507">
      <w:bodyDiv w:val="1"/>
      <w:marLeft w:val="0"/>
      <w:marRight w:val="0"/>
      <w:marTop w:val="0"/>
      <w:marBottom w:val="0"/>
      <w:divBdr>
        <w:top w:val="none" w:sz="0" w:space="0" w:color="auto"/>
        <w:left w:val="none" w:sz="0" w:space="0" w:color="auto"/>
        <w:bottom w:val="none" w:sz="0" w:space="0" w:color="auto"/>
        <w:right w:val="none" w:sz="0" w:space="0" w:color="auto"/>
      </w:divBdr>
    </w:div>
    <w:div w:id="1443569324">
      <w:bodyDiv w:val="1"/>
      <w:marLeft w:val="0"/>
      <w:marRight w:val="0"/>
      <w:marTop w:val="0"/>
      <w:marBottom w:val="0"/>
      <w:divBdr>
        <w:top w:val="none" w:sz="0" w:space="0" w:color="auto"/>
        <w:left w:val="none" w:sz="0" w:space="0" w:color="auto"/>
        <w:bottom w:val="none" w:sz="0" w:space="0" w:color="auto"/>
        <w:right w:val="none" w:sz="0" w:space="0" w:color="auto"/>
      </w:divBdr>
    </w:div>
    <w:div w:id="1449931084">
      <w:bodyDiv w:val="1"/>
      <w:marLeft w:val="0"/>
      <w:marRight w:val="0"/>
      <w:marTop w:val="0"/>
      <w:marBottom w:val="0"/>
      <w:divBdr>
        <w:top w:val="none" w:sz="0" w:space="0" w:color="auto"/>
        <w:left w:val="none" w:sz="0" w:space="0" w:color="auto"/>
        <w:bottom w:val="none" w:sz="0" w:space="0" w:color="auto"/>
        <w:right w:val="none" w:sz="0" w:space="0" w:color="auto"/>
      </w:divBdr>
      <w:divsChild>
        <w:div w:id="1192493504">
          <w:marLeft w:val="0"/>
          <w:marRight w:val="0"/>
          <w:marTop w:val="0"/>
          <w:marBottom w:val="0"/>
          <w:divBdr>
            <w:top w:val="none" w:sz="0" w:space="0" w:color="auto"/>
            <w:left w:val="none" w:sz="0" w:space="0" w:color="auto"/>
            <w:bottom w:val="none" w:sz="0" w:space="0" w:color="auto"/>
            <w:right w:val="none" w:sz="0" w:space="0" w:color="auto"/>
          </w:divBdr>
        </w:div>
        <w:div w:id="904334123">
          <w:marLeft w:val="0"/>
          <w:marRight w:val="0"/>
          <w:marTop w:val="0"/>
          <w:marBottom w:val="0"/>
          <w:divBdr>
            <w:top w:val="none" w:sz="0" w:space="0" w:color="auto"/>
            <w:left w:val="none" w:sz="0" w:space="0" w:color="auto"/>
            <w:bottom w:val="none" w:sz="0" w:space="0" w:color="auto"/>
            <w:right w:val="none" w:sz="0" w:space="0" w:color="auto"/>
          </w:divBdr>
        </w:div>
        <w:div w:id="1974217432">
          <w:marLeft w:val="0"/>
          <w:marRight w:val="0"/>
          <w:marTop w:val="0"/>
          <w:marBottom w:val="0"/>
          <w:divBdr>
            <w:top w:val="none" w:sz="0" w:space="0" w:color="auto"/>
            <w:left w:val="none" w:sz="0" w:space="0" w:color="auto"/>
            <w:bottom w:val="none" w:sz="0" w:space="0" w:color="auto"/>
            <w:right w:val="none" w:sz="0" w:space="0" w:color="auto"/>
          </w:divBdr>
        </w:div>
        <w:div w:id="1104884235">
          <w:marLeft w:val="0"/>
          <w:marRight w:val="0"/>
          <w:marTop w:val="0"/>
          <w:marBottom w:val="0"/>
          <w:divBdr>
            <w:top w:val="none" w:sz="0" w:space="0" w:color="auto"/>
            <w:left w:val="none" w:sz="0" w:space="0" w:color="auto"/>
            <w:bottom w:val="none" w:sz="0" w:space="0" w:color="auto"/>
            <w:right w:val="none" w:sz="0" w:space="0" w:color="auto"/>
          </w:divBdr>
        </w:div>
        <w:div w:id="1621689653">
          <w:marLeft w:val="0"/>
          <w:marRight w:val="0"/>
          <w:marTop w:val="0"/>
          <w:marBottom w:val="0"/>
          <w:divBdr>
            <w:top w:val="none" w:sz="0" w:space="0" w:color="auto"/>
            <w:left w:val="none" w:sz="0" w:space="0" w:color="auto"/>
            <w:bottom w:val="none" w:sz="0" w:space="0" w:color="auto"/>
            <w:right w:val="none" w:sz="0" w:space="0" w:color="auto"/>
          </w:divBdr>
        </w:div>
      </w:divsChild>
    </w:div>
    <w:div w:id="1458328945">
      <w:bodyDiv w:val="1"/>
      <w:marLeft w:val="0"/>
      <w:marRight w:val="0"/>
      <w:marTop w:val="0"/>
      <w:marBottom w:val="0"/>
      <w:divBdr>
        <w:top w:val="none" w:sz="0" w:space="0" w:color="auto"/>
        <w:left w:val="none" w:sz="0" w:space="0" w:color="auto"/>
        <w:bottom w:val="none" w:sz="0" w:space="0" w:color="auto"/>
        <w:right w:val="none" w:sz="0" w:space="0" w:color="auto"/>
      </w:divBdr>
    </w:div>
    <w:div w:id="1466005389">
      <w:bodyDiv w:val="1"/>
      <w:marLeft w:val="0"/>
      <w:marRight w:val="0"/>
      <w:marTop w:val="0"/>
      <w:marBottom w:val="0"/>
      <w:divBdr>
        <w:top w:val="none" w:sz="0" w:space="0" w:color="auto"/>
        <w:left w:val="none" w:sz="0" w:space="0" w:color="auto"/>
        <w:bottom w:val="none" w:sz="0" w:space="0" w:color="auto"/>
        <w:right w:val="none" w:sz="0" w:space="0" w:color="auto"/>
      </w:divBdr>
    </w:div>
    <w:div w:id="1477718170">
      <w:bodyDiv w:val="1"/>
      <w:marLeft w:val="0"/>
      <w:marRight w:val="0"/>
      <w:marTop w:val="0"/>
      <w:marBottom w:val="0"/>
      <w:divBdr>
        <w:top w:val="none" w:sz="0" w:space="0" w:color="auto"/>
        <w:left w:val="none" w:sz="0" w:space="0" w:color="auto"/>
        <w:bottom w:val="none" w:sz="0" w:space="0" w:color="auto"/>
        <w:right w:val="none" w:sz="0" w:space="0" w:color="auto"/>
      </w:divBdr>
      <w:divsChild>
        <w:div w:id="980883149">
          <w:marLeft w:val="0"/>
          <w:marRight w:val="0"/>
          <w:marTop w:val="0"/>
          <w:marBottom w:val="0"/>
          <w:divBdr>
            <w:top w:val="none" w:sz="0" w:space="0" w:color="auto"/>
            <w:left w:val="none" w:sz="0" w:space="0" w:color="auto"/>
            <w:bottom w:val="none" w:sz="0" w:space="0" w:color="auto"/>
            <w:right w:val="none" w:sz="0" w:space="0" w:color="auto"/>
          </w:divBdr>
        </w:div>
      </w:divsChild>
    </w:div>
    <w:div w:id="1493106928">
      <w:bodyDiv w:val="1"/>
      <w:marLeft w:val="0"/>
      <w:marRight w:val="0"/>
      <w:marTop w:val="0"/>
      <w:marBottom w:val="0"/>
      <w:divBdr>
        <w:top w:val="none" w:sz="0" w:space="0" w:color="auto"/>
        <w:left w:val="none" w:sz="0" w:space="0" w:color="auto"/>
        <w:bottom w:val="none" w:sz="0" w:space="0" w:color="auto"/>
        <w:right w:val="none" w:sz="0" w:space="0" w:color="auto"/>
      </w:divBdr>
    </w:div>
    <w:div w:id="1500998438">
      <w:bodyDiv w:val="1"/>
      <w:marLeft w:val="0"/>
      <w:marRight w:val="0"/>
      <w:marTop w:val="0"/>
      <w:marBottom w:val="0"/>
      <w:divBdr>
        <w:top w:val="none" w:sz="0" w:space="0" w:color="auto"/>
        <w:left w:val="none" w:sz="0" w:space="0" w:color="auto"/>
        <w:bottom w:val="none" w:sz="0" w:space="0" w:color="auto"/>
        <w:right w:val="none" w:sz="0" w:space="0" w:color="auto"/>
      </w:divBdr>
    </w:div>
    <w:div w:id="1503008825">
      <w:bodyDiv w:val="1"/>
      <w:marLeft w:val="0"/>
      <w:marRight w:val="0"/>
      <w:marTop w:val="0"/>
      <w:marBottom w:val="0"/>
      <w:divBdr>
        <w:top w:val="none" w:sz="0" w:space="0" w:color="auto"/>
        <w:left w:val="none" w:sz="0" w:space="0" w:color="auto"/>
        <w:bottom w:val="none" w:sz="0" w:space="0" w:color="auto"/>
        <w:right w:val="none" w:sz="0" w:space="0" w:color="auto"/>
      </w:divBdr>
    </w:div>
    <w:div w:id="1522209903">
      <w:bodyDiv w:val="1"/>
      <w:marLeft w:val="0"/>
      <w:marRight w:val="0"/>
      <w:marTop w:val="0"/>
      <w:marBottom w:val="0"/>
      <w:divBdr>
        <w:top w:val="none" w:sz="0" w:space="0" w:color="auto"/>
        <w:left w:val="none" w:sz="0" w:space="0" w:color="auto"/>
        <w:bottom w:val="none" w:sz="0" w:space="0" w:color="auto"/>
        <w:right w:val="none" w:sz="0" w:space="0" w:color="auto"/>
      </w:divBdr>
    </w:div>
    <w:div w:id="1528249823">
      <w:bodyDiv w:val="1"/>
      <w:marLeft w:val="0"/>
      <w:marRight w:val="0"/>
      <w:marTop w:val="0"/>
      <w:marBottom w:val="0"/>
      <w:divBdr>
        <w:top w:val="none" w:sz="0" w:space="0" w:color="auto"/>
        <w:left w:val="none" w:sz="0" w:space="0" w:color="auto"/>
        <w:bottom w:val="none" w:sz="0" w:space="0" w:color="auto"/>
        <w:right w:val="none" w:sz="0" w:space="0" w:color="auto"/>
      </w:divBdr>
      <w:divsChild>
        <w:div w:id="547377737">
          <w:marLeft w:val="0"/>
          <w:marRight w:val="446"/>
          <w:marTop w:val="72"/>
          <w:marBottom w:val="120"/>
          <w:divBdr>
            <w:top w:val="none" w:sz="0" w:space="0" w:color="auto"/>
            <w:left w:val="none" w:sz="0" w:space="0" w:color="auto"/>
            <w:bottom w:val="none" w:sz="0" w:space="0" w:color="auto"/>
            <w:right w:val="none" w:sz="0" w:space="0" w:color="auto"/>
          </w:divBdr>
        </w:div>
      </w:divsChild>
    </w:div>
    <w:div w:id="1531338989">
      <w:bodyDiv w:val="1"/>
      <w:marLeft w:val="0"/>
      <w:marRight w:val="0"/>
      <w:marTop w:val="0"/>
      <w:marBottom w:val="0"/>
      <w:divBdr>
        <w:top w:val="none" w:sz="0" w:space="0" w:color="auto"/>
        <w:left w:val="none" w:sz="0" w:space="0" w:color="auto"/>
        <w:bottom w:val="none" w:sz="0" w:space="0" w:color="auto"/>
        <w:right w:val="none" w:sz="0" w:space="0" w:color="auto"/>
      </w:divBdr>
      <w:divsChild>
        <w:div w:id="680203221">
          <w:marLeft w:val="0"/>
          <w:marRight w:val="446"/>
          <w:marTop w:val="106"/>
          <w:marBottom w:val="120"/>
          <w:divBdr>
            <w:top w:val="none" w:sz="0" w:space="0" w:color="auto"/>
            <w:left w:val="none" w:sz="0" w:space="0" w:color="auto"/>
            <w:bottom w:val="none" w:sz="0" w:space="0" w:color="auto"/>
            <w:right w:val="none" w:sz="0" w:space="0" w:color="auto"/>
          </w:divBdr>
        </w:div>
      </w:divsChild>
    </w:div>
    <w:div w:id="1534152771">
      <w:bodyDiv w:val="1"/>
      <w:marLeft w:val="0"/>
      <w:marRight w:val="0"/>
      <w:marTop w:val="0"/>
      <w:marBottom w:val="0"/>
      <w:divBdr>
        <w:top w:val="none" w:sz="0" w:space="0" w:color="auto"/>
        <w:left w:val="none" w:sz="0" w:space="0" w:color="auto"/>
        <w:bottom w:val="none" w:sz="0" w:space="0" w:color="auto"/>
        <w:right w:val="none" w:sz="0" w:space="0" w:color="auto"/>
      </w:divBdr>
    </w:div>
    <w:div w:id="1541742873">
      <w:bodyDiv w:val="1"/>
      <w:marLeft w:val="0"/>
      <w:marRight w:val="0"/>
      <w:marTop w:val="0"/>
      <w:marBottom w:val="0"/>
      <w:divBdr>
        <w:top w:val="none" w:sz="0" w:space="0" w:color="auto"/>
        <w:left w:val="none" w:sz="0" w:space="0" w:color="auto"/>
        <w:bottom w:val="none" w:sz="0" w:space="0" w:color="auto"/>
        <w:right w:val="none" w:sz="0" w:space="0" w:color="auto"/>
      </w:divBdr>
    </w:div>
    <w:div w:id="1551304443">
      <w:bodyDiv w:val="1"/>
      <w:marLeft w:val="0"/>
      <w:marRight w:val="0"/>
      <w:marTop w:val="0"/>
      <w:marBottom w:val="0"/>
      <w:divBdr>
        <w:top w:val="none" w:sz="0" w:space="0" w:color="auto"/>
        <w:left w:val="none" w:sz="0" w:space="0" w:color="auto"/>
        <w:bottom w:val="none" w:sz="0" w:space="0" w:color="auto"/>
        <w:right w:val="none" w:sz="0" w:space="0" w:color="auto"/>
      </w:divBdr>
    </w:div>
    <w:div w:id="1554463282">
      <w:bodyDiv w:val="1"/>
      <w:marLeft w:val="0"/>
      <w:marRight w:val="0"/>
      <w:marTop w:val="0"/>
      <w:marBottom w:val="0"/>
      <w:divBdr>
        <w:top w:val="none" w:sz="0" w:space="0" w:color="auto"/>
        <w:left w:val="none" w:sz="0" w:space="0" w:color="auto"/>
        <w:bottom w:val="none" w:sz="0" w:space="0" w:color="auto"/>
        <w:right w:val="none" w:sz="0" w:space="0" w:color="auto"/>
      </w:divBdr>
    </w:div>
    <w:div w:id="1556895384">
      <w:bodyDiv w:val="1"/>
      <w:marLeft w:val="0"/>
      <w:marRight w:val="0"/>
      <w:marTop w:val="0"/>
      <w:marBottom w:val="0"/>
      <w:divBdr>
        <w:top w:val="none" w:sz="0" w:space="0" w:color="auto"/>
        <w:left w:val="none" w:sz="0" w:space="0" w:color="auto"/>
        <w:bottom w:val="none" w:sz="0" w:space="0" w:color="auto"/>
        <w:right w:val="none" w:sz="0" w:space="0" w:color="auto"/>
      </w:divBdr>
    </w:div>
    <w:div w:id="1563099851">
      <w:bodyDiv w:val="1"/>
      <w:marLeft w:val="0"/>
      <w:marRight w:val="0"/>
      <w:marTop w:val="0"/>
      <w:marBottom w:val="0"/>
      <w:divBdr>
        <w:top w:val="none" w:sz="0" w:space="0" w:color="auto"/>
        <w:left w:val="none" w:sz="0" w:space="0" w:color="auto"/>
        <w:bottom w:val="none" w:sz="0" w:space="0" w:color="auto"/>
        <w:right w:val="none" w:sz="0" w:space="0" w:color="auto"/>
      </w:divBdr>
    </w:div>
    <w:div w:id="1566649856">
      <w:bodyDiv w:val="1"/>
      <w:marLeft w:val="0"/>
      <w:marRight w:val="0"/>
      <w:marTop w:val="0"/>
      <w:marBottom w:val="0"/>
      <w:divBdr>
        <w:top w:val="none" w:sz="0" w:space="0" w:color="auto"/>
        <w:left w:val="none" w:sz="0" w:space="0" w:color="auto"/>
        <w:bottom w:val="none" w:sz="0" w:space="0" w:color="auto"/>
        <w:right w:val="none" w:sz="0" w:space="0" w:color="auto"/>
      </w:divBdr>
    </w:div>
    <w:div w:id="1583684703">
      <w:bodyDiv w:val="1"/>
      <w:marLeft w:val="0"/>
      <w:marRight w:val="0"/>
      <w:marTop w:val="0"/>
      <w:marBottom w:val="0"/>
      <w:divBdr>
        <w:top w:val="none" w:sz="0" w:space="0" w:color="auto"/>
        <w:left w:val="none" w:sz="0" w:space="0" w:color="auto"/>
        <w:bottom w:val="none" w:sz="0" w:space="0" w:color="auto"/>
        <w:right w:val="none" w:sz="0" w:space="0" w:color="auto"/>
      </w:divBdr>
    </w:div>
    <w:div w:id="1585189842">
      <w:bodyDiv w:val="1"/>
      <w:marLeft w:val="0"/>
      <w:marRight w:val="0"/>
      <w:marTop w:val="0"/>
      <w:marBottom w:val="0"/>
      <w:divBdr>
        <w:top w:val="none" w:sz="0" w:space="0" w:color="auto"/>
        <w:left w:val="none" w:sz="0" w:space="0" w:color="auto"/>
        <w:bottom w:val="none" w:sz="0" w:space="0" w:color="auto"/>
        <w:right w:val="none" w:sz="0" w:space="0" w:color="auto"/>
      </w:divBdr>
    </w:div>
    <w:div w:id="1590844978">
      <w:bodyDiv w:val="1"/>
      <w:marLeft w:val="0"/>
      <w:marRight w:val="0"/>
      <w:marTop w:val="0"/>
      <w:marBottom w:val="0"/>
      <w:divBdr>
        <w:top w:val="none" w:sz="0" w:space="0" w:color="auto"/>
        <w:left w:val="none" w:sz="0" w:space="0" w:color="auto"/>
        <w:bottom w:val="none" w:sz="0" w:space="0" w:color="auto"/>
        <w:right w:val="none" w:sz="0" w:space="0" w:color="auto"/>
      </w:divBdr>
      <w:divsChild>
        <w:div w:id="1057435768">
          <w:marLeft w:val="0"/>
          <w:marRight w:val="446"/>
          <w:marTop w:val="115"/>
          <w:marBottom w:val="120"/>
          <w:divBdr>
            <w:top w:val="none" w:sz="0" w:space="0" w:color="auto"/>
            <w:left w:val="none" w:sz="0" w:space="0" w:color="auto"/>
            <w:bottom w:val="none" w:sz="0" w:space="0" w:color="auto"/>
            <w:right w:val="none" w:sz="0" w:space="0" w:color="auto"/>
          </w:divBdr>
        </w:div>
        <w:div w:id="954559616">
          <w:marLeft w:val="0"/>
          <w:marRight w:val="446"/>
          <w:marTop w:val="115"/>
          <w:marBottom w:val="120"/>
          <w:divBdr>
            <w:top w:val="none" w:sz="0" w:space="0" w:color="auto"/>
            <w:left w:val="none" w:sz="0" w:space="0" w:color="auto"/>
            <w:bottom w:val="none" w:sz="0" w:space="0" w:color="auto"/>
            <w:right w:val="none" w:sz="0" w:space="0" w:color="auto"/>
          </w:divBdr>
        </w:div>
        <w:div w:id="456798187">
          <w:marLeft w:val="0"/>
          <w:marRight w:val="446"/>
          <w:marTop w:val="115"/>
          <w:marBottom w:val="120"/>
          <w:divBdr>
            <w:top w:val="none" w:sz="0" w:space="0" w:color="auto"/>
            <w:left w:val="none" w:sz="0" w:space="0" w:color="auto"/>
            <w:bottom w:val="none" w:sz="0" w:space="0" w:color="auto"/>
            <w:right w:val="none" w:sz="0" w:space="0" w:color="auto"/>
          </w:divBdr>
        </w:div>
      </w:divsChild>
    </w:div>
    <w:div w:id="1591042890">
      <w:bodyDiv w:val="1"/>
      <w:marLeft w:val="0"/>
      <w:marRight w:val="0"/>
      <w:marTop w:val="0"/>
      <w:marBottom w:val="0"/>
      <w:divBdr>
        <w:top w:val="none" w:sz="0" w:space="0" w:color="auto"/>
        <w:left w:val="none" w:sz="0" w:space="0" w:color="auto"/>
        <w:bottom w:val="none" w:sz="0" w:space="0" w:color="auto"/>
        <w:right w:val="none" w:sz="0" w:space="0" w:color="auto"/>
      </w:divBdr>
    </w:div>
    <w:div w:id="1591619349">
      <w:bodyDiv w:val="1"/>
      <w:marLeft w:val="0"/>
      <w:marRight w:val="0"/>
      <w:marTop w:val="0"/>
      <w:marBottom w:val="0"/>
      <w:divBdr>
        <w:top w:val="none" w:sz="0" w:space="0" w:color="auto"/>
        <w:left w:val="none" w:sz="0" w:space="0" w:color="auto"/>
        <w:bottom w:val="none" w:sz="0" w:space="0" w:color="auto"/>
        <w:right w:val="none" w:sz="0" w:space="0" w:color="auto"/>
      </w:divBdr>
    </w:div>
    <w:div w:id="1595623208">
      <w:bodyDiv w:val="1"/>
      <w:marLeft w:val="0"/>
      <w:marRight w:val="0"/>
      <w:marTop w:val="0"/>
      <w:marBottom w:val="0"/>
      <w:divBdr>
        <w:top w:val="none" w:sz="0" w:space="0" w:color="auto"/>
        <w:left w:val="none" w:sz="0" w:space="0" w:color="auto"/>
        <w:bottom w:val="none" w:sz="0" w:space="0" w:color="auto"/>
        <w:right w:val="none" w:sz="0" w:space="0" w:color="auto"/>
      </w:divBdr>
    </w:div>
    <w:div w:id="1602952953">
      <w:bodyDiv w:val="1"/>
      <w:marLeft w:val="0"/>
      <w:marRight w:val="0"/>
      <w:marTop w:val="0"/>
      <w:marBottom w:val="0"/>
      <w:divBdr>
        <w:top w:val="none" w:sz="0" w:space="0" w:color="auto"/>
        <w:left w:val="none" w:sz="0" w:space="0" w:color="auto"/>
        <w:bottom w:val="none" w:sz="0" w:space="0" w:color="auto"/>
        <w:right w:val="none" w:sz="0" w:space="0" w:color="auto"/>
      </w:divBdr>
    </w:div>
    <w:div w:id="1605110482">
      <w:bodyDiv w:val="1"/>
      <w:marLeft w:val="0"/>
      <w:marRight w:val="0"/>
      <w:marTop w:val="0"/>
      <w:marBottom w:val="0"/>
      <w:divBdr>
        <w:top w:val="none" w:sz="0" w:space="0" w:color="auto"/>
        <w:left w:val="none" w:sz="0" w:space="0" w:color="auto"/>
        <w:bottom w:val="none" w:sz="0" w:space="0" w:color="auto"/>
        <w:right w:val="none" w:sz="0" w:space="0" w:color="auto"/>
      </w:divBdr>
    </w:div>
    <w:div w:id="1605115805">
      <w:bodyDiv w:val="1"/>
      <w:marLeft w:val="0"/>
      <w:marRight w:val="0"/>
      <w:marTop w:val="0"/>
      <w:marBottom w:val="0"/>
      <w:divBdr>
        <w:top w:val="none" w:sz="0" w:space="0" w:color="auto"/>
        <w:left w:val="none" w:sz="0" w:space="0" w:color="auto"/>
        <w:bottom w:val="none" w:sz="0" w:space="0" w:color="auto"/>
        <w:right w:val="none" w:sz="0" w:space="0" w:color="auto"/>
      </w:divBdr>
      <w:divsChild>
        <w:div w:id="1464812865">
          <w:marLeft w:val="0"/>
          <w:marRight w:val="0"/>
          <w:marTop w:val="0"/>
          <w:marBottom w:val="0"/>
          <w:divBdr>
            <w:top w:val="none" w:sz="0" w:space="0" w:color="auto"/>
            <w:left w:val="none" w:sz="0" w:space="0" w:color="auto"/>
            <w:bottom w:val="none" w:sz="0" w:space="0" w:color="auto"/>
            <w:right w:val="none" w:sz="0" w:space="0" w:color="auto"/>
          </w:divBdr>
        </w:div>
      </w:divsChild>
    </w:div>
    <w:div w:id="1610115856">
      <w:bodyDiv w:val="1"/>
      <w:marLeft w:val="0"/>
      <w:marRight w:val="0"/>
      <w:marTop w:val="0"/>
      <w:marBottom w:val="0"/>
      <w:divBdr>
        <w:top w:val="none" w:sz="0" w:space="0" w:color="auto"/>
        <w:left w:val="none" w:sz="0" w:space="0" w:color="auto"/>
        <w:bottom w:val="none" w:sz="0" w:space="0" w:color="auto"/>
        <w:right w:val="none" w:sz="0" w:space="0" w:color="auto"/>
      </w:divBdr>
    </w:div>
    <w:div w:id="1611740904">
      <w:bodyDiv w:val="1"/>
      <w:marLeft w:val="0"/>
      <w:marRight w:val="0"/>
      <w:marTop w:val="0"/>
      <w:marBottom w:val="0"/>
      <w:divBdr>
        <w:top w:val="none" w:sz="0" w:space="0" w:color="auto"/>
        <w:left w:val="none" w:sz="0" w:space="0" w:color="auto"/>
        <w:bottom w:val="none" w:sz="0" w:space="0" w:color="auto"/>
        <w:right w:val="none" w:sz="0" w:space="0" w:color="auto"/>
      </w:divBdr>
    </w:div>
    <w:div w:id="1611817476">
      <w:bodyDiv w:val="1"/>
      <w:marLeft w:val="0"/>
      <w:marRight w:val="0"/>
      <w:marTop w:val="0"/>
      <w:marBottom w:val="0"/>
      <w:divBdr>
        <w:top w:val="none" w:sz="0" w:space="0" w:color="auto"/>
        <w:left w:val="none" w:sz="0" w:space="0" w:color="auto"/>
        <w:bottom w:val="none" w:sz="0" w:space="0" w:color="auto"/>
        <w:right w:val="none" w:sz="0" w:space="0" w:color="auto"/>
      </w:divBdr>
    </w:div>
    <w:div w:id="1611859856">
      <w:bodyDiv w:val="1"/>
      <w:marLeft w:val="0"/>
      <w:marRight w:val="0"/>
      <w:marTop w:val="0"/>
      <w:marBottom w:val="0"/>
      <w:divBdr>
        <w:top w:val="none" w:sz="0" w:space="0" w:color="auto"/>
        <w:left w:val="none" w:sz="0" w:space="0" w:color="auto"/>
        <w:bottom w:val="none" w:sz="0" w:space="0" w:color="auto"/>
        <w:right w:val="none" w:sz="0" w:space="0" w:color="auto"/>
      </w:divBdr>
    </w:div>
    <w:div w:id="1617055902">
      <w:bodyDiv w:val="1"/>
      <w:marLeft w:val="0"/>
      <w:marRight w:val="0"/>
      <w:marTop w:val="0"/>
      <w:marBottom w:val="0"/>
      <w:divBdr>
        <w:top w:val="none" w:sz="0" w:space="0" w:color="auto"/>
        <w:left w:val="none" w:sz="0" w:space="0" w:color="auto"/>
        <w:bottom w:val="none" w:sz="0" w:space="0" w:color="auto"/>
        <w:right w:val="none" w:sz="0" w:space="0" w:color="auto"/>
      </w:divBdr>
      <w:divsChild>
        <w:div w:id="2047873910">
          <w:marLeft w:val="0"/>
          <w:marRight w:val="446"/>
          <w:marTop w:val="72"/>
          <w:marBottom w:val="120"/>
          <w:divBdr>
            <w:top w:val="none" w:sz="0" w:space="0" w:color="auto"/>
            <w:left w:val="none" w:sz="0" w:space="0" w:color="auto"/>
            <w:bottom w:val="none" w:sz="0" w:space="0" w:color="auto"/>
            <w:right w:val="none" w:sz="0" w:space="0" w:color="auto"/>
          </w:divBdr>
        </w:div>
        <w:div w:id="1690990768">
          <w:marLeft w:val="0"/>
          <w:marRight w:val="446"/>
          <w:marTop w:val="72"/>
          <w:marBottom w:val="120"/>
          <w:divBdr>
            <w:top w:val="none" w:sz="0" w:space="0" w:color="auto"/>
            <w:left w:val="none" w:sz="0" w:space="0" w:color="auto"/>
            <w:bottom w:val="none" w:sz="0" w:space="0" w:color="auto"/>
            <w:right w:val="none" w:sz="0" w:space="0" w:color="auto"/>
          </w:divBdr>
        </w:div>
        <w:div w:id="672531283">
          <w:marLeft w:val="0"/>
          <w:marRight w:val="619"/>
          <w:marTop w:val="72"/>
          <w:marBottom w:val="120"/>
          <w:divBdr>
            <w:top w:val="none" w:sz="0" w:space="0" w:color="auto"/>
            <w:left w:val="none" w:sz="0" w:space="0" w:color="auto"/>
            <w:bottom w:val="none" w:sz="0" w:space="0" w:color="auto"/>
            <w:right w:val="none" w:sz="0" w:space="0" w:color="auto"/>
          </w:divBdr>
        </w:div>
        <w:div w:id="1258906312">
          <w:marLeft w:val="0"/>
          <w:marRight w:val="619"/>
          <w:marTop w:val="72"/>
          <w:marBottom w:val="120"/>
          <w:divBdr>
            <w:top w:val="none" w:sz="0" w:space="0" w:color="auto"/>
            <w:left w:val="none" w:sz="0" w:space="0" w:color="auto"/>
            <w:bottom w:val="none" w:sz="0" w:space="0" w:color="auto"/>
            <w:right w:val="none" w:sz="0" w:space="0" w:color="auto"/>
          </w:divBdr>
        </w:div>
        <w:div w:id="316763422">
          <w:marLeft w:val="0"/>
          <w:marRight w:val="619"/>
          <w:marTop w:val="72"/>
          <w:marBottom w:val="120"/>
          <w:divBdr>
            <w:top w:val="none" w:sz="0" w:space="0" w:color="auto"/>
            <w:left w:val="none" w:sz="0" w:space="0" w:color="auto"/>
            <w:bottom w:val="none" w:sz="0" w:space="0" w:color="auto"/>
            <w:right w:val="none" w:sz="0" w:space="0" w:color="auto"/>
          </w:divBdr>
        </w:div>
        <w:div w:id="49767879">
          <w:marLeft w:val="0"/>
          <w:marRight w:val="619"/>
          <w:marTop w:val="72"/>
          <w:marBottom w:val="120"/>
          <w:divBdr>
            <w:top w:val="none" w:sz="0" w:space="0" w:color="auto"/>
            <w:left w:val="none" w:sz="0" w:space="0" w:color="auto"/>
            <w:bottom w:val="none" w:sz="0" w:space="0" w:color="auto"/>
            <w:right w:val="none" w:sz="0" w:space="0" w:color="auto"/>
          </w:divBdr>
        </w:div>
        <w:div w:id="34278609">
          <w:marLeft w:val="0"/>
          <w:marRight w:val="1022"/>
          <w:marTop w:val="72"/>
          <w:marBottom w:val="120"/>
          <w:divBdr>
            <w:top w:val="none" w:sz="0" w:space="0" w:color="auto"/>
            <w:left w:val="none" w:sz="0" w:space="0" w:color="auto"/>
            <w:bottom w:val="none" w:sz="0" w:space="0" w:color="auto"/>
            <w:right w:val="none" w:sz="0" w:space="0" w:color="auto"/>
          </w:divBdr>
        </w:div>
        <w:div w:id="1351951151">
          <w:marLeft w:val="0"/>
          <w:marRight w:val="619"/>
          <w:marTop w:val="72"/>
          <w:marBottom w:val="120"/>
          <w:divBdr>
            <w:top w:val="none" w:sz="0" w:space="0" w:color="auto"/>
            <w:left w:val="none" w:sz="0" w:space="0" w:color="auto"/>
            <w:bottom w:val="none" w:sz="0" w:space="0" w:color="auto"/>
            <w:right w:val="none" w:sz="0" w:space="0" w:color="auto"/>
          </w:divBdr>
        </w:div>
        <w:div w:id="1840388574">
          <w:marLeft w:val="0"/>
          <w:marRight w:val="1022"/>
          <w:marTop w:val="72"/>
          <w:marBottom w:val="120"/>
          <w:divBdr>
            <w:top w:val="none" w:sz="0" w:space="0" w:color="auto"/>
            <w:left w:val="none" w:sz="0" w:space="0" w:color="auto"/>
            <w:bottom w:val="none" w:sz="0" w:space="0" w:color="auto"/>
            <w:right w:val="none" w:sz="0" w:space="0" w:color="auto"/>
          </w:divBdr>
        </w:div>
      </w:divsChild>
    </w:div>
    <w:div w:id="1621229748">
      <w:bodyDiv w:val="1"/>
      <w:marLeft w:val="0"/>
      <w:marRight w:val="0"/>
      <w:marTop w:val="0"/>
      <w:marBottom w:val="0"/>
      <w:divBdr>
        <w:top w:val="none" w:sz="0" w:space="0" w:color="auto"/>
        <w:left w:val="none" w:sz="0" w:space="0" w:color="auto"/>
        <w:bottom w:val="none" w:sz="0" w:space="0" w:color="auto"/>
        <w:right w:val="none" w:sz="0" w:space="0" w:color="auto"/>
      </w:divBdr>
    </w:div>
    <w:div w:id="1625651486">
      <w:bodyDiv w:val="1"/>
      <w:marLeft w:val="0"/>
      <w:marRight w:val="0"/>
      <w:marTop w:val="0"/>
      <w:marBottom w:val="0"/>
      <w:divBdr>
        <w:top w:val="none" w:sz="0" w:space="0" w:color="auto"/>
        <w:left w:val="none" w:sz="0" w:space="0" w:color="auto"/>
        <w:bottom w:val="none" w:sz="0" w:space="0" w:color="auto"/>
        <w:right w:val="none" w:sz="0" w:space="0" w:color="auto"/>
      </w:divBdr>
    </w:div>
    <w:div w:id="1627158473">
      <w:bodyDiv w:val="1"/>
      <w:marLeft w:val="0"/>
      <w:marRight w:val="0"/>
      <w:marTop w:val="0"/>
      <w:marBottom w:val="0"/>
      <w:divBdr>
        <w:top w:val="none" w:sz="0" w:space="0" w:color="auto"/>
        <w:left w:val="none" w:sz="0" w:space="0" w:color="auto"/>
        <w:bottom w:val="none" w:sz="0" w:space="0" w:color="auto"/>
        <w:right w:val="none" w:sz="0" w:space="0" w:color="auto"/>
      </w:divBdr>
    </w:div>
    <w:div w:id="1631477623">
      <w:bodyDiv w:val="1"/>
      <w:marLeft w:val="0"/>
      <w:marRight w:val="0"/>
      <w:marTop w:val="0"/>
      <w:marBottom w:val="0"/>
      <w:divBdr>
        <w:top w:val="none" w:sz="0" w:space="0" w:color="auto"/>
        <w:left w:val="none" w:sz="0" w:space="0" w:color="auto"/>
        <w:bottom w:val="none" w:sz="0" w:space="0" w:color="auto"/>
        <w:right w:val="none" w:sz="0" w:space="0" w:color="auto"/>
      </w:divBdr>
      <w:divsChild>
        <w:div w:id="1993899968">
          <w:marLeft w:val="0"/>
          <w:marRight w:val="446"/>
          <w:marTop w:val="106"/>
          <w:marBottom w:val="120"/>
          <w:divBdr>
            <w:top w:val="none" w:sz="0" w:space="0" w:color="auto"/>
            <w:left w:val="none" w:sz="0" w:space="0" w:color="auto"/>
            <w:bottom w:val="none" w:sz="0" w:space="0" w:color="auto"/>
            <w:right w:val="none" w:sz="0" w:space="0" w:color="auto"/>
          </w:divBdr>
        </w:div>
        <w:div w:id="641035421">
          <w:marLeft w:val="0"/>
          <w:marRight w:val="446"/>
          <w:marTop w:val="106"/>
          <w:marBottom w:val="120"/>
          <w:divBdr>
            <w:top w:val="none" w:sz="0" w:space="0" w:color="auto"/>
            <w:left w:val="none" w:sz="0" w:space="0" w:color="auto"/>
            <w:bottom w:val="none" w:sz="0" w:space="0" w:color="auto"/>
            <w:right w:val="none" w:sz="0" w:space="0" w:color="auto"/>
          </w:divBdr>
        </w:div>
        <w:div w:id="746464169">
          <w:marLeft w:val="0"/>
          <w:marRight w:val="446"/>
          <w:marTop w:val="106"/>
          <w:marBottom w:val="120"/>
          <w:divBdr>
            <w:top w:val="none" w:sz="0" w:space="0" w:color="auto"/>
            <w:left w:val="none" w:sz="0" w:space="0" w:color="auto"/>
            <w:bottom w:val="none" w:sz="0" w:space="0" w:color="auto"/>
            <w:right w:val="none" w:sz="0" w:space="0" w:color="auto"/>
          </w:divBdr>
        </w:div>
        <w:div w:id="840510933">
          <w:marLeft w:val="0"/>
          <w:marRight w:val="446"/>
          <w:marTop w:val="106"/>
          <w:marBottom w:val="120"/>
          <w:divBdr>
            <w:top w:val="none" w:sz="0" w:space="0" w:color="auto"/>
            <w:left w:val="none" w:sz="0" w:space="0" w:color="auto"/>
            <w:bottom w:val="none" w:sz="0" w:space="0" w:color="auto"/>
            <w:right w:val="none" w:sz="0" w:space="0" w:color="auto"/>
          </w:divBdr>
        </w:div>
      </w:divsChild>
    </w:div>
    <w:div w:id="1633631038">
      <w:bodyDiv w:val="1"/>
      <w:marLeft w:val="0"/>
      <w:marRight w:val="0"/>
      <w:marTop w:val="0"/>
      <w:marBottom w:val="0"/>
      <w:divBdr>
        <w:top w:val="none" w:sz="0" w:space="0" w:color="auto"/>
        <w:left w:val="none" w:sz="0" w:space="0" w:color="auto"/>
        <w:bottom w:val="none" w:sz="0" w:space="0" w:color="auto"/>
        <w:right w:val="none" w:sz="0" w:space="0" w:color="auto"/>
      </w:divBdr>
      <w:divsChild>
        <w:div w:id="2052412470">
          <w:marLeft w:val="0"/>
          <w:marRight w:val="446"/>
          <w:marTop w:val="96"/>
          <w:marBottom w:val="120"/>
          <w:divBdr>
            <w:top w:val="none" w:sz="0" w:space="0" w:color="auto"/>
            <w:left w:val="none" w:sz="0" w:space="0" w:color="auto"/>
            <w:bottom w:val="none" w:sz="0" w:space="0" w:color="auto"/>
            <w:right w:val="none" w:sz="0" w:space="0" w:color="auto"/>
          </w:divBdr>
        </w:div>
        <w:div w:id="202448606">
          <w:marLeft w:val="0"/>
          <w:marRight w:val="446"/>
          <w:marTop w:val="96"/>
          <w:marBottom w:val="120"/>
          <w:divBdr>
            <w:top w:val="none" w:sz="0" w:space="0" w:color="auto"/>
            <w:left w:val="none" w:sz="0" w:space="0" w:color="auto"/>
            <w:bottom w:val="none" w:sz="0" w:space="0" w:color="auto"/>
            <w:right w:val="none" w:sz="0" w:space="0" w:color="auto"/>
          </w:divBdr>
        </w:div>
        <w:div w:id="1769887591">
          <w:marLeft w:val="0"/>
          <w:marRight w:val="446"/>
          <w:marTop w:val="96"/>
          <w:marBottom w:val="120"/>
          <w:divBdr>
            <w:top w:val="none" w:sz="0" w:space="0" w:color="auto"/>
            <w:left w:val="none" w:sz="0" w:space="0" w:color="auto"/>
            <w:bottom w:val="none" w:sz="0" w:space="0" w:color="auto"/>
            <w:right w:val="none" w:sz="0" w:space="0" w:color="auto"/>
          </w:divBdr>
        </w:div>
        <w:div w:id="78912650">
          <w:marLeft w:val="0"/>
          <w:marRight w:val="446"/>
          <w:marTop w:val="96"/>
          <w:marBottom w:val="120"/>
          <w:divBdr>
            <w:top w:val="none" w:sz="0" w:space="0" w:color="auto"/>
            <w:left w:val="none" w:sz="0" w:space="0" w:color="auto"/>
            <w:bottom w:val="none" w:sz="0" w:space="0" w:color="auto"/>
            <w:right w:val="none" w:sz="0" w:space="0" w:color="auto"/>
          </w:divBdr>
        </w:div>
      </w:divsChild>
    </w:div>
    <w:div w:id="1651903623">
      <w:bodyDiv w:val="1"/>
      <w:marLeft w:val="0"/>
      <w:marRight w:val="0"/>
      <w:marTop w:val="0"/>
      <w:marBottom w:val="0"/>
      <w:divBdr>
        <w:top w:val="none" w:sz="0" w:space="0" w:color="auto"/>
        <w:left w:val="none" w:sz="0" w:space="0" w:color="auto"/>
        <w:bottom w:val="none" w:sz="0" w:space="0" w:color="auto"/>
        <w:right w:val="none" w:sz="0" w:space="0" w:color="auto"/>
      </w:divBdr>
    </w:div>
    <w:div w:id="1654214954">
      <w:bodyDiv w:val="1"/>
      <w:marLeft w:val="0"/>
      <w:marRight w:val="0"/>
      <w:marTop w:val="0"/>
      <w:marBottom w:val="0"/>
      <w:divBdr>
        <w:top w:val="none" w:sz="0" w:space="0" w:color="auto"/>
        <w:left w:val="none" w:sz="0" w:space="0" w:color="auto"/>
        <w:bottom w:val="none" w:sz="0" w:space="0" w:color="auto"/>
        <w:right w:val="none" w:sz="0" w:space="0" w:color="auto"/>
      </w:divBdr>
    </w:div>
    <w:div w:id="1655254193">
      <w:bodyDiv w:val="1"/>
      <w:marLeft w:val="0"/>
      <w:marRight w:val="0"/>
      <w:marTop w:val="0"/>
      <w:marBottom w:val="0"/>
      <w:divBdr>
        <w:top w:val="none" w:sz="0" w:space="0" w:color="auto"/>
        <w:left w:val="none" w:sz="0" w:space="0" w:color="auto"/>
        <w:bottom w:val="none" w:sz="0" w:space="0" w:color="auto"/>
        <w:right w:val="none" w:sz="0" w:space="0" w:color="auto"/>
      </w:divBdr>
      <w:divsChild>
        <w:div w:id="200409431">
          <w:marLeft w:val="0"/>
          <w:marRight w:val="446"/>
          <w:marTop w:val="106"/>
          <w:marBottom w:val="120"/>
          <w:divBdr>
            <w:top w:val="none" w:sz="0" w:space="0" w:color="auto"/>
            <w:left w:val="none" w:sz="0" w:space="0" w:color="auto"/>
            <w:bottom w:val="none" w:sz="0" w:space="0" w:color="auto"/>
            <w:right w:val="none" w:sz="0" w:space="0" w:color="auto"/>
          </w:divBdr>
        </w:div>
        <w:div w:id="1095441102">
          <w:marLeft w:val="0"/>
          <w:marRight w:val="446"/>
          <w:marTop w:val="106"/>
          <w:marBottom w:val="120"/>
          <w:divBdr>
            <w:top w:val="none" w:sz="0" w:space="0" w:color="auto"/>
            <w:left w:val="none" w:sz="0" w:space="0" w:color="auto"/>
            <w:bottom w:val="none" w:sz="0" w:space="0" w:color="auto"/>
            <w:right w:val="none" w:sz="0" w:space="0" w:color="auto"/>
          </w:divBdr>
        </w:div>
        <w:div w:id="1400445793">
          <w:marLeft w:val="0"/>
          <w:marRight w:val="446"/>
          <w:marTop w:val="106"/>
          <w:marBottom w:val="120"/>
          <w:divBdr>
            <w:top w:val="none" w:sz="0" w:space="0" w:color="auto"/>
            <w:left w:val="none" w:sz="0" w:space="0" w:color="auto"/>
            <w:bottom w:val="none" w:sz="0" w:space="0" w:color="auto"/>
            <w:right w:val="none" w:sz="0" w:space="0" w:color="auto"/>
          </w:divBdr>
        </w:div>
        <w:div w:id="2062047407">
          <w:marLeft w:val="0"/>
          <w:marRight w:val="446"/>
          <w:marTop w:val="106"/>
          <w:marBottom w:val="120"/>
          <w:divBdr>
            <w:top w:val="none" w:sz="0" w:space="0" w:color="auto"/>
            <w:left w:val="none" w:sz="0" w:space="0" w:color="auto"/>
            <w:bottom w:val="none" w:sz="0" w:space="0" w:color="auto"/>
            <w:right w:val="none" w:sz="0" w:space="0" w:color="auto"/>
          </w:divBdr>
        </w:div>
      </w:divsChild>
    </w:div>
    <w:div w:id="1658339083">
      <w:bodyDiv w:val="1"/>
      <w:marLeft w:val="0"/>
      <w:marRight w:val="0"/>
      <w:marTop w:val="0"/>
      <w:marBottom w:val="0"/>
      <w:divBdr>
        <w:top w:val="none" w:sz="0" w:space="0" w:color="auto"/>
        <w:left w:val="none" w:sz="0" w:space="0" w:color="auto"/>
        <w:bottom w:val="none" w:sz="0" w:space="0" w:color="auto"/>
        <w:right w:val="none" w:sz="0" w:space="0" w:color="auto"/>
      </w:divBdr>
      <w:divsChild>
        <w:div w:id="1467046474">
          <w:marLeft w:val="0"/>
          <w:marRight w:val="446"/>
          <w:marTop w:val="106"/>
          <w:marBottom w:val="120"/>
          <w:divBdr>
            <w:top w:val="none" w:sz="0" w:space="0" w:color="auto"/>
            <w:left w:val="none" w:sz="0" w:space="0" w:color="auto"/>
            <w:bottom w:val="none" w:sz="0" w:space="0" w:color="auto"/>
            <w:right w:val="none" w:sz="0" w:space="0" w:color="auto"/>
          </w:divBdr>
        </w:div>
      </w:divsChild>
    </w:div>
    <w:div w:id="1661805738">
      <w:bodyDiv w:val="1"/>
      <w:marLeft w:val="0"/>
      <w:marRight w:val="0"/>
      <w:marTop w:val="0"/>
      <w:marBottom w:val="0"/>
      <w:divBdr>
        <w:top w:val="none" w:sz="0" w:space="0" w:color="auto"/>
        <w:left w:val="none" w:sz="0" w:space="0" w:color="auto"/>
        <w:bottom w:val="none" w:sz="0" w:space="0" w:color="auto"/>
        <w:right w:val="none" w:sz="0" w:space="0" w:color="auto"/>
      </w:divBdr>
    </w:div>
    <w:div w:id="1664316528">
      <w:bodyDiv w:val="1"/>
      <w:marLeft w:val="0"/>
      <w:marRight w:val="0"/>
      <w:marTop w:val="0"/>
      <w:marBottom w:val="0"/>
      <w:divBdr>
        <w:top w:val="none" w:sz="0" w:space="0" w:color="auto"/>
        <w:left w:val="none" w:sz="0" w:space="0" w:color="auto"/>
        <w:bottom w:val="none" w:sz="0" w:space="0" w:color="auto"/>
        <w:right w:val="none" w:sz="0" w:space="0" w:color="auto"/>
      </w:divBdr>
    </w:div>
    <w:div w:id="1667053924">
      <w:bodyDiv w:val="1"/>
      <w:marLeft w:val="0"/>
      <w:marRight w:val="0"/>
      <w:marTop w:val="0"/>
      <w:marBottom w:val="0"/>
      <w:divBdr>
        <w:top w:val="none" w:sz="0" w:space="0" w:color="auto"/>
        <w:left w:val="none" w:sz="0" w:space="0" w:color="auto"/>
        <w:bottom w:val="none" w:sz="0" w:space="0" w:color="auto"/>
        <w:right w:val="none" w:sz="0" w:space="0" w:color="auto"/>
      </w:divBdr>
      <w:divsChild>
        <w:div w:id="777990355">
          <w:marLeft w:val="0"/>
          <w:marRight w:val="0"/>
          <w:marTop w:val="0"/>
          <w:marBottom w:val="0"/>
          <w:divBdr>
            <w:top w:val="none" w:sz="0" w:space="0" w:color="auto"/>
            <w:left w:val="none" w:sz="0" w:space="0" w:color="auto"/>
            <w:bottom w:val="none" w:sz="0" w:space="0" w:color="auto"/>
            <w:right w:val="none" w:sz="0" w:space="0" w:color="auto"/>
          </w:divBdr>
        </w:div>
        <w:div w:id="551618778">
          <w:marLeft w:val="0"/>
          <w:marRight w:val="0"/>
          <w:marTop w:val="0"/>
          <w:marBottom w:val="0"/>
          <w:divBdr>
            <w:top w:val="none" w:sz="0" w:space="0" w:color="auto"/>
            <w:left w:val="none" w:sz="0" w:space="0" w:color="auto"/>
            <w:bottom w:val="none" w:sz="0" w:space="0" w:color="auto"/>
            <w:right w:val="none" w:sz="0" w:space="0" w:color="auto"/>
          </w:divBdr>
        </w:div>
        <w:div w:id="707418177">
          <w:marLeft w:val="0"/>
          <w:marRight w:val="0"/>
          <w:marTop w:val="0"/>
          <w:marBottom w:val="0"/>
          <w:divBdr>
            <w:top w:val="none" w:sz="0" w:space="0" w:color="auto"/>
            <w:left w:val="none" w:sz="0" w:space="0" w:color="auto"/>
            <w:bottom w:val="none" w:sz="0" w:space="0" w:color="auto"/>
            <w:right w:val="none" w:sz="0" w:space="0" w:color="auto"/>
          </w:divBdr>
        </w:div>
        <w:div w:id="1431047237">
          <w:marLeft w:val="0"/>
          <w:marRight w:val="0"/>
          <w:marTop w:val="0"/>
          <w:marBottom w:val="0"/>
          <w:divBdr>
            <w:top w:val="none" w:sz="0" w:space="0" w:color="auto"/>
            <w:left w:val="none" w:sz="0" w:space="0" w:color="auto"/>
            <w:bottom w:val="none" w:sz="0" w:space="0" w:color="auto"/>
            <w:right w:val="none" w:sz="0" w:space="0" w:color="auto"/>
          </w:divBdr>
        </w:div>
        <w:div w:id="876434566">
          <w:marLeft w:val="0"/>
          <w:marRight w:val="0"/>
          <w:marTop w:val="0"/>
          <w:marBottom w:val="0"/>
          <w:divBdr>
            <w:top w:val="none" w:sz="0" w:space="0" w:color="auto"/>
            <w:left w:val="none" w:sz="0" w:space="0" w:color="auto"/>
            <w:bottom w:val="none" w:sz="0" w:space="0" w:color="auto"/>
            <w:right w:val="none" w:sz="0" w:space="0" w:color="auto"/>
          </w:divBdr>
        </w:div>
        <w:div w:id="1262488761">
          <w:marLeft w:val="0"/>
          <w:marRight w:val="0"/>
          <w:marTop w:val="0"/>
          <w:marBottom w:val="0"/>
          <w:divBdr>
            <w:top w:val="none" w:sz="0" w:space="0" w:color="auto"/>
            <w:left w:val="none" w:sz="0" w:space="0" w:color="auto"/>
            <w:bottom w:val="none" w:sz="0" w:space="0" w:color="auto"/>
            <w:right w:val="none" w:sz="0" w:space="0" w:color="auto"/>
          </w:divBdr>
        </w:div>
        <w:div w:id="430785510">
          <w:marLeft w:val="0"/>
          <w:marRight w:val="0"/>
          <w:marTop w:val="0"/>
          <w:marBottom w:val="0"/>
          <w:divBdr>
            <w:top w:val="none" w:sz="0" w:space="0" w:color="auto"/>
            <w:left w:val="none" w:sz="0" w:space="0" w:color="auto"/>
            <w:bottom w:val="none" w:sz="0" w:space="0" w:color="auto"/>
            <w:right w:val="none" w:sz="0" w:space="0" w:color="auto"/>
          </w:divBdr>
        </w:div>
        <w:div w:id="1666933361">
          <w:marLeft w:val="0"/>
          <w:marRight w:val="0"/>
          <w:marTop w:val="0"/>
          <w:marBottom w:val="0"/>
          <w:divBdr>
            <w:top w:val="none" w:sz="0" w:space="0" w:color="auto"/>
            <w:left w:val="none" w:sz="0" w:space="0" w:color="auto"/>
            <w:bottom w:val="none" w:sz="0" w:space="0" w:color="auto"/>
            <w:right w:val="none" w:sz="0" w:space="0" w:color="auto"/>
          </w:divBdr>
        </w:div>
        <w:div w:id="551504587">
          <w:marLeft w:val="0"/>
          <w:marRight w:val="0"/>
          <w:marTop w:val="0"/>
          <w:marBottom w:val="0"/>
          <w:divBdr>
            <w:top w:val="none" w:sz="0" w:space="0" w:color="auto"/>
            <w:left w:val="none" w:sz="0" w:space="0" w:color="auto"/>
            <w:bottom w:val="none" w:sz="0" w:space="0" w:color="auto"/>
            <w:right w:val="none" w:sz="0" w:space="0" w:color="auto"/>
          </w:divBdr>
        </w:div>
      </w:divsChild>
    </w:div>
    <w:div w:id="1671909670">
      <w:bodyDiv w:val="1"/>
      <w:marLeft w:val="0"/>
      <w:marRight w:val="0"/>
      <w:marTop w:val="0"/>
      <w:marBottom w:val="0"/>
      <w:divBdr>
        <w:top w:val="none" w:sz="0" w:space="0" w:color="auto"/>
        <w:left w:val="none" w:sz="0" w:space="0" w:color="auto"/>
        <w:bottom w:val="none" w:sz="0" w:space="0" w:color="auto"/>
        <w:right w:val="none" w:sz="0" w:space="0" w:color="auto"/>
      </w:divBdr>
      <w:divsChild>
        <w:div w:id="1247232697">
          <w:marLeft w:val="0"/>
          <w:marRight w:val="0"/>
          <w:marTop w:val="0"/>
          <w:marBottom w:val="0"/>
          <w:divBdr>
            <w:top w:val="none" w:sz="0" w:space="0" w:color="auto"/>
            <w:left w:val="none" w:sz="0" w:space="0" w:color="auto"/>
            <w:bottom w:val="none" w:sz="0" w:space="0" w:color="auto"/>
            <w:right w:val="none" w:sz="0" w:space="0" w:color="auto"/>
          </w:divBdr>
        </w:div>
        <w:div w:id="1600019952">
          <w:marLeft w:val="0"/>
          <w:marRight w:val="0"/>
          <w:marTop w:val="0"/>
          <w:marBottom w:val="0"/>
          <w:divBdr>
            <w:top w:val="none" w:sz="0" w:space="0" w:color="auto"/>
            <w:left w:val="none" w:sz="0" w:space="0" w:color="auto"/>
            <w:bottom w:val="none" w:sz="0" w:space="0" w:color="auto"/>
            <w:right w:val="none" w:sz="0" w:space="0" w:color="auto"/>
          </w:divBdr>
        </w:div>
        <w:div w:id="1450587564">
          <w:marLeft w:val="0"/>
          <w:marRight w:val="0"/>
          <w:marTop w:val="0"/>
          <w:marBottom w:val="0"/>
          <w:divBdr>
            <w:top w:val="none" w:sz="0" w:space="0" w:color="auto"/>
            <w:left w:val="none" w:sz="0" w:space="0" w:color="auto"/>
            <w:bottom w:val="none" w:sz="0" w:space="0" w:color="auto"/>
            <w:right w:val="none" w:sz="0" w:space="0" w:color="auto"/>
          </w:divBdr>
        </w:div>
        <w:div w:id="705912531">
          <w:marLeft w:val="0"/>
          <w:marRight w:val="0"/>
          <w:marTop w:val="0"/>
          <w:marBottom w:val="0"/>
          <w:divBdr>
            <w:top w:val="none" w:sz="0" w:space="0" w:color="auto"/>
            <w:left w:val="none" w:sz="0" w:space="0" w:color="auto"/>
            <w:bottom w:val="none" w:sz="0" w:space="0" w:color="auto"/>
            <w:right w:val="none" w:sz="0" w:space="0" w:color="auto"/>
          </w:divBdr>
        </w:div>
      </w:divsChild>
    </w:div>
    <w:div w:id="1672297188">
      <w:bodyDiv w:val="1"/>
      <w:marLeft w:val="0"/>
      <w:marRight w:val="0"/>
      <w:marTop w:val="0"/>
      <w:marBottom w:val="0"/>
      <w:divBdr>
        <w:top w:val="none" w:sz="0" w:space="0" w:color="auto"/>
        <w:left w:val="none" w:sz="0" w:space="0" w:color="auto"/>
        <w:bottom w:val="none" w:sz="0" w:space="0" w:color="auto"/>
        <w:right w:val="none" w:sz="0" w:space="0" w:color="auto"/>
      </w:divBdr>
    </w:div>
    <w:div w:id="1683508538">
      <w:bodyDiv w:val="1"/>
      <w:marLeft w:val="0"/>
      <w:marRight w:val="0"/>
      <w:marTop w:val="0"/>
      <w:marBottom w:val="0"/>
      <w:divBdr>
        <w:top w:val="none" w:sz="0" w:space="0" w:color="auto"/>
        <w:left w:val="none" w:sz="0" w:space="0" w:color="auto"/>
        <w:bottom w:val="none" w:sz="0" w:space="0" w:color="auto"/>
        <w:right w:val="none" w:sz="0" w:space="0" w:color="auto"/>
      </w:divBdr>
      <w:divsChild>
        <w:div w:id="1429734449">
          <w:marLeft w:val="0"/>
          <w:marRight w:val="0"/>
          <w:marTop w:val="0"/>
          <w:marBottom w:val="0"/>
          <w:divBdr>
            <w:top w:val="none" w:sz="0" w:space="0" w:color="auto"/>
            <w:left w:val="none" w:sz="0" w:space="0" w:color="auto"/>
            <w:bottom w:val="none" w:sz="0" w:space="0" w:color="auto"/>
            <w:right w:val="none" w:sz="0" w:space="0" w:color="auto"/>
          </w:divBdr>
        </w:div>
      </w:divsChild>
    </w:div>
    <w:div w:id="1685205133">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sChild>
        <w:div w:id="1684285652">
          <w:marLeft w:val="0"/>
          <w:marRight w:val="0"/>
          <w:marTop w:val="0"/>
          <w:marBottom w:val="0"/>
          <w:divBdr>
            <w:top w:val="none" w:sz="0" w:space="0" w:color="auto"/>
            <w:left w:val="none" w:sz="0" w:space="0" w:color="auto"/>
            <w:bottom w:val="none" w:sz="0" w:space="0" w:color="auto"/>
            <w:right w:val="none" w:sz="0" w:space="0" w:color="auto"/>
          </w:divBdr>
        </w:div>
      </w:divsChild>
    </w:div>
    <w:div w:id="1688827114">
      <w:bodyDiv w:val="1"/>
      <w:marLeft w:val="0"/>
      <w:marRight w:val="0"/>
      <w:marTop w:val="0"/>
      <w:marBottom w:val="0"/>
      <w:divBdr>
        <w:top w:val="none" w:sz="0" w:space="0" w:color="auto"/>
        <w:left w:val="none" w:sz="0" w:space="0" w:color="auto"/>
        <w:bottom w:val="none" w:sz="0" w:space="0" w:color="auto"/>
        <w:right w:val="none" w:sz="0" w:space="0" w:color="auto"/>
      </w:divBdr>
      <w:divsChild>
        <w:div w:id="794719452">
          <w:marLeft w:val="0"/>
          <w:marRight w:val="446"/>
          <w:marTop w:val="115"/>
          <w:marBottom w:val="120"/>
          <w:divBdr>
            <w:top w:val="none" w:sz="0" w:space="0" w:color="auto"/>
            <w:left w:val="none" w:sz="0" w:space="0" w:color="auto"/>
            <w:bottom w:val="none" w:sz="0" w:space="0" w:color="auto"/>
            <w:right w:val="none" w:sz="0" w:space="0" w:color="auto"/>
          </w:divBdr>
        </w:div>
        <w:div w:id="417606096">
          <w:marLeft w:val="0"/>
          <w:marRight w:val="446"/>
          <w:marTop w:val="115"/>
          <w:marBottom w:val="120"/>
          <w:divBdr>
            <w:top w:val="none" w:sz="0" w:space="0" w:color="auto"/>
            <w:left w:val="none" w:sz="0" w:space="0" w:color="auto"/>
            <w:bottom w:val="none" w:sz="0" w:space="0" w:color="auto"/>
            <w:right w:val="none" w:sz="0" w:space="0" w:color="auto"/>
          </w:divBdr>
        </w:div>
        <w:div w:id="402800500">
          <w:marLeft w:val="0"/>
          <w:marRight w:val="446"/>
          <w:marTop w:val="115"/>
          <w:marBottom w:val="120"/>
          <w:divBdr>
            <w:top w:val="none" w:sz="0" w:space="0" w:color="auto"/>
            <w:left w:val="none" w:sz="0" w:space="0" w:color="auto"/>
            <w:bottom w:val="none" w:sz="0" w:space="0" w:color="auto"/>
            <w:right w:val="none" w:sz="0" w:space="0" w:color="auto"/>
          </w:divBdr>
        </w:div>
      </w:divsChild>
    </w:div>
    <w:div w:id="1693218378">
      <w:bodyDiv w:val="1"/>
      <w:marLeft w:val="0"/>
      <w:marRight w:val="0"/>
      <w:marTop w:val="0"/>
      <w:marBottom w:val="0"/>
      <w:divBdr>
        <w:top w:val="none" w:sz="0" w:space="0" w:color="auto"/>
        <w:left w:val="none" w:sz="0" w:space="0" w:color="auto"/>
        <w:bottom w:val="none" w:sz="0" w:space="0" w:color="auto"/>
        <w:right w:val="none" w:sz="0" w:space="0" w:color="auto"/>
      </w:divBdr>
      <w:divsChild>
        <w:div w:id="1811945606">
          <w:marLeft w:val="0"/>
          <w:marRight w:val="446"/>
          <w:marTop w:val="106"/>
          <w:marBottom w:val="120"/>
          <w:divBdr>
            <w:top w:val="none" w:sz="0" w:space="0" w:color="auto"/>
            <w:left w:val="none" w:sz="0" w:space="0" w:color="auto"/>
            <w:bottom w:val="none" w:sz="0" w:space="0" w:color="auto"/>
            <w:right w:val="none" w:sz="0" w:space="0" w:color="auto"/>
          </w:divBdr>
        </w:div>
      </w:divsChild>
    </w:div>
    <w:div w:id="1714698341">
      <w:bodyDiv w:val="1"/>
      <w:marLeft w:val="0"/>
      <w:marRight w:val="0"/>
      <w:marTop w:val="0"/>
      <w:marBottom w:val="0"/>
      <w:divBdr>
        <w:top w:val="none" w:sz="0" w:space="0" w:color="auto"/>
        <w:left w:val="none" w:sz="0" w:space="0" w:color="auto"/>
        <w:bottom w:val="none" w:sz="0" w:space="0" w:color="auto"/>
        <w:right w:val="none" w:sz="0" w:space="0" w:color="auto"/>
      </w:divBdr>
      <w:divsChild>
        <w:div w:id="119346687">
          <w:marLeft w:val="0"/>
          <w:marRight w:val="0"/>
          <w:marTop w:val="0"/>
          <w:marBottom w:val="0"/>
          <w:divBdr>
            <w:top w:val="none" w:sz="0" w:space="0" w:color="auto"/>
            <w:left w:val="none" w:sz="0" w:space="0" w:color="auto"/>
            <w:bottom w:val="none" w:sz="0" w:space="0" w:color="auto"/>
            <w:right w:val="none" w:sz="0" w:space="0" w:color="auto"/>
          </w:divBdr>
        </w:div>
      </w:divsChild>
    </w:div>
    <w:div w:id="1715427704">
      <w:bodyDiv w:val="1"/>
      <w:marLeft w:val="0"/>
      <w:marRight w:val="0"/>
      <w:marTop w:val="0"/>
      <w:marBottom w:val="0"/>
      <w:divBdr>
        <w:top w:val="none" w:sz="0" w:space="0" w:color="auto"/>
        <w:left w:val="none" w:sz="0" w:space="0" w:color="auto"/>
        <w:bottom w:val="none" w:sz="0" w:space="0" w:color="auto"/>
        <w:right w:val="none" w:sz="0" w:space="0" w:color="auto"/>
      </w:divBdr>
    </w:div>
    <w:div w:id="1717074209">
      <w:bodyDiv w:val="1"/>
      <w:marLeft w:val="0"/>
      <w:marRight w:val="0"/>
      <w:marTop w:val="0"/>
      <w:marBottom w:val="0"/>
      <w:divBdr>
        <w:top w:val="none" w:sz="0" w:space="0" w:color="auto"/>
        <w:left w:val="none" w:sz="0" w:space="0" w:color="auto"/>
        <w:bottom w:val="none" w:sz="0" w:space="0" w:color="auto"/>
        <w:right w:val="none" w:sz="0" w:space="0" w:color="auto"/>
      </w:divBdr>
    </w:div>
    <w:div w:id="1723821783">
      <w:bodyDiv w:val="1"/>
      <w:marLeft w:val="0"/>
      <w:marRight w:val="0"/>
      <w:marTop w:val="0"/>
      <w:marBottom w:val="0"/>
      <w:divBdr>
        <w:top w:val="none" w:sz="0" w:space="0" w:color="auto"/>
        <w:left w:val="none" w:sz="0" w:space="0" w:color="auto"/>
        <w:bottom w:val="none" w:sz="0" w:space="0" w:color="auto"/>
        <w:right w:val="none" w:sz="0" w:space="0" w:color="auto"/>
      </w:divBdr>
    </w:div>
    <w:div w:id="1733772663">
      <w:bodyDiv w:val="1"/>
      <w:marLeft w:val="0"/>
      <w:marRight w:val="0"/>
      <w:marTop w:val="0"/>
      <w:marBottom w:val="0"/>
      <w:divBdr>
        <w:top w:val="none" w:sz="0" w:space="0" w:color="auto"/>
        <w:left w:val="none" w:sz="0" w:space="0" w:color="auto"/>
        <w:bottom w:val="none" w:sz="0" w:space="0" w:color="auto"/>
        <w:right w:val="none" w:sz="0" w:space="0" w:color="auto"/>
      </w:divBdr>
    </w:div>
    <w:div w:id="1742604718">
      <w:bodyDiv w:val="1"/>
      <w:marLeft w:val="0"/>
      <w:marRight w:val="0"/>
      <w:marTop w:val="0"/>
      <w:marBottom w:val="0"/>
      <w:divBdr>
        <w:top w:val="none" w:sz="0" w:space="0" w:color="auto"/>
        <w:left w:val="none" w:sz="0" w:space="0" w:color="auto"/>
        <w:bottom w:val="none" w:sz="0" w:space="0" w:color="auto"/>
        <w:right w:val="none" w:sz="0" w:space="0" w:color="auto"/>
      </w:divBdr>
      <w:divsChild>
        <w:div w:id="1392000607">
          <w:marLeft w:val="0"/>
          <w:marRight w:val="936"/>
          <w:marTop w:val="106"/>
          <w:marBottom w:val="120"/>
          <w:divBdr>
            <w:top w:val="none" w:sz="0" w:space="0" w:color="auto"/>
            <w:left w:val="none" w:sz="0" w:space="0" w:color="auto"/>
            <w:bottom w:val="none" w:sz="0" w:space="0" w:color="auto"/>
            <w:right w:val="none" w:sz="0" w:space="0" w:color="auto"/>
          </w:divBdr>
        </w:div>
        <w:div w:id="1656253143">
          <w:marLeft w:val="0"/>
          <w:marRight w:val="936"/>
          <w:marTop w:val="106"/>
          <w:marBottom w:val="120"/>
          <w:divBdr>
            <w:top w:val="none" w:sz="0" w:space="0" w:color="auto"/>
            <w:left w:val="none" w:sz="0" w:space="0" w:color="auto"/>
            <w:bottom w:val="none" w:sz="0" w:space="0" w:color="auto"/>
            <w:right w:val="none" w:sz="0" w:space="0" w:color="auto"/>
          </w:divBdr>
        </w:div>
      </w:divsChild>
    </w:div>
    <w:div w:id="1748384811">
      <w:bodyDiv w:val="1"/>
      <w:marLeft w:val="0"/>
      <w:marRight w:val="0"/>
      <w:marTop w:val="0"/>
      <w:marBottom w:val="0"/>
      <w:divBdr>
        <w:top w:val="none" w:sz="0" w:space="0" w:color="auto"/>
        <w:left w:val="none" w:sz="0" w:space="0" w:color="auto"/>
        <w:bottom w:val="none" w:sz="0" w:space="0" w:color="auto"/>
        <w:right w:val="none" w:sz="0" w:space="0" w:color="auto"/>
      </w:divBdr>
    </w:div>
    <w:div w:id="1755400149">
      <w:bodyDiv w:val="1"/>
      <w:marLeft w:val="0"/>
      <w:marRight w:val="0"/>
      <w:marTop w:val="0"/>
      <w:marBottom w:val="0"/>
      <w:divBdr>
        <w:top w:val="none" w:sz="0" w:space="0" w:color="auto"/>
        <w:left w:val="none" w:sz="0" w:space="0" w:color="auto"/>
        <w:bottom w:val="none" w:sz="0" w:space="0" w:color="auto"/>
        <w:right w:val="none" w:sz="0" w:space="0" w:color="auto"/>
      </w:divBdr>
    </w:div>
    <w:div w:id="1756785225">
      <w:bodyDiv w:val="1"/>
      <w:marLeft w:val="0"/>
      <w:marRight w:val="0"/>
      <w:marTop w:val="0"/>
      <w:marBottom w:val="0"/>
      <w:divBdr>
        <w:top w:val="none" w:sz="0" w:space="0" w:color="auto"/>
        <w:left w:val="none" w:sz="0" w:space="0" w:color="auto"/>
        <w:bottom w:val="none" w:sz="0" w:space="0" w:color="auto"/>
        <w:right w:val="none" w:sz="0" w:space="0" w:color="auto"/>
      </w:divBdr>
    </w:div>
    <w:div w:id="1772622939">
      <w:bodyDiv w:val="1"/>
      <w:marLeft w:val="0"/>
      <w:marRight w:val="0"/>
      <w:marTop w:val="0"/>
      <w:marBottom w:val="0"/>
      <w:divBdr>
        <w:top w:val="none" w:sz="0" w:space="0" w:color="auto"/>
        <w:left w:val="none" w:sz="0" w:space="0" w:color="auto"/>
        <w:bottom w:val="none" w:sz="0" w:space="0" w:color="auto"/>
        <w:right w:val="none" w:sz="0" w:space="0" w:color="auto"/>
      </w:divBdr>
    </w:div>
    <w:div w:id="1786270088">
      <w:bodyDiv w:val="1"/>
      <w:marLeft w:val="0"/>
      <w:marRight w:val="0"/>
      <w:marTop w:val="0"/>
      <w:marBottom w:val="0"/>
      <w:divBdr>
        <w:top w:val="none" w:sz="0" w:space="0" w:color="auto"/>
        <w:left w:val="none" w:sz="0" w:space="0" w:color="auto"/>
        <w:bottom w:val="none" w:sz="0" w:space="0" w:color="auto"/>
        <w:right w:val="none" w:sz="0" w:space="0" w:color="auto"/>
      </w:divBdr>
    </w:div>
    <w:div w:id="1803117115">
      <w:bodyDiv w:val="1"/>
      <w:marLeft w:val="0"/>
      <w:marRight w:val="0"/>
      <w:marTop w:val="0"/>
      <w:marBottom w:val="0"/>
      <w:divBdr>
        <w:top w:val="none" w:sz="0" w:space="0" w:color="auto"/>
        <w:left w:val="none" w:sz="0" w:space="0" w:color="auto"/>
        <w:bottom w:val="none" w:sz="0" w:space="0" w:color="auto"/>
        <w:right w:val="none" w:sz="0" w:space="0" w:color="auto"/>
      </w:divBdr>
    </w:div>
    <w:div w:id="1806895604">
      <w:bodyDiv w:val="1"/>
      <w:marLeft w:val="0"/>
      <w:marRight w:val="0"/>
      <w:marTop w:val="0"/>
      <w:marBottom w:val="0"/>
      <w:divBdr>
        <w:top w:val="none" w:sz="0" w:space="0" w:color="auto"/>
        <w:left w:val="none" w:sz="0" w:space="0" w:color="auto"/>
        <w:bottom w:val="none" w:sz="0" w:space="0" w:color="auto"/>
        <w:right w:val="none" w:sz="0" w:space="0" w:color="auto"/>
      </w:divBdr>
    </w:div>
    <w:div w:id="1820413761">
      <w:bodyDiv w:val="1"/>
      <w:marLeft w:val="0"/>
      <w:marRight w:val="0"/>
      <w:marTop w:val="0"/>
      <w:marBottom w:val="0"/>
      <w:divBdr>
        <w:top w:val="none" w:sz="0" w:space="0" w:color="auto"/>
        <w:left w:val="none" w:sz="0" w:space="0" w:color="auto"/>
        <w:bottom w:val="none" w:sz="0" w:space="0" w:color="auto"/>
        <w:right w:val="none" w:sz="0" w:space="0" w:color="auto"/>
      </w:divBdr>
    </w:div>
    <w:div w:id="1825462230">
      <w:bodyDiv w:val="1"/>
      <w:marLeft w:val="0"/>
      <w:marRight w:val="0"/>
      <w:marTop w:val="0"/>
      <w:marBottom w:val="0"/>
      <w:divBdr>
        <w:top w:val="none" w:sz="0" w:space="0" w:color="auto"/>
        <w:left w:val="none" w:sz="0" w:space="0" w:color="auto"/>
        <w:bottom w:val="none" w:sz="0" w:space="0" w:color="auto"/>
        <w:right w:val="none" w:sz="0" w:space="0" w:color="auto"/>
      </w:divBdr>
      <w:divsChild>
        <w:div w:id="1560481238">
          <w:marLeft w:val="0"/>
          <w:marRight w:val="0"/>
          <w:marTop w:val="0"/>
          <w:marBottom w:val="0"/>
          <w:divBdr>
            <w:top w:val="none" w:sz="0" w:space="0" w:color="auto"/>
            <w:left w:val="none" w:sz="0" w:space="0" w:color="auto"/>
            <w:bottom w:val="none" w:sz="0" w:space="0" w:color="auto"/>
            <w:right w:val="none" w:sz="0" w:space="0" w:color="auto"/>
          </w:divBdr>
        </w:div>
        <w:div w:id="1701467307">
          <w:marLeft w:val="0"/>
          <w:marRight w:val="0"/>
          <w:marTop w:val="0"/>
          <w:marBottom w:val="0"/>
          <w:divBdr>
            <w:top w:val="none" w:sz="0" w:space="0" w:color="auto"/>
            <w:left w:val="none" w:sz="0" w:space="0" w:color="auto"/>
            <w:bottom w:val="none" w:sz="0" w:space="0" w:color="auto"/>
            <w:right w:val="none" w:sz="0" w:space="0" w:color="auto"/>
          </w:divBdr>
        </w:div>
        <w:div w:id="863442711">
          <w:marLeft w:val="0"/>
          <w:marRight w:val="0"/>
          <w:marTop w:val="0"/>
          <w:marBottom w:val="0"/>
          <w:divBdr>
            <w:top w:val="none" w:sz="0" w:space="0" w:color="auto"/>
            <w:left w:val="none" w:sz="0" w:space="0" w:color="auto"/>
            <w:bottom w:val="none" w:sz="0" w:space="0" w:color="auto"/>
            <w:right w:val="none" w:sz="0" w:space="0" w:color="auto"/>
          </w:divBdr>
        </w:div>
      </w:divsChild>
    </w:div>
    <w:div w:id="1829983123">
      <w:bodyDiv w:val="1"/>
      <w:marLeft w:val="0"/>
      <w:marRight w:val="0"/>
      <w:marTop w:val="0"/>
      <w:marBottom w:val="0"/>
      <w:divBdr>
        <w:top w:val="none" w:sz="0" w:space="0" w:color="auto"/>
        <w:left w:val="none" w:sz="0" w:space="0" w:color="auto"/>
        <w:bottom w:val="none" w:sz="0" w:space="0" w:color="auto"/>
        <w:right w:val="none" w:sz="0" w:space="0" w:color="auto"/>
      </w:divBdr>
    </w:div>
    <w:div w:id="1835338078">
      <w:bodyDiv w:val="1"/>
      <w:marLeft w:val="0"/>
      <w:marRight w:val="0"/>
      <w:marTop w:val="0"/>
      <w:marBottom w:val="0"/>
      <w:divBdr>
        <w:top w:val="none" w:sz="0" w:space="0" w:color="auto"/>
        <w:left w:val="none" w:sz="0" w:space="0" w:color="auto"/>
        <w:bottom w:val="none" w:sz="0" w:space="0" w:color="auto"/>
        <w:right w:val="none" w:sz="0" w:space="0" w:color="auto"/>
      </w:divBdr>
    </w:div>
    <w:div w:id="1855222608">
      <w:bodyDiv w:val="1"/>
      <w:marLeft w:val="0"/>
      <w:marRight w:val="0"/>
      <w:marTop w:val="0"/>
      <w:marBottom w:val="0"/>
      <w:divBdr>
        <w:top w:val="none" w:sz="0" w:space="0" w:color="auto"/>
        <w:left w:val="none" w:sz="0" w:space="0" w:color="auto"/>
        <w:bottom w:val="none" w:sz="0" w:space="0" w:color="auto"/>
        <w:right w:val="none" w:sz="0" w:space="0" w:color="auto"/>
      </w:divBdr>
      <w:divsChild>
        <w:div w:id="64574786">
          <w:marLeft w:val="0"/>
          <w:marRight w:val="446"/>
          <w:marTop w:val="72"/>
          <w:marBottom w:val="120"/>
          <w:divBdr>
            <w:top w:val="none" w:sz="0" w:space="0" w:color="auto"/>
            <w:left w:val="none" w:sz="0" w:space="0" w:color="auto"/>
            <w:bottom w:val="none" w:sz="0" w:space="0" w:color="auto"/>
            <w:right w:val="none" w:sz="0" w:space="0" w:color="auto"/>
          </w:divBdr>
        </w:div>
      </w:divsChild>
    </w:div>
    <w:div w:id="1863739353">
      <w:bodyDiv w:val="1"/>
      <w:marLeft w:val="0"/>
      <w:marRight w:val="0"/>
      <w:marTop w:val="0"/>
      <w:marBottom w:val="0"/>
      <w:divBdr>
        <w:top w:val="none" w:sz="0" w:space="0" w:color="auto"/>
        <w:left w:val="none" w:sz="0" w:space="0" w:color="auto"/>
        <w:bottom w:val="none" w:sz="0" w:space="0" w:color="auto"/>
        <w:right w:val="none" w:sz="0" w:space="0" w:color="auto"/>
      </w:divBdr>
      <w:divsChild>
        <w:div w:id="1807160197">
          <w:marLeft w:val="0"/>
          <w:marRight w:val="446"/>
          <w:marTop w:val="106"/>
          <w:marBottom w:val="120"/>
          <w:divBdr>
            <w:top w:val="none" w:sz="0" w:space="0" w:color="auto"/>
            <w:left w:val="none" w:sz="0" w:space="0" w:color="auto"/>
            <w:bottom w:val="none" w:sz="0" w:space="0" w:color="auto"/>
            <w:right w:val="none" w:sz="0" w:space="0" w:color="auto"/>
          </w:divBdr>
        </w:div>
        <w:div w:id="1885943406">
          <w:marLeft w:val="0"/>
          <w:marRight w:val="446"/>
          <w:marTop w:val="106"/>
          <w:marBottom w:val="120"/>
          <w:divBdr>
            <w:top w:val="none" w:sz="0" w:space="0" w:color="auto"/>
            <w:left w:val="none" w:sz="0" w:space="0" w:color="auto"/>
            <w:bottom w:val="none" w:sz="0" w:space="0" w:color="auto"/>
            <w:right w:val="none" w:sz="0" w:space="0" w:color="auto"/>
          </w:divBdr>
        </w:div>
        <w:div w:id="906380247">
          <w:marLeft w:val="0"/>
          <w:marRight w:val="446"/>
          <w:marTop w:val="106"/>
          <w:marBottom w:val="120"/>
          <w:divBdr>
            <w:top w:val="none" w:sz="0" w:space="0" w:color="auto"/>
            <w:left w:val="none" w:sz="0" w:space="0" w:color="auto"/>
            <w:bottom w:val="none" w:sz="0" w:space="0" w:color="auto"/>
            <w:right w:val="none" w:sz="0" w:space="0" w:color="auto"/>
          </w:divBdr>
        </w:div>
        <w:div w:id="874730695">
          <w:marLeft w:val="0"/>
          <w:marRight w:val="446"/>
          <w:marTop w:val="106"/>
          <w:marBottom w:val="120"/>
          <w:divBdr>
            <w:top w:val="none" w:sz="0" w:space="0" w:color="auto"/>
            <w:left w:val="none" w:sz="0" w:space="0" w:color="auto"/>
            <w:bottom w:val="none" w:sz="0" w:space="0" w:color="auto"/>
            <w:right w:val="none" w:sz="0" w:space="0" w:color="auto"/>
          </w:divBdr>
        </w:div>
        <w:div w:id="639579936">
          <w:marLeft w:val="0"/>
          <w:marRight w:val="446"/>
          <w:marTop w:val="106"/>
          <w:marBottom w:val="120"/>
          <w:divBdr>
            <w:top w:val="none" w:sz="0" w:space="0" w:color="auto"/>
            <w:left w:val="none" w:sz="0" w:space="0" w:color="auto"/>
            <w:bottom w:val="none" w:sz="0" w:space="0" w:color="auto"/>
            <w:right w:val="none" w:sz="0" w:space="0" w:color="auto"/>
          </w:divBdr>
        </w:div>
        <w:div w:id="213742076">
          <w:marLeft w:val="0"/>
          <w:marRight w:val="446"/>
          <w:marTop w:val="106"/>
          <w:marBottom w:val="120"/>
          <w:divBdr>
            <w:top w:val="none" w:sz="0" w:space="0" w:color="auto"/>
            <w:left w:val="none" w:sz="0" w:space="0" w:color="auto"/>
            <w:bottom w:val="none" w:sz="0" w:space="0" w:color="auto"/>
            <w:right w:val="none" w:sz="0" w:space="0" w:color="auto"/>
          </w:divBdr>
        </w:div>
      </w:divsChild>
    </w:div>
    <w:div w:id="1865555395">
      <w:bodyDiv w:val="1"/>
      <w:marLeft w:val="0"/>
      <w:marRight w:val="0"/>
      <w:marTop w:val="0"/>
      <w:marBottom w:val="0"/>
      <w:divBdr>
        <w:top w:val="none" w:sz="0" w:space="0" w:color="auto"/>
        <w:left w:val="none" w:sz="0" w:space="0" w:color="auto"/>
        <w:bottom w:val="none" w:sz="0" w:space="0" w:color="auto"/>
        <w:right w:val="none" w:sz="0" w:space="0" w:color="auto"/>
      </w:divBdr>
    </w:div>
    <w:div w:id="1868256776">
      <w:bodyDiv w:val="1"/>
      <w:marLeft w:val="0"/>
      <w:marRight w:val="0"/>
      <w:marTop w:val="0"/>
      <w:marBottom w:val="0"/>
      <w:divBdr>
        <w:top w:val="none" w:sz="0" w:space="0" w:color="auto"/>
        <w:left w:val="none" w:sz="0" w:space="0" w:color="auto"/>
        <w:bottom w:val="none" w:sz="0" w:space="0" w:color="auto"/>
        <w:right w:val="none" w:sz="0" w:space="0" w:color="auto"/>
      </w:divBdr>
    </w:div>
    <w:div w:id="1869294560">
      <w:bodyDiv w:val="1"/>
      <w:marLeft w:val="0"/>
      <w:marRight w:val="0"/>
      <w:marTop w:val="0"/>
      <w:marBottom w:val="0"/>
      <w:divBdr>
        <w:top w:val="none" w:sz="0" w:space="0" w:color="auto"/>
        <w:left w:val="none" w:sz="0" w:space="0" w:color="auto"/>
        <w:bottom w:val="none" w:sz="0" w:space="0" w:color="auto"/>
        <w:right w:val="none" w:sz="0" w:space="0" w:color="auto"/>
      </w:divBdr>
    </w:div>
    <w:div w:id="1870952239">
      <w:bodyDiv w:val="1"/>
      <w:marLeft w:val="0"/>
      <w:marRight w:val="0"/>
      <w:marTop w:val="0"/>
      <w:marBottom w:val="0"/>
      <w:divBdr>
        <w:top w:val="none" w:sz="0" w:space="0" w:color="auto"/>
        <w:left w:val="none" w:sz="0" w:space="0" w:color="auto"/>
        <w:bottom w:val="none" w:sz="0" w:space="0" w:color="auto"/>
        <w:right w:val="none" w:sz="0" w:space="0" w:color="auto"/>
      </w:divBdr>
    </w:div>
    <w:div w:id="1880434541">
      <w:bodyDiv w:val="1"/>
      <w:marLeft w:val="0"/>
      <w:marRight w:val="0"/>
      <w:marTop w:val="0"/>
      <w:marBottom w:val="0"/>
      <w:divBdr>
        <w:top w:val="none" w:sz="0" w:space="0" w:color="auto"/>
        <w:left w:val="none" w:sz="0" w:space="0" w:color="auto"/>
        <w:bottom w:val="none" w:sz="0" w:space="0" w:color="auto"/>
        <w:right w:val="none" w:sz="0" w:space="0" w:color="auto"/>
      </w:divBdr>
    </w:div>
    <w:div w:id="1883907682">
      <w:bodyDiv w:val="1"/>
      <w:marLeft w:val="0"/>
      <w:marRight w:val="0"/>
      <w:marTop w:val="0"/>
      <w:marBottom w:val="0"/>
      <w:divBdr>
        <w:top w:val="none" w:sz="0" w:space="0" w:color="auto"/>
        <w:left w:val="none" w:sz="0" w:space="0" w:color="auto"/>
        <w:bottom w:val="none" w:sz="0" w:space="0" w:color="auto"/>
        <w:right w:val="none" w:sz="0" w:space="0" w:color="auto"/>
      </w:divBdr>
    </w:div>
    <w:div w:id="1900943803">
      <w:bodyDiv w:val="1"/>
      <w:marLeft w:val="0"/>
      <w:marRight w:val="0"/>
      <w:marTop w:val="0"/>
      <w:marBottom w:val="0"/>
      <w:divBdr>
        <w:top w:val="none" w:sz="0" w:space="0" w:color="auto"/>
        <w:left w:val="none" w:sz="0" w:space="0" w:color="auto"/>
        <w:bottom w:val="none" w:sz="0" w:space="0" w:color="auto"/>
        <w:right w:val="none" w:sz="0" w:space="0" w:color="auto"/>
      </w:divBdr>
      <w:divsChild>
        <w:div w:id="1086727501">
          <w:marLeft w:val="0"/>
          <w:marRight w:val="979"/>
          <w:marTop w:val="106"/>
          <w:marBottom w:val="120"/>
          <w:divBdr>
            <w:top w:val="none" w:sz="0" w:space="0" w:color="auto"/>
            <w:left w:val="none" w:sz="0" w:space="0" w:color="auto"/>
            <w:bottom w:val="none" w:sz="0" w:space="0" w:color="auto"/>
            <w:right w:val="none" w:sz="0" w:space="0" w:color="auto"/>
          </w:divBdr>
        </w:div>
        <w:div w:id="656612326">
          <w:marLeft w:val="0"/>
          <w:marRight w:val="979"/>
          <w:marTop w:val="106"/>
          <w:marBottom w:val="120"/>
          <w:divBdr>
            <w:top w:val="none" w:sz="0" w:space="0" w:color="auto"/>
            <w:left w:val="none" w:sz="0" w:space="0" w:color="auto"/>
            <w:bottom w:val="none" w:sz="0" w:space="0" w:color="auto"/>
            <w:right w:val="none" w:sz="0" w:space="0" w:color="auto"/>
          </w:divBdr>
        </w:div>
        <w:div w:id="1833178984">
          <w:marLeft w:val="0"/>
          <w:marRight w:val="979"/>
          <w:marTop w:val="106"/>
          <w:marBottom w:val="120"/>
          <w:divBdr>
            <w:top w:val="none" w:sz="0" w:space="0" w:color="auto"/>
            <w:left w:val="none" w:sz="0" w:space="0" w:color="auto"/>
            <w:bottom w:val="none" w:sz="0" w:space="0" w:color="auto"/>
            <w:right w:val="none" w:sz="0" w:space="0" w:color="auto"/>
          </w:divBdr>
        </w:div>
        <w:div w:id="754329175">
          <w:marLeft w:val="0"/>
          <w:marRight w:val="979"/>
          <w:marTop w:val="106"/>
          <w:marBottom w:val="120"/>
          <w:divBdr>
            <w:top w:val="none" w:sz="0" w:space="0" w:color="auto"/>
            <w:left w:val="none" w:sz="0" w:space="0" w:color="auto"/>
            <w:bottom w:val="none" w:sz="0" w:space="0" w:color="auto"/>
            <w:right w:val="none" w:sz="0" w:space="0" w:color="auto"/>
          </w:divBdr>
        </w:div>
      </w:divsChild>
    </w:div>
    <w:div w:id="1902326953">
      <w:bodyDiv w:val="1"/>
      <w:marLeft w:val="0"/>
      <w:marRight w:val="0"/>
      <w:marTop w:val="0"/>
      <w:marBottom w:val="0"/>
      <w:divBdr>
        <w:top w:val="none" w:sz="0" w:space="0" w:color="auto"/>
        <w:left w:val="none" w:sz="0" w:space="0" w:color="auto"/>
        <w:bottom w:val="none" w:sz="0" w:space="0" w:color="auto"/>
        <w:right w:val="none" w:sz="0" w:space="0" w:color="auto"/>
      </w:divBdr>
      <w:divsChild>
        <w:div w:id="743180546">
          <w:marLeft w:val="0"/>
          <w:marRight w:val="446"/>
          <w:marTop w:val="72"/>
          <w:marBottom w:val="120"/>
          <w:divBdr>
            <w:top w:val="none" w:sz="0" w:space="0" w:color="auto"/>
            <w:left w:val="none" w:sz="0" w:space="0" w:color="auto"/>
            <w:bottom w:val="none" w:sz="0" w:space="0" w:color="auto"/>
            <w:right w:val="none" w:sz="0" w:space="0" w:color="auto"/>
          </w:divBdr>
        </w:div>
        <w:div w:id="201983069">
          <w:marLeft w:val="0"/>
          <w:marRight w:val="1022"/>
          <w:marTop w:val="72"/>
          <w:marBottom w:val="120"/>
          <w:divBdr>
            <w:top w:val="none" w:sz="0" w:space="0" w:color="auto"/>
            <w:left w:val="none" w:sz="0" w:space="0" w:color="auto"/>
            <w:bottom w:val="none" w:sz="0" w:space="0" w:color="auto"/>
            <w:right w:val="none" w:sz="0" w:space="0" w:color="auto"/>
          </w:divBdr>
        </w:div>
        <w:div w:id="1157844376">
          <w:marLeft w:val="0"/>
          <w:marRight w:val="1022"/>
          <w:marTop w:val="72"/>
          <w:marBottom w:val="120"/>
          <w:divBdr>
            <w:top w:val="none" w:sz="0" w:space="0" w:color="auto"/>
            <w:left w:val="none" w:sz="0" w:space="0" w:color="auto"/>
            <w:bottom w:val="none" w:sz="0" w:space="0" w:color="auto"/>
            <w:right w:val="none" w:sz="0" w:space="0" w:color="auto"/>
          </w:divBdr>
        </w:div>
        <w:div w:id="2079475428">
          <w:marLeft w:val="0"/>
          <w:marRight w:val="1469"/>
          <w:marTop w:val="72"/>
          <w:marBottom w:val="120"/>
          <w:divBdr>
            <w:top w:val="none" w:sz="0" w:space="0" w:color="auto"/>
            <w:left w:val="none" w:sz="0" w:space="0" w:color="auto"/>
            <w:bottom w:val="none" w:sz="0" w:space="0" w:color="auto"/>
            <w:right w:val="none" w:sz="0" w:space="0" w:color="auto"/>
          </w:divBdr>
        </w:div>
        <w:div w:id="1678077846">
          <w:marLeft w:val="0"/>
          <w:marRight w:val="1469"/>
          <w:marTop w:val="72"/>
          <w:marBottom w:val="120"/>
          <w:divBdr>
            <w:top w:val="none" w:sz="0" w:space="0" w:color="auto"/>
            <w:left w:val="none" w:sz="0" w:space="0" w:color="auto"/>
            <w:bottom w:val="none" w:sz="0" w:space="0" w:color="auto"/>
            <w:right w:val="none" w:sz="0" w:space="0" w:color="auto"/>
          </w:divBdr>
        </w:div>
      </w:divsChild>
    </w:div>
    <w:div w:id="1904757502">
      <w:bodyDiv w:val="1"/>
      <w:marLeft w:val="0"/>
      <w:marRight w:val="0"/>
      <w:marTop w:val="0"/>
      <w:marBottom w:val="0"/>
      <w:divBdr>
        <w:top w:val="none" w:sz="0" w:space="0" w:color="auto"/>
        <w:left w:val="none" w:sz="0" w:space="0" w:color="auto"/>
        <w:bottom w:val="none" w:sz="0" w:space="0" w:color="auto"/>
        <w:right w:val="none" w:sz="0" w:space="0" w:color="auto"/>
      </w:divBdr>
      <w:divsChild>
        <w:div w:id="1000931845">
          <w:marLeft w:val="0"/>
          <w:marRight w:val="446"/>
          <w:marTop w:val="72"/>
          <w:marBottom w:val="120"/>
          <w:divBdr>
            <w:top w:val="none" w:sz="0" w:space="0" w:color="auto"/>
            <w:left w:val="none" w:sz="0" w:space="0" w:color="auto"/>
            <w:bottom w:val="none" w:sz="0" w:space="0" w:color="auto"/>
            <w:right w:val="none" w:sz="0" w:space="0" w:color="auto"/>
          </w:divBdr>
        </w:div>
      </w:divsChild>
    </w:div>
    <w:div w:id="1924756084">
      <w:bodyDiv w:val="1"/>
      <w:marLeft w:val="0"/>
      <w:marRight w:val="0"/>
      <w:marTop w:val="0"/>
      <w:marBottom w:val="0"/>
      <w:divBdr>
        <w:top w:val="none" w:sz="0" w:space="0" w:color="auto"/>
        <w:left w:val="none" w:sz="0" w:space="0" w:color="auto"/>
        <w:bottom w:val="none" w:sz="0" w:space="0" w:color="auto"/>
        <w:right w:val="none" w:sz="0" w:space="0" w:color="auto"/>
      </w:divBdr>
    </w:div>
    <w:div w:id="1924989809">
      <w:bodyDiv w:val="1"/>
      <w:marLeft w:val="0"/>
      <w:marRight w:val="0"/>
      <w:marTop w:val="0"/>
      <w:marBottom w:val="0"/>
      <w:divBdr>
        <w:top w:val="none" w:sz="0" w:space="0" w:color="auto"/>
        <w:left w:val="none" w:sz="0" w:space="0" w:color="auto"/>
        <w:bottom w:val="none" w:sz="0" w:space="0" w:color="auto"/>
        <w:right w:val="none" w:sz="0" w:space="0" w:color="auto"/>
      </w:divBdr>
    </w:div>
    <w:div w:id="1930305506">
      <w:bodyDiv w:val="1"/>
      <w:marLeft w:val="0"/>
      <w:marRight w:val="0"/>
      <w:marTop w:val="0"/>
      <w:marBottom w:val="0"/>
      <w:divBdr>
        <w:top w:val="none" w:sz="0" w:space="0" w:color="auto"/>
        <w:left w:val="none" w:sz="0" w:space="0" w:color="auto"/>
        <w:bottom w:val="none" w:sz="0" w:space="0" w:color="auto"/>
        <w:right w:val="none" w:sz="0" w:space="0" w:color="auto"/>
      </w:divBdr>
    </w:div>
    <w:div w:id="1932204718">
      <w:bodyDiv w:val="1"/>
      <w:marLeft w:val="0"/>
      <w:marRight w:val="0"/>
      <w:marTop w:val="0"/>
      <w:marBottom w:val="0"/>
      <w:divBdr>
        <w:top w:val="none" w:sz="0" w:space="0" w:color="auto"/>
        <w:left w:val="none" w:sz="0" w:space="0" w:color="auto"/>
        <w:bottom w:val="none" w:sz="0" w:space="0" w:color="auto"/>
        <w:right w:val="none" w:sz="0" w:space="0" w:color="auto"/>
      </w:divBdr>
    </w:div>
    <w:div w:id="1941404155">
      <w:bodyDiv w:val="1"/>
      <w:marLeft w:val="0"/>
      <w:marRight w:val="0"/>
      <w:marTop w:val="0"/>
      <w:marBottom w:val="0"/>
      <w:divBdr>
        <w:top w:val="none" w:sz="0" w:space="0" w:color="auto"/>
        <w:left w:val="none" w:sz="0" w:space="0" w:color="auto"/>
        <w:bottom w:val="none" w:sz="0" w:space="0" w:color="auto"/>
        <w:right w:val="none" w:sz="0" w:space="0" w:color="auto"/>
      </w:divBdr>
    </w:div>
    <w:div w:id="1959295709">
      <w:bodyDiv w:val="1"/>
      <w:marLeft w:val="0"/>
      <w:marRight w:val="0"/>
      <w:marTop w:val="0"/>
      <w:marBottom w:val="0"/>
      <w:divBdr>
        <w:top w:val="none" w:sz="0" w:space="0" w:color="auto"/>
        <w:left w:val="none" w:sz="0" w:space="0" w:color="auto"/>
        <w:bottom w:val="none" w:sz="0" w:space="0" w:color="auto"/>
        <w:right w:val="none" w:sz="0" w:space="0" w:color="auto"/>
      </w:divBdr>
    </w:div>
    <w:div w:id="1985547890">
      <w:bodyDiv w:val="1"/>
      <w:marLeft w:val="0"/>
      <w:marRight w:val="0"/>
      <w:marTop w:val="0"/>
      <w:marBottom w:val="0"/>
      <w:divBdr>
        <w:top w:val="none" w:sz="0" w:space="0" w:color="auto"/>
        <w:left w:val="none" w:sz="0" w:space="0" w:color="auto"/>
        <w:bottom w:val="none" w:sz="0" w:space="0" w:color="auto"/>
        <w:right w:val="none" w:sz="0" w:space="0" w:color="auto"/>
      </w:divBdr>
    </w:div>
    <w:div w:id="1997688297">
      <w:bodyDiv w:val="1"/>
      <w:marLeft w:val="0"/>
      <w:marRight w:val="0"/>
      <w:marTop w:val="0"/>
      <w:marBottom w:val="0"/>
      <w:divBdr>
        <w:top w:val="none" w:sz="0" w:space="0" w:color="auto"/>
        <w:left w:val="none" w:sz="0" w:space="0" w:color="auto"/>
        <w:bottom w:val="none" w:sz="0" w:space="0" w:color="auto"/>
        <w:right w:val="none" w:sz="0" w:space="0" w:color="auto"/>
      </w:divBdr>
      <w:divsChild>
        <w:div w:id="1631593949">
          <w:marLeft w:val="0"/>
          <w:marRight w:val="446"/>
          <w:marTop w:val="106"/>
          <w:marBottom w:val="120"/>
          <w:divBdr>
            <w:top w:val="none" w:sz="0" w:space="0" w:color="auto"/>
            <w:left w:val="none" w:sz="0" w:space="0" w:color="auto"/>
            <w:bottom w:val="none" w:sz="0" w:space="0" w:color="auto"/>
            <w:right w:val="none" w:sz="0" w:space="0" w:color="auto"/>
          </w:divBdr>
        </w:div>
        <w:div w:id="629825293">
          <w:marLeft w:val="0"/>
          <w:marRight w:val="446"/>
          <w:marTop w:val="106"/>
          <w:marBottom w:val="120"/>
          <w:divBdr>
            <w:top w:val="none" w:sz="0" w:space="0" w:color="auto"/>
            <w:left w:val="none" w:sz="0" w:space="0" w:color="auto"/>
            <w:bottom w:val="none" w:sz="0" w:space="0" w:color="auto"/>
            <w:right w:val="none" w:sz="0" w:space="0" w:color="auto"/>
          </w:divBdr>
        </w:div>
        <w:div w:id="699548710">
          <w:marLeft w:val="0"/>
          <w:marRight w:val="446"/>
          <w:marTop w:val="106"/>
          <w:marBottom w:val="120"/>
          <w:divBdr>
            <w:top w:val="none" w:sz="0" w:space="0" w:color="auto"/>
            <w:left w:val="none" w:sz="0" w:space="0" w:color="auto"/>
            <w:bottom w:val="none" w:sz="0" w:space="0" w:color="auto"/>
            <w:right w:val="none" w:sz="0" w:space="0" w:color="auto"/>
          </w:divBdr>
        </w:div>
      </w:divsChild>
    </w:div>
    <w:div w:id="1997803468">
      <w:bodyDiv w:val="1"/>
      <w:marLeft w:val="0"/>
      <w:marRight w:val="0"/>
      <w:marTop w:val="0"/>
      <w:marBottom w:val="0"/>
      <w:divBdr>
        <w:top w:val="none" w:sz="0" w:space="0" w:color="auto"/>
        <w:left w:val="none" w:sz="0" w:space="0" w:color="auto"/>
        <w:bottom w:val="none" w:sz="0" w:space="0" w:color="auto"/>
        <w:right w:val="none" w:sz="0" w:space="0" w:color="auto"/>
      </w:divBdr>
    </w:div>
    <w:div w:id="2000113487">
      <w:bodyDiv w:val="1"/>
      <w:marLeft w:val="0"/>
      <w:marRight w:val="0"/>
      <w:marTop w:val="0"/>
      <w:marBottom w:val="0"/>
      <w:divBdr>
        <w:top w:val="none" w:sz="0" w:space="0" w:color="auto"/>
        <w:left w:val="none" w:sz="0" w:space="0" w:color="auto"/>
        <w:bottom w:val="none" w:sz="0" w:space="0" w:color="auto"/>
        <w:right w:val="none" w:sz="0" w:space="0" w:color="auto"/>
      </w:divBdr>
    </w:div>
    <w:div w:id="2003582828">
      <w:bodyDiv w:val="1"/>
      <w:marLeft w:val="0"/>
      <w:marRight w:val="0"/>
      <w:marTop w:val="0"/>
      <w:marBottom w:val="0"/>
      <w:divBdr>
        <w:top w:val="none" w:sz="0" w:space="0" w:color="auto"/>
        <w:left w:val="none" w:sz="0" w:space="0" w:color="auto"/>
        <w:bottom w:val="none" w:sz="0" w:space="0" w:color="auto"/>
        <w:right w:val="none" w:sz="0" w:space="0" w:color="auto"/>
      </w:divBdr>
    </w:div>
    <w:div w:id="2009089303">
      <w:bodyDiv w:val="1"/>
      <w:marLeft w:val="0"/>
      <w:marRight w:val="0"/>
      <w:marTop w:val="0"/>
      <w:marBottom w:val="0"/>
      <w:divBdr>
        <w:top w:val="none" w:sz="0" w:space="0" w:color="auto"/>
        <w:left w:val="none" w:sz="0" w:space="0" w:color="auto"/>
        <w:bottom w:val="none" w:sz="0" w:space="0" w:color="auto"/>
        <w:right w:val="none" w:sz="0" w:space="0" w:color="auto"/>
      </w:divBdr>
    </w:div>
    <w:div w:id="2016564800">
      <w:bodyDiv w:val="1"/>
      <w:marLeft w:val="0"/>
      <w:marRight w:val="0"/>
      <w:marTop w:val="0"/>
      <w:marBottom w:val="0"/>
      <w:divBdr>
        <w:top w:val="none" w:sz="0" w:space="0" w:color="auto"/>
        <w:left w:val="none" w:sz="0" w:space="0" w:color="auto"/>
        <w:bottom w:val="none" w:sz="0" w:space="0" w:color="auto"/>
        <w:right w:val="none" w:sz="0" w:space="0" w:color="auto"/>
      </w:divBdr>
      <w:divsChild>
        <w:div w:id="2043086958">
          <w:marLeft w:val="0"/>
          <w:marRight w:val="446"/>
          <w:marTop w:val="106"/>
          <w:marBottom w:val="120"/>
          <w:divBdr>
            <w:top w:val="none" w:sz="0" w:space="0" w:color="auto"/>
            <w:left w:val="none" w:sz="0" w:space="0" w:color="auto"/>
            <w:bottom w:val="none" w:sz="0" w:space="0" w:color="auto"/>
            <w:right w:val="none" w:sz="0" w:space="0" w:color="auto"/>
          </w:divBdr>
        </w:div>
      </w:divsChild>
    </w:div>
    <w:div w:id="2022730638">
      <w:bodyDiv w:val="1"/>
      <w:marLeft w:val="0"/>
      <w:marRight w:val="0"/>
      <w:marTop w:val="0"/>
      <w:marBottom w:val="0"/>
      <w:divBdr>
        <w:top w:val="none" w:sz="0" w:space="0" w:color="auto"/>
        <w:left w:val="none" w:sz="0" w:space="0" w:color="auto"/>
        <w:bottom w:val="none" w:sz="0" w:space="0" w:color="auto"/>
        <w:right w:val="none" w:sz="0" w:space="0" w:color="auto"/>
      </w:divBdr>
      <w:divsChild>
        <w:div w:id="218395372">
          <w:marLeft w:val="0"/>
          <w:marRight w:val="446"/>
          <w:marTop w:val="72"/>
          <w:marBottom w:val="120"/>
          <w:divBdr>
            <w:top w:val="none" w:sz="0" w:space="0" w:color="auto"/>
            <w:left w:val="none" w:sz="0" w:space="0" w:color="auto"/>
            <w:bottom w:val="none" w:sz="0" w:space="0" w:color="auto"/>
            <w:right w:val="none" w:sz="0" w:space="0" w:color="auto"/>
          </w:divBdr>
        </w:div>
        <w:div w:id="133377727">
          <w:marLeft w:val="0"/>
          <w:marRight w:val="446"/>
          <w:marTop w:val="72"/>
          <w:marBottom w:val="120"/>
          <w:divBdr>
            <w:top w:val="none" w:sz="0" w:space="0" w:color="auto"/>
            <w:left w:val="none" w:sz="0" w:space="0" w:color="auto"/>
            <w:bottom w:val="none" w:sz="0" w:space="0" w:color="auto"/>
            <w:right w:val="none" w:sz="0" w:space="0" w:color="auto"/>
          </w:divBdr>
        </w:div>
        <w:div w:id="384260248">
          <w:marLeft w:val="0"/>
          <w:marRight w:val="446"/>
          <w:marTop w:val="72"/>
          <w:marBottom w:val="120"/>
          <w:divBdr>
            <w:top w:val="none" w:sz="0" w:space="0" w:color="auto"/>
            <w:left w:val="none" w:sz="0" w:space="0" w:color="auto"/>
            <w:bottom w:val="none" w:sz="0" w:space="0" w:color="auto"/>
            <w:right w:val="none" w:sz="0" w:space="0" w:color="auto"/>
          </w:divBdr>
        </w:div>
        <w:div w:id="67777783">
          <w:marLeft w:val="0"/>
          <w:marRight w:val="446"/>
          <w:marTop w:val="72"/>
          <w:marBottom w:val="120"/>
          <w:divBdr>
            <w:top w:val="none" w:sz="0" w:space="0" w:color="auto"/>
            <w:left w:val="none" w:sz="0" w:space="0" w:color="auto"/>
            <w:bottom w:val="none" w:sz="0" w:space="0" w:color="auto"/>
            <w:right w:val="none" w:sz="0" w:space="0" w:color="auto"/>
          </w:divBdr>
        </w:div>
      </w:divsChild>
    </w:div>
    <w:div w:id="2025397430">
      <w:bodyDiv w:val="1"/>
      <w:marLeft w:val="0"/>
      <w:marRight w:val="0"/>
      <w:marTop w:val="0"/>
      <w:marBottom w:val="0"/>
      <w:divBdr>
        <w:top w:val="none" w:sz="0" w:space="0" w:color="auto"/>
        <w:left w:val="none" w:sz="0" w:space="0" w:color="auto"/>
        <w:bottom w:val="none" w:sz="0" w:space="0" w:color="auto"/>
        <w:right w:val="none" w:sz="0" w:space="0" w:color="auto"/>
      </w:divBdr>
      <w:divsChild>
        <w:div w:id="88282737">
          <w:marLeft w:val="0"/>
          <w:marRight w:val="446"/>
          <w:marTop w:val="96"/>
          <w:marBottom w:val="120"/>
          <w:divBdr>
            <w:top w:val="none" w:sz="0" w:space="0" w:color="auto"/>
            <w:left w:val="none" w:sz="0" w:space="0" w:color="auto"/>
            <w:bottom w:val="none" w:sz="0" w:space="0" w:color="auto"/>
            <w:right w:val="none" w:sz="0" w:space="0" w:color="auto"/>
          </w:divBdr>
        </w:div>
      </w:divsChild>
    </w:div>
    <w:div w:id="2025399242">
      <w:bodyDiv w:val="1"/>
      <w:marLeft w:val="0"/>
      <w:marRight w:val="0"/>
      <w:marTop w:val="0"/>
      <w:marBottom w:val="0"/>
      <w:divBdr>
        <w:top w:val="none" w:sz="0" w:space="0" w:color="auto"/>
        <w:left w:val="none" w:sz="0" w:space="0" w:color="auto"/>
        <w:bottom w:val="none" w:sz="0" w:space="0" w:color="auto"/>
        <w:right w:val="none" w:sz="0" w:space="0" w:color="auto"/>
      </w:divBdr>
    </w:div>
    <w:div w:id="2037921104">
      <w:bodyDiv w:val="1"/>
      <w:marLeft w:val="0"/>
      <w:marRight w:val="0"/>
      <w:marTop w:val="0"/>
      <w:marBottom w:val="0"/>
      <w:divBdr>
        <w:top w:val="none" w:sz="0" w:space="0" w:color="auto"/>
        <w:left w:val="none" w:sz="0" w:space="0" w:color="auto"/>
        <w:bottom w:val="none" w:sz="0" w:space="0" w:color="auto"/>
        <w:right w:val="none" w:sz="0" w:space="0" w:color="auto"/>
      </w:divBdr>
      <w:divsChild>
        <w:div w:id="1161389230">
          <w:marLeft w:val="1138"/>
          <w:marRight w:val="0"/>
          <w:marTop w:val="72"/>
          <w:marBottom w:val="120"/>
          <w:divBdr>
            <w:top w:val="none" w:sz="0" w:space="0" w:color="auto"/>
            <w:left w:val="none" w:sz="0" w:space="0" w:color="auto"/>
            <w:bottom w:val="none" w:sz="0" w:space="0" w:color="auto"/>
            <w:right w:val="none" w:sz="0" w:space="0" w:color="auto"/>
          </w:divBdr>
        </w:div>
        <w:div w:id="378821288">
          <w:marLeft w:val="1138"/>
          <w:marRight w:val="1022"/>
          <w:marTop w:val="72"/>
          <w:marBottom w:val="120"/>
          <w:divBdr>
            <w:top w:val="none" w:sz="0" w:space="0" w:color="auto"/>
            <w:left w:val="none" w:sz="0" w:space="0" w:color="auto"/>
            <w:bottom w:val="none" w:sz="0" w:space="0" w:color="auto"/>
            <w:right w:val="none" w:sz="0" w:space="0" w:color="auto"/>
          </w:divBdr>
        </w:div>
        <w:div w:id="1476870769">
          <w:marLeft w:val="1138"/>
          <w:marRight w:val="1022"/>
          <w:marTop w:val="72"/>
          <w:marBottom w:val="120"/>
          <w:divBdr>
            <w:top w:val="none" w:sz="0" w:space="0" w:color="auto"/>
            <w:left w:val="none" w:sz="0" w:space="0" w:color="auto"/>
            <w:bottom w:val="none" w:sz="0" w:space="0" w:color="auto"/>
            <w:right w:val="none" w:sz="0" w:space="0" w:color="auto"/>
          </w:divBdr>
        </w:div>
        <w:div w:id="364253159">
          <w:marLeft w:val="1138"/>
          <w:marRight w:val="1022"/>
          <w:marTop w:val="72"/>
          <w:marBottom w:val="120"/>
          <w:divBdr>
            <w:top w:val="none" w:sz="0" w:space="0" w:color="auto"/>
            <w:left w:val="none" w:sz="0" w:space="0" w:color="auto"/>
            <w:bottom w:val="none" w:sz="0" w:space="0" w:color="auto"/>
            <w:right w:val="none" w:sz="0" w:space="0" w:color="auto"/>
          </w:divBdr>
        </w:div>
        <w:div w:id="792673911">
          <w:marLeft w:val="1138"/>
          <w:marRight w:val="1022"/>
          <w:marTop w:val="72"/>
          <w:marBottom w:val="120"/>
          <w:divBdr>
            <w:top w:val="none" w:sz="0" w:space="0" w:color="auto"/>
            <w:left w:val="none" w:sz="0" w:space="0" w:color="auto"/>
            <w:bottom w:val="none" w:sz="0" w:space="0" w:color="auto"/>
            <w:right w:val="none" w:sz="0" w:space="0" w:color="auto"/>
          </w:divBdr>
        </w:div>
      </w:divsChild>
    </w:div>
    <w:div w:id="2040277523">
      <w:bodyDiv w:val="1"/>
      <w:marLeft w:val="0"/>
      <w:marRight w:val="0"/>
      <w:marTop w:val="0"/>
      <w:marBottom w:val="0"/>
      <w:divBdr>
        <w:top w:val="none" w:sz="0" w:space="0" w:color="auto"/>
        <w:left w:val="none" w:sz="0" w:space="0" w:color="auto"/>
        <w:bottom w:val="none" w:sz="0" w:space="0" w:color="auto"/>
        <w:right w:val="none" w:sz="0" w:space="0" w:color="auto"/>
      </w:divBdr>
    </w:div>
    <w:div w:id="2044355518">
      <w:bodyDiv w:val="1"/>
      <w:marLeft w:val="0"/>
      <w:marRight w:val="0"/>
      <w:marTop w:val="0"/>
      <w:marBottom w:val="0"/>
      <w:divBdr>
        <w:top w:val="none" w:sz="0" w:space="0" w:color="auto"/>
        <w:left w:val="none" w:sz="0" w:space="0" w:color="auto"/>
        <w:bottom w:val="none" w:sz="0" w:space="0" w:color="auto"/>
        <w:right w:val="none" w:sz="0" w:space="0" w:color="auto"/>
      </w:divBdr>
      <w:divsChild>
        <w:div w:id="273488015">
          <w:marLeft w:val="0"/>
          <w:marRight w:val="0"/>
          <w:marTop w:val="0"/>
          <w:marBottom w:val="0"/>
          <w:divBdr>
            <w:top w:val="none" w:sz="0" w:space="0" w:color="auto"/>
            <w:left w:val="none" w:sz="0" w:space="0" w:color="auto"/>
            <w:bottom w:val="none" w:sz="0" w:space="0" w:color="auto"/>
            <w:right w:val="none" w:sz="0" w:space="0" w:color="auto"/>
          </w:divBdr>
        </w:div>
        <w:div w:id="798693612">
          <w:marLeft w:val="0"/>
          <w:marRight w:val="0"/>
          <w:marTop w:val="0"/>
          <w:marBottom w:val="0"/>
          <w:divBdr>
            <w:top w:val="none" w:sz="0" w:space="0" w:color="auto"/>
            <w:left w:val="none" w:sz="0" w:space="0" w:color="auto"/>
            <w:bottom w:val="none" w:sz="0" w:space="0" w:color="auto"/>
            <w:right w:val="none" w:sz="0" w:space="0" w:color="auto"/>
          </w:divBdr>
        </w:div>
        <w:div w:id="921524840">
          <w:marLeft w:val="0"/>
          <w:marRight w:val="0"/>
          <w:marTop w:val="0"/>
          <w:marBottom w:val="0"/>
          <w:divBdr>
            <w:top w:val="none" w:sz="0" w:space="0" w:color="auto"/>
            <w:left w:val="none" w:sz="0" w:space="0" w:color="auto"/>
            <w:bottom w:val="none" w:sz="0" w:space="0" w:color="auto"/>
            <w:right w:val="none" w:sz="0" w:space="0" w:color="auto"/>
          </w:divBdr>
        </w:div>
        <w:div w:id="2080786357">
          <w:marLeft w:val="0"/>
          <w:marRight w:val="0"/>
          <w:marTop w:val="0"/>
          <w:marBottom w:val="0"/>
          <w:divBdr>
            <w:top w:val="none" w:sz="0" w:space="0" w:color="auto"/>
            <w:left w:val="none" w:sz="0" w:space="0" w:color="auto"/>
            <w:bottom w:val="none" w:sz="0" w:space="0" w:color="auto"/>
            <w:right w:val="none" w:sz="0" w:space="0" w:color="auto"/>
          </w:divBdr>
        </w:div>
        <w:div w:id="363285586">
          <w:marLeft w:val="0"/>
          <w:marRight w:val="0"/>
          <w:marTop w:val="0"/>
          <w:marBottom w:val="0"/>
          <w:divBdr>
            <w:top w:val="none" w:sz="0" w:space="0" w:color="auto"/>
            <w:left w:val="none" w:sz="0" w:space="0" w:color="auto"/>
            <w:bottom w:val="none" w:sz="0" w:space="0" w:color="auto"/>
            <w:right w:val="none" w:sz="0" w:space="0" w:color="auto"/>
          </w:divBdr>
        </w:div>
      </w:divsChild>
    </w:div>
    <w:div w:id="2046559271">
      <w:bodyDiv w:val="1"/>
      <w:marLeft w:val="0"/>
      <w:marRight w:val="0"/>
      <w:marTop w:val="0"/>
      <w:marBottom w:val="0"/>
      <w:divBdr>
        <w:top w:val="none" w:sz="0" w:space="0" w:color="auto"/>
        <w:left w:val="none" w:sz="0" w:space="0" w:color="auto"/>
        <w:bottom w:val="none" w:sz="0" w:space="0" w:color="auto"/>
        <w:right w:val="none" w:sz="0" w:space="0" w:color="auto"/>
      </w:divBdr>
    </w:div>
    <w:div w:id="2049259772">
      <w:bodyDiv w:val="1"/>
      <w:marLeft w:val="0"/>
      <w:marRight w:val="0"/>
      <w:marTop w:val="0"/>
      <w:marBottom w:val="0"/>
      <w:divBdr>
        <w:top w:val="none" w:sz="0" w:space="0" w:color="auto"/>
        <w:left w:val="none" w:sz="0" w:space="0" w:color="auto"/>
        <w:bottom w:val="none" w:sz="0" w:space="0" w:color="auto"/>
        <w:right w:val="none" w:sz="0" w:space="0" w:color="auto"/>
      </w:divBdr>
      <w:divsChild>
        <w:div w:id="26028415">
          <w:marLeft w:val="0"/>
          <w:marRight w:val="619"/>
          <w:marTop w:val="72"/>
          <w:marBottom w:val="120"/>
          <w:divBdr>
            <w:top w:val="none" w:sz="0" w:space="0" w:color="auto"/>
            <w:left w:val="none" w:sz="0" w:space="0" w:color="auto"/>
            <w:bottom w:val="none" w:sz="0" w:space="0" w:color="auto"/>
            <w:right w:val="none" w:sz="0" w:space="0" w:color="auto"/>
          </w:divBdr>
        </w:div>
        <w:div w:id="1110473756">
          <w:marLeft w:val="0"/>
          <w:marRight w:val="619"/>
          <w:marTop w:val="72"/>
          <w:marBottom w:val="120"/>
          <w:divBdr>
            <w:top w:val="none" w:sz="0" w:space="0" w:color="auto"/>
            <w:left w:val="none" w:sz="0" w:space="0" w:color="auto"/>
            <w:bottom w:val="none" w:sz="0" w:space="0" w:color="auto"/>
            <w:right w:val="none" w:sz="0" w:space="0" w:color="auto"/>
          </w:divBdr>
        </w:div>
        <w:div w:id="504906864">
          <w:marLeft w:val="0"/>
          <w:marRight w:val="1022"/>
          <w:marTop w:val="72"/>
          <w:marBottom w:val="120"/>
          <w:divBdr>
            <w:top w:val="none" w:sz="0" w:space="0" w:color="auto"/>
            <w:left w:val="none" w:sz="0" w:space="0" w:color="auto"/>
            <w:bottom w:val="none" w:sz="0" w:space="0" w:color="auto"/>
            <w:right w:val="none" w:sz="0" w:space="0" w:color="auto"/>
          </w:divBdr>
        </w:div>
        <w:div w:id="884409354">
          <w:marLeft w:val="0"/>
          <w:marRight w:val="1022"/>
          <w:marTop w:val="72"/>
          <w:marBottom w:val="120"/>
          <w:divBdr>
            <w:top w:val="none" w:sz="0" w:space="0" w:color="auto"/>
            <w:left w:val="none" w:sz="0" w:space="0" w:color="auto"/>
            <w:bottom w:val="none" w:sz="0" w:space="0" w:color="auto"/>
            <w:right w:val="none" w:sz="0" w:space="0" w:color="auto"/>
          </w:divBdr>
        </w:div>
        <w:div w:id="2075739693">
          <w:marLeft w:val="0"/>
          <w:marRight w:val="1022"/>
          <w:marTop w:val="72"/>
          <w:marBottom w:val="120"/>
          <w:divBdr>
            <w:top w:val="none" w:sz="0" w:space="0" w:color="auto"/>
            <w:left w:val="none" w:sz="0" w:space="0" w:color="auto"/>
            <w:bottom w:val="none" w:sz="0" w:space="0" w:color="auto"/>
            <w:right w:val="none" w:sz="0" w:space="0" w:color="auto"/>
          </w:divBdr>
        </w:div>
        <w:div w:id="2069650259">
          <w:marLeft w:val="0"/>
          <w:marRight w:val="1022"/>
          <w:marTop w:val="72"/>
          <w:marBottom w:val="120"/>
          <w:divBdr>
            <w:top w:val="none" w:sz="0" w:space="0" w:color="auto"/>
            <w:left w:val="none" w:sz="0" w:space="0" w:color="auto"/>
            <w:bottom w:val="none" w:sz="0" w:space="0" w:color="auto"/>
            <w:right w:val="none" w:sz="0" w:space="0" w:color="auto"/>
          </w:divBdr>
        </w:div>
        <w:div w:id="305935539">
          <w:marLeft w:val="0"/>
          <w:marRight w:val="1022"/>
          <w:marTop w:val="72"/>
          <w:marBottom w:val="120"/>
          <w:divBdr>
            <w:top w:val="none" w:sz="0" w:space="0" w:color="auto"/>
            <w:left w:val="none" w:sz="0" w:space="0" w:color="auto"/>
            <w:bottom w:val="none" w:sz="0" w:space="0" w:color="auto"/>
            <w:right w:val="none" w:sz="0" w:space="0" w:color="auto"/>
          </w:divBdr>
        </w:div>
        <w:div w:id="199367737">
          <w:marLeft w:val="0"/>
          <w:marRight w:val="1022"/>
          <w:marTop w:val="72"/>
          <w:marBottom w:val="120"/>
          <w:divBdr>
            <w:top w:val="none" w:sz="0" w:space="0" w:color="auto"/>
            <w:left w:val="none" w:sz="0" w:space="0" w:color="auto"/>
            <w:bottom w:val="none" w:sz="0" w:space="0" w:color="auto"/>
            <w:right w:val="none" w:sz="0" w:space="0" w:color="auto"/>
          </w:divBdr>
        </w:div>
        <w:div w:id="535849834">
          <w:marLeft w:val="0"/>
          <w:marRight w:val="1022"/>
          <w:marTop w:val="72"/>
          <w:marBottom w:val="120"/>
          <w:divBdr>
            <w:top w:val="none" w:sz="0" w:space="0" w:color="auto"/>
            <w:left w:val="none" w:sz="0" w:space="0" w:color="auto"/>
            <w:bottom w:val="none" w:sz="0" w:space="0" w:color="auto"/>
            <w:right w:val="none" w:sz="0" w:space="0" w:color="auto"/>
          </w:divBdr>
        </w:div>
      </w:divsChild>
    </w:div>
    <w:div w:id="2053964709">
      <w:bodyDiv w:val="1"/>
      <w:marLeft w:val="0"/>
      <w:marRight w:val="0"/>
      <w:marTop w:val="0"/>
      <w:marBottom w:val="0"/>
      <w:divBdr>
        <w:top w:val="none" w:sz="0" w:space="0" w:color="auto"/>
        <w:left w:val="none" w:sz="0" w:space="0" w:color="auto"/>
        <w:bottom w:val="none" w:sz="0" w:space="0" w:color="auto"/>
        <w:right w:val="none" w:sz="0" w:space="0" w:color="auto"/>
      </w:divBdr>
    </w:div>
    <w:div w:id="2056464390">
      <w:bodyDiv w:val="1"/>
      <w:marLeft w:val="0"/>
      <w:marRight w:val="0"/>
      <w:marTop w:val="0"/>
      <w:marBottom w:val="0"/>
      <w:divBdr>
        <w:top w:val="none" w:sz="0" w:space="0" w:color="auto"/>
        <w:left w:val="none" w:sz="0" w:space="0" w:color="auto"/>
        <w:bottom w:val="none" w:sz="0" w:space="0" w:color="auto"/>
        <w:right w:val="none" w:sz="0" w:space="0" w:color="auto"/>
      </w:divBdr>
    </w:div>
    <w:div w:id="2068448994">
      <w:bodyDiv w:val="1"/>
      <w:marLeft w:val="0"/>
      <w:marRight w:val="0"/>
      <w:marTop w:val="0"/>
      <w:marBottom w:val="0"/>
      <w:divBdr>
        <w:top w:val="none" w:sz="0" w:space="0" w:color="auto"/>
        <w:left w:val="none" w:sz="0" w:space="0" w:color="auto"/>
        <w:bottom w:val="none" w:sz="0" w:space="0" w:color="auto"/>
        <w:right w:val="none" w:sz="0" w:space="0" w:color="auto"/>
      </w:divBdr>
      <w:divsChild>
        <w:div w:id="1979144088">
          <w:marLeft w:val="0"/>
          <w:marRight w:val="0"/>
          <w:marTop w:val="0"/>
          <w:marBottom w:val="0"/>
          <w:divBdr>
            <w:top w:val="none" w:sz="0" w:space="0" w:color="auto"/>
            <w:left w:val="none" w:sz="0" w:space="0" w:color="auto"/>
            <w:bottom w:val="none" w:sz="0" w:space="0" w:color="auto"/>
            <w:right w:val="none" w:sz="0" w:space="0" w:color="auto"/>
          </w:divBdr>
        </w:div>
        <w:div w:id="246696301">
          <w:marLeft w:val="0"/>
          <w:marRight w:val="0"/>
          <w:marTop w:val="0"/>
          <w:marBottom w:val="0"/>
          <w:divBdr>
            <w:top w:val="none" w:sz="0" w:space="0" w:color="auto"/>
            <w:left w:val="none" w:sz="0" w:space="0" w:color="auto"/>
            <w:bottom w:val="none" w:sz="0" w:space="0" w:color="auto"/>
            <w:right w:val="none" w:sz="0" w:space="0" w:color="auto"/>
          </w:divBdr>
        </w:div>
        <w:div w:id="1717503338">
          <w:marLeft w:val="0"/>
          <w:marRight w:val="0"/>
          <w:marTop w:val="0"/>
          <w:marBottom w:val="0"/>
          <w:divBdr>
            <w:top w:val="none" w:sz="0" w:space="0" w:color="auto"/>
            <w:left w:val="none" w:sz="0" w:space="0" w:color="auto"/>
            <w:bottom w:val="none" w:sz="0" w:space="0" w:color="auto"/>
            <w:right w:val="none" w:sz="0" w:space="0" w:color="auto"/>
          </w:divBdr>
        </w:div>
        <w:div w:id="1187673993">
          <w:marLeft w:val="0"/>
          <w:marRight w:val="0"/>
          <w:marTop w:val="0"/>
          <w:marBottom w:val="0"/>
          <w:divBdr>
            <w:top w:val="none" w:sz="0" w:space="0" w:color="auto"/>
            <w:left w:val="none" w:sz="0" w:space="0" w:color="auto"/>
            <w:bottom w:val="none" w:sz="0" w:space="0" w:color="auto"/>
            <w:right w:val="none" w:sz="0" w:space="0" w:color="auto"/>
          </w:divBdr>
        </w:div>
      </w:divsChild>
    </w:div>
    <w:div w:id="2074614865">
      <w:bodyDiv w:val="1"/>
      <w:marLeft w:val="0"/>
      <w:marRight w:val="0"/>
      <w:marTop w:val="0"/>
      <w:marBottom w:val="0"/>
      <w:divBdr>
        <w:top w:val="none" w:sz="0" w:space="0" w:color="auto"/>
        <w:left w:val="none" w:sz="0" w:space="0" w:color="auto"/>
        <w:bottom w:val="none" w:sz="0" w:space="0" w:color="auto"/>
        <w:right w:val="none" w:sz="0" w:space="0" w:color="auto"/>
      </w:divBdr>
    </w:div>
    <w:div w:id="2086491001">
      <w:bodyDiv w:val="1"/>
      <w:marLeft w:val="0"/>
      <w:marRight w:val="0"/>
      <w:marTop w:val="0"/>
      <w:marBottom w:val="0"/>
      <w:divBdr>
        <w:top w:val="none" w:sz="0" w:space="0" w:color="auto"/>
        <w:left w:val="none" w:sz="0" w:space="0" w:color="auto"/>
        <w:bottom w:val="none" w:sz="0" w:space="0" w:color="auto"/>
        <w:right w:val="none" w:sz="0" w:space="0" w:color="auto"/>
      </w:divBdr>
      <w:divsChild>
        <w:div w:id="482964153">
          <w:marLeft w:val="0"/>
          <w:marRight w:val="446"/>
          <w:marTop w:val="115"/>
          <w:marBottom w:val="120"/>
          <w:divBdr>
            <w:top w:val="none" w:sz="0" w:space="0" w:color="auto"/>
            <w:left w:val="none" w:sz="0" w:space="0" w:color="auto"/>
            <w:bottom w:val="none" w:sz="0" w:space="0" w:color="auto"/>
            <w:right w:val="none" w:sz="0" w:space="0" w:color="auto"/>
          </w:divBdr>
        </w:div>
        <w:div w:id="1866554574">
          <w:marLeft w:val="0"/>
          <w:marRight w:val="446"/>
          <w:marTop w:val="115"/>
          <w:marBottom w:val="120"/>
          <w:divBdr>
            <w:top w:val="none" w:sz="0" w:space="0" w:color="auto"/>
            <w:left w:val="none" w:sz="0" w:space="0" w:color="auto"/>
            <w:bottom w:val="none" w:sz="0" w:space="0" w:color="auto"/>
            <w:right w:val="none" w:sz="0" w:space="0" w:color="auto"/>
          </w:divBdr>
        </w:div>
      </w:divsChild>
    </w:div>
    <w:div w:id="2102793079">
      <w:bodyDiv w:val="1"/>
      <w:marLeft w:val="0"/>
      <w:marRight w:val="0"/>
      <w:marTop w:val="0"/>
      <w:marBottom w:val="0"/>
      <w:divBdr>
        <w:top w:val="none" w:sz="0" w:space="0" w:color="auto"/>
        <w:left w:val="none" w:sz="0" w:space="0" w:color="auto"/>
        <w:bottom w:val="none" w:sz="0" w:space="0" w:color="auto"/>
        <w:right w:val="none" w:sz="0" w:space="0" w:color="auto"/>
      </w:divBdr>
    </w:div>
    <w:div w:id="2104107708">
      <w:bodyDiv w:val="1"/>
      <w:marLeft w:val="0"/>
      <w:marRight w:val="0"/>
      <w:marTop w:val="0"/>
      <w:marBottom w:val="0"/>
      <w:divBdr>
        <w:top w:val="none" w:sz="0" w:space="0" w:color="auto"/>
        <w:left w:val="none" w:sz="0" w:space="0" w:color="auto"/>
        <w:bottom w:val="none" w:sz="0" w:space="0" w:color="auto"/>
        <w:right w:val="none" w:sz="0" w:space="0" w:color="auto"/>
      </w:divBdr>
      <w:divsChild>
        <w:div w:id="1729456332">
          <w:marLeft w:val="0"/>
          <w:marRight w:val="446"/>
          <w:marTop w:val="96"/>
          <w:marBottom w:val="120"/>
          <w:divBdr>
            <w:top w:val="none" w:sz="0" w:space="0" w:color="auto"/>
            <w:left w:val="none" w:sz="0" w:space="0" w:color="auto"/>
            <w:bottom w:val="none" w:sz="0" w:space="0" w:color="auto"/>
            <w:right w:val="none" w:sz="0" w:space="0" w:color="auto"/>
          </w:divBdr>
        </w:div>
      </w:divsChild>
    </w:div>
    <w:div w:id="2118256184">
      <w:bodyDiv w:val="1"/>
      <w:marLeft w:val="0"/>
      <w:marRight w:val="0"/>
      <w:marTop w:val="0"/>
      <w:marBottom w:val="0"/>
      <w:divBdr>
        <w:top w:val="none" w:sz="0" w:space="0" w:color="auto"/>
        <w:left w:val="none" w:sz="0" w:space="0" w:color="auto"/>
        <w:bottom w:val="none" w:sz="0" w:space="0" w:color="auto"/>
        <w:right w:val="none" w:sz="0" w:space="0" w:color="auto"/>
      </w:divBdr>
    </w:div>
    <w:div w:id="2123258908">
      <w:bodyDiv w:val="1"/>
      <w:marLeft w:val="0"/>
      <w:marRight w:val="0"/>
      <w:marTop w:val="0"/>
      <w:marBottom w:val="0"/>
      <w:divBdr>
        <w:top w:val="none" w:sz="0" w:space="0" w:color="auto"/>
        <w:left w:val="none" w:sz="0" w:space="0" w:color="auto"/>
        <w:bottom w:val="none" w:sz="0" w:space="0" w:color="auto"/>
        <w:right w:val="none" w:sz="0" w:space="0" w:color="auto"/>
      </w:divBdr>
    </w:div>
    <w:div w:id="2132284428">
      <w:bodyDiv w:val="1"/>
      <w:marLeft w:val="0"/>
      <w:marRight w:val="0"/>
      <w:marTop w:val="0"/>
      <w:marBottom w:val="0"/>
      <w:divBdr>
        <w:top w:val="none" w:sz="0" w:space="0" w:color="auto"/>
        <w:left w:val="none" w:sz="0" w:space="0" w:color="auto"/>
        <w:bottom w:val="none" w:sz="0" w:space="0" w:color="auto"/>
        <w:right w:val="none" w:sz="0" w:space="0" w:color="auto"/>
      </w:divBdr>
    </w:div>
    <w:div w:id="213367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he.wikipedia.org/wiki/%D7%A6%D7%94%22%D7%9C" TargetMode="External"/><Relationship Id="rId26" Type="http://schemas.openxmlformats.org/officeDocument/2006/relationships/diagramColors" Target="diagrams/colors1.xml"/><Relationship Id="rId39" Type="http://schemas.openxmlformats.org/officeDocument/2006/relationships/diagramLayout" Target="diagrams/layout2.xml"/><Relationship Id="rId21" Type="http://schemas.openxmlformats.org/officeDocument/2006/relationships/hyperlink" Target="https://he.wikipedia.org/wiki/%D7%9E%D7%9C%D7%97%D7%9E%D7%AA_%D7%94%D7%A2%D7%A6%D7%9E%D7%90%D7%95%D7%AA" TargetMode="External"/><Relationship Id="rId34" Type="http://schemas.openxmlformats.org/officeDocument/2006/relationships/image" Target="media/image7.png"/><Relationship Id="rId42" Type="http://schemas.microsoft.com/office/2007/relationships/diagramDrawing" Target="diagrams/drawing2.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wikipedia.org/wiki/%D7%94%D7%95%D7%A6%D7%90%D7%94_%D7%9C%D7%94%D7%95%D7%A8%D7%92" TargetMode="Externa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diagramLayout" Target="diagrams/layout1.xml"/><Relationship Id="rId32" Type="http://schemas.openxmlformats.org/officeDocument/2006/relationships/hyperlink" Target="http://www.nevo.co.il.eu1.proxy.openathens.net/law/70301/77" TargetMode="External"/><Relationship Id="rId37" Type="http://schemas.openxmlformats.org/officeDocument/2006/relationships/hyperlink" Target="http://www.nevo.co.il.eu1.proxy.openathens.net/law/70301/40i" TargetMode="External"/><Relationship Id="rId40" Type="http://schemas.openxmlformats.org/officeDocument/2006/relationships/diagramQuickStyle" Target="diagrams/quickStyle2.xml"/><Relationship Id="rId45" Type="http://schemas.openxmlformats.org/officeDocument/2006/relationships/image" Target="media/image10.emf"/><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webSettings" Target="webSettings.xml"/><Relationship Id="rId19" Type="http://schemas.openxmlformats.org/officeDocument/2006/relationships/hyperlink" Target="https://he.wikipedia.org/wiki/%D7%A8%D7%99%D7%92%D7%95%D7%9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he.wikipedia.org/wiki/%D7%91%D7%99%D7%AA_%D7%93%D7%99%D7%9F_%D7%A9%D7%93%D7%94" TargetMode="External"/><Relationship Id="rId27" Type="http://schemas.microsoft.com/office/2007/relationships/diagramDrawing" Target="diagrams/drawing1.xml"/><Relationship Id="rId30" Type="http://schemas.openxmlformats.org/officeDocument/2006/relationships/image" Target="media/image6.png"/><Relationship Id="rId35" Type="http://schemas.openxmlformats.org/officeDocument/2006/relationships/hyperlink" Target="http://www.nevo.co.il.eu1.proxy.openathens.net/law/70301" TargetMode="External"/><Relationship Id="rId43" Type="http://schemas.openxmlformats.org/officeDocument/2006/relationships/image" Target="media/image8.png"/><Relationship Id="rId48" Type="http://schemas.openxmlformats.org/officeDocument/2006/relationships/image" Target="media/image12.png"/><Relationship Id="rId56"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he.wikipedia.org/wiki/%D7%A7%D7%A6%D7%99%D7%9F" TargetMode="External"/><Relationship Id="rId25" Type="http://schemas.openxmlformats.org/officeDocument/2006/relationships/diagramQuickStyle" Target="diagrams/quickStyle1.xml"/><Relationship Id="rId33" Type="http://schemas.openxmlformats.org/officeDocument/2006/relationships/hyperlink" Target="http://www.nevo.co.il.eu1.proxy.openathens.net/law/70301" TargetMode="External"/><Relationship Id="rId38" Type="http://schemas.openxmlformats.org/officeDocument/2006/relationships/diagramData" Target="diagrams/data2.xml"/><Relationship Id="rId46" Type="http://schemas.openxmlformats.org/officeDocument/2006/relationships/hyperlink" Target="http://www.nevo.co.il.eu1.proxy.openathens.net/law/70301" TargetMode="External"/><Relationship Id="rId59" Type="http://schemas.openxmlformats.org/officeDocument/2006/relationships/fontTable" Target="fontTable.xml"/><Relationship Id="rId20" Type="http://schemas.openxmlformats.org/officeDocument/2006/relationships/hyperlink" Target="https://he.wikipedia.org/wiki/%D7%99%D7%A9%D7%A8%D7%90%D7%9C" TargetMode="External"/><Relationship Id="rId41" Type="http://schemas.openxmlformats.org/officeDocument/2006/relationships/diagramColors" Target="diagrams/colors2.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arber.shay@gmail.com" TargetMode="External"/><Relationship Id="rId23" Type="http://schemas.openxmlformats.org/officeDocument/2006/relationships/diagramData" Target="diagrams/data1.xml"/><Relationship Id="rId28" Type="http://schemas.openxmlformats.org/officeDocument/2006/relationships/image" Target="media/image4.png"/><Relationship Id="rId36" Type="http://schemas.openxmlformats.org/officeDocument/2006/relationships/hyperlink" Target="http://www.nevo.co.il.eu1.proxy.openathens.net/law/70301/40c.a" TargetMode="External"/><Relationship Id="rId49" Type="http://schemas.openxmlformats.org/officeDocument/2006/relationships/image" Target="media/image13.png"/><Relationship Id="rId57"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hyperlink" Target="http://www.nevo.co.il.eu1.proxy.openathens.net/law/70301" TargetMode="External"/><Relationship Id="rId44" Type="http://schemas.openxmlformats.org/officeDocument/2006/relationships/image" Target="media/image9.jpeg"/><Relationship Id="rId52" Type="http://schemas.openxmlformats.org/officeDocument/2006/relationships/hyperlink" Target="http://www.nevo.co.il.eu1.proxy.openathens.net/law/70301"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ABBB9D-3D64-45B8-AD6F-2C43D22F3B76}"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pPr rtl="1"/>
          <a:endParaRPr lang="he-IL"/>
        </a:p>
      </dgm:t>
    </dgm:pt>
    <dgm:pt modelId="{F2EE2AE7-CAB1-4182-872A-B1D7516F39A4}">
      <dgm:prSet phldrT="[טקסט]" custT="1"/>
      <dgm:spPr/>
      <dgm:t>
        <a:bodyPr/>
        <a:lstStyle/>
        <a:p>
          <a:pPr algn="ctr" rtl="1"/>
          <a:r>
            <a:rPr lang="he-IL" sz="1100" b="1">
              <a:solidFill>
                <a:sysClr val="windowText" lastClr="000000"/>
              </a:solidFill>
              <a:latin typeface="Segoe UI" panose="020B0502040204020203" pitchFamily="34" charset="0"/>
              <a:cs typeface="Segoe UI" panose="020B0502040204020203" pitchFamily="34" charset="0"/>
            </a:rPr>
            <a:t>מטרות</a:t>
          </a:r>
        </a:p>
      </dgm:t>
    </dgm:pt>
    <dgm:pt modelId="{67A33BE2-2128-447B-AD20-267CF1C567F0}" type="parTrans" cxnId="{05D54DBC-FE56-4FD1-983D-6770CFF95310}">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B547F8BA-97E9-4B7D-8EEC-D33BA92A1799}" type="sibTrans" cxnId="{05D54DBC-FE56-4FD1-983D-6770CFF95310}">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D1029834-4EC8-4D9D-8D3B-178FBB6AD071}">
      <dgm:prSet phldrT="[טקסט]" custT="1"/>
      <dgm:spPr/>
      <dgm:t>
        <a:bodyPr/>
        <a:lstStyle/>
        <a:p>
          <a:pPr algn="ctr" rtl="1"/>
          <a:r>
            <a:rPr lang="he-IL" sz="1100" b="1">
              <a:solidFill>
                <a:sysClr val="windowText" lastClr="000000"/>
              </a:solidFill>
              <a:latin typeface="Segoe UI" panose="020B0502040204020203" pitchFamily="34" charset="0"/>
              <a:cs typeface="Segoe UI" panose="020B0502040204020203" pitchFamily="34" charset="0"/>
            </a:rPr>
            <a:t>הצדקות</a:t>
          </a:r>
        </a:p>
      </dgm:t>
    </dgm:pt>
    <dgm:pt modelId="{FB436D79-B5A9-48BE-AE7F-A89D20B2158C}" type="parTrans" cxnId="{92CCF982-795E-4EAA-8365-9B9D78A51E2C}">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E70C7B1C-0B1B-40B3-8036-1DDF1CEC0718}" type="sibTrans" cxnId="{92CCF982-795E-4EAA-8365-9B9D78A51E2C}">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9FD45018-3F88-4CC3-8527-EA7465C1478A}" type="asst">
      <dgm:prSet custT="1"/>
      <dgm:spPr/>
      <dgm:t>
        <a:bodyPr/>
        <a:lstStyle/>
        <a:p>
          <a:pPr algn="ctr" rtl="1"/>
          <a:r>
            <a:rPr lang="he-IL" sz="1100" b="0">
              <a:solidFill>
                <a:sysClr val="windowText" lastClr="000000"/>
              </a:solidFill>
              <a:latin typeface="Segoe UI" panose="020B0502040204020203" pitchFamily="34" charset="0"/>
              <a:cs typeface="Segoe UI" panose="020B0502040204020203" pitchFamily="34" charset="0"/>
            </a:rPr>
            <a:t>הבחנה בין מושגים</a:t>
          </a:r>
        </a:p>
      </dgm:t>
    </dgm:pt>
    <dgm:pt modelId="{1213784B-8290-4C22-A583-F1838C012F87}" type="parTrans" cxnId="{D4C7CD87-E67B-432C-91B6-25B0D39C9E47}">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56294B69-26CD-441A-B5D1-4938C0D8F6B7}" type="sibTrans" cxnId="{D4C7CD87-E67B-432C-91B6-25B0D39C9E47}">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9A5BEEC9-AB82-4FD3-8881-C0D3323E68B1}">
      <dgm:prSet custT="1"/>
      <dgm:spPr/>
      <dgm:t>
        <a:bodyPr/>
        <a:lstStyle/>
        <a:p>
          <a:pPr algn="ctr" rtl="1"/>
          <a:r>
            <a:rPr lang="he-IL" sz="1100" b="0">
              <a:solidFill>
                <a:sysClr val="windowText" lastClr="000000"/>
              </a:solidFill>
              <a:latin typeface="Segoe UI" panose="020B0502040204020203" pitchFamily="34" charset="0"/>
              <a:cs typeface="Segoe UI" panose="020B0502040204020203" pitchFamily="34" charset="0"/>
            </a:rPr>
            <a:t>שאלת המדוע ומאיפה נובעת הסמכות להעניש </a:t>
          </a:r>
        </a:p>
      </dgm:t>
    </dgm:pt>
    <dgm:pt modelId="{5F2C75F8-CF16-43B4-8F43-BA0A9048715A}" type="parTrans" cxnId="{08434B08-A963-4124-BDB8-F5D149244ABC}">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12C3114B-BB8F-45C6-B02D-521524728ED5}" type="sibTrans" cxnId="{08434B08-A963-4124-BDB8-F5D149244ABC}">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E7CF3E9B-0FB1-4659-A776-070781079744}">
      <dgm:prSet custT="1"/>
      <dgm:spPr/>
      <dgm:t>
        <a:bodyPr/>
        <a:lstStyle/>
        <a:p>
          <a:pPr algn="ctr" rtl="1"/>
          <a:r>
            <a:rPr lang="he-IL" sz="1100" b="0">
              <a:solidFill>
                <a:sysClr val="windowText" lastClr="000000"/>
              </a:solidFill>
              <a:latin typeface="Segoe UI" panose="020B0502040204020203" pitchFamily="34" charset="0"/>
              <a:cs typeface="Segoe UI" panose="020B0502040204020203" pitchFamily="34" charset="0"/>
            </a:rPr>
            <a:t>שאלת המה אנחנו רוצים להשיג בענישה שמטילים</a:t>
          </a:r>
        </a:p>
      </dgm:t>
    </dgm:pt>
    <dgm:pt modelId="{1191021C-61CF-45B3-9CEA-2C5E5CF8FCA5}" type="parTrans" cxnId="{155D4651-746D-4D2E-8738-C990CE0517F7}">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A690B056-9324-4D35-ADBD-470D61C0A3FA}" type="sibTrans" cxnId="{155D4651-746D-4D2E-8738-C990CE0517F7}">
      <dgm:prSet/>
      <dgm:spPr/>
      <dgm:t>
        <a:bodyPr/>
        <a:lstStyle/>
        <a:p>
          <a:pPr algn="ctr" rtl="1"/>
          <a:endParaRPr lang="he-IL" sz="1100" b="0">
            <a:solidFill>
              <a:sysClr val="windowText" lastClr="000000"/>
            </a:solidFill>
            <a:latin typeface="Segoe UI" panose="020B0502040204020203" pitchFamily="34" charset="0"/>
            <a:cs typeface="Segoe UI" panose="020B0502040204020203" pitchFamily="34" charset="0"/>
          </a:endParaRPr>
        </a:p>
      </dgm:t>
    </dgm:pt>
    <dgm:pt modelId="{4E2ECFD6-1D16-4C3C-8870-DB49CA19AF10}" type="pres">
      <dgm:prSet presAssocID="{C2ABBB9D-3D64-45B8-AD6F-2C43D22F3B76}" presName="hierChild1" presStyleCnt="0">
        <dgm:presLayoutVars>
          <dgm:orgChart val="1"/>
          <dgm:chPref val="1"/>
          <dgm:dir/>
          <dgm:animOne val="branch"/>
          <dgm:animLvl val="lvl"/>
          <dgm:resizeHandles/>
        </dgm:presLayoutVars>
      </dgm:prSet>
      <dgm:spPr/>
    </dgm:pt>
    <dgm:pt modelId="{D1F08827-064F-4F39-ADFD-6B437CFE73C5}" type="pres">
      <dgm:prSet presAssocID="{9FD45018-3F88-4CC3-8527-EA7465C1478A}" presName="hierRoot1" presStyleCnt="0">
        <dgm:presLayoutVars>
          <dgm:hierBranch val="init"/>
        </dgm:presLayoutVars>
      </dgm:prSet>
      <dgm:spPr/>
    </dgm:pt>
    <dgm:pt modelId="{9E65886F-71F7-455F-A805-7D4F46EB2229}" type="pres">
      <dgm:prSet presAssocID="{9FD45018-3F88-4CC3-8527-EA7465C1478A}" presName="rootComposite1" presStyleCnt="0"/>
      <dgm:spPr/>
    </dgm:pt>
    <dgm:pt modelId="{E9AB30D1-4F8D-4963-8599-4EFA51E2EFE2}" type="pres">
      <dgm:prSet presAssocID="{9FD45018-3F88-4CC3-8527-EA7465C1478A}" presName="rootText1" presStyleLbl="node0" presStyleIdx="0" presStyleCnt="1">
        <dgm:presLayoutVars>
          <dgm:chPref val="3"/>
        </dgm:presLayoutVars>
      </dgm:prSet>
      <dgm:spPr/>
    </dgm:pt>
    <dgm:pt modelId="{5A30FC7C-4FE3-411A-B356-8CC140B50187}" type="pres">
      <dgm:prSet presAssocID="{9FD45018-3F88-4CC3-8527-EA7465C1478A}" presName="rootConnector1" presStyleLbl="asst0" presStyleIdx="0" presStyleCnt="0"/>
      <dgm:spPr/>
    </dgm:pt>
    <dgm:pt modelId="{3ADB1114-384E-4485-84FF-18DA037B11FB}" type="pres">
      <dgm:prSet presAssocID="{9FD45018-3F88-4CC3-8527-EA7465C1478A}" presName="hierChild2" presStyleCnt="0"/>
      <dgm:spPr/>
    </dgm:pt>
    <dgm:pt modelId="{3800907C-EF48-4821-B1BE-F4B4AC95F2B3}" type="pres">
      <dgm:prSet presAssocID="{67A33BE2-2128-447B-AD20-267CF1C567F0}" presName="Name37" presStyleLbl="parChTrans1D2" presStyleIdx="0" presStyleCnt="2"/>
      <dgm:spPr/>
    </dgm:pt>
    <dgm:pt modelId="{35190B4D-E48B-4A9D-8A9F-1CE8BC459392}" type="pres">
      <dgm:prSet presAssocID="{F2EE2AE7-CAB1-4182-872A-B1D7516F39A4}" presName="hierRoot2" presStyleCnt="0">
        <dgm:presLayoutVars>
          <dgm:hierBranch val="init"/>
        </dgm:presLayoutVars>
      </dgm:prSet>
      <dgm:spPr/>
    </dgm:pt>
    <dgm:pt modelId="{3D1A3658-6097-45AE-836B-9EC56CEB7DB8}" type="pres">
      <dgm:prSet presAssocID="{F2EE2AE7-CAB1-4182-872A-B1D7516F39A4}" presName="rootComposite" presStyleCnt="0"/>
      <dgm:spPr/>
    </dgm:pt>
    <dgm:pt modelId="{58F12FB4-3129-46F4-90A4-ABB6B77A5985}" type="pres">
      <dgm:prSet presAssocID="{F2EE2AE7-CAB1-4182-872A-B1D7516F39A4}" presName="rootText" presStyleLbl="node2" presStyleIdx="0" presStyleCnt="2">
        <dgm:presLayoutVars>
          <dgm:chPref val="3"/>
        </dgm:presLayoutVars>
      </dgm:prSet>
      <dgm:spPr/>
    </dgm:pt>
    <dgm:pt modelId="{48FD5AA4-CED7-4862-96C8-6EE8EF135456}" type="pres">
      <dgm:prSet presAssocID="{F2EE2AE7-CAB1-4182-872A-B1D7516F39A4}" presName="rootConnector" presStyleLbl="node2" presStyleIdx="0" presStyleCnt="2"/>
      <dgm:spPr/>
    </dgm:pt>
    <dgm:pt modelId="{F9F52EA9-EF0E-4B5B-95BC-5AD5496E2FFD}" type="pres">
      <dgm:prSet presAssocID="{F2EE2AE7-CAB1-4182-872A-B1D7516F39A4}" presName="hierChild4" presStyleCnt="0"/>
      <dgm:spPr/>
    </dgm:pt>
    <dgm:pt modelId="{8376E937-11DC-4225-A11E-3E94B4FDB179}" type="pres">
      <dgm:prSet presAssocID="{1191021C-61CF-45B3-9CEA-2C5E5CF8FCA5}" presName="Name37" presStyleLbl="parChTrans1D3" presStyleIdx="0" presStyleCnt="2"/>
      <dgm:spPr/>
    </dgm:pt>
    <dgm:pt modelId="{A4A6573C-E528-49EF-BFFB-B2E1A1609231}" type="pres">
      <dgm:prSet presAssocID="{E7CF3E9B-0FB1-4659-A776-070781079744}" presName="hierRoot2" presStyleCnt="0">
        <dgm:presLayoutVars>
          <dgm:hierBranch val="hang"/>
        </dgm:presLayoutVars>
      </dgm:prSet>
      <dgm:spPr/>
    </dgm:pt>
    <dgm:pt modelId="{1FA06B91-31D9-4F9E-88DD-F3F6B0F84D42}" type="pres">
      <dgm:prSet presAssocID="{E7CF3E9B-0FB1-4659-A776-070781079744}" presName="rootComposite" presStyleCnt="0"/>
      <dgm:spPr/>
    </dgm:pt>
    <dgm:pt modelId="{ABA30FB3-801E-4CE9-AC09-8BDF065F091B}" type="pres">
      <dgm:prSet presAssocID="{E7CF3E9B-0FB1-4659-A776-070781079744}" presName="rootText" presStyleLbl="node3" presStyleIdx="0" presStyleCnt="2">
        <dgm:presLayoutVars>
          <dgm:chPref val="3"/>
        </dgm:presLayoutVars>
      </dgm:prSet>
      <dgm:spPr/>
    </dgm:pt>
    <dgm:pt modelId="{14E2753F-E154-43AA-A113-AC735D875643}" type="pres">
      <dgm:prSet presAssocID="{E7CF3E9B-0FB1-4659-A776-070781079744}" presName="rootConnector" presStyleLbl="node3" presStyleIdx="0" presStyleCnt="2"/>
      <dgm:spPr/>
    </dgm:pt>
    <dgm:pt modelId="{9157270C-8747-4758-AD49-A70E754ED3B8}" type="pres">
      <dgm:prSet presAssocID="{E7CF3E9B-0FB1-4659-A776-070781079744}" presName="hierChild4" presStyleCnt="0"/>
      <dgm:spPr/>
    </dgm:pt>
    <dgm:pt modelId="{89432DCB-34ED-4AC7-838E-40E073C6B419}" type="pres">
      <dgm:prSet presAssocID="{E7CF3E9B-0FB1-4659-A776-070781079744}" presName="hierChild5" presStyleCnt="0"/>
      <dgm:spPr/>
    </dgm:pt>
    <dgm:pt modelId="{4EDEC499-97B4-4AAB-A485-ACC9D3FCA91E}" type="pres">
      <dgm:prSet presAssocID="{F2EE2AE7-CAB1-4182-872A-B1D7516F39A4}" presName="hierChild5" presStyleCnt="0"/>
      <dgm:spPr/>
    </dgm:pt>
    <dgm:pt modelId="{6B0B24B7-792D-4185-B09A-87D15224630C}" type="pres">
      <dgm:prSet presAssocID="{FB436D79-B5A9-48BE-AE7F-A89D20B2158C}" presName="Name37" presStyleLbl="parChTrans1D2" presStyleIdx="1" presStyleCnt="2"/>
      <dgm:spPr/>
    </dgm:pt>
    <dgm:pt modelId="{D2D477FD-0A6D-40E4-B0B9-F109FBC2EB7E}" type="pres">
      <dgm:prSet presAssocID="{D1029834-4EC8-4D9D-8D3B-178FBB6AD071}" presName="hierRoot2" presStyleCnt="0">
        <dgm:presLayoutVars>
          <dgm:hierBranch val="init"/>
        </dgm:presLayoutVars>
      </dgm:prSet>
      <dgm:spPr/>
    </dgm:pt>
    <dgm:pt modelId="{7351AFA7-5097-4783-A655-9ECED141B8DB}" type="pres">
      <dgm:prSet presAssocID="{D1029834-4EC8-4D9D-8D3B-178FBB6AD071}" presName="rootComposite" presStyleCnt="0"/>
      <dgm:spPr/>
    </dgm:pt>
    <dgm:pt modelId="{FCD7FF76-BDBF-46B8-9D84-60419A2304FD}" type="pres">
      <dgm:prSet presAssocID="{D1029834-4EC8-4D9D-8D3B-178FBB6AD071}" presName="rootText" presStyleLbl="node2" presStyleIdx="1" presStyleCnt="2">
        <dgm:presLayoutVars>
          <dgm:chPref val="3"/>
        </dgm:presLayoutVars>
      </dgm:prSet>
      <dgm:spPr/>
    </dgm:pt>
    <dgm:pt modelId="{0109790B-49C4-4C11-89F8-41FD0F4497E7}" type="pres">
      <dgm:prSet presAssocID="{D1029834-4EC8-4D9D-8D3B-178FBB6AD071}" presName="rootConnector" presStyleLbl="node2" presStyleIdx="1" presStyleCnt="2"/>
      <dgm:spPr/>
    </dgm:pt>
    <dgm:pt modelId="{077DD614-FE3D-4324-A6A7-BD1BC4855CB7}" type="pres">
      <dgm:prSet presAssocID="{D1029834-4EC8-4D9D-8D3B-178FBB6AD071}" presName="hierChild4" presStyleCnt="0"/>
      <dgm:spPr/>
    </dgm:pt>
    <dgm:pt modelId="{647D2C22-B956-4ED5-96B0-A93CCD05CDB7}" type="pres">
      <dgm:prSet presAssocID="{5F2C75F8-CF16-43B4-8F43-BA0A9048715A}" presName="Name37" presStyleLbl="parChTrans1D3" presStyleIdx="1" presStyleCnt="2"/>
      <dgm:spPr/>
    </dgm:pt>
    <dgm:pt modelId="{6FB9FA39-125F-4CA6-9A7E-4D4229C72548}" type="pres">
      <dgm:prSet presAssocID="{9A5BEEC9-AB82-4FD3-8881-C0D3323E68B1}" presName="hierRoot2" presStyleCnt="0">
        <dgm:presLayoutVars>
          <dgm:hierBranch/>
        </dgm:presLayoutVars>
      </dgm:prSet>
      <dgm:spPr/>
    </dgm:pt>
    <dgm:pt modelId="{FF5F5E21-DE5A-4A81-A394-1DA08B529C35}" type="pres">
      <dgm:prSet presAssocID="{9A5BEEC9-AB82-4FD3-8881-C0D3323E68B1}" presName="rootComposite" presStyleCnt="0"/>
      <dgm:spPr/>
    </dgm:pt>
    <dgm:pt modelId="{94556F6B-B8A3-4F3F-8F4B-253A41E4DA95}" type="pres">
      <dgm:prSet presAssocID="{9A5BEEC9-AB82-4FD3-8881-C0D3323E68B1}" presName="rootText" presStyleLbl="node3" presStyleIdx="1" presStyleCnt="2">
        <dgm:presLayoutVars>
          <dgm:chPref val="3"/>
        </dgm:presLayoutVars>
      </dgm:prSet>
      <dgm:spPr/>
    </dgm:pt>
    <dgm:pt modelId="{A90287B7-EA64-487B-A1A7-B748CCF95E45}" type="pres">
      <dgm:prSet presAssocID="{9A5BEEC9-AB82-4FD3-8881-C0D3323E68B1}" presName="rootConnector" presStyleLbl="node3" presStyleIdx="1" presStyleCnt="2"/>
      <dgm:spPr/>
    </dgm:pt>
    <dgm:pt modelId="{6C91E003-69C8-4B01-80FF-D037F27F22C9}" type="pres">
      <dgm:prSet presAssocID="{9A5BEEC9-AB82-4FD3-8881-C0D3323E68B1}" presName="hierChild4" presStyleCnt="0"/>
      <dgm:spPr/>
    </dgm:pt>
    <dgm:pt modelId="{3681C09D-90B1-4EBA-993E-F70D034ABC01}" type="pres">
      <dgm:prSet presAssocID="{9A5BEEC9-AB82-4FD3-8881-C0D3323E68B1}" presName="hierChild5" presStyleCnt="0"/>
      <dgm:spPr/>
    </dgm:pt>
    <dgm:pt modelId="{093D38DA-AF6E-490C-9A9B-45621EF536FE}" type="pres">
      <dgm:prSet presAssocID="{D1029834-4EC8-4D9D-8D3B-178FBB6AD071}" presName="hierChild5" presStyleCnt="0"/>
      <dgm:spPr/>
    </dgm:pt>
    <dgm:pt modelId="{16F052BB-4B99-43BA-8AA8-5B22C9DFE211}" type="pres">
      <dgm:prSet presAssocID="{9FD45018-3F88-4CC3-8527-EA7465C1478A}" presName="hierChild3" presStyleCnt="0"/>
      <dgm:spPr/>
    </dgm:pt>
  </dgm:ptLst>
  <dgm:cxnLst>
    <dgm:cxn modelId="{1B05C600-FB35-4A49-8191-2AFA7C9CA7DE}" type="presOf" srcId="{D1029834-4EC8-4D9D-8D3B-178FBB6AD071}" destId="{FCD7FF76-BDBF-46B8-9D84-60419A2304FD}" srcOrd="0" destOrd="0" presId="urn:microsoft.com/office/officeart/2005/8/layout/orgChart1"/>
    <dgm:cxn modelId="{08434B08-A963-4124-BDB8-F5D149244ABC}" srcId="{D1029834-4EC8-4D9D-8D3B-178FBB6AD071}" destId="{9A5BEEC9-AB82-4FD3-8881-C0D3323E68B1}" srcOrd="0" destOrd="0" parTransId="{5F2C75F8-CF16-43B4-8F43-BA0A9048715A}" sibTransId="{12C3114B-BB8F-45C6-B02D-521524728ED5}"/>
    <dgm:cxn modelId="{53BD290E-6D84-40EA-95CD-8A3FD009FE07}" type="presOf" srcId="{1191021C-61CF-45B3-9CEA-2C5E5CF8FCA5}" destId="{8376E937-11DC-4225-A11E-3E94B4FDB179}" srcOrd="0" destOrd="0" presId="urn:microsoft.com/office/officeart/2005/8/layout/orgChart1"/>
    <dgm:cxn modelId="{4D91C00E-F1E6-4A6E-9978-20A7F34F36BE}" type="presOf" srcId="{E7CF3E9B-0FB1-4659-A776-070781079744}" destId="{ABA30FB3-801E-4CE9-AC09-8BDF065F091B}" srcOrd="0" destOrd="0" presId="urn:microsoft.com/office/officeart/2005/8/layout/orgChart1"/>
    <dgm:cxn modelId="{7D96B123-0C8E-48AF-8D6A-47CA6CBF7A03}" type="presOf" srcId="{67A33BE2-2128-447B-AD20-267CF1C567F0}" destId="{3800907C-EF48-4821-B1BE-F4B4AC95F2B3}" srcOrd="0" destOrd="0" presId="urn:microsoft.com/office/officeart/2005/8/layout/orgChart1"/>
    <dgm:cxn modelId="{CFB88D3B-8D50-467E-B5BE-7447FA0EF3D9}" type="presOf" srcId="{F2EE2AE7-CAB1-4182-872A-B1D7516F39A4}" destId="{48FD5AA4-CED7-4862-96C8-6EE8EF135456}" srcOrd="1" destOrd="0" presId="urn:microsoft.com/office/officeart/2005/8/layout/orgChart1"/>
    <dgm:cxn modelId="{EE50FD47-5964-4EA3-82C3-8F5CADE8E7CB}" type="presOf" srcId="{9A5BEEC9-AB82-4FD3-8881-C0D3323E68B1}" destId="{94556F6B-B8A3-4F3F-8F4B-253A41E4DA95}" srcOrd="0" destOrd="0" presId="urn:microsoft.com/office/officeart/2005/8/layout/orgChart1"/>
    <dgm:cxn modelId="{2B001850-E8E3-490A-B780-929015F06D54}" type="presOf" srcId="{F2EE2AE7-CAB1-4182-872A-B1D7516F39A4}" destId="{58F12FB4-3129-46F4-90A4-ABB6B77A5985}" srcOrd="0" destOrd="0" presId="urn:microsoft.com/office/officeart/2005/8/layout/orgChart1"/>
    <dgm:cxn modelId="{155D4651-746D-4D2E-8738-C990CE0517F7}" srcId="{F2EE2AE7-CAB1-4182-872A-B1D7516F39A4}" destId="{E7CF3E9B-0FB1-4659-A776-070781079744}" srcOrd="0" destOrd="0" parTransId="{1191021C-61CF-45B3-9CEA-2C5E5CF8FCA5}" sibTransId="{A690B056-9324-4D35-ADBD-470D61C0A3FA}"/>
    <dgm:cxn modelId="{36EACF73-17B6-4CF1-B0D1-EF539FC0E108}" type="presOf" srcId="{9FD45018-3F88-4CC3-8527-EA7465C1478A}" destId="{E9AB30D1-4F8D-4963-8599-4EFA51E2EFE2}" srcOrd="0" destOrd="0" presId="urn:microsoft.com/office/officeart/2005/8/layout/orgChart1"/>
    <dgm:cxn modelId="{8F531675-E29F-41F0-8FC5-833E7C035646}" type="presOf" srcId="{C2ABBB9D-3D64-45B8-AD6F-2C43D22F3B76}" destId="{4E2ECFD6-1D16-4C3C-8870-DB49CA19AF10}" srcOrd="0" destOrd="0" presId="urn:microsoft.com/office/officeart/2005/8/layout/orgChart1"/>
    <dgm:cxn modelId="{92CCF982-795E-4EAA-8365-9B9D78A51E2C}" srcId="{9FD45018-3F88-4CC3-8527-EA7465C1478A}" destId="{D1029834-4EC8-4D9D-8D3B-178FBB6AD071}" srcOrd="1" destOrd="0" parTransId="{FB436D79-B5A9-48BE-AE7F-A89D20B2158C}" sibTransId="{E70C7B1C-0B1B-40B3-8036-1DDF1CEC0718}"/>
    <dgm:cxn modelId="{D4C7CD87-E67B-432C-91B6-25B0D39C9E47}" srcId="{C2ABBB9D-3D64-45B8-AD6F-2C43D22F3B76}" destId="{9FD45018-3F88-4CC3-8527-EA7465C1478A}" srcOrd="0" destOrd="0" parTransId="{1213784B-8290-4C22-A583-F1838C012F87}" sibTransId="{56294B69-26CD-441A-B5D1-4938C0D8F6B7}"/>
    <dgm:cxn modelId="{47C8A1A0-E4D4-4A64-A41A-9AA492E75A40}" type="presOf" srcId="{D1029834-4EC8-4D9D-8D3B-178FBB6AD071}" destId="{0109790B-49C4-4C11-89F8-41FD0F4497E7}" srcOrd="1" destOrd="0" presId="urn:microsoft.com/office/officeart/2005/8/layout/orgChart1"/>
    <dgm:cxn modelId="{1C3169A7-C3D0-445A-80C9-BCD4CAB6CC3A}" type="presOf" srcId="{FB436D79-B5A9-48BE-AE7F-A89D20B2158C}" destId="{6B0B24B7-792D-4185-B09A-87D15224630C}" srcOrd="0" destOrd="0" presId="urn:microsoft.com/office/officeart/2005/8/layout/orgChart1"/>
    <dgm:cxn modelId="{F925E5AB-93BB-4F6B-95F7-F5EFA3EDDE1D}" type="presOf" srcId="{9FD45018-3F88-4CC3-8527-EA7465C1478A}" destId="{5A30FC7C-4FE3-411A-B356-8CC140B50187}" srcOrd="1" destOrd="0" presId="urn:microsoft.com/office/officeart/2005/8/layout/orgChart1"/>
    <dgm:cxn modelId="{05D54DBC-FE56-4FD1-983D-6770CFF95310}" srcId="{9FD45018-3F88-4CC3-8527-EA7465C1478A}" destId="{F2EE2AE7-CAB1-4182-872A-B1D7516F39A4}" srcOrd="0" destOrd="0" parTransId="{67A33BE2-2128-447B-AD20-267CF1C567F0}" sibTransId="{B547F8BA-97E9-4B7D-8EEC-D33BA92A1799}"/>
    <dgm:cxn modelId="{B015CAC0-77E7-4D3A-B72D-03C4FCC443A1}" type="presOf" srcId="{E7CF3E9B-0FB1-4659-A776-070781079744}" destId="{14E2753F-E154-43AA-A113-AC735D875643}" srcOrd="1" destOrd="0" presId="urn:microsoft.com/office/officeart/2005/8/layout/orgChart1"/>
    <dgm:cxn modelId="{C8B666C7-00AD-4CC3-89FF-21F91CF9CAB6}" type="presOf" srcId="{5F2C75F8-CF16-43B4-8F43-BA0A9048715A}" destId="{647D2C22-B956-4ED5-96B0-A93CCD05CDB7}" srcOrd="0" destOrd="0" presId="urn:microsoft.com/office/officeart/2005/8/layout/orgChart1"/>
    <dgm:cxn modelId="{D71488E9-CC9B-4BCA-8F4F-1ACF11905E0F}" type="presOf" srcId="{9A5BEEC9-AB82-4FD3-8881-C0D3323E68B1}" destId="{A90287B7-EA64-487B-A1A7-B748CCF95E45}" srcOrd="1" destOrd="0" presId="urn:microsoft.com/office/officeart/2005/8/layout/orgChart1"/>
    <dgm:cxn modelId="{3CCD7871-A046-4DB7-9ABF-EC4974F2780F}" type="presParOf" srcId="{4E2ECFD6-1D16-4C3C-8870-DB49CA19AF10}" destId="{D1F08827-064F-4F39-ADFD-6B437CFE73C5}" srcOrd="0" destOrd="0" presId="urn:microsoft.com/office/officeart/2005/8/layout/orgChart1"/>
    <dgm:cxn modelId="{83FC680A-25AA-48F4-AA57-9D99649F9110}" type="presParOf" srcId="{D1F08827-064F-4F39-ADFD-6B437CFE73C5}" destId="{9E65886F-71F7-455F-A805-7D4F46EB2229}" srcOrd="0" destOrd="0" presId="urn:microsoft.com/office/officeart/2005/8/layout/orgChart1"/>
    <dgm:cxn modelId="{9174C7F0-DFDE-40E0-B46F-A667D3B8F9AC}" type="presParOf" srcId="{9E65886F-71F7-455F-A805-7D4F46EB2229}" destId="{E9AB30D1-4F8D-4963-8599-4EFA51E2EFE2}" srcOrd="0" destOrd="0" presId="urn:microsoft.com/office/officeart/2005/8/layout/orgChart1"/>
    <dgm:cxn modelId="{838772B9-EEFE-4626-94C9-2BD9C6448219}" type="presParOf" srcId="{9E65886F-71F7-455F-A805-7D4F46EB2229}" destId="{5A30FC7C-4FE3-411A-B356-8CC140B50187}" srcOrd="1" destOrd="0" presId="urn:microsoft.com/office/officeart/2005/8/layout/orgChart1"/>
    <dgm:cxn modelId="{25318B86-35A9-428A-A85E-B44D349DC5F3}" type="presParOf" srcId="{D1F08827-064F-4F39-ADFD-6B437CFE73C5}" destId="{3ADB1114-384E-4485-84FF-18DA037B11FB}" srcOrd="1" destOrd="0" presId="urn:microsoft.com/office/officeart/2005/8/layout/orgChart1"/>
    <dgm:cxn modelId="{169B93F3-9BE2-4AE3-8FC0-C912A66F5DF5}" type="presParOf" srcId="{3ADB1114-384E-4485-84FF-18DA037B11FB}" destId="{3800907C-EF48-4821-B1BE-F4B4AC95F2B3}" srcOrd="0" destOrd="0" presId="urn:microsoft.com/office/officeart/2005/8/layout/orgChart1"/>
    <dgm:cxn modelId="{6E8E0CFA-5851-4420-9C27-94F249553020}" type="presParOf" srcId="{3ADB1114-384E-4485-84FF-18DA037B11FB}" destId="{35190B4D-E48B-4A9D-8A9F-1CE8BC459392}" srcOrd="1" destOrd="0" presId="urn:microsoft.com/office/officeart/2005/8/layout/orgChart1"/>
    <dgm:cxn modelId="{59ECDBB5-CEC6-47BA-B5EE-46A4BA61E071}" type="presParOf" srcId="{35190B4D-E48B-4A9D-8A9F-1CE8BC459392}" destId="{3D1A3658-6097-45AE-836B-9EC56CEB7DB8}" srcOrd="0" destOrd="0" presId="urn:microsoft.com/office/officeart/2005/8/layout/orgChart1"/>
    <dgm:cxn modelId="{7170BE4B-2F3D-4A08-A16B-23196983C056}" type="presParOf" srcId="{3D1A3658-6097-45AE-836B-9EC56CEB7DB8}" destId="{58F12FB4-3129-46F4-90A4-ABB6B77A5985}" srcOrd="0" destOrd="0" presId="urn:microsoft.com/office/officeart/2005/8/layout/orgChart1"/>
    <dgm:cxn modelId="{EA1CA1A9-3ED2-4097-A068-4458802FC444}" type="presParOf" srcId="{3D1A3658-6097-45AE-836B-9EC56CEB7DB8}" destId="{48FD5AA4-CED7-4862-96C8-6EE8EF135456}" srcOrd="1" destOrd="0" presId="urn:microsoft.com/office/officeart/2005/8/layout/orgChart1"/>
    <dgm:cxn modelId="{BD391871-4A9D-4082-939C-F160307AB0EE}" type="presParOf" srcId="{35190B4D-E48B-4A9D-8A9F-1CE8BC459392}" destId="{F9F52EA9-EF0E-4B5B-95BC-5AD5496E2FFD}" srcOrd="1" destOrd="0" presId="urn:microsoft.com/office/officeart/2005/8/layout/orgChart1"/>
    <dgm:cxn modelId="{9EFBD62D-9B62-46F5-8403-2C74A2265AC1}" type="presParOf" srcId="{F9F52EA9-EF0E-4B5B-95BC-5AD5496E2FFD}" destId="{8376E937-11DC-4225-A11E-3E94B4FDB179}" srcOrd="0" destOrd="0" presId="urn:microsoft.com/office/officeart/2005/8/layout/orgChart1"/>
    <dgm:cxn modelId="{327D48E9-071E-475F-B58D-74A1D09EEFB4}" type="presParOf" srcId="{F9F52EA9-EF0E-4B5B-95BC-5AD5496E2FFD}" destId="{A4A6573C-E528-49EF-BFFB-B2E1A1609231}" srcOrd="1" destOrd="0" presId="urn:microsoft.com/office/officeart/2005/8/layout/orgChart1"/>
    <dgm:cxn modelId="{58C9DE8E-DCDF-49F5-97B1-08A7F0F808D0}" type="presParOf" srcId="{A4A6573C-E528-49EF-BFFB-B2E1A1609231}" destId="{1FA06B91-31D9-4F9E-88DD-F3F6B0F84D42}" srcOrd="0" destOrd="0" presId="urn:microsoft.com/office/officeart/2005/8/layout/orgChart1"/>
    <dgm:cxn modelId="{03481C58-E36E-4545-9AAB-BA899A6B0521}" type="presParOf" srcId="{1FA06B91-31D9-4F9E-88DD-F3F6B0F84D42}" destId="{ABA30FB3-801E-4CE9-AC09-8BDF065F091B}" srcOrd="0" destOrd="0" presId="urn:microsoft.com/office/officeart/2005/8/layout/orgChart1"/>
    <dgm:cxn modelId="{25B1FA7C-1D46-4086-90EC-3795B4AC753E}" type="presParOf" srcId="{1FA06B91-31D9-4F9E-88DD-F3F6B0F84D42}" destId="{14E2753F-E154-43AA-A113-AC735D875643}" srcOrd="1" destOrd="0" presId="urn:microsoft.com/office/officeart/2005/8/layout/orgChart1"/>
    <dgm:cxn modelId="{FE5B0819-3B74-40ED-A018-0C2522D831A5}" type="presParOf" srcId="{A4A6573C-E528-49EF-BFFB-B2E1A1609231}" destId="{9157270C-8747-4758-AD49-A70E754ED3B8}" srcOrd="1" destOrd="0" presId="urn:microsoft.com/office/officeart/2005/8/layout/orgChart1"/>
    <dgm:cxn modelId="{7C8D3AA5-E82C-4AB6-94A4-14F18838BBF9}" type="presParOf" srcId="{A4A6573C-E528-49EF-BFFB-B2E1A1609231}" destId="{89432DCB-34ED-4AC7-838E-40E073C6B419}" srcOrd="2" destOrd="0" presId="urn:microsoft.com/office/officeart/2005/8/layout/orgChart1"/>
    <dgm:cxn modelId="{13800EF6-B144-4B95-8FBE-E33A61CB1B6B}" type="presParOf" srcId="{35190B4D-E48B-4A9D-8A9F-1CE8BC459392}" destId="{4EDEC499-97B4-4AAB-A485-ACC9D3FCA91E}" srcOrd="2" destOrd="0" presId="urn:microsoft.com/office/officeart/2005/8/layout/orgChart1"/>
    <dgm:cxn modelId="{6EA254A7-14AE-42E9-876B-40FD15FCA189}" type="presParOf" srcId="{3ADB1114-384E-4485-84FF-18DA037B11FB}" destId="{6B0B24B7-792D-4185-B09A-87D15224630C}" srcOrd="2" destOrd="0" presId="urn:microsoft.com/office/officeart/2005/8/layout/orgChart1"/>
    <dgm:cxn modelId="{E61839F5-F7DC-459D-A67D-9F5C345AF5DE}" type="presParOf" srcId="{3ADB1114-384E-4485-84FF-18DA037B11FB}" destId="{D2D477FD-0A6D-40E4-B0B9-F109FBC2EB7E}" srcOrd="3" destOrd="0" presId="urn:microsoft.com/office/officeart/2005/8/layout/orgChart1"/>
    <dgm:cxn modelId="{FA9E4BB7-186D-4301-A006-463D6101BBB9}" type="presParOf" srcId="{D2D477FD-0A6D-40E4-B0B9-F109FBC2EB7E}" destId="{7351AFA7-5097-4783-A655-9ECED141B8DB}" srcOrd="0" destOrd="0" presId="urn:microsoft.com/office/officeart/2005/8/layout/orgChart1"/>
    <dgm:cxn modelId="{36A1DCCA-01C6-4B96-9051-E7421F72D020}" type="presParOf" srcId="{7351AFA7-5097-4783-A655-9ECED141B8DB}" destId="{FCD7FF76-BDBF-46B8-9D84-60419A2304FD}" srcOrd="0" destOrd="0" presId="urn:microsoft.com/office/officeart/2005/8/layout/orgChart1"/>
    <dgm:cxn modelId="{F48A0AB9-BEC2-43DF-80AC-DC30FC1501C1}" type="presParOf" srcId="{7351AFA7-5097-4783-A655-9ECED141B8DB}" destId="{0109790B-49C4-4C11-89F8-41FD0F4497E7}" srcOrd="1" destOrd="0" presId="urn:microsoft.com/office/officeart/2005/8/layout/orgChart1"/>
    <dgm:cxn modelId="{FA990931-DF8A-4FBA-9EBB-6769A0F982BB}" type="presParOf" srcId="{D2D477FD-0A6D-40E4-B0B9-F109FBC2EB7E}" destId="{077DD614-FE3D-4324-A6A7-BD1BC4855CB7}" srcOrd="1" destOrd="0" presId="urn:microsoft.com/office/officeart/2005/8/layout/orgChart1"/>
    <dgm:cxn modelId="{E8193C74-6ABF-475C-97D1-D898FC530FAC}" type="presParOf" srcId="{077DD614-FE3D-4324-A6A7-BD1BC4855CB7}" destId="{647D2C22-B956-4ED5-96B0-A93CCD05CDB7}" srcOrd="0" destOrd="0" presId="urn:microsoft.com/office/officeart/2005/8/layout/orgChart1"/>
    <dgm:cxn modelId="{2B6F17A0-6FCC-44FE-9DAD-0825A32BBA0E}" type="presParOf" srcId="{077DD614-FE3D-4324-A6A7-BD1BC4855CB7}" destId="{6FB9FA39-125F-4CA6-9A7E-4D4229C72548}" srcOrd="1" destOrd="0" presId="urn:microsoft.com/office/officeart/2005/8/layout/orgChart1"/>
    <dgm:cxn modelId="{5A4EFF4E-2FF8-4924-B700-A832CA62D922}" type="presParOf" srcId="{6FB9FA39-125F-4CA6-9A7E-4D4229C72548}" destId="{FF5F5E21-DE5A-4A81-A394-1DA08B529C35}" srcOrd="0" destOrd="0" presId="urn:microsoft.com/office/officeart/2005/8/layout/orgChart1"/>
    <dgm:cxn modelId="{BA24DCF8-D74D-4684-A303-0B6CF10E280E}" type="presParOf" srcId="{FF5F5E21-DE5A-4A81-A394-1DA08B529C35}" destId="{94556F6B-B8A3-4F3F-8F4B-253A41E4DA95}" srcOrd="0" destOrd="0" presId="urn:microsoft.com/office/officeart/2005/8/layout/orgChart1"/>
    <dgm:cxn modelId="{C21C9B14-9437-455F-A16A-86CC19EF177D}" type="presParOf" srcId="{FF5F5E21-DE5A-4A81-A394-1DA08B529C35}" destId="{A90287B7-EA64-487B-A1A7-B748CCF95E45}" srcOrd="1" destOrd="0" presId="urn:microsoft.com/office/officeart/2005/8/layout/orgChart1"/>
    <dgm:cxn modelId="{92117F11-A08A-4CEF-89CD-6BCD27707692}" type="presParOf" srcId="{6FB9FA39-125F-4CA6-9A7E-4D4229C72548}" destId="{6C91E003-69C8-4B01-80FF-D037F27F22C9}" srcOrd="1" destOrd="0" presId="urn:microsoft.com/office/officeart/2005/8/layout/orgChart1"/>
    <dgm:cxn modelId="{BB42D767-EF3A-4058-B1E8-291B13BA404B}" type="presParOf" srcId="{6FB9FA39-125F-4CA6-9A7E-4D4229C72548}" destId="{3681C09D-90B1-4EBA-993E-F70D034ABC01}" srcOrd="2" destOrd="0" presId="urn:microsoft.com/office/officeart/2005/8/layout/orgChart1"/>
    <dgm:cxn modelId="{3B47D103-1254-4BD7-9CC1-36D8DEBFF709}" type="presParOf" srcId="{D2D477FD-0A6D-40E4-B0B9-F109FBC2EB7E}" destId="{093D38DA-AF6E-490C-9A9B-45621EF536FE}" srcOrd="2" destOrd="0" presId="urn:microsoft.com/office/officeart/2005/8/layout/orgChart1"/>
    <dgm:cxn modelId="{E46E0BC4-88D4-435B-9890-0A7B92249C92}" type="presParOf" srcId="{D1F08827-064F-4F39-ADFD-6B437CFE73C5}" destId="{16F052BB-4B99-43BA-8AA8-5B22C9DFE211}"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00AD57-9AE2-4B06-830A-1CFB5C4438E2}" type="doc">
      <dgm:prSet loTypeId="urn:microsoft.com/office/officeart/2005/8/layout/pyramid3" loCatId="pyramid" qsTypeId="urn:microsoft.com/office/officeart/2005/8/quickstyle/simple1" qsCatId="simple" csTypeId="urn:microsoft.com/office/officeart/2005/8/colors/colorful4" csCatId="colorful" phldr="1"/>
      <dgm:spPr/>
    </dgm:pt>
    <dgm:pt modelId="{EB567E5B-15BC-45F8-9A3E-33FF20A4916B}">
      <dgm:prSet phldrT="[טקסט]" custT="1"/>
      <dgm:spPr/>
      <dgm:t>
        <a:bodyPr/>
        <a:lstStyle/>
        <a:p>
          <a:pPr rtl="1"/>
          <a:r>
            <a:rPr lang="he-IL" sz="1200" b="1">
              <a:latin typeface="David" panose="020E0502060401010101" pitchFamily="34" charset="-79"/>
              <a:cs typeface="David" panose="020E0502060401010101" pitchFamily="34" charset="-79"/>
            </a:rPr>
            <a:t>השיקול הכי חשוב - הלימה</a:t>
          </a:r>
        </a:p>
      </dgm:t>
    </dgm:pt>
    <dgm:pt modelId="{990C286D-1995-4463-A429-860AB6688103}" type="parTrans" cxnId="{D807B6D0-68F9-48C1-9C6E-8DC6DF84AC94}">
      <dgm:prSet/>
      <dgm:spPr/>
      <dgm:t>
        <a:bodyPr/>
        <a:lstStyle/>
        <a:p>
          <a:pPr rtl="1"/>
          <a:endParaRPr lang="he-IL" sz="1200" b="1">
            <a:latin typeface="David" panose="020E0502060401010101" pitchFamily="34" charset="-79"/>
            <a:cs typeface="David" panose="020E0502060401010101" pitchFamily="34" charset="-79"/>
          </a:endParaRPr>
        </a:p>
      </dgm:t>
    </dgm:pt>
    <dgm:pt modelId="{003A838E-D5FC-4FAA-A927-EFBA04A738FA}" type="sibTrans" cxnId="{D807B6D0-68F9-48C1-9C6E-8DC6DF84AC94}">
      <dgm:prSet/>
      <dgm:spPr/>
      <dgm:t>
        <a:bodyPr/>
        <a:lstStyle/>
        <a:p>
          <a:pPr rtl="1"/>
          <a:endParaRPr lang="he-IL" sz="1200" b="1">
            <a:latin typeface="David" panose="020E0502060401010101" pitchFamily="34" charset="-79"/>
            <a:cs typeface="David" panose="020E0502060401010101" pitchFamily="34" charset="-79"/>
          </a:endParaRPr>
        </a:p>
      </dgm:t>
    </dgm:pt>
    <dgm:pt modelId="{3DBC75F2-3626-44E1-855E-29F7F2C63B4E}">
      <dgm:prSet phldrT="[טקסט]" custT="1"/>
      <dgm:spPr/>
      <dgm:t>
        <a:bodyPr/>
        <a:lstStyle/>
        <a:p>
          <a:pPr rtl="1"/>
          <a:r>
            <a:rPr lang="he-IL" sz="1200" b="1">
              <a:latin typeface="David" panose="020E0502060401010101" pitchFamily="34" charset="-79"/>
              <a:cs typeface="David" panose="020E0502060401010101" pitchFamily="34" charset="-79"/>
            </a:rPr>
            <a:t>שיקום </a:t>
          </a:r>
        </a:p>
      </dgm:t>
    </dgm:pt>
    <dgm:pt modelId="{2E0BE2AF-23F7-41F5-8824-3D8FD3A7CF04}" type="parTrans" cxnId="{51EE9816-95FD-4230-96A9-01C2A19C44E4}">
      <dgm:prSet/>
      <dgm:spPr/>
      <dgm:t>
        <a:bodyPr/>
        <a:lstStyle/>
        <a:p>
          <a:pPr rtl="1"/>
          <a:endParaRPr lang="he-IL" sz="1200" b="1">
            <a:latin typeface="David" panose="020E0502060401010101" pitchFamily="34" charset="-79"/>
            <a:cs typeface="David" panose="020E0502060401010101" pitchFamily="34" charset="-79"/>
          </a:endParaRPr>
        </a:p>
      </dgm:t>
    </dgm:pt>
    <dgm:pt modelId="{91BA431E-D173-4AF3-980B-C3594C019417}" type="sibTrans" cxnId="{51EE9816-95FD-4230-96A9-01C2A19C44E4}">
      <dgm:prSet/>
      <dgm:spPr/>
      <dgm:t>
        <a:bodyPr/>
        <a:lstStyle/>
        <a:p>
          <a:pPr rtl="1"/>
          <a:endParaRPr lang="he-IL" sz="1200" b="1">
            <a:latin typeface="David" panose="020E0502060401010101" pitchFamily="34" charset="-79"/>
            <a:cs typeface="David" panose="020E0502060401010101" pitchFamily="34" charset="-79"/>
          </a:endParaRPr>
        </a:p>
      </dgm:t>
    </dgm:pt>
    <dgm:pt modelId="{E6C23EAA-57C5-44CF-ADB6-6940EB1AEC7C}">
      <dgm:prSet phldrT="[טקסט]" custT="1"/>
      <dgm:spPr/>
      <dgm:t>
        <a:bodyPr/>
        <a:lstStyle/>
        <a:p>
          <a:pPr rtl="1"/>
          <a:r>
            <a:rPr lang="he-IL" sz="1200" b="1">
              <a:latin typeface="David" panose="020E0502060401010101" pitchFamily="34" charset="-79"/>
              <a:cs typeface="David" panose="020E0502060401010101" pitchFamily="34" charset="-79"/>
            </a:rPr>
            <a:t>הגנה על שלום הציבור</a:t>
          </a:r>
        </a:p>
      </dgm:t>
    </dgm:pt>
    <dgm:pt modelId="{BCAF206C-C1DC-4870-80B6-0D0079C2C02F}" type="parTrans" cxnId="{5092333A-6AD4-4AED-892F-2D7089DB70F2}">
      <dgm:prSet/>
      <dgm:spPr/>
      <dgm:t>
        <a:bodyPr/>
        <a:lstStyle/>
        <a:p>
          <a:pPr rtl="1"/>
          <a:endParaRPr lang="he-IL" sz="1200" b="1">
            <a:latin typeface="David" panose="020E0502060401010101" pitchFamily="34" charset="-79"/>
            <a:cs typeface="David" panose="020E0502060401010101" pitchFamily="34" charset="-79"/>
          </a:endParaRPr>
        </a:p>
      </dgm:t>
    </dgm:pt>
    <dgm:pt modelId="{9AFDF52B-6B48-41AB-8AB3-ADCFE21A490C}" type="sibTrans" cxnId="{5092333A-6AD4-4AED-892F-2D7089DB70F2}">
      <dgm:prSet/>
      <dgm:spPr/>
      <dgm:t>
        <a:bodyPr/>
        <a:lstStyle/>
        <a:p>
          <a:pPr rtl="1"/>
          <a:endParaRPr lang="he-IL" sz="1200" b="1">
            <a:latin typeface="David" panose="020E0502060401010101" pitchFamily="34" charset="-79"/>
            <a:cs typeface="David" panose="020E0502060401010101" pitchFamily="34" charset="-79"/>
          </a:endParaRPr>
        </a:p>
      </dgm:t>
    </dgm:pt>
    <dgm:pt modelId="{12076460-4705-4271-8A68-6D858A2D8C2F}">
      <dgm:prSet custT="1"/>
      <dgm:spPr/>
      <dgm:t>
        <a:bodyPr/>
        <a:lstStyle/>
        <a:p>
          <a:pPr rtl="1"/>
          <a:r>
            <a:rPr lang="he-IL" sz="1200" b="1">
              <a:latin typeface="David" panose="020E0502060401010101" pitchFamily="34" charset="-79"/>
              <a:cs typeface="David" panose="020E0502060401010101" pitchFamily="34" charset="-79"/>
            </a:rPr>
            <a:t>הרתעה אישית</a:t>
          </a:r>
        </a:p>
      </dgm:t>
    </dgm:pt>
    <dgm:pt modelId="{C58D837D-93A6-45AD-B831-2C64A93C5CE0}" type="parTrans" cxnId="{60B8B529-68AE-4D12-A38E-66B56282E004}">
      <dgm:prSet/>
      <dgm:spPr/>
      <dgm:t>
        <a:bodyPr/>
        <a:lstStyle/>
        <a:p>
          <a:pPr rtl="1"/>
          <a:endParaRPr lang="he-IL" sz="1200" b="1">
            <a:latin typeface="David" panose="020E0502060401010101" pitchFamily="34" charset="-79"/>
            <a:cs typeface="David" panose="020E0502060401010101" pitchFamily="34" charset="-79"/>
          </a:endParaRPr>
        </a:p>
      </dgm:t>
    </dgm:pt>
    <dgm:pt modelId="{1C69C2A3-703E-4BF2-9CAE-5444F7EC837F}" type="sibTrans" cxnId="{60B8B529-68AE-4D12-A38E-66B56282E004}">
      <dgm:prSet/>
      <dgm:spPr/>
      <dgm:t>
        <a:bodyPr/>
        <a:lstStyle/>
        <a:p>
          <a:pPr rtl="1"/>
          <a:endParaRPr lang="he-IL" sz="1200" b="1">
            <a:latin typeface="David" panose="020E0502060401010101" pitchFamily="34" charset="-79"/>
            <a:cs typeface="David" panose="020E0502060401010101" pitchFamily="34" charset="-79"/>
          </a:endParaRPr>
        </a:p>
      </dgm:t>
    </dgm:pt>
    <dgm:pt modelId="{9039B688-8DEB-462C-95CF-9D10C5F4D049}">
      <dgm:prSet custT="1"/>
      <dgm:spPr/>
      <dgm:t>
        <a:bodyPr/>
        <a:lstStyle/>
        <a:p>
          <a:pPr rtl="1"/>
          <a:r>
            <a:rPr lang="he-IL" sz="1200" b="1">
              <a:latin typeface="David" panose="020E0502060401010101" pitchFamily="34" charset="-79"/>
              <a:cs typeface="David" panose="020E0502060401010101" pitchFamily="34" charset="-79"/>
            </a:rPr>
            <a:t>הרתעת הרבים </a:t>
          </a:r>
        </a:p>
      </dgm:t>
    </dgm:pt>
    <dgm:pt modelId="{0AC537A9-76C3-41B2-B092-7B41BD4C5E1E}" type="parTrans" cxnId="{8A197462-EBDE-46D6-AF8A-3164995D25F7}">
      <dgm:prSet/>
      <dgm:spPr/>
      <dgm:t>
        <a:bodyPr/>
        <a:lstStyle/>
        <a:p>
          <a:pPr rtl="1"/>
          <a:endParaRPr lang="he-IL" sz="1200" b="1">
            <a:latin typeface="David" panose="020E0502060401010101" pitchFamily="34" charset="-79"/>
            <a:cs typeface="David" panose="020E0502060401010101" pitchFamily="34" charset="-79"/>
          </a:endParaRPr>
        </a:p>
      </dgm:t>
    </dgm:pt>
    <dgm:pt modelId="{8703BC8C-938A-4308-B384-8C54B91D4469}" type="sibTrans" cxnId="{8A197462-EBDE-46D6-AF8A-3164995D25F7}">
      <dgm:prSet/>
      <dgm:spPr/>
      <dgm:t>
        <a:bodyPr/>
        <a:lstStyle/>
        <a:p>
          <a:pPr rtl="1"/>
          <a:endParaRPr lang="he-IL" sz="1200" b="1">
            <a:latin typeface="David" panose="020E0502060401010101" pitchFamily="34" charset="-79"/>
            <a:cs typeface="David" panose="020E0502060401010101" pitchFamily="34" charset="-79"/>
          </a:endParaRPr>
        </a:p>
      </dgm:t>
    </dgm:pt>
    <dgm:pt modelId="{3524E1C1-B7B8-44F2-94C9-A4B4ED68EA8A}" type="pres">
      <dgm:prSet presAssocID="{A100AD57-9AE2-4B06-830A-1CFB5C4438E2}" presName="Name0" presStyleCnt="0">
        <dgm:presLayoutVars>
          <dgm:dir/>
          <dgm:animLvl val="lvl"/>
          <dgm:resizeHandles val="exact"/>
        </dgm:presLayoutVars>
      </dgm:prSet>
      <dgm:spPr/>
    </dgm:pt>
    <dgm:pt modelId="{BDDBEC77-8903-46C2-BE4C-0A73F0DC1C73}" type="pres">
      <dgm:prSet presAssocID="{EB567E5B-15BC-45F8-9A3E-33FF20A4916B}" presName="Name8" presStyleCnt="0"/>
      <dgm:spPr/>
    </dgm:pt>
    <dgm:pt modelId="{2F0DB6CA-4BB7-4484-B441-644DDD3404A8}" type="pres">
      <dgm:prSet presAssocID="{EB567E5B-15BC-45F8-9A3E-33FF20A4916B}" presName="level" presStyleLbl="node1" presStyleIdx="0" presStyleCnt="5" custScaleY="41808">
        <dgm:presLayoutVars>
          <dgm:chMax val="1"/>
          <dgm:bulletEnabled val="1"/>
        </dgm:presLayoutVars>
      </dgm:prSet>
      <dgm:spPr/>
    </dgm:pt>
    <dgm:pt modelId="{6AC05413-57F1-4204-BAAA-6AEE677F3855}" type="pres">
      <dgm:prSet presAssocID="{EB567E5B-15BC-45F8-9A3E-33FF20A4916B}" presName="levelTx" presStyleLbl="revTx" presStyleIdx="0" presStyleCnt="0">
        <dgm:presLayoutVars>
          <dgm:chMax val="1"/>
          <dgm:bulletEnabled val="1"/>
        </dgm:presLayoutVars>
      </dgm:prSet>
      <dgm:spPr/>
    </dgm:pt>
    <dgm:pt modelId="{86215AA1-0E7F-4F8B-A762-60BC29ACFBD2}" type="pres">
      <dgm:prSet presAssocID="{3DBC75F2-3626-44E1-855E-29F7F2C63B4E}" presName="Name8" presStyleCnt="0"/>
      <dgm:spPr/>
    </dgm:pt>
    <dgm:pt modelId="{BAC5B800-78C2-4FF2-9016-4ED24EE8B50D}" type="pres">
      <dgm:prSet presAssocID="{3DBC75F2-3626-44E1-855E-29F7F2C63B4E}" presName="level" presStyleLbl="node1" presStyleIdx="1" presStyleCnt="5" custScaleY="31612">
        <dgm:presLayoutVars>
          <dgm:chMax val="1"/>
          <dgm:bulletEnabled val="1"/>
        </dgm:presLayoutVars>
      </dgm:prSet>
      <dgm:spPr/>
    </dgm:pt>
    <dgm:pt modelId="{B497B95A-4398-4472-BAD3-CCEE19387491}" type="pres">
      <dgm:prSet presAssocID="{3DBC75F2-3626-44E1-855E-29F7F2C63B4E}" presName="levelTx" presStyleLbl="revTx" presStyleIdx="0" presStyleCnt="0">
        <dgm:presLayoutVars>
          <dgm:chMax val="1"/>
          <dgm:bulletEnabled val="1"/>
        </dgm:presLayoutVars>
      </dgm:prSet>
      <dgm:spPr/>
    </dgm:pt>
    <dgm:pt modelId="{8856607E-F9E5-4AC8-AC53-593A4B0E8E77}" type="pres">
      <dgm:prSet presAssocID="{E6C23EAA-57C5-44CF-ADB6-6940EB1AEC7C}" presName="Name8" presStyleCnt="0"/>
      <dgm:spPr/>
    </dgm:pt>
    <dgm:pt modelId="{C0ADE269-38CA-4D0D-B55C-84855F200B3D}" type="pres">
      <dgm:prSet presAssocID="{E6C23EAA-57C5-44CF-ADB6-6940EB1AEC7C}" presName="level" presStyleLbl="node1" presStyleIdx="2" presStyleCnt="5" custScaleY="37594">
        <dgm:presLayoutVars>
          <dgm:chMax val="1"/>
          <dgm:bulletEnabled val="1"/>
        </dgm:presLayoutVars>
      </dgm:prSet>
      <dgm:spPr/>
    </dgm:pt>
    <dgm:pt modelId="{A3143B11-71C0-47E5-96B3-435EFA953F1E}" type="pres">
      <dgm:prSet presAssocID="{E6C23EAA-57C5-44CF-ADB6-6940EB1AEC7C}" presName="levelTx" presStyleLbl="revTx" presStyleIdx="0" presStyleCnt="0">
        <dgm:presLayoutVars>
          <dgm:chMax val="1"/>
          <dgm:bulletEnabled val="1"/>
        </dgm:presLayoutVars>
      </dgm:prSet>
      <dgm:spPr/>
    </dgm:pt>
    <dgm:pt modelId="{A0F2A3A0-3405-43CE-81D9-20C41F4FB3FA}" type="pres">
      <dgm:prSet presAssocID="{12076460-4705-4271-8A68-6D858A2D8C2F}" presName="Name8" presStyleCnt="0"/>
      <dgm:spPr/>
    </dgm:pt>
    <dgm:pt modelId="{8B8F9DF2-22EF-417C-9897-B1FA2D50BDEA}" type="pres">
      <dgm:prSet presAssocID="{12076460-4705-4271-8A68-6D858A2D8C2F}" presName="level" presStyleLbl="node1" presStyleIdx="3" presStyleCnt="5" custScaleY="28894">
        <dgm:presLayoutVars>
          <dgm:chMax val="1"/>
          <dgm:bulletEnabled val="1"/>
        </dgm:presLayoutVars>
      </dgm:prSet>
      <dgm:spPr/>
    </dgm:pt>
    <dgm:pt modelId="{B93FA178-4C29-4792-99C6-1153276C7193}" type="pres">
      <dgm:prSet presAssocID="{12076460-4705-4271-8A68-6D858A2D8C2F}" presName="levelTx" presStyleLbl="revTx" presStyleIdx="0" presStyleCnt="0">
        <dgm:presLayoutVars>
          <dgm:chMax val="1"/>
          <dgm:bulletEnabled val="1"/>
        </dgm:presLayoutVars>
      </dgm:prSet>
      <dgm:spPr/>
    </dgm:pt>
    <dgm:pt modelId="{CD8E2538-8C9C-4D83-BA86-D348B8FA8BB6}" type="pres">
      <dgm:prSet presAssocID="{9039B688-8DEB-462C-95CF-9D10C5F4D049}" presName="Name8" presStyleCnt="0"/>
      <dgm:spPr/>
    </dgm:pt>
    <dgm:pt modelId="{E17D6713-F27C-443A-957A-1FC32A8ACBD8}" type="pres">
      <dgm:prSet presAssocID="{9039B688-8DEB-462C-95CF-9D10C5F4D049}" presName="level" presStyleLbl="node1" presStyleIdx="4" presStyleCnt="5" custScaleY="65676">
        <dgm:presLayoutVars>
          <dgm:chMax val="1"/>
          <dgm:bulletEnabled val="1"/>
        </dgm:presLayoutVars>
      </dgm:prSet>
      <dgm:spPr/>
    </dgm:pt>
    <dgm:pt modelId="{7898706D-7AB8-42E7-9C38-24AB5067F243}" type="pres">
      <dgm:prSet presAssocID="{9039B688-8DEB-462C-95CF-9D10C5F4D049}" presName="levelTx" presStyleLbl="revTx" presStyleIdx="0" presStyleCnt="0">
        <dgm:presLayoutVars>
          <dgm:chMax val="1"/>
          <dgm:bulletEnabled val="1"/>
        </dgm:presLayoutVars>
      </dgm:prSet>
      <dgm:spPr/>
    </dgm:pt>
  </dgm:ptLst>
  <dgm:cxnLst>
    <dgm:cxn modelId="{8F573D14-1F2A-4134-9D88-E4F8537CE70E}" type="presOf" srcId="{12076460-4705-4271-8A68-6D858A2D8C2F}" destId="{8B8F9DF2-22EF-417C-9897-B1FA2D50BDEA}" srcOrd="0" destOrd="0" presId="urn:microsoft.com/office/officeart/2005/8/layout/pyramid3"/>
    <dgm:cxn modelId="{51EE9816-95FD-4230-96A9-01C2A19C44E4}" srcId="{A100AD57-9AE2-4B06-830A-1CFB5C4438E2}" destId="{3DBC75F2-3626-44E1-855E-29F7F2C63B4E}" srcOrd="1" destOrd="0" parTransId="{2E0BE2AF-23F7-41F5-8824-3D8FD3A7CF04}" sibTransId="{91BA431E-D173-4AF3-980B-C3594C019417}"/>
    <dgm:cxn modelId="{18E76A1B-550D-4DEE-AC28-D486B79BEE1C}" type="presOf" srcId="{E6C23EAA-57C5-44CF-ADB6-6940EB1AEC7C}" destId="{A3143B11-71C0-47E5-96B3-435EFA953F1E}" srcOrd="1" destOrd="0" presId="urn:microsoft.com/office/officeart/2005/8/layout/pyramid3"/>
    <dgm:cxn modelId="{F408711C-F35E-41C4-8142-9913F736BF87}" type="presOf" srcId="{3DBC75F2-3626-44E1-855E-29F7F2C63B4E}" destId="{BAC5B800-78C2-4FF2-9016-4ED24EE8B50D}" srcOrd="0" destOrd="0" presId="urn:microsoft.com/office/officeart/2005/8/layout/pyramid3"/>
    <dgm:cxn modelId="{60B8B529-68AE-4D12-A38E-66B56282E004}" srcId="{A100AD57-9AE2-4B06-830A-1CFB5C4438E2}" destId="{12076460-4705-4271-8A68-6D858A2D8C2F}" srcOrd="3" destOrd="0" parTransId="{C58D837D-93A6-45AD-B831-2C64A93C5CE0}" sibTransId="{1C69C2A3-703E-4BF2-9CAE-5444F7EC837F}"/>
    <dgm:cxn modelId="{5092333A-6AD4-4AED-892F-2D7089DB70F2}" srcId="{A100AD57-9AE2-4B06-830A-1CFB5C4438E2}" destId="{E6C23EAA-57C5-44CF-ADB6-6940EB1AEC7C}" srcOrd="2" destOrd="0" parTransId="{BCAF206C-C1DC-4870-80B6-0D0079C2C02F}" sibTransId="{9AFDF52B-6B48-41AB-8AB3-ADCFE21A490C}"/>
    <dgm:cxn modelId="{8A197462-EBDE-46D6-AF8A-3164995D25F7}" srcId="{A100AD57-9AE2-4B06-830A-1CFB5C4438E2}" destId="{9039B688-8DEB-462C-95CF-9D10C5F4D049}" srcOrd="4" destOrd="0" parTransId="{0AC537A9-76C3-41B2-B092-7B41BD4C5E1E}" sibTransId="{8703BC8C-938A-4308-B384-8C54B91D4469}"/>
    <dgm:cxn modelId="{BD46BE9A-6EF7-4C91-AD72-913C35B60920}" type="presOf" srcId="{EB567E5B-15BC-45F8-9A3E-33FF20A4916B}" destId="{6AC05413-57F1-4204-BAAA-6AEE677F3855}" srcOrd="1" destOrd="0" presId="urn:microsoft.com/office/officeart/2005/8/layout/pyramid3"/>
    <dgm:cxn modelId="{4838D69C-F745-4490-A31C-D9783AC6B8F2}" type="presOf" srcId="{A100AD57-9AE2-4B06-830A-1CFB5C4438E2}" destId="{3524E1C1-B7B8-44F2-94C9-A4B4ED68EA8A}" srcOrd="0" destOrd="0" presId="urn:microsoft.com/office/officeart/2005/8/layout/pyramid3"/>
    <dgm:cxn modelId="{8C60C7AA-9C42-4E1E-9827-7ACCE5AAD3C7}" type="presOf" srcId="{9039B688-8DEB-462C-95CF-9D10C5F4D049}" destId="{E17D6713-F27C-443A-957A-1FC32A8ACBD8}" srcOrd="0" destOrd="0" presId="urn:microsoft.com/office/officeart/2005/8/layout/pyramid3"/>
    <dgm:cxn modelId="{605CF2AE-EB2A-4A48-8605-616F9A703FB5}" type="presOf" srcId="{EB567E5B-15BC-45F8-9A3E-33FF20A4916B}" destId="{2F0DB6CA-4BB7-4484-B441-644DDD3404A8}" srcOrd="0" destOrd="0" presId="urn:microsoft.com/office/officeart/2005/8/layout/pyramid3"/>
    <dgm:cxn modelId="{69C929C7-01EB-4A3E-A836-50022AD12B6E}" type="presOf" srcId="{9039B688-8DEB-462C-95CF-9D10C5F4D049}" destId="{7898706D-7AB8-42E7-9C38-24AB5067F243}" srcOrd="1" destOrd="0" presId="urn:microsoft.com/office/officeart/2005/8/layout/pyramid3"/>
    <dgm:cxn modelId="{B96E86C7-9FF3-4958-81B6-2A5B36C42A50}" type="presOf" srcId="{12076460-4705-4271-8A68-6D858A2D8C2F}" destId="{B93FA178-4C29-4792-99C6-1153276C7193}" srcOrd="1" destOrd="0" presId="urn:microsoft.com/office/officeart/2005/8/layout/pyramid3"/>
    <dgm:cxn modelId="{D807B6D0-68F9-48C1-9C6E-8DC6DF84AC94}" srcId="{A100AD57-9AE2-4B06-830A-1CFB5C4438E2}" destId="{EB567E5B-15BC-45F8-9A3E-33FF20A4916B}" srcOrd="0" destOrd="0" parTransId="{990C286D-1995-4463-A429-860AB6688103}" sibTransId="{003A838E-D5FC-4FAA-A927-EFBA04A738FA}"/>
    <dgm:cxn modelId="{F7991FD1-2B3B-40C2-84DD-9D15A890175B}" type="presOf" srcId="{3DBC75F2-3626-44E1-855E-29F7F2C63B4E}" destId="{B497B95A-4398-4472-BAD3-CCEE19387491}" srcOrd="1" destOrd="0" presId="urn:microsoft.com/office/officeart/2005/8/layout/pyramid3"/>
    <dgm:cxn modelId="{DB0AB9D7-B399-4F07-B86F-4063252262BD}" type="presOf" srcId="{E6C23EAA-57C5-44CF-ADB6-6940EB1AEC7C}" destId="{C0ADE269-38CA-4D0D-B55C-84855F200B3D}" srcOrd="0" destOrd="0" presId="urn:microsoft.com/office/officeart/2005/8/layout/pyramid3"/>
    <dgm:cxn modelId="{83511F52-0B6A-4DBD-B2BF-3A3F6F754EC2}" type="presParOf" srcId="{3524E1C1-B7B8-44F2-94C9-A4B4ED68EA8A}" destId="{BDDBEC77-8903-46C2-BE4C-0A73F0DC1C73}" srcOrd="0" destOrd="0" presId="urn:microsoft.com/office/officeart/2005/8/layout/pyramid3"/>
    <dgm:cxn modelId="{B0ACDE83-1449-4C78-8EC8-CFF7A6D4F8FA}" type="presParOf" srcId="{BDDBEC77-8903-46C2-BE4C-0A73F0DC1C73}" destId="{2F0DB6CA-4BB7-4484-B441-644DDD3404A8}" srcOrd="0" destOrd="0" presId="urn:microsoft.com/office/officeart/2005/8/layout/pyramid3"/>
    <dgm:cxn modelId="{FC20029A-0C0D-44E7-9800-221533128609}" type="presParOf" srcId="{BDDBEC77-8903-46C2-BE4C-0A73F0DC1C73}" destId="{6AC05413-57F1-4204-BAAA-6AEE677F3855}" srcOrd="1" destOrd="0" presId="urn:microsoft.com/office/officeart/2005/8/layout/pyramid3"/>
    <dgm:cxn modelId="{BF7FF1CB-AEB0-45A9-9575-E3821AD5306A}" type="presParOf" srcId="{3524E1C1-B7B8-44F2-94C9-A4B4ED68EA8A}" destId="{86215AA1-0E7F-4F8B-A762-60BC29ACFBD2}" srcOrd="1" destOrd="0" presId="urn:microsoft.com/office/officeart/2005/8/layout/pyramid3"/>
    <dgm:cxn modelId="{AC1795C1-176D-4A54-B9E4-4EFD2354E5CE}" type="presParOf" srcId="{86215AA1-0E7F-4F8B-A762-60BC29ACFBD2}" destId="{BAC5B800-78C2-4FF2-9016-4ED24EE8B50D}" srcOrd="0" destOrd="0" presId="urn:microsoft.com/office/officeart/2005/8/layout/pyramid3"/>
    <dgm:cxn modelId="{42978A24-D082-4730-B838-4E69EA0B58CE}" type="presParOf" srcId="{86215AA1-0E7F-4F8B-A762-60BC29ACFBD2}" destId="{B497B95A-4398-4472-BAD3-CCEE19387491}" srcOrd="1" destOrd="0" presId="urn:microsoft.com/office/officeart/2005/8/layout/pyramid3"/>
    <dgm:cxn modelId="{0101F11A-0B17-4D5D-9224-2EDBBEEE9AAC}" type="presParOf" srcId="{3524E1C1-B7B8-44F2-94C9-A4B4ED68EA8A}" destId="{8856607E-F9E5-4AC8-AC53-593A4B0E8E77}" srcOrd="2" destOrd="0" presId="urn:microsoft.com/office/officeart/2005/8/layout/pyramid3"/>
    <dgm:cxn modelId="{6CABB8B7-4CC4-40B8-B590-04A57D017133}" type="presParOf" srcId="{8856607E-F9E5-4AC8-AC53-593A4B0E8E77}" destId="{C0ADE269-38CA-4D0D-B55C-84855F200B3D}" srcOrd="0" destOrd="0" presId="urn:microsoft.com/office/officeart/2005/8/layout/pyramid3"/>
    <dgm:cxn modelId="{16547ED3-D08C-4246-A029-5D7701A49CD6}" type="presParOf" srcId="{8856607E-F9E5-4AC8-AC53-593A4B0E8E77}" destId="{A3143B11-71C0-47E5-96B3-435EFA953F1E}" srcOrd="1" destOrd="0" presId="urn:microsoft.com/office/officeart/2005/8/layout/pyramid3"/>
    <dgm:cxn modelId="{1D2BF6D4-E0E5-4691-B913-A5460C7D110E}" type="presParOf" srcId="{3524E1C1-B7B8-44F2-94C9-A4B4ED68EA8A}" destId="{A0F2A3A0-3405-43CE-81D9-20C41F4FB3FA}" srcOrd="3" destOrd="0" presId="urn:microsoft.com/office/officeart/2005/8/layout/pyramid3"/>
    <dgm:cxn modelId="{6F103A60-04AC-4C4F-9B5C-4F59EF744473}" type="presParOf" srcId="{A0F2A3A0-3405-43CE-81D9-20C41F4FB3FA}" destId="{8B8F9DF2-22EF-417C-9897-B1FA2D50BDEA}" srcOrd="0" destOrd="0" presId="urn:microsoft.com/office/officeart/2005/8/layout/pyramid3"/>
    <dgm:cxn modelId="{886142E6-76DB-4639-B9DA-215D0C3CBB06}" type="presParOf" srcId="{A0F2A3A0-3405-43CE-81D9-20C41F4FB3FA}" destId="{B93FA178-4C29-4792-99C6-1153276C7193}" srcOrd="1" destOrd="0" presId="urn:microsoft.com/office/officeart/2005/8/layout/pyramid3"/>
    <dgm:cxn modelId="{4FD32296-B343-415A-8FCE-8E90637444F1}" type="presParOf" srcId="{3524E1C1-B7B8-44F2-94C9-A4B4ED68EA8A}" destId="{CD8E2538-8C9C-4D83-BA86-D348B8FA8BB6}" srcOrd="4" destOrd="0" presId="urn:microsoft.com/office/officeart/2005/8/layout/pyramid3"/>
    <dgm:cxn modelId="{6DAE435E-D9B8-4DF6-BCFF-1F83636B5AD2}" type="presParOf" srcId="{CD8E2538-8C9C-4D83-BA86-D348B8FA8BB6}" destId="{E17D6713-F27C-443A-957A-1FC32A8ACBD8}" srcOrd="0" destOrd="0" presId="urn:microsoft.com/office/officeart/2005/8/layout/pyramid3"/>
    <dgm:cxn modelId="{8CF9F5A5-543D-4E39-99D8-B8F92A5824E2}" type="presParOf" srcId="{CD8E2538-8C9C-4D83-BA86-D348B8FA8BB6}" destId="{7898706D-7AB8-42E7-9C38-24AB5067F243}" srcOrd="1" destOrd="0" presId="urn:microsoft.com/office/officeart/2005/8/layout/pyramid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7D2C22-B956-4ED5-96B0-A93CCD05CDB7}">
      <dsp:nvSpPr>
        <dsp:cNvPr id="0" name=""/>
        <dsp:cNvSpPr/>
      </dsp:nvSpPr>
      <dsp:spPr>
        <a:xfrm>
          <a:off x="2390962" y="1396394"/>
          <a:ext cx="172991" cy="530508"/>
        </a:xfrm>
        <a:custGeom>
          <a:avLst/>
          <a:gdLst/>
          <a:ahLst/>
          <a:cxnLst/>
          <a:rect l="0" t="0" r="0" b="0"/>
          <a:pathLst>
            <a:path>
              <a:moveTo>
                <a:pt x="0" y="0"/>
              </a:moveTo>
              <a:lnTo>
                <a:pt x="0" y="530508"/>
              </a:lnTo>
              <a:lnTo>
                <a:pt x="172991" y="5305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0B24B7-792D-4185-B09A-87D15224630C}">
      <dsp:nvSpPr>
        <dsp:cNvPr id="0" name=""/>
        <dsp:cNvSpPr/>
      </dsp:nvSpPr>
      <dsp:spPr>
        <a:xfrm>
          <a:off x="2154540" y="577566"/>
          <a:ext cx="697733" cy="242188"/>
        </a:xfrm>
        <a:custGeom>
          <a:avLst/>
          <a:gdLst/>
          <a:ahLst/>
          <a:cxnLst/>
          <a:rect l="0" t="0" r="0" b="0"/>
          <a:pathLst>
            <a:path>
              <a:moveTo>
                <a:pt x="0" y="0"/>
              </a:moveTo>
              <a:lnTo>
                <a:pt x="0" y="121094"/>
              </a:lnTo>
              <a:lnTo>
                <a:pt x="697733" y="121094"/>
              </a:lnTo>
              <a:lnTo>
                <a:pt x="697733" y="242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76E937-11DC-4225-A11E-3E94B4FDB179}">
      <dsp:nvSpPr>
        <dsp:cNvPr id="0" name=""/>
        <dsp:cNvSpPr/>
      </dsp:nvSpPr>
      <dsp:spPr>
        <a:xfrm>
          <a:off x="995495" y="1396394"/>
          <a:ext cx="172991" cy="530508"/>
        </a:xfrm>
        <a:custGeom>
          <a:avLst/>
          <a:gdLst/>
          <a:ahLst/>
          <a:cxnLst/>
          <a:rect l="0" t="0" r="0" b="0"/>
          <a:pathLst>
            <a:path>
              <a:moveTo>
                <a:pt x="0" y="0"/>
              </a:moveTo>
              <a:lnTo>
                <a:pt x="0" y="530508"/>
              </a:lnTo>
              <a:lnTo>
                <a:pt x="172991" y="53050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00907C-EF48-4821-B1BE-F4B4AC95F2B3}">
      <dsp:nvSpPr>
        <dsp:cNvPr id="0" name=""/>
        <dsp:cNvSpPr/>
      </dsp:nvSpPr>
      <dsp:spPr>
        <a:xfrm>
          <a:off x="1456806" y="577566"/>
          <a:ext cx="697733" cy="242188"/>
        </a:xfrm>
        <a:custGeom>
          <a:avLst/>
          <a:gdLst/>
          <a:ahLst/>
          <a:cxnLst/>
          <a:rect l="0" t="0" r="0" b="0"/>
          <a:pathLst>
            <a:path>
              <a:moveTo>
                <a:pt x="697733" y="0"/>
              </a:moveTo>
              <a:lnTo>
                <a:pt x="697733" y="121094"/>
              </a:lnTo>
              <a:lnTo>
                <a:pt x="0" y="121094"/>
              </a:lnTo>
              <a:lnTo>
                <a:pt x="0" y="242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AB30D1-4F8D-4963-8599-4EFA51E2EFE2}">
      <dsp:nvSpPr>
        <dsp:cNvPr id="0" name=""/>
        <dsp:cNvSpPr/>
      </dsp:nvSpPr>
      <dsp:spPr>
        <a:xfrm>
          <a:off x="1577900" y="927"/>
          <a:ext cx="1153278" cy="57663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solidFill>
                <a:sysClr val="windowText" lastClr="000000"/>
              </a:solidFill>
              <a:latin typeface="Segoe UI" panose="020B0502040204020203" pitchFamily="34" charset="0"/>
              <a:cs typeface="Segoe UI" panose="020B0502040204020203" pitchFamily="34" charset="0"/>
            </a:rPr>
            <a:t>הבחנה בין מושגים</a:t>
          </a:r>
        </a:p>
      </dsp:txBody>
      <dsp:txXfrm>
        <a:off x="1577900" y="927"/>
        <a:ext cx="1153278" cy="576639"/>
      </dsp:txXfrm>
    </dsp:sp>
    <dsp:sp modelId="{58F12FB4-3129-46F4-90A4-ABB6B77A5985}">
      <dsp:nvSpPr>
        <dsp:cNvPr id="0" name=""/>
        <dsp:cNvSpPr/>
      </dsp:nvSpPr>
      <dsp:spPr>
        <a:xfrm>
          <a:off x="880167" y="819755"/>
          <a:ext cx="1153278" cy="57663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kern="1200">
              <a:solidFill>
                <a:sysClr val="windowText" lastClr="000000"/>
              </a:solidFill>
              <a:latin typeface="Segoe UI" panose="020B0502040204020203" pitchFamily="34" charset="0"/>
              <a:cs typeface="Segoe UI" panose="020B0502040204020203" pitchFamily="34" charset="0"/>
            </a:rPr>
            <a:t>מטרות</a:t>
          </a:r>
        </a:p>
      </dsp:txBody>
      <dsp:txXfrm>
        <a:off x="880167" y="819755"/>
        <a:ext cx="1153278" cy="576639"/>
      </dsp:txXfrm>
    </dsp:sp>
    <dsp:sp modelId="{ABA30FB3-801E-4CE9-AC09-8BDF065F091B}">
      <dsp:nvSpPr>
        <dsp:cNvPr id="0" name=""/>
        <dsp:cNvSpPr/>
      </dsp:nvSpPr>
      <dsp:spPr>
        <a:xfrm>
          <a:off x="1168487" y="1638583"/>
          <a:ext cx="1153278" cy="57663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solidFill>
                <a:sysClr val="windowText" lastClr="000000"/>
              </a:solidFill>
              <a:latin typeface="Segoe UI" panose="020B0502040204020203" pitchFamily="34" charset="0"/>
              <a:cs typeface="Segoe UI" panose="020B0502040204020203" pitchFamily="34" charset="0"/>
            </a:rPr>
            <a:t>שאלת המה אנחנו רוצים להשיג בענישה שמטילים</a:t>
          </a:r>
        </a:p>
      </dsp:txBody>
      <dsp:txXfrm>
        <a:off x="1168487" y="1638583"/>
        <a:ext cx="1153278" cy="576639"/>
      </dsp:txXfrm>
    </dsp:sp>
    <dsp:sp modelId="{FCD7FF76-BDBF-46B8-9D84-60419A2304FD}">
      <dsp:nvSpPr>
        <dsp:cNvPr id="0" name=""/>
        <dsp:cNvSpPr/>
      </dsp:nvSpPr>
      <dsp:spPr>
        <a:xfrm>
          <a:off x="2275634" y="819755"/>
          <a:ext cx="1153278" cy="57663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1" kern="1200">
              <a:solidFill>
                <a:sysClr val="windowText" lastClr="000000"/>
              </a:solidFill>
              <a:latin typeface="Segoe UI" panose="020B0502040204020203" pitchFamily="34" charset="0"/>
              <a:cs typeface="Segoe UI" panose="020B0502040204020203" pitchFamily="34" charset="0"/>
            </a:rPr>
            <a:t>הצדקות</a:t>
          </a:r>
        </a:p>
      </dsp:txBody>
      <dsp:txXfrm>
        <a:off x="2275634" y="819755"/>
        <a:ext cx="1153278" cy="576639"/>
      </dsp:txXfrm>
    </dsp:sp>
    <dsp:sp modelId="{94556F6B-B8A3-4F3F-8F4B-253A41E4DA95}">
      <dsp:nvSpPr>
        <dsp:cNvPr id="0" name=""/>
        <dsp:cNvSpPr/>
      </dsp:nvSpPr>
      <dsp:spPr>
        <a:xfrm>
          <a:off x="2563954" y="1638583"/>
          <a:ext cx="1153278" cy="57663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he-IL" sz="1100" b="0" kern="1200">
              <a:solidFill>
                <a:sysClr val="windowText" lastClr="000000"/>
              </a:solidFill>
              <a:latin typeface="Segoe UI" panose="020B0502040204020203" pitchFamily="34" charset="0"/>
              <a:cs typeface="Segoe UI" panose="020B0502040204020203" pitchFamily="34" charset="0"/>
            </a:rPr>
            <a:t>שאלת המדוע ומאיפה נובעת הסמכות להעניש </a:t>
          </a:r>
        </a:p>
      </dsp:txBody>
      <dsp:txXfrm>
        <a:off x="2563954" y="1638583"/>
        <a:ext cx="1153278" cy="5766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0DB6CA-4BB7-4484-B441-644DDD3404A8}">
      <dsp:nvSpPr>
        <dsp:cNvPr id="0" name=""/>
        <dsp:cNvSpPr/>
      </dsp:nvSpPr>
      <dsp:spPr>
        <a:xfrm rot="10800000">
          <a:off x="0" y="0"/>
          <a:ext cx="5523864" cy="360465"/>
        </a:xfrm>
        <a:prstGeom prst="trapezoid">
          <a:avLst>
            <a:gd name="adj" fmla="val 155819"/>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השיקול הכי חשוב - הלימה</a:t>
          </a:r>
        </a:p>
      </dsp:txBody>
      <dsp:txXfrm rot="-10800000">
        <a:off x="966676" y="0"/>
        <a:ext cx="3590512" cy="360465"/>
      </dsp:txXfrm>
    </dsp:sp>
    <dsp:sp modelId="{BAC5B800-78C2-4FF2-9016-4ED24EE8B50D}">
      <dsp:nvSpPr>
        <dsp:cNvPr id="0" name=""/>
        <dsp:cNvSpPr/>
      </dsp:nvSpPr>
      <dsp:spPr>
        <a:xfrm rot="10800000">
          <a:off x="561672" y="360465"/>
          <a:ext cx="4400520" cy="272556"/>
        </a:xfrm>
        <a:prstGeom prst="trapezoid">
          <a:avLst>
            <a:gd name="adj" fmla="val 155819"/>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שיקום </a:t>
          </a:r>
        </a:p>
      </dsp:txBody>
      <dsp:txXfrm rot="-10800000">
        <a:off x="1331763" y="360465"/>
        <a:ext cx="2860338" cy="272556"/>
      </dsp:txXfrm>
    </dsp:sp>
    <dsp:sp modelId="{C0ADE269-38CA-4D0D-B55C-84855F200B3D}">
      <dsp:nvSpPr>
        <dsp:cNvPr id="0" name=""/>
        <dsp:cNvSpPr/>
      </dsp:nvSpPr>
      <dsp:spPr>
        <a:xfrm rot="10800000">
          <a:off x="986366" y="633021"/>
          <a:ext cx="3551132" cy="324132"/>
        </a:xfrm>
        <a:prstGeom prst="trapezoid">
          <a:avLst>
            <a:gd name="adj" fmla="val 155819"/>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הגנה על שלום הציבור</a:t>
          </a:r>
        </a:p>
      </dsp:txBody>
      <dsp:txXfrm rot="-10800000">
        <a:off x="1607814" y="633021"/>
        <a:ext cx="2308236" cy="324132"/>
      </dsp:txXfrm>
    </dsp:sp>
    <dsp:sp modelId="{8B8F9DF2-22EF-417C-9897-B1FA2D50BDEA}">
      <dsp:nvSpPr>
        <dsp:cNvPr id="0" name=""/>
        <dsp:cNvSpPr/>
      </dsp:nvSpPr>
      <dsp:spPr>
        <a:xfrm rot="10800000">
          <a:off x="1491425" y="957154"/>
          <a:ext cx="2541014" cy="249121"/>
        </a:xfrm>
        <a:prstGeom prst="trapezoid">
          <a:avLst>
            <a:gd name="adj" fmla="val 155819"/>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הרתעה אישית</a:t>
          </a:r>
        </a:p>
      </dsp:txBody>
      <dsp:txXfrm rot="-10800000">
        <a:off x="1936102" y="957154"/>
        <a:ext cx="1651659" cy="249121"/>
      </dsp:txXfrm>
    </dsp:sp>
    <dsp:sp modelId="{E17D6713-F27C-443A-957A-1FC32A8ACBD8}">
      <dsp:nvSpPr>
        <dsp:cNvPr id="0" name=""/>
        <dsp:cNvSpPr/>
      </dsp:nvSpPr>
      <dsp:spPr>
        <a:xfrm rot="10800000">
          <a:off x="1879603" y="1206276"/>
          <a:ext cx="1764657" cy="566253"/>
        </a:xfrm>
        <a:prstGeom prst="trapezoid">
          <a:avLst>
            <a:gd name="adj" fmla="val 155819"/>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rtl="1">
            <a:lnSpc>
              <a:spcPct val="90000"/>
            </a:lnSpc>
            <a:spcBef>
              <a:spcPct val="0"/>
            </a:spcBef>
            <a:spcAft>
              <a:spcPct val="35000"/>
            </a:spcAft>
            <a:buNone/>
          </a:pPr>
          <a:r>
            <a:rPr lang="he-IL" sz="1200" b="1" kern="1200">
              <a:latin typeface="David" panose="020E0502060401010101" pitchFamily="34" charset="-79"/>
              <a:cs typeface="David" panose="020E0502060401010101" pitchFamily="34" charset="-79"/>
            </a:rPr>
            <a:t>הרתעת הרבים </a:t>
          </a:r>
        </a:p>
      </dsp:txBody>
      <dsp:txXfrm rot="-10800000">
        <a:off x="1879603" y="1206276"/>
        <a:ext cx="1764657" cy="5662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F7114B-9EB4-488C-A5DB-B6E23F4CCAC9}">
  <we:reference id="wa104380518" version="3.1.0.0" store="he-IL" storeType="OMEX"/>
  <we:alternateReferences>
    <we:reference id="wa104380518" version="3.1.0.0" store="WA1043805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AC2D9082-F6F0-47CA-A787-1917CC4D1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92</Pages>
  <Words>33506</Words>
  <Characters>167530</Characters>
  <Application>Microsoft Office Word</Application>
  <DocSecurity>0</DocSecurity>
  <Lines>1396</Lines>
  <Paragraphs>401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dc:creator>
  <cp:keywords/>
  <dc:description/>
  <cp:lastModifiedBy>Nicole Veksler</cp:lastModifiedBy>
  <cp:revision>5</cp:revision>
  <cp:lastPrinted>2022-07-08T22:04:00Z</cp:lastPrinted>
  <dcterms:created xsi:type="dcterms:W3CDTF">2022-07-08T22:05:00Z</dcterms:created>
  <dcterms:modified xsi:type="dcterms:W3CDTF">2022-10-20T18:49:00Z</dcterms:modified>
</cp:coreProperties>
</file>