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45DE" w14:textId="5406EAA2" w:rsidR="004F1A44" w:rsidRPr="00261E5A" w:rsidRDefault="00C40327" w:rsidP="00E82E9B">
      <w:pPr>
        <w:pStyle w:val="aa"/>
        <w:numPr>
          <w:ilvl w:val="0"/>
          <w:numId w:val="7"/>
        </w:numPr>
        <w:spacing w:line="360" w:lineRule="auto"/>
        <w:ind w:left="360"/>
        <w:jc w:val="both"/>
        <w:rPr>
          <w:rFonts w:eastAsia="Calibri"/>
          <w:b/>
          <w:bCs/>
          <w:noProof/>
          <w:u w:val="single"/>
          <w:rtl/>
        </w:rPr>
      </w:pPr>
      <w:r w:rsidRPr="00261E5A">
        <w:rPr>
          <w:rFonts w:eastAsia="Calibri" w:hint="cs"/>
          <w:b/>
          <w:bCs/>
          <w:noProof/>
          <w:u w:val="single"/>
          <w:rtl/>
        </w:rPr>
        <w:t>הקדמה</w:t>
      </w:r>
    </w:p>
    <w:p w14:paraId="5D1D6C62" w14:textId="3B9E9B27" w:rsidR="00AE078A" w:rsidRPr="00AE078A" w:rsidRDefault="00CD7EA0" w:rsidP="00E82E9B">
      <w:pPr>
        <w:spacing w:line="360" w:lineRule="auto"/>
        <w:jc w:val="both"/>
        <w:rPr>
          <w:rFonts w:eastAsia="Calibri"/>
        </w:rPr>
      </w:pPr>
      <w:r w:rsidRPr="00983329">
        <w:rPr>
          <w:rtl/>
        </w:rPr>
        <w:t>ה</w:t>
      </w:r>
      <w:r w:rsidR="0079223C" w:rsidRPr="00983329">
        <w:rPr>
          <w:rtl/>
        </w:rPr>
        <w:t xml:space="preserve">מאמר </w:t>
      </w:r>
      <w:r w:rsidR="00DC7DD0" w:rsidRPr="00983329">
        <w:rPr>
          <w:rtl/>
        </w:rPr>
        <w:t>"</w:t>
      </w:r>
      <w:r w:rsidR="0066603B" w:rsidRPr="00983329">
        <w:rPr>
          <w:rtl/>
        </w:rPr>
        <w:t>בנפרד ועדיין שווה?</w:t>
      </w:r>
      <w:r w:rsidR="00DC7DD0" w:rsidRPr="00983329">
        <w:rPr>
          <w:rtl/>
        </w:rPr>
        <w:t>"</w:t>
      </w:r>
      <w:r w:rsidR="00AB0A10" w:rsidRPr="00983329">
        <w:rPr>
          <w:rStyle w:val="a9"/>
          <w:rtl/>
        </w:rPr>
        <w:footnoteReference w:id="2"/>
      </w:r>
      <w:r w:rsidR="005A21DF" w:rsidRPr="00983329">
        <w:rPr>
          <w:rtl/>
        </w:rPr>
        <w:t xml:space="preserve"> </w:t>
      </w:r>
      <w:r w:rsidR="004274C2" w:rsidRPr="00983329">
        <w:rPr>
          <w:rtl/>
        </w:rPr>
        <w:t>(להלן:</w:t>
      </w:r>
      <w:r w:rsidR="00422343">
        <w:rPr>
          <w:rFonts w:hint="cs"/>
          <w:rtl/>
        </w:rPr>
        <w:t xml:space="preserve"> </w:t>
      </w:r>
      <w:r w:rsidR="004274C2" w:rsidRPr="00983329">
        <w:rPr>
          <w:rtl/>
        </w:rPr>
        <w:t xml:space="preserve">המאמר) </w:t>
      </w:r>
      <w:r w:rsidR="007C13F1" w:rsidRPr="00983329">
        <w:rPr>
          <w:rtl/>
        </w:rPr>
        <w:t xml:space="preserve">מציע מספר דרכים </w:t>
      </w:r>
      <w:r w:rsidR="007C13F1">
        <w:rPr>
          <w:rFonts w:hint="cs"/>
          <w:rtl/>
        </w:rPr>
        <w:t>משפטיות</w:t>
      </w:r>
      <w:r w:rsidR="00992DB2">
        <w:rPr>
          <w:rFonts w:hint="cs"/>
          <w:rtl/>
        </w:rPr>
        <w:t>,</w:t>
      </w:r>
      <w:r w:rsidR="007C13F1">
        <w:rPr>
          <w:rFonts w:hint="cs"/>
          <w:rtl/>
        </w:rPr>
        <w:t xml:space="preserve"> </w:t>
      </w:r>
      <w:r w:rsidR="007C13F1" w:rsidRPr="00983329">
        <w:rPr>
          <w:rtl/>
        </w:rPr>
        <w:t>הלקוח</w:t>
      </w:r>
      <w:r w:rsidR="007C13F1">
        <w:rPr>
          <w:rFonts w:hint="cs"/>
          <w:rtl/>
        </w:rPr>
        <w:t>ות</w:t>
      </w:r>
      <w:r w:rsidR="007C13F1" w:rsidRPr="00983329">
        <w:rPr>
          <w:rtl/>
        </w:rPr>
        <w:t xml:space="preserve"> מענפי המשפט הפרטי</w:t>
      </w:r>
      <w:r w:rsidR="00261E5A">
        <w:rPr>
          <w:rFonts w:hint="cs"/>
          <w:rtl/>
        </w:rPr>
        <w:t xml:space="preserve">, </w:t>
      </w:r>
      <w:r w:rsidR="004274C2" w:rsidRPr="00983329">
        <w:rPr>
          <w:rtl/>
        </w:rPr>
        <w:t>ב</w:t>
      </w:r>
      <w:r w:rsidR="00132664" w:rsidRPr="00983329">
        <w:rPr>
          <w:rtl/>
        </w:rPr>
        <w:t xml:space="preserve">הן ניתן להתמודד עם מקרי הפליה שאינם אסורים על פי </w:t>
      </w:r>
      <w:r w:rsidR="00834E38" w:rsidRPr="00983329">
        <w:rPr>
          <w:rFonts w:eastAsia="Calibri"/>
          <w:rtl/>
        </w:rPr>
        <w:t>חוק איסור הפליה במוצרים</w:t>
      </w:r>
      <w:r w:rsidR="00834E38" w:rsidRPr="00983329">
        <w:rPr>
          <w:rStyle w:val="a9"/>
          <w:rFonts w:eastAsia="Calibri"/>
          <w:rtl/>
        </w:rPr>
        <w:footnoteReference w:id="3"/>
      </w:r>
      <w:r w:rsidR="00261E5A">
        <w:rPr>
          <w:rFonts w:eastAsia="Calibri" w:hint="cs"/>
          <w:rtl/>
        </w:rPr>
        <w:t xml:space="preserve">. </w:t>
      </w:r>
      <w:r w:rsidR="007C13F1">
        <w:rPr>
          <w:rFonts w:hint="cs"/>
          <w:rtl/>
        </w:rPr>
        <w:t xml:space="preserve">בנייר עמדה זה אתמקד </w:t>
      </w:r>
      <w:r w:rsidR="002D0667">
        <w:rPr>
          <w:rFonts w:eastAsia="Calibri" w:hint="cs"/>
          <w:rtl/>
        </w:rPr>
        <w:t>בהיבטים המשפטיים הנוגעים ל</w:t>
      </w:r>
      <w:r w:rsidR="007C13F1" w:rsidRPr="00983329">
        <w:rPr>
          <w:rFonts w:eastAsia="Calibri"/>
          <w:rtl/>
        </w:rPr>
        <w:t>פרק ה'</w:t>
      </w:r>
      <w:r w:rsidR="007C13F1" w:rsidRPr="00983329">
        <w:rPr>
          <w:rFonts w:eastAsia="Calibri"/>
        </w:rPr>
        <w:t xml:space="preserve"> </w:t>
      </w:r>
      <w:r w:rsidR="007C13F1" w:rsidRPr="00983329">
        <w:rPr>
          <w:rFonts w:eastAsia="Calibri"/>
          <w:rtl/>
        </w:rPr>
        <w:t>למאמר</w:t>
      </w:r>
      <w:r w:rsidR="007C13F1" w:rsidRPr="00983329">
        <w:rPr>
          <w:rFonts w:eastAsia="Calibri"/>
          <w:vertAlign w:val="superscript"/>
          <w:rtl/>
        </w:rPr>
        <w:footnoteReference w:id="4"/>
      </w:r>
      <w:r w:rsidR="00261E5A">
        <w:rPr>
          <w:rFonts w:eastAsia="Calibri" w:hint="cs"/>
          <w:rtl/>
        </w:rPr>
        <w:t>. פרק זה</w:t>
      </w:r>
      <w:r w:rsidR="007C13F1" w:rsidRPr="00983329">
        <w:rPr>
          <w:rFonts w:eastAsia="Calibri"/>
          <w:rtl/>
        </w:rPr>
        <w:t xml:space="preserve"> </w:t>
      </w:r>
      <w:r w:rsidR="007C13F1">
        <w:rPr>
          <w:rFonts w:eastAsia="Calibri" w:hint="cs"/>
          <w:rtl/>
        </w:rPr>
        <w:t>עוסק</w:t>
      </w:r>
      <w:r w:rsidR="007C13F1" w:rsidRPr="00983329">
        <w:rPr>
          <w:rFonts w:eastAsia="Calibri"/>
          <w:rtl/>
        </w:rPr>
        <w:t xml:space="preserve"> </w:t>
      </w:r>
      <w:r w:rsidR="007C13F1">
        <w:rPr>
          <w:rFonts w:eastAsia="Calibri" w:hint="cs"/>
          <w:rtl/>
        </w:rPr>
        <w:t xml:space="preserve">סביב </w:t>
      </w:r>
      <w:r w:rsidR="007C13F1">
        <w:rPr>
          <w:rFonts w:hint="cs"/>
          <w:rtl/>
        </w:rPr>
        <w:t>סוגיית ה</w:t>
      </w:r>
      <w:r w:rsidR="007C13F1" w:rsidRPr="00983329">
        <w:rPr>
          <w:rtl/>
        </w:rPr>
        <w:t>הפליה במכירה ובהשכרה של מקרקעין בישראל</w:t>
      </w:r>
      <w:r w:rsidR="007E68AD">
        <w:rPr>
          <w:rFonts w:hint="cs"/>
          <w:rtl/>
        </w:rPr>
        <w:t>,</w:t>
      </w:r>
      <w:r w:rsidR="007C13F1">
        <w:rPr>
          <w:rFonts w:hint="cs"/>
          <w:rtl/>
        </w:rPr>
        <w:t xml:space="preserve"> </w:t>
      </w:r>
      <w:r w:rsidR="002D0667">
        <w:rPr>
          <w:rFonts w:hint="cs"/>
          <w:rtl/>
        </w:rPr>
        <w:t>בשל העובדה ש</w:t>
      </w:r>
      <w:r w:rsidR="007E68AD" w:rsidRPr="007E68AD">
        <w:rPr>
          <w:rtl/>
        </w:rPr>
        <w:t xml:space="preserve">האיסור בחוק אינו חל על עסקאות של גורמים פרטיים בנושאים שאינם כלולים במפורש להגדרה </w:t>
      </w:r>
      <w:r w:rsidR="002D0667">
        <w:rPr>
          <w:rFonts w:hint="cs"/>
          <w:rtl/>
        </w:rPr>
        <w:t xml:space="preserve">של </w:t>
      </w:r>
      <w:r w:rsidR="007E68AD" w:rsidRPr="007E68AD">
        <w:rPr>
          <w:rtl/>
        </w:rPr>
        <w:t>המונח "שירות ציבורי"</w:t>
      </w:r>
      <w:r w:rsidR="00261E5A">
        <w:rPr>
          <w:rFonts w:hint="cs"/>
          <w:rtl/>
        </w:rPr>
        <w:t>.</w:t>
      </w:r>
      <w:r w:rsidR="007E68AD">
        <w:rPr>
          <w:rFonts w:hint="cs"/>
          <w:rtl/>
        </w:rPr>
        <w:t xml:space="preserve"> ל</w:t>
      </w:r>
      <w:r w:rsidR="007C13F1">
        <w:rPr>
          <w:rFonts w:hint="cs"/>
          <w:rtl/>
        </w:rPr>
        <w:t>טענתו של כותב ה</w:t>
      </w:r>
      <w:r w:rsidR="007C13F1" w:rsidRPr="00983329">
        <w:rPr>
          <w:rtl/>
        </w:rPr>
        <w:t>מאמר</w:t>
      </w:r>
      <w:r w:rsidR="00261E5A">
        <w:rPr>
          <w:rFonts w:hint="cs"/>
          <w:rtl/>
        </w:rPr>
        <w:t xml:space="preserve">, </w:t>
      </w:r>
      <w:r w:rsidR="007C13F1" w:rsidRPr="00983329">
        <w:rPr>
          <w:rtl/>
        </w:rPr>
        <w:t>פרופ'</w:t>
      </w:r>
      <w:r w:rsidR="007C13F1" w:rsidRPr="00983329">
        <w:t xml:space="preserve"> </w:t>
      </w:r>
      <w:r w:rsidR="007C13F1" w:rsidRPr="00983329">
        <w:rPr>
          <w:rtl/>
        </w:rPr>
        <w:t>רונן אברהם</w:t>
      </w:r>
      <w:r w:rsidR="007C13F1" w:rsidRPr="00983329">
        <w:rPr>
          <w:rStyle w:val="a9"/>
          <w:rtl/>
        </w:rPr>
        <w:footnoteReference w:id="5"/>
      </w:r>
      <w:r w:rsidR="00261E5A">
        <w:rPr>
          <w:rFonts w:hint="cs"/>
          <w:rtl/>
        </w:rPr>
        <w:t xml:space="preserve">, </w:t>
      </w:r>
      <w:r w:rsidR="007C13F1">
        <w:rPr>
          <w:rFonts w:eastAsia="Calibri" w:hint="cs"/>
          <w:rtl/>
        </w:rPr>
        <w:t xml:space="preserve">הגורס כי </w:t>
      </w:r>
      <w:r w:rsidR="002D0667">
        <w:rPr>
          <w:rFonts w:eastAsia="Calibri" w:hint="cs"/>
          <w:rtl/>
        </w:rPr>
        <w:t xml:space="preserve">יש להגדיר את </w:t>
      </w:r>
      <w:r w:rsidR="002F7DE5" w:rsidRPr="00983329">
        <w:rPr>
          <w:rFonts w:eastAsia="Calibri"/>
          <w:rtl/>
        </w:rPr>
        <w:t xml:space="preserve">נכסי </w:t>
      </w:r>
      <w:r w:rsidR="002D0667">
        <w:rPr>
          <w:rFonts w:eastAsia="Calibri" w:hint="cs"/>
          <w:rtl/>
        </w:rPr>
        <w:t>ה</w:t>
      </w:r>
      <w:r w:rsidR="002F7DE5" w:rsidRPr="00983329">
        <w:rPr>
          <w:rFonts w:eastAsia="Calibri"/>
          <w:rtl/>
        </w:rPr>
        <w:t>מקרקעין כ</w:t>
      </w:r>
      <w:r w:rsidR="00994F44">
        <w:rPr>
          <w:rFonts w:eastAsia="Calibri" w:hint="cs"/>
          <w:rtl/>
        </w:rPr>
        <w:t>"</w:t>
      </w:r>
      <w:r w:rsidR="002F7DE5" w:rsidRPr="00983329">
        <w:rPr>
          <w:rFonts w:eastAsia="Calibri"/>
          <w:rtl/>
        </w:rPr>
        <w:t>מ</w:t>
      </w:r>
      <w:r w:rsidR="00994F44">
        <w:rPr>
          <w:rFonts w:eastAsia="Calibri" w:hint="cs"/>
          <w:rtl/>
        </w:rPr>
        <w:t>וצר</w:t>
      </w:r>
      <w:r w:rsidR="002F7DE5" w:rsidRPr="00983329">
        <w:rPr>
          <w:rFonts w:eastAsia="Calibri"/>
          <w:rtl/>
        </w:rPr>
        <w:t xml:space="preserve"> ציבורי</w:t>
      </w:r>
      <w:r w:rsidR="00994F44">
        <w:rPr>
          <w:rFonts w:eastAsia="Calibri" w:hint="cs"/>
          <w:rtl/>
        </w:rPr>
        <w:t>"</w:t>
      </w:r>
      <w:r w:rsidR="002F7DE5">
        <w:rPr>
          <w:rFonts w:eastAsia="Calibri" w:hint="cs"/>
          <w:rtl/>
        </w:rPr>
        <w:t xml:space="preserve"> ולפיכך</w:t>
      </w:r>
      <w:r w:rsidR="002F7DE5">
        <w:rPr>
          <w:rFonts w:hint="cs"/>
          <w:rtl/>
        </w:rPr>
        <w:t xml:space="preserve"> </w:t>
      </w:r>
      <w:r w:rsidR="00AE078A" w:rsidRPr="00983329">
        <w:rPr>
          <w:rFonts w:eastAsia="Calibri"/>
          <w:rtl/>
        </w:rPr>
        <w:t xml:space="preserve">יש להחיל את דיני הקניין כחלק מתכולת חוק איסור </w:t>
      </w:r>
      <w:r w:rsidR="00AE078A">
        <w:rPr>
          <w:rFonts w:eastAsia="Calibri" w:hint="cs"/>
          <w:rtl/>
        </w:rPr>
        <w:t>ה</w:t>
      </w:r>
      <w:r w:rsidR="00AE078A" w:rsidRPr="00983329">
        <w:rPr>
          <w:rFonts w:eastAsia="Calibri"/>
          <w:rtl/>
        </w:rPr>
        <w:t>פליה</w:t>
      </w:r>
      <w:r w:rsidR="007C13F1">
        <w:rPr>
          <w:rFonts w:eastAsia="Calibri" w:hint="cs"/>
          <w:rtl/>
        </w:rPr>
        <w:t xml:space="preserve"> </w:t>
      </w:r>
      <w:r w:rsidR="002D0667">
        <w:rPr>
          <w:rFonts w:eastAsia="Calibri" w:hint="cs"/>
          <w:rtl/>
        </w:rPr>
        <w:t xml:space="preserve">במוצרים. </w:t>
      </w:r>
      <w:r w:rsidR="004756C3">
        <w:rPr>
          <w:rFonts w:hint="cs"/>
          <w:rtl/>
        </w:rPr>
        <w:t>בניגוד לעמדתו</w:t>
      </w:r>
      <w:r w:rsidR="00994F44">
        <w:rPr>
          <w:rFonts w:hint="cs"/>
          <w:rtl/>
        </w:rPr>
        <w:t xml:space="preserve">, </w:t>
      </w:r>
      <w:r w:rsidR="00261E5A">
        <w:rPr>
          <w:rFonts w:hint="cs"/>
          <w:rtl/>
        </w:rPr>
        <w:t xml:space="preserve">אני סבור כי </w:t>
      </w:r>
      <w:r w:rsidR="008D5AB7">
        <w:rPr>
          <w:rFonts w:hint="cs"/>
          <w:rtl/>
        </w:rPr>
        <w:t>לא נכון</w:t>
      </w:r>
      <w:r w:rsidR="004756C3">
        <w:rPr>
          <w:rFonts w:hint="cs"/>
          <w:rtl/>
        </w:rPr>
        <w:t xml:space="preserve"> להחיל את תחולת חוק איסור </w:t>
      </w:r>
      <w:r w:rsidR="002D0667">
        <w:rPr>
          <w:rFonts w:hint="cs"/>
          <w:rtl/>
        </w:rPr>
        <w:t>ה</w:t>
      </w:r>
      <w:r w:rsidR="004756C3">
        <w:rPr>
          <w:rFonts w:hint="cs"/>
          <w:rtl/>
        </w:rPr>
        <w:t>הפליה ב</w:t>
      </w:r>
      <w:r w:rsidR="002D0667">
        <w:rPr>
          <w:rFonts w:hint="cs"/>
          <w:rtl/>
        </w:rPr>
        <w:t xml:space="preserve">כל הנוגע </w:t>
      </w:r>
      <w:r w:rsidR="004756C3">
        <w:rPr>
          <w:rFonts w:hint="cs"/>
          <w:rtl/>
        </w:rPr>
        <w:t>למכר מקרקעין</w:t>
      </w:r>
      <w:r w:rsidR="00261E5A">
        <w:rPr>
          <w:rFonts w:hint="cs"/>
          <w:rtl/>
        </w:rPr>
        <w:t xml:space="preserve"> </w:t>
      </w:r>
      <w:r w:rsidR="008D5AB7">
        <w:rPr>
          <w:rFonts w:eastAsia="Calibri" w:hint="cs"/>
          <w:rtl/>
        </w:rPr>
        <w:t>משום שקיים פער ב</w:t>
      </w:r>
      <w:r w:rsidR="004756C3">
        <w:rPr>
          <w:rFonts w:hint="cs"/>
          <w:rtl/>
        </w:rPr>
        <w:t>יחסים שבין ההסדרים הקיימים במישור האנכי-ציבורי</w:t>
      </w:r>
      <w:r w:rsidR="00261E5A">
        <w:rPr>
          <w:rFonts w:hint="cs"/>
          <w:rtl/>
        </w:rPr>
        <w:t xml:space="preserve">, </w:t>
      </w:r>
      <w:r w:rsidR="004756C3">
        <w:rPr>
          <w:rFonts w:hint="cs"/>
          <w:rtl/>
        </w:rPr>
        <w:t>המדגישים את אופייה היהודי של המדינה, לבין העקרונות החוקתיים במישור האופקי-פרטי</w:t>
      </w:r>
      <w:r w:rsidR="00261E5A">
        <w:rPr>
          <w:rFonts w:hint="cs"/>
          <w:rtl/>
        </w:rPr>
        <w:t>,</w:t>
      </w:r>
      <w:r w:rsidR="004756C3">
        <w:rPr>
          <w:rFonts w:hint="cs"/>
          <w:rtl/>
        </w:rPr>
        <w:t xml:space="preserve"> המדגישים את שמירת זכויות האדם הדמוקרטיות</w:t>
      </w:r>
      <w:r w:rsidR="008D5AB7">
        <w:rPr>
          <w:rFonts w:hint="cs"/>
          <w:rtl/>
        </w:rPr>
        <w:t xml:space="preserve"> </w:t>
      </w:r>
      <w:r w:rsidR="00C21BF4">
        <w:rPr>
          <w:rtl/>
        </w:rPr>
        <w:t>עם הרצון למנוע פגיעה אפשרית בכבודו של אדם</w:t>
      </w:r>
      <w:r w:rsidR="002D0667">
        <w:rPr>
          <w:rFonts w:eastAsia="Calibri" w:hint="cs"/>
          <w:rtl/>
        </w:rPr>
        <w:t>.</w:t>
      </w:r>
      <w:r w:rsidR="00C21BF4">
        <w:rPr>
          <w:rFonts w:eastAsia="Calibri" w:hint="cs"/>
          <w:rtl/>
        </w:rPr>
        <w:t xml:space="preserve"> </w:t>
      </w:r>
    </w:p>
    <w:p w14:paraId="3E687E69" w14:textId="7BF44BD6" w:rsidR="00936A80" w:rsidRPr="00261E5A" w:rsidRDefault="00D12347" w:rsidP="00E82E9B">
      <w:pPr>
        <w:pStyle w:val="aa"/>
        <w:numPr>
          <w:ilvl w:val="0"/>
          <w:numId w:val="7"/>
        </w:numPr>
        <w:spacing w:line="360" w:lineRule="auto"/>
        <w:ind w:left="360"/>
        <w:jc w:val="both"/>
        <w:rPr>
          <w:b/>
          <w:bCs/>
          <w:u w:val="single"/>
          <w:rtl/>
        </w:rPr>
      </w:pPr>
      <w:r w:rsidRPr="00261E5A">
        <w:rPr>
          <w:rFonts w:hint="cs"/>
          <w:b/>
          <w:bCs/>
          <w:u w:val="single"/>
          <w:rtl/>
        </w:rPr>
        <w:t xml:space="preserve">מכירה והשכרה </w:t>
      </w:r>
      <w:r w:rsidR="00EB75A5" w:rsidRPr="00261E5A">
        <w:rPr>
          <w:b/>
          <w:bCs/>
          <w:u w:val="single"/>
          <w:rtl/>
        </w:rPr>
        <w:t xml:space="preserve">במקרקעין </w:t>
      </w:r>
    </w:p>
    <w:p w14:paraId="21D363D8" w14:textId="70C38105" w:rsidR="00261E5A" w:rsidRDefault="008D5AB7" w:rsidP="00E82E9B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ראשית, </w:t>
      </w:r>
      <w:r w:rsidR="00B62093">
        <w:rPr>
          <w:rFonts w:hint="cs"/>
          <w:rtl/>
        </w:rPr>
        <w:t>ה</w:t>
      </w:r>
      <w:r w:rsidR="005B5158">
        <w:rPr>
          <w:rFonts w:hint="cs"/>
          <w:rtl/>
        </w:rPr>
        <w:t xml:space="preserve">חסם </w:t>
      </w:r>
      <w:r w:rsidR="00B62093">
        <w:rPr>
          <w:rFonts w:hint="cs"/>
          <w:rtl/>
        </w:rPr>
        <w:t>המשפטי ה</w:t>
      </w:r>
      <w:r w:rsidR="005B5158">
        <w:rPr>
          <w:rFonts w:hint="cs"/>
          <w:rtl/>
        </w:rPr>
        <w:t>עיקרי</w:t>
      </w:r>
      <w:r w:rsidR="009A393F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5B5158">
        <w:rPr>
          <w:rFonts w:hint="cs"/>
          <w:rtl/>
        </w:rPr>
        <w:t>מקשה על החל</w:t>
      </w:r>
      <w:r>
        <w:rPr>
          <w:rFonts w:hint="cs"/>
          <w:rtl/>
        </w:rPr>
        <w:t xml:space="preserve">ת </w:t>
      </w:r>
      <w:r w:rsidR="005B5158">
        <w:rPr>
          <w:rFonts w:hint="cs"/>
          <w:rtl/>
        </w:rPr>
        <w:t>הסדרים התוחמים את גבולות איסור ההפליה בדיור</w:t>
      </w:r>
      <w:r>
        <w:rPr>
          <w:rFonts w:hint="cs"/>
          <w:rtl/>
        </w:rPr>
        <w:t>,</w:t>
      </w:r>
      <w:r w:rsidR="005B5158">
        <w:rPr>
          <w:rFonts w:hint="cs"/>
          <w:rtl/>
        </w:rPr>
        <w:t xml:space="preserve"> </w:t>
      </w:r>
      <w:r w:rsidR="008A7A0F">
        <w:rPr>
          <w:rFonts w:hint="cs"/>
          <w:rtl/>
        </w:rPr>
        <w:t>זהו</w:t>
      </w:r>
      <w:r w:rsidR="009A393F">
        <w:rPr>
          <w:rFonts w:hint="cs"/>
          <w:rtl/>
        </w:rPr>
        <w:t xml:space="preserve"> </w:t>
      </w:r>
      <w:r w:rsidR="004756C3">
        <w:rPr>
          <w:rFonts w:hint="cs"/>
          <w:rtl/>
        </w:rPr>
        <w:t>רצון המחוקק לשמר ולפתח את ההתיישבות היהודית</w:t>
      </w:r>
      <w:r>
        <w:rPr>
          <w:rFonts w:hint="cs"/>
          <w:rtl/>
        </w:rPr>
        <w:t xml:space="preserve"> בישראל.</w:t>
      </w:r>
      <w:r w:rsidR="005B5158">
        <w:rPr>
          <w:rFonts w:hint="cs"/>
          <w:rtl/>
        </w:rPr>
        <w:t xml:space="preserve"> </w:t>
      </w:r>
      <w:r w:rsidR="0094046E">
        <w:rPr>
          <w:rFonts w:hint="cs"/>
          <w:rtl/>
        </w:rPr>
        <w:t>כ</w:t>
      </w:r>
      <w:r>
        <w:rPr>
          <w:rFonts w:hint="cs"/>
          <w:rtl/>
        </w:rPr>
        <w:t xml:space="preserve">דוגמא לכך </w:t>
      </w:r>
      <w:r w:rsidR="00B62093">
        <w:rPr>
          <w:rFonts w:eastAsia="Calibri" w:hint="cs"/>
          <w:rtl/>
        </w:rPr>
        <w:t>ניתן ל</w:t>
      </w:r>
      <w:r>
        <w:rPr>
          <w:rFonts w:eastAsia="Calibri" w:hint="cs"/>
          <w:rtl/>
        </w:rPr>
        <w:t xml:space="preserve">הסיק </w:t>
      </w:r>
      <w:r w:rsidR="004756C3">
        <w:rPr>
          <w:rFonts w:eastAsia="Calibri" w:hint="cs"/>
          <w:rtl/>
        </w:rPr>
        <w:t xml:space="preserve">מהכרעת </w:t>
      </w:r>
      <w:r w:rsidR="004756C3" w:rsidRPr="00983329">
        <w:rPr>
          <w:rFonts w:eastAsia="Calibri"/>
          <w:rtl/>
        </w:rPr>
        <w:t>שופטי</w:t>
      </w:r>
      <w:r w:rsidR="004756C3">
        <w:rPr>
          <w:rFonts w:eastAsia="Calibri" w:hint="cs"/>
          <w:rtl/>
        </w:rPr>
        <w:t xml:space="preserve"> </w:t>
      </w:r>
      <w:r w:rsidR="004756C3" w:rsidRPr="00983329">
        <w:rPr>
          <w:rFonts w:eastAsia="Calibri"/>
          <w:rtl/>
        </w:rPr>
        <w:t>ב</w:t>
      </w:r>
      <w:r w:rsidR="004756C3">
        <w:rPr>
          <w:rFonts w:eastAsia="Calibri" w:hint="cs"/>
          <w:rtl/>
        </w:rPr>
        <w:t>יה</w:t>
      </w:r>
      <w:r w:rsidR="004756C3" w:rsidRPr="00983329">
        <w:rPr>
          <w:rFonts w:eastAsia="Calibri"/>
          <w:rtl/>
        </w:rPr>
        <w:t xml:space="preserve">מ"ש העליון </w:t>
      </w:r>
      <w:r w:rsidR="004756C3">
        <w:rPr>
          <w:rFonts w:eastAsia="Calibri" w:hint="cs"/>
          <w:rtl/>
        </w:rPr>
        <w:t>ש</w:t>
      </w:r>
      <w:r w:rsidR="004756C3" w:rsidRPr="00983329">
        <w:rPr>
          <w:rFonts w:eastAsia="Calibri"/>
          <w:rtl/>
        </w:rPr>
        <w:t xml:space="preserve">נחלקו בשאלת תחולת החוק </w:t>
      </w:r>
      <w:r w:rsidR="004756C3">
        <w:rPr>
          <w:rFonts w:eastAsia="Calibri" w:hint="cs"/>
          <w:rtl/>
        </w:rPr>
        <w:t>איסור הפליה בציבור</w:t>
      </w:r>
      <w:r w:rsidR="004756C3" w:rsidRPr="00983329">
        <w:rPr>
          <w:rFonts w:eastAsia="Calibri"/>
          <w:rtl/>
        </w:rPr>
        <w:t xml:space="preserve"> על מכר מקרקעין</w:t>
      </w:r>
      <w:r w:rsidR="004756C3">
        <w:rPr>
          <w:rFonts w:hint="cs"/>
          <w:rtl/>
        </w:rPr>
        <w:t>, ב</w:t>
      </w:r>
      <w:r w:rsidR="00C40327" w:rsidRPr="00983329">
        <w:rPr>
          <w:rFonts w:eastAsia="Calibri"/>
          <w:rtl/>
        </w:rPr>
        <w:t>פרשת מי-טל</w:t>
      </w:r>
      <w:r w:rsidR="00C40327" w:rsidRPr="00983329">
        <w:rPr>
          <w:rStyle w:val="a9"/>
          <w:rFonts w:eastAsia="Calibri"/>
          <w:rtl/>
        </w:rPr>
        <w:footnoteReference w:id="6"/>
      </w:r>
      <w:r w:rsidR="00C40327" w:rsidRPr="00983329">
        <w:rPr>
          <w:rFonts w:eastAsia="Calibri"/>
          <w:rtl/>
        </w:rPr>
        <w:t xml:space="preserve"> </w:t>
      </w:r>
      <w:r w:rsidR="007C5251">
        <w:rPr>
          <w:rFonts w:eastAsia="Calibri" w:hint="cs"/>
          <w:rtl/>
        </w:rPr>
        <w:t>ה</w:t>
      </w:r>
      <w:r w:rsidR="007C5251" w:rsidRPr="00983329">
        <w:rPr>
          <w:rFonts w:eastAsia="Calibri"/>
          <w:rtl/>
        </w:rPr>
        <w:t xml:space="preserve">מוזכרת </w:t>
      </w:r>
      <w:r w:rsidR="007C5251">
        <w:rPr>
          <w:rFonts w:eastAsia="Calibri" w:hint="cs"/>
          <w:rtl/>
        </w:rPr>
        <w:t>במאמ</w:t>
      </w:r>
      <w:r w:rsidR="00261E5A">
        <w:rPr>
          <w:rFonts w:eastAsia="Calibri" w:hint="cs"/>
          <w:rtl/>
        </w:rPr>
        <w:t xml:space="preserve">ר. </w:t>
      </w:r>
      <w:r>
        <w:rPr>
          <w:rFonts w:eastAsia="Calibri" w:hint="cs"/>
          <w:rtl/>
        </w:rPr>
        <w:t>פרשה</w:t>
      </w:r>
      <w:r w:rsidR="00261E5A">
        <w:rPr>
          <w:rFonts w:eastAsia="Calibri" w:hint="cs"/>
          <w:rtl/>
        </w:rPr>
        <w:t xml:space="preserve"> זו</w:t>
      </w:r>
      <w:r>
        <w:rPr>
          <w:rFonts w:eastAsia="Calibri" w:hint="cs"/>
          <w:rtl/>
        </w:rPr>
        <w:t xml:space="preserve"> דנה </w:t>
      </w:r>
      <w:r w:rsidR="007C5251">
        <w:rPr>
          <w:rFonts w:eastAsia="Calibri" w:hint="cs"/>
          <w:rtl/>
        </w:rPr>
        <w:t>ב</w:t>
      </w:r>
      <w:r w:rsidR="00130306">
        <w:rPr>
          <w:rFonts w:eastAsia="Calibri" w:hint="cs"/>
          <w:rtl/>
        </w:rPr>
        <w:t xml:space="preserve">עתירתם של </w:t>
      </w:r>
      <w:r w:rsidR="007C13F1">
        <w:rPr>
          <w:rFonts w:eastAsia="Calibri" w:hint="cs"/>
          <w:rtl/>
        </w:rPr>
        <w:t xml:space="preserve">בני </w:t>
      </w:r>
      <w:r w:rsidR="007C5251">
        <w:rPr>
          <w:rFonts w:eastAsia="Calibri" w:hint="cs"/>
          <w:rtl/>
        </w:rPr>
        <w:t>זוג מהמגזר הלא-יהודי</w:t>
      </w:r>
      <w:r w:rsidR="00261E5A">
        <w:rPr>
          <w:rFonts w:eastAsia="Calibri" w:hint="cs"/>
          <w:rtl/>
        </w:rPr>
        <w:t>,</w:t>
      </w:r>
      <w:r w:rsidR="007C5251">
        <w:rPr>
          <w:rFonts w:eastAsia="Calibri" w:hint="cs"/>
          <w:rtl/>
        </w:rPr>
        <w:t xml:space="preserve"> אשר </w:t>
      </w:r>
      <w:r w:rsidR="00C40327" w:rsidRPr="00983329">
        <w:rPr>
          <w:rFonts w:eastAsia="Calibri"/>
          <w:rtl/>
        </w:rPr>
        <w:t xml:space="preserve">ביקשו לרכוש דירה </w:t>
      </w:r>
      <w:r w:rsidR="007C5251">
        <w:rPr>
          <w:rFonts w:eastAsia="Calibri" w:hint="cs"/>
          <w:rtl/>
        </w:rPr>
        <w:t>מחברה קבלנית</w:t>
      </w:r>
      <w:r w:rsidR="00130306">
        <w:rPr>
          <w:rFonts w:eastAsia="Calibri" w:hint="cs"/>
          <w:rtl/>
        </w:rPr>
        <w:t xml:space="preserve"> בישוב יהודי</w:t>
      </w:r>
      <w:r w:rsidR="007C5251">
        <w:rPr>
          <w:rFonts w:eastAsia="Calibri" w:hint="cs"/>
          <w:rtl/>
        </w:rPr>
        <w:t>,</w:t>
      </w:r>
      <w:r w:rsidR="00C40327" w:rsidRPr="00983329">
        <w:rPr>
          <w:rFonts w:eastAsia="Calibri"/>
          <w:rtl/>
        </w:rPr>
        <w:t xml:space="preserve"> א</w:t>
      </w:r>
      <w:r w:rsidR="007C13F1">
        <w:rPr>
          <w:rFonts w:eastAsia="Calibri" w:hint="cs"/>
          <w:rtl/>
        </w:rPr>
        <w:t>ולם</w:t>
      </w:r>
      <w:r w:rsidR="00C40327" w:rsidRPr="00983329">
        <w:rPr>
          <w:rFonts w:eastAsia="Calibri"/>
          <w:rtl/>
        </w:rPr>
        <w:t xml:space="preserve"> זו הודיעה להם כי אינה מוכרת דירות לערבים</w:t>
      </w:r>
      <w:r>
        <w:rPr>
          <w:rFonts w:eastAsia="Calibri" w:hint="cs"/>
          <w:rtl/>
        </w:rPr>
        <w:t xml:space="preserve">. מהכרעת הדין </w:t>
      </w:r>
      <w:r w:rsidR="006942D6">
        <w:rPr>
          <w:rFonts w:hint="cs"/>
          <w:rtl/>
        </w:rPr>
        <w:t xml:space="preserve">ניכר </w:t>
      </w:r>
      <w:r w:rsidR="006942D6">
        <w:rPr>
          <w:rtl/>
        </w:rPr>
        <w:t>כי לא כל הפרדה בדיור מהווה בהכרח הפליה</w:t>
      </w:r>
      <w:r>
        <w:rPr>
          <w:rFonts w:hint="cs"/>
          <w:rtl/>
        </w:rPr>
        <w:t>,</w:t>
      </w:r>
      <w:r w:rsidR="006942D6">
        <w:rPr>
          <w:rtl/>
        </w:rPr>
        <w:t xml:space="preserve"> זאת כי גם בהקצאות של מקרקעין בבעלות המדינה באמצעות מכרזים, טרם הוכרעה השאלה האם הקצאת מקרקעין כאלה לקבוצה בעלת מאפיין דתי או תרבותי ייחודי הינה </w:t>
      </w:r>
      <w:r w:rsidR="00062F01">
        <w:rPr>
          <w:rFonts w:hint="cs"/>
          <w:rtl/>
        </w:rPr>
        <w:t xml:space="preserve">בגדר </w:t>
      </w:r>
      <w:r w:rsidR="006942D6">
        <w:rPr>
          <w:rFonts w:hint="cs"/>
          <w:rtl/>
        </w:rPr>
        <w:t>ה</w:t>
      </w:r>
      <w:r w:rsidR="006942D6">
        <w:rPr>
          <w:rtl/>
        </w:rPr>
        <w:t>פליה</w:t>
      </w:r>
      <w:r w:rsidR="00261E5A">
        <w:rPr>
          <w:rFonts w:hint="cs"/>
          <w:rtl/>
        </w:rPr>
        <w:t xml:space="preserve">. </w:t>
      </w:r>
      <w:r>
        <w:rPr>
          <w:rFonts w:hint="cs"/>
          <w:rtl/>
        </w:rPr>
        <w:t xml:space="preserve">עוד מקום המדינה </w:t>
      </w:r>
      <w:r w:rsidR="00062F01">
        <w:rPr>
          <w:rFonts w:hint="cs"/>
          <w:rtl/>
        </w:rPr>
        <w:t xml:space="preserve">פעלו </w:t>
      </w:r>
      <w:r w:rsidR="0075521C" w:rsidRPr="00983329">
        <w:rPr>
          <w:rtl/>
        </w:rPr>
        <w:t xml:space="preserve">גופים </w:t>
      </w:r>
      <w:r w:rsidR="006C338C" w:rsidRPr="00983329">
        <w:rPr>
          <w:rtl/>
        </w:rPr>
        <w:t>מסוימים</w:t>
      </w:r>
      <w:r w:rsidR="0075521C" w:rsidRPr="00983329">
        <w:rPr>
          <w:rtl/>
        </w:rPr>
        <w:t xml:space="preserve"> על מנת לחזק את ההתיישבות</w:t>
      </w:r>
      <w:r w:rsidR="006C338C" w:rsidRPr="00983329">
        <w:rPr>
          <w:rtl/>
        </w:rPr>
        <w:t xml:space="preserve"> היהודית בארץ ישראל</w:t>
      </w:r>
      <w:r>
        <w:rPr>
          <w:rFonts w:hint="cs"/>
          <w:rtl/>
        </w:rPr>
        <w:t xml:space="preserve">, למשל </w:t>
      </w:r>
      <w:r w:rsidR="006C338C" w:rsidRPr="00983329">
        <w:rPr>
          <w:rtl/>
        </w:rPr>
        <w:t>הקרן הקיימת לישראל (להלן: קק"ל)</w:t>
      </w:r>
      <w:r w:rsidR="00261E5A">
        <w:rPr>
          <w:rFonts w:hint="cs"/>
          <w:rtl/>
        </w:rPr>
        <w:t xml:space="preserve">, </w:t>
      </w:r>
      <w:r w:rsidR="004947D5" w:rsidRPr="00983329">
        <w:rPr>
          <w:rtl/>
        </w:rPr>
        <w:t xml:space="preserve">שהוחלט </w:t>
      </w:r>
      <w:r w:rsidR="00BE1055" w:rsidRPr="00983329">
        <w:rPr>
          <w:rtl/>
        </w:rPr>
        <w:t xml:space="preserve">כי </w:t>
      </w:r>
      <w:r w:rsidR="0075521C" w:rsidRPr="00983329">
        <w:rPr>
          <w:rtl/>
        </w:rPr>
        <w:t>על פי חוק קק"ל (1953)</w:t>
      </w:r>
      <w:r w:rsidR="006C338C" w:rsidRPr="00983329">
        <w:rPr>
          <w:rStyle w:val="a9"/>
          <w:rtl/>
        </w:rPr>
        <w:footnoteReference w:id="7"/>
      </w:r>
      <w:r w:rsidR="0075521C" w:rsidRPr="00983329">
        <w:rPr>
          <w:rtl/>
        </w:rPr>
        <w:t xml:space="preserve"> </w:t>
      </w:r>
      <w:r w:rsidR="00062F01">
        <w:rPr>
          <w:rFonts w:hint="cs"/>
          <w:rtl/>
        </w:rPr>
        <w:t xml:space="preserve">שהיא  </w:t>
      </w:r>
      <w:r w:rsidR="004947D5" w:rsidRPr="00983329">
        <w:rPr>
          <w:rtl/>
        </w:rPr>
        <w:t>ת</w:t>
      </w:r>
      <w:r w:rsidR="0075521C" w:rsidRPr="00983329">
        <w:rPr>
          <w:rtl/>
        </w:rPr>
        <w:t xml:space="preserve">רכוש אדמות בארץ ישראל </w:t>
      </w:r>
      <w:r w:rsidR="004947D5" w:rsidRPr="00983329">
        <w:rPr>
          <w:rtl/>
        </w:rPr>
        <w:t xml:space="preserve">על מנת </w:t>
      </w:r>
      <w:r w:rsidR="0075521C" w:rsidRPr="00983329">
        <w:rPr>
          <w:rtl/>
        </w:rPr>
        <w:t>לקדם התיישבות יהודית</w:t>
      </w:r>
      <w:r w:rsidR="00261E5A">
        <w:rPr>
          <w:rFonts w:hint="cs"/>
          <w:rtl/>
        </w:rPr>
        <w:t>.</w:t>
      </w:r>
      <w:r w:rsidR="0075521C" w:rsidRPr="00983329">
        <w:rPr>
          <w:rtl/>
        </w:rPr>
        <w:t xml:space="preserve"> </w:t>
      </w:r>
      <w:r w:rsidR="00062F01">
        <w:rPr>
          <w:rFonts w:hint="cs"/>
          <w:rtl/>
        </w:rPr>
        <w:t xml:space="preserve">בהמשך </w:t>
      </w:r>
      <w:r w:rsidR="0075521C" w:rsidRPr="00983329">
        <w:rPr>
          <w:rtl/>
        </w:rPr>
        <w:t>הוסכם באמצעות אמנה</w:t>
      </w:r>
      <w:r w:rsidR="006C338C" w:rsidRPr="00983329">
        <w:rPr>
          <w:rStyle w:val="a9"/>
          <w:rtl/>
        </w:rPr>
        <w:footnoteReference w:id="8"/>
      </w:r>
      <w:r w:rsidR="0075521C" w:rsidRPr="00983329">
        <w:rPr>
          <w:rtl/>
        </w:rPr>
        <w:t xml:space="preserve"> </w:t>
      </w:r>
      <w:r w:rsidR="00F44FE6" w:rsidRPr="00983329">
        <w:rPr>
          <w:rtl/>
        </w:rPr>
        <w:t xml:space="preserve">בין קק"ל למדינה </w:t>
      </w:r>
      <w:r w:rsidR="0075521C" w:rsidRPr="00983329">
        <w:rPr>
          <w:rtl/>
        </w:rPr>
        <w:t xml:space="preserve">כי מינהל מקרקעי ישראל ידאג לפן הניהול והשיווק של הקרקעות, </w:t>
      </w:r>
      <w:r>
        <w:rPr>
          <w:rFonts w:hint="cs"/>
          <w:rtl/>
        </w:rPr>
        <w:t xml:space="preserve">זאת </w:t>
      </w:r>
      <w:r w:rsidR="0075521C" w:rsidRPr="00983329">
        <w:rPr>
          <w:rtl/>
        </w:rPr>
        <w:t xml:space="preserve">בעוד </w:t>
      </w:r>
      <w:r>
        <w:rPr>
          <w:rFonts w:hint="cs"/>
          <w:rtl/>
        </w:rPr>
        <w:t>ש</w:t>
      </w:r>
      <w:r w:rsidR="0075521C" w:rsidRPr="00983329">
        <w:rPr>
          <w:rtl/>
        </w:rPr>
        <w:t>קק"ל תמשיך להיות הבעלים הרשמיים כנציגי העם היהודי.</w:t>
      </w:r>
      <w:r w:rsidR="006C338C" w:rsidRPr="00983329">
        <w:rPr>
          <w:rtl/>
        </w:rPr>
        <w:t xml:space="preserve"> </w:t>
      </w:r>
      <w:r w:rsidR="00062F01">
        <w:rPr>
          <w:rFonts w:hint="cs"/>
          <w:rtl/>
        </w:rPr>
        <w:t>גם כיום</w:t>
      </w:r>
      <w:r w:rsidR="0075521C" w:rsidRPr="00983329">
        <w:rPr>
          <w:rtl/>
        </w:rPr>
        <w:t xml:space="preserve"> קק"ל מתפקדת, לצד הסוכנות היהודית וארגונים נוספים, כאחראית על התיישבות היהודית במדינת ישראל. בין הנימוקים למסירת שטחים גדולים לידי הקרן הקיימת מידי הממשלה</w:t>
      </w:r>
      <w:r w:rsidR="00261E5A">
        <w:rPr>
          <w:rFonts w:hint="cs"/>
          <w:rtl/>
        </w:rPr>
        <w:t xml:space="preserve">, </w:t>
      </w:r>
      <w:r w:rsidR="0075521C" w:rsidRPr="00983329">
        <w:rPr>
          <w:rtl/>
        </w:rPr>
        <w:t>הי</w:t>
      </w:r>
      <w:r w:rsidR="00261E5A">
        <w:rPr>
          <w:rFonts w:hint="cs"/>
          <w:rtl/>
        </w:rPr>
        <w:t>ה</w:t>
      </w:r>
      <w:r w:rsidR="0075521C" w:rsidRPr="00983329">
        <w:rPr>
          <w:rtl/>
        </w:rPr>
        <w:t xml:space="preserve"> מחויבותה של קק"ל (להבדיל מממשלת ישראל) לפיתוח הקרקע לטובת יהודים בלב</w:t>
      </w:r>
      <w:r w:rsidR="00261E5A">
        <w:rPr>
          <w:rFonts w:hint="cs"/>
          <w:rtl/>
        </w:rPr>
        <w:t>ד.</w:t>
      </w:r>
      <w:r w:rsidR="00BD4023">
        <w:rPr>
          <w:rFonts w:hint="cs"/>
          <w:rtl/>
        </w:rPr>
        <w:t xml:space="preserve"> </w:t>
      </w:r>
      <w:r w:rsidR="00261E5A">
        <w:rPr>
          <w:rFonts w:hint="cs"/>
          <w:rtl/>
        </w:rPr>
        <w:t xml:space="preserve">על </w:t>
      </w:r>
      <w:r w:rsidR="006D2229">
        <w:rPr>
          <w:rFonts w:hint="cs"/>
          <w:rtl/>
        </w:rPr>
        <w:t>העובדה</w:t>
      </w:r>
      <w:r w:rsidR="00BE1055" w:rsidRPr="00983329">
        <w:rPr>
          <w:rtl/>
        </w:rPr>
        <w:t xml:space="preserve"> </w:t>
      </w:r>
      <w:r w:rsidR="00261E5A">
        <w:rPr>
          <w:rFonts w:hint="cs"/>
          <w:rtl/>
        </w:rPr>
        <w:t>ש</w:t>
      </w:r>
      <w:r w:rsidR="00BE1055" w:rsidRPr="00983329">
        <w:rPr>
          <w:rtl/>
        </w:rPr>
        <w:t xml:space="preserve">הגוף </w:t>
      </w:r>
      <w:r w:rsidR="006D2229">
        <w:rPr>
          <w:rFonts w:hint="cs"/>
          <w:rtl/>
        </w:rPr>
        <w:t>שאחראי</w:t>
      </w:r>
      <w:r w:rsidR="00BE1055" w:rsidRPr="00983329">
        <w:rPr>
          <w:rtl/>
        </w:rPr>
        <w:t xml:space="preserve"> על ביצועה הוא מינהל מקרקעי ישראל</w:t>
      </w:r>
      <w:r w:rsidR="00261E5A">
        <w:rPr>
          <w:rFonts w:hint="cs"/>
          <w:rtl/>
        </w:rPr>
        <w:t>,</w:t>
      </w:r>
      <w:r w:rsidR="00BE1055" w:rsidRPr="00983329">
        <w:rPr>
          <w:rtl/>
        </w:rPr>
        <w:t xml:space="preserve"> </w:t>
      </w:r>
      <w:r w:rsidR="006D2229">
        <w:rPr>
          <w:rFonts w:hint="cs"/>
          <w:rtl/>
        </w:rPr>
        <w:t xml:space="preserve">דהיינו </w:t>
      </w:r>
      <w:r w:rsidR="00BE1055" w:rsidRPr="00983329">
        <w:rPr>
          <w:rtl/>
        </w:rPr>
        <w:t>המדינה</w:t>
      </w:r>
      <w:r w:rsidR="006D2229">
        <w:rPr>
          <w:rFonts w:hint="cs"/>
          <w:rtl/>
        </w:rPr>
        <w:t xml:space="preserve"> </w:t>
      </w:r>
      <w:r w:rsidR="00BE1055" w:rsidRPr="00983329">
        <w:rPr>
          <w:rtl/>
        </w:rPr>
        <w:t>בעצמה</w:t>
      </w:r>
      <w:r>
        <w:rPr>
          <w:rFonts w:hint="cs"/>
          <w:rtl/>
        </w:rPr>
        <w:t>,</w:t>
      </w:r>
      <w:r w:rsidR="00BD4023">
        <w:rPr>
          <w:rFonts w:hint="cs"/>
          <w:rtl/>
        </w:rPr>
        <w:t xml:space="preserve"> </w:t>
      </w:r>
      <w:r>
        <w:rPr>
          <w:rFonts w:hint="cs"/>
          <w:rtl/>
        </w:rPr>
        <w:t xml:space="preserve">נשמעו טענות רבות באשר למדיניות </w:t>
      </w:r>
      <w:r w:rsidR="00062F01">
        <w:rPr>
          <w:rFonts w:hint="cs"/>
          <w:rtl/>
        </w:rPr>
        <w:t xml:space="preserve">זו </w:t>
      </w:r>
      <w:r w:rsidR="00470BA4">
        <w:rPr>
          <w:rFonts w:hint="cs"/>
          <w:rtl/>
        </w:rPr>
        <w:t xml:space="preserve">משני </w:t>
      </w:r>
      <w:r w:rsidR="007E68AD">
        <w:rPr>
          <w:rFonts w:hint="cs"/>
          <w:rtl/>
        </w:rPr>
        <w:t>צדי</w:t>
      </w:r>
      <w:r w:rsidR="00470BA4">
        <w:rPr>
          <w:rFonts w:hint="cs"/>
          <w:rtl/>
        </w:rPr>
        <w:t xml:space="preserve"> המתרס</w:t>
      </w:r>
      <w:r w:rsidR="00BD4023">
        <w:rPr>
          <w:rFonts w:hint="cs"/>
          <w:rtl/>
        </w:rPr>
        <w:t xml:space="preserve">. </w:t>
      </w:r>
      <w:r w:rsidR="00C40327">
        <w:rPr>
          <w:rFonts w:hint="cs"/>
          <w:rtl/>
        </w:rPr>
        <w:t>מחד</w:t>
      </w:r>
      <w:r w:rsidR="00BD4023">
        <w:rPr>
          <w:rFonts w:hint="cs"/>
          <w:rtl/>
        </w:rPr>
        <w:t>,</w:t>
      </w:r>
      <w:r w:rsidR="00B62093">
        <w:rPr>
          <w:rFonts w:hint="cs"/>
          <w:rtl/>
        </w:rPr>
        <w:t xml:space="preserve"> </w:t>
      </w:r>
      <w:r w:rsidR="00C40327">
        <w:rPr>
          <w:rFonts w:hint="cs"/>
          <w:rtl/>
        </w:rPr>
        <w:t xml:space="preserve">אלו הטוענים כי </w:t>
      </w:r>
      <w:r w:rsidR="00BE1055" w:rsidRPr="00983329">
        <w:rPr>
          <w:rtl/>
        </w:rPr>
        <w:t>מדיניות זו הינה בלתי חוקית וחורגת באורח קיצוני מכללי מינהל תקין וממחויבותו של מינהל המקרקעין לעקרון השוויון</w:t>
      </w:r>
      <w:r w:rsidR="006D2229">
        <w:rPr>
          <w:rFonts w:hint="cs"/>
          <w:rtl/>
        </w:rPr>
        <w:t xml:space="preserve">, </w:t>
      </w:r>
      <w:r w:rsidR="00036874">
        <w:rPr>
          <w:rFonts w:hint="cs"/>
          <w:rtl/>
        </w:rPr>
        <w:t xml:space="preserve">וכי </w:t>
      </w:r>
      <w:r w:rsidR="007E68AD">
        <w:rPr>
          <w:rFonts w:hint="cs"/>
          <w:rtl/>
        </w:rPr>
        <w:t xml:space="preserve">בפרט </w:t>
      </w:r>
      <w:r w:rsidR="006D2229">
        <w:rPr>
          <w:rFonts w:hint="cs"/>
          <w:rtl/>
        </w:rPr>
        <w:t xml:space="preserve">מוסיפה להפליה </w:t>
      </w:r>
      <w:r w:rsidR="00BE1055" w:rsidRPr="00983329">
        <w:rPr>
          <w:rtl/>
        </w:rPr>
        <w:t xml:space="preserve">שממנה סובל הציבור הערבי בתחום </w:t>
      </w:r>
      <w:r w:rsidR="006D2229">
        <w:rPr>
          <w:rFonts w:hint="cs"/>
          <w:rtl/>
        </w:rPr>
        <w:t>הדיור</w:t>
      </w:r>
      <w:r w:rsidR="00D12347">
        <w:rPr>
          <w:rFonts w:hint="cs"/>
          <w:rtl/>
        </w:rPr>
        <w:t>.</w:t>
      </w:r>
      <w:r w:rsidR="00510504">
        <w:rPr>
          <w:rFonts w:hint="cs"/>
          <w:rtl/>
        </w:rPr>
        <w:t xml:space="preserve"> </w:t>
      </w:r>
      <w:r w:rsidR="00F97983" w:rsidRPr="00983329">
        <w:rPr>
          <w:rtl/>
        </w:rPr>
        <w:t xml:space="preserve">מאידך, יש הסבורים כי </w:t>
      </w:r>
      <w:r w:rsidR="006D2229">
        <w:rPr>
          <w:rFonts w:hint="cs"/>
          <w:rtl/>
        </w:rPr>
        <w:t xml:space="preserve">יש לחזק את ההתיישבות היהודית בארץ גם </w:t>
      </w:r>
      <w:r w:rsidR="00D12347">
        <w:rPr>
          <w:rFonts w:hint="cs"/>
          <w:rtl/>
        </w:rPr>
        <w:t xml:space="preserve">אם </w:t>
      </w:r>
      <w:r w:rsidR="006D2229">
        <w:rPr>
          <w:rFonts w:hint="cs"/>
          <w:rtl/>
        </w:rPr>
        <w:t>היא מפלה</w:t>
      </w:r>
      <w:r w:rsidR="00062F01">
        <w:rPr>
          <w:rFonts w:hint="cs"/>
          <w:rtl/>
        </w:rPr>
        <w:t xml:space="preserve">. </w:t>
      </w:r>
      <w:r w:rsidR="00261E5A">
        <w:rPr>
          <w:rFonts w:hint="cs"/>
          <w:rtl/>
        </w:rPr>
        <w:t>זאת היא גם עמדתו של</w:t>
      </w:r>
      <w:r w:rsidR="00C21BF4">
        <w:rPr>
          <w:rFonts w:hint="cs"/>
          <w:rtl/>
        </w:rPr>
        <w:t xml:space="preserve"> </w:t>
      </w:r>
      <w:r w:rsidR="00F97983" w:rsidRPr="00983329">
        <w:rPr>
          <w:rtl/>
        </w:rPr>
        <w:t>עו"</w:t>
      </w:r>
      <w:r w:rsidR="006D2229">
        <w:rPr>
          <w:rFonts w:hint="cs"/>
          <w:rtl/>
        </w:rPr>
        <w:t>ד עמיר דרורי</w:t>
      </w:r>
      <w:r w:rsidR="006D2229">
        <w:rPr>
          <w:rStyle w:val="a9"/>
          <w:rtl/>
        </w:rPr>
        <w:footnoteReference w:id="9"/>
      </w:r>
      <w:r w:rsidR="00261E5A">
        <w:rPr>
          <w:rFonts w:hint="cs"/>
          <w:rtl/>
        </w:rPr>
        <w:t xml:space="preserve">, </w:t>
      </w:r>
      <w:r w:rsidR="00C21BF4">
        <w:rPr>
          <w:rFonts w:hint="cs"/>
          <w:rtl/>
        </w:rPr>
        <w:t xml:space="preserve">שטען כי </w:t>
      </w:r>
      <w:r w:rsidR="007E68AD">
        <w:rPr>
          <w:rFonts w:hint="cs"/>
          <w:rtl/>
        </w:rPr>
        <w:t>רצוי</w:t>
      </w:r>
      <w:r w:rsidR="00F97983" w:rsidRPr="00983329">
        <w:rPr>
          <w:rtl/>
        </w:rPr>
        <w:t xml:space="preserve"> לבטל את ההסכמה בין הקרן לבין רשות מקרקעי ישראל בדבר החזקת הקרקעות בבעלות משותפת</w:t>
      </w:r>
      <w:r w:rsidR="00261E5A">
        <w:rPr>
          <w:rFonts w:hint="cs"/>
          <w:rtl/>
        </w:rPr>
        <w:t xml:space="preserve">. לדידו של דרורי, </w:t>
      </w:r>
      <w:r w:rsidR="00F97983" w:rsidRPr="00983329">
        <w:rPr>
          <w:rtl/>
        </w:rPr>
        <w:t xml:space="preserve">את הקרקעות הללו </w:t>
      </w:r>
      <w:r w:rsidR="00F97983" w:rsidRPr="00983329">
        <w:rPr>
          <w:rtl/>
        </w:rPr>
        <w:lastRenderedPageBreak/>
        <w:t xml:space="preserve">יש להחזיר לידי </w:t>
      </w:r>
      <w:r w:rsidR="006D2229">
        <w:rPr>
          <w:rFonts w:hint="cs"/>
          <w:rtl/>
        </w:rPr>
        <w:t xml:space="preserve">קק"ל על מנת </w:t>
      </w:r>
      <w:r w:rsidR="00F97983" w:rsidRPr="00983329">
        <w:rPr>
          <w:rtl/>
        </w:rPr>
        <w:t>שימשיכו להיות במעמד פרטי ולא ציבורי</w:t>
      </w:r>
      <w:r w:rsidR="00261E5A">
        <w:rPr>
          <w:rFonts w:hint="cs"/>
          <w:rtl/>
        </w:rPr>
        <w:t>. המטרה היא לייצר מצב</w:t>
      </w:r>
      <w:r w:rsidR="00062F01">
        <w:rPr>
          <w:rFonts w:hint="cs"/>
          <w:rtl/>
        </w:rPr>
        <w:t xml:space="preserve"> </w:t>
      </w:r>
      <w:r w:rsidR="006D2229">
        <w:rPr>
          <w:rFonts w:hint="cs"/>
          <w:rtl/>
        </w:rPr>
        <w:t>ש</w:t>
      </w:r>
      <w:r w:rsidR="00F97983" w:rsidRPr="00983329">
        <w:rPr>
          <w:rtl/>
        </w:rPr>
        <w:t xml:space="preserve">הגוף שמחזיק אותן לא יהיה כפוף לעקרון השוויון ויוכל לממש את </w:t>
      </w:r>
      <w:r w:rsidR="00062F01">
        <w:rPr>
          <w:rFonts w:hint="cs"/>
          <w:rtl/>
        </w:rPr>
        <w:t>ה</w:t>
      </w:r>
      <w:r w:rsidR="00F97983" w:rsidRPr="00983329">
        <w:rPr>
          <w:rtl/>
        </w:rPr>
        <w:t xml:space="preserve">חזון </w:t>
      </w:r>
      <w:r w:rsidR="006D2229">
        <w:rPr>
          <w:rFonts w:hint="cs"/>
          <w:rtl/>
        </w:rPr>
        <w:t>הציוני</w:t>
      </w:r>
      <w:r w:rsidR="00B62093">
        <w:rPr>
          <w:rFonts w:hint="cs"/>
          <w:rtl/>
        </w:rPr>
        <w:t>. ל</w:t>
      </w:r>
      <w:r w:rsidR="00261E5A">
        <w:rPr>
          <w:rFonts w:hint="cs"/>
          <w:rtl/>
        </w:rPr>
        <w:t>טעמי</w:t>
      </w:r>
      <w:r w:rsidR="0019002D">
        <w:rPr>
          <w:rFonts w:hint="cs"/>
          <w:rtl/>
        </w:rPr>
        <w:t>,</w:t>
      </w:r>
      <w:r w:rsidR="00B62093">
        <w:rPr>
          <w:rFonts w:hint="cs"/>
          <w:rtl/>
        </w:rPr>
        <w:t xml:space="preserve"> </w:t>
      </w:r>
      <w:r w:rsidR="00062F01">
        <w:rPr>
          <w:rFonts w:hint="cs"/>
          <w:rtl/>
        </w:rPr>
        <w:t>הדעות השונות וחוסר ההסכמה על ניהול המדיניות</w:t>
      </w:r>
      <w:r w:rsidR="00C21BF4">
        <w:rPr>
          <w:rFonts w:hint="cs"/>
          <w:rtl/>
        </w:rPr>
        <w:t xml:space="preserve"> </w:t>
      </w:r>
      <w:r w:rsidR="00062F01">
        <w:rPr>
          <w:rFonts w:hint="cs"/>
          <w:rtl/>
        </w:rPr>
        <w:t>בסוגייה זו</w:t>
      </w:r>
      <w:r w:rsidR="00261E5A">
        <w:rPr>
          <w:rFonts w:hint="cs"/>
          <w:rtl/>
        </w:rPr>
        <w:t xml:space="preserve"> </w:t>
      </w:r>
      <w:r w:rsidR="0019002D">
        <w:rPr>
          <w:rFonts w:hint="cs"/>
          <w:rtl/>
        </w:rPr>
        <w:t xml:space="preserve">במישור </w:t>
      </w:r>
      <w:r w:rsidR="00B62093">
        <w:rPr>
          <w:rFonts w:hint="cs"/>
          <w:rtl/>
        </w:rPr>
        <w:t>האנכי-ציבורי</w:t>
      </w:r>
      <w:r w:rsidR="00261E5A">
        <w:rPr>
          <w:rFonts w:hint="cs"/>
          <w:rtl/>
        </w:rPr>
        <w:t xml:space="preserve">, </w:t>
      </w:r>
      <w:r w:rsidR="00062F01">
        <w:rPr>
          <w:rFonts w:hint="cs"/>
          <w:rtl/>
        </w:rPr>
        <w:t>אינה מאפשרת</w:t>
      </w:r>
      <w:r w:rsidR="00C21BF4">
        <w:rPr>
          <w:rFonts w:hint="cs"/>
          <w:rtl/>
        </w:rPr>
        <w:t xml:space="preserve"> </w:t>
      </w:r>
      <w:r w:rsidR="00B62093">
        <w:rPr>
          <w:rFonts w:hint="cs"/>
          <w:rtl/>
        </w:rPr>
        <w:t>לקיים הסדר</w:t>
      </w:r>
      <w:r w:rsidR="00062F01">
        <w:rPr>
          <w:rFonts w:hint="cs"/>
          <w:rtl/>
        </w:rPr>
        <w:t xml:space="preserve"> חקיקתי </w:t>
      </w:r>
      <w:r w:rsidR="00B62093">
        <w:rPr>
          <w:rFonts w:hint="cs"/>
          <w:rtl/>
        </w:rPr>
        <w:t>במישור האופקי-פרטי</w:t>
      </w:r>
      <w:r w:rsidR="00261E5A">
        <w:rPr>
          <w:rFonts w:hint="cs"/>
          <w:rtl/>
        </w:rPr>
        <w:t xml:space="preserve">. זאת בשל הייחודיות של </w:t>
      </w:r>
      <w:r w:rsidR="00C21BF4">
        <w:rPr>
          <w:rFonts w:hint="cs"/>
          <w:rtl/>
        </w:rPr>
        <w:t xml:space="preserve">ישראל </w:t>
      </w:r>
      <w:r w:rsidR="0019002D">
        <w:rPr>
          <w:rFonts w:hint="cs"/>
          <w:rtl/>
        </w:rPr>
        <w:t>באופייה</w:t>
      </w:r>
      <w:r w:rsidR="00C21BF4">
        <w:rPr>
          <w:rFonts w:hint="cs"/>
          <w:rtl/>
        </w:rPr>
        <w:t xml:space="preserve"> כמדינתו של העם היהודי</w:t>
      </w:r>
      <w:r w:rsidR="0019002D">
        <w:rPr>
          <w:rFonts w:hint="cs"/>
          <w:rtl/>
        </w:rPr>
        <w:t>.</w:t>
      </w:r>
      <w:r w:rsidR="00C21BF4">
        <w:rPr>
          <w:rFonts w:hint="cs"/>
          <w:rtl/>
        </w:rPr>
        <w:t xml:space="preserve"> </w:t>
      </w:r>
    </w:p>
    <w:p w14:paraId="44837765" w14:textId="58B7B29A" w:rsidR="00470BA4" w:rsidRPr="007E68AD" w:rsidRDefault="0050476F" w:rsidP="00E82E9B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בפסקה הבאה </w:t>
      </w:r>
      <w:r w:rsidR="00BD4023">
        <w:rPr>
          <w:rFonts w:hint="cs"/>
          <w:rtl/>
        </w:rPr>
        <w:t>אתייחס</w:t>
      </w:r>
      <w:r>
        <w:rPr>
          <w:rFonts w:hint="cs"/>
          <w:rtl/>
        </w:rPr>
        <w:t xml:space="preserve"> </w:t>
      </w:r>
      <w:r w:rsidR="00BD4023">
        <w:rPr>
          <w:rFonts w:hint="cs"/>
          <w:rtl/>
        </w:rPr>
        <w:t xml:space="preserve">לחסם </w:t>
      </w:r>
      <w:r>
        <w:rPr>
          <w:rFonts w:hint="cs"/>
          <w:rtl/>
        </w:rPr>
        <w:t>נו</w:t>
      </w:r>
      <w:r w:rsidR="00BD4023">
        <w:rPr>
          <w:rFonts w:hint="cs"/>
          <w:rtl/>
        </w:rPr>
        <w:t>סף</w:t>
      </w:r>
      <w:r w:rsidR="00C25A1C">
        <w:rPr>
          <w:rFonts w:hint="cs"/>
          <w:rtl/>
        </w:rPr>
        <w:t xml:space="preserve"> שקיים בנושא הקצאת משאביי הרשויות בתחום הדיור. חסם זה בא לידי ביטוי ב</w:t>
      </w:r>
      <w:r>
        <w:rPr>
          <w:rFonts w:hint="cs"/>
          <w:rtl/>
        </w:rPr>
        <w:t>שסע החברת</w:t>
      </w:r>
      <w:r w:rsidR="00C25A1C">
        <w:rPr>
          <w:rFonts w:hint="cs"/>
          <w:rtl/>
        </w:rPr>
        <w:t>י</w:t>
      </w:r>
      <w:r>
        <w:rPr>
          <w:rFonts w:hint="cs"/>
          <w:rtl/>
        </w:rPr>
        <w:t xml:space="preserve"> בתוך החברה היהודית</w:t>
      </w:r>
      <w:r w:rsidR="00C25A1C">
        <w:rPr>
          <w:rFonts w:hint="cs"/>
          <w:rtl/>
        </w:rPr>
        <w:t>, כלומר</w:t>
      </w:r>
      <w:r>
        <w:rPr>
          <w:rFonts w:hint="cs"/>
          <w:rtl/>
        </w:rPr>
        <w:t xml:space="preserve"> בין הזר</w:t>
      </w:r>
      <w:r w:rsidR="00C25A1C">
        <w:rPr>
          <w:rFonts w:hint="cs"/>
          <w:rtl/>
        </w:rPr>
        <w:t>ם</w:t>
      </w:r>
      <w:r>
        <w:rPr>
          <w:rFonts w:hint="cs"/>
          <w:rtl/>
        </w:rPr>
        <w:t xml:space="preserve"> היהודי-חרדי לבין ה</w:t>
      </w:r>
      <w:r w:rsidR="00C25A1C">
        <w:rPr>
          <w:rFonts w:hint="cs"/>
          <w:rtl/>
        </w:rPr>
        <w:t>זרם ה</w:t>
      </w:r>
      <w:r>
        <w:rPr>
          <w:rFonts w:hint="cs"/>
          <w:rtl/>
        </w:rPr>
        <w:t>יהודי-חילוני</w:t>
      </w:r>
      <w:r w:rsidR="00C25A1C">
        <w:rPr>
          <w:rFonts w:hint="cs"/>
          <w:rtl/>
        </w:rPr>
        <w:t>.</w:t>
      </w:r>
    </w:p>
    <w:p w14:paraId="6761350C" w14:textId="3E86E554" w:rsidR="00F44FE6" w:rsidRPr="00994F44" w:rsidRDefault="00546E43" w:rsidP="00E82E9B">
      <w:pPr>
        <w:pStyle w:val="aa"/>
        <w:numPr>
          <w:ilvl w:val="0"/>
          <w:numId w:val="6"/>
        </w:numPr>
        <w:spacing w:line="360" w:lineRule="auto"/>
        <w:ind w:left="360"/>
        <w:jc w:val="both"/>
        <w:rPr>
          <w:b/>
          <w:bCs/>
          <w:u w:val="single"/>
          <w:rtl/>
        </w:rPr>
      </w:pPr>
      <w:r w:rsidRPr="00994F44">
        <w:rPr>
          <w:b/>
          <w:bCs/>
          <w:u w:val="single"/>
          <w:rtl/>
        </w:rPr>
        <w:t xml:space="preserve">הקצאת משאבים ציבוריים </w:t>
      </w:r>
      <w:r w:rsidR="00772548" w:rsidRPr="00994F44">
        <w:rPr>
          <w:b/>
          <w:bCs/>
          <w:u w:val="single"/>
          <w:rtl/>
        </w:rPr>
        <w:t>במקרקעין</w:t>
      </w:r>
    </w:p>
    <w:p w14:paraId="194DE9DF" w14:textId="56379252" w:rsidR="0086284A" w:rsidRDefault="00F44FE6" w:rsidP="00E82E9B">
      <w:pPr>
        <w:spacing w:line="360" w:lineRule="auto"/>
        <w:jc w:val="both"/>
        <w:rPr>
          <w:rtl/>
        </w:rPr>
      </w:pPr>
      <w:r w:rsidRPr="00510504">
        <w:rPr>
          <w:rtl/>
        </w:rPr>
        <w:t xml:space="preserve">סוגיה נוספת </w:t>
      </w:r>
      <w:r w:rsidR="00036874">
        <w:rPr>
          <w:rFonts w:hint="cs"/>
          <w:rtl/>
        </w:rPr>
        <w:t xml:space="preserve">המתקשרת </w:t>
      </w:r>
      <w:r w:rsidR="00C25A1C">
        <w:rPr>
          <w:rFonts w:hint="cs"/>
          <w:rtl/>
        </w:rPr>
        <w:t>ל</w:t>
      </w:r>
      <w:r w:rsidR="001B293A" w:rsidRPr="00510504">
        <w:rPr>
          <w:rtl/>
        </w:rPr>
        <w:t xml:space="preserve">נושא </w:t>
      </w:r>
      <w:r w:rsidRPr="00510504">
        <w:rPr>
          <w:rtl/>
        </w:rPr>
        <w:t xml:space="preserve">היא הפליה </w:t>
      </w:r>
      <w:r w:rsidRPr="00510504">
        <w:rPr>
          <w:color w:val="000000"/>
          <w:shd w:val="clear" w:color="auto" w:fill="FFFFFF"/>
          <w:rtl/>
        </w:rPr>
        <w:t xml:space="preserve">בהקצאת משאבים ציבוריים </w:t>
      </w:r>
      <w:r w:rsidRPr="00510504">
        <w:rPr>
          <w:rtl/>
        </w:rPr>
        <w:t>ל</w:t>
      </w:r>
      <w:r w:rsidR="0086284A" w:rsidRPr="00510504">
        <w:rPr>
          <w:rtl/>
        </w:rPr>
        <w:t>פיתוחי בנייה באזורי</w:t>
      </w:r>
      <w:r w:rsidRPr="00510504">
        <w:rPr>
          <w:rtl/>
        </w:rPr>
        <w:t xml:space="preserve"> </w:t>
      </w:r>
      <w:r w:rsidR="0086284A" w:rsidRPr="00510504">
        <w:rPr>
          <w:rtl/>
        </w:rPr>
        <w:t>מגורי</w:t>
      </w:r>
      <w:r w:rsidRPr="00510504">
        <w:rPr>
          <w:rtl/>
        </w:rPr>
        <w:t>ם</w:t>
      </w:r>
      <w:r w:rsidR="00C25A1C">
        <w:rPr>
          <w:rFonts w:hint="cs"/>
          <w:rtl/>
        </w:rPr>
        <w:t>,</w:t>
      </w:r>
      <w:r w:rsidRPr="00510504">
        <w:rPr>
          <w:rtl/>
        </w:rPr>
        <w:t xml:space="preserve"> </w:t>
      </w:r>
      <w:r w:rsidR="001B293A" w:rsidRPr="00510504">
        <w:rPr>
          <w:rtl/>
        </w:rPr>
        <w:t>בין קבוצות תרבויות שונות</w:t>
      </w:r>
      <w:r w:rsidR="0050476F">
        <w:rPr>
          <w:rFonts w:hint="cs"/>
          <w:rtl/>
        </w:rPr>
        <w:t xml:space="preserve"> בתוך החברה היהודית</w:t>
      </w:r>
      <w:r w:rsidR="0019002D">
        <w:rPr>
          <w:rFonts w:hint="cs"/>
          <w:rtl/>
        </w:rPr>
        <w:t xml:space="preserve">. </w:t>
      </w:r>
      <w:r w:rsidR="00C25A1C">
        <w:rPr>
          <w:rFonts w:hint="cs"/>
          <w:rtl/>
        </w:rPr>
        <w:t xml:space="preserve">השאלה העולה היא- </w:t>
      </w:r>
      <w:r w:rsidR="00BD4023" w:rsidRPr="00510504">
        <w:rPr>
          <w:rtl/>
        </w:rPr>
        <w:t xml:space="preserve">האם </w:t>
      </w:r>
      <w:r w:rsidR="00C25A1C">
        <w:rPr>
          <w:rFonts w:hint="cs"/>
          <w:rtl/>
        </w:rPr>
        <w:t>ל</w:t>
      </w:r>
      <w:r w:rsidR="00BD4023" w:rsidRPr="00510504">
        <w:rPr>
          <w:rtl/>
        </w:rPr>
        <w:t>רשויות המדינה מותר לעשות שימוש בסמכויותיה</w:t>
      </w:r>
      <w:r w:rsidR="00C25A1C">
        <w:rPr>
          <w:rFonts w:hint="cs"/>
          <w:rtl/>
        </w:rPr>
        <w:t>ן</w:t>
      </w:r>
      <w:r w:rsidR="00BD4023" w:rsidRPr="00510504">
        <w:rPr>
          <w:rtl/>
        </w:rPr>
        <w:t xml:space="preserve"> השלטוניות </w:t>
      </w:r>
      <w:r w:rsidR="00C25A1C" w:rsidRPr="00510504">
        <w:rPr>
          <w:rFonts w:hint="cs"/>
          <w:rtl/>
        </w:rPr>
        <w:t>ובמשאבי</w:t>
      </w:r>
      <w:r w:rsidR="00C25A1C">
        <w:rPr>
          <w:rFonts w:hint="cs"/>
          <w:rtl/>
        </w:rPr>
        <w:t xml:space="preserve">הן </w:t>
      </w:r>
      <w:r w:rsidR="00BD4023" w:rsidRPr="00510504">
        <w:rPr>
          <w:rtl/>
        </w:rPr>
        <w:t>הציבוריים, לשם קידום ענייניה של קבוצה אחת באוכלוסייה</w:t>
      </w:r>
      <w:r w:rsidR="00C25A1C">
        <w:rPr>
          <w:rFonts w:hint="cs"/>
          <w:rtl/>
        </w:rPr>
        <w:t xml:space="preserve">. זאת לצד העובדה כי </w:t>
      </w:r>
      <w:r w:rsidR="00BD4023" w:rsidRPr="00510504">
        <w:rPr>
          <w:rtl/>
        </w:rPr>
        <w:t>סמכויות המינהל ומשאביו, הוענקו לו כנאמן הציבור ולמען הציבור כולו</w:t>
      </w:r>
      <w:r w:rsidR="00C25A1C">
        <w:rPr>
          <w:rFonts w:hint="cs"/>
          <w:rtl/>
        </w:rPr>
        <w:t xml:space="preserve">. לכן, נצפה כי </w:t>
      </w:r>
      <w:r w:rsidR="00BD4023" w:rsidRPr="00510504">
        <w:rPr>
          <w:rtl/>
        </w:rPr>
        <w:t xml:space="preserve"> </w:t>
      </w:r>
      <w:r w:rsidR="00C25A1C">
        <w:rPr>
          <w:rFonts w:hint="cs"/>
          <w:rtl/>
        </w:rPr>
        <w:t>המינהל י</w:t>
      </w:r>
      <w:r w:rsidR="00BD4023" w:rsidRPr="00510504">
        <w:rPr>
          <w:rtl/>
        </w:rPr>
        <w:t>שתמש ב</w:t>
      </w:r>
      <w:r w:rsidR="00C25A1C">
        <w:rPr>
          <w:rFonts w:hint="cs"/>
          <w:rtl/>
        </w:rPr>
        <w:t xml:space="preserve">סמכויות לעיל </w:t>
      </w:r>
      <w:r w:rsidR="00BD4023" w:rsidRPr="00510504">
        <w:rPr>
          <w:rtl/>
        </w:rPr>
        <w:t>תוך הקפדה על עקרון השוויו</w:t>
      </w:r>
      <w:r w:rsidR="00BD4023">
        <w:rPr>
          <w:rFonts w:hint="cs"/>
          <w:rtl/>
        </w:rPr>
        <w:t>ן</w:t>
      </w:r>
      <w:r w:rsidR="0019002D">
        <w:rPr>
          <w:rFonts w:hint="cs"/>
          <w:rtl/>
        </w:rPr>
        <w:t>.</w:t>
      </w:r>
      <w:r w:rsidR="00BD4023">
        <w:rPr>
          <w:rFonts w:hint="cs"/>
          <w:rtl/>
        </w:rPr>
        <w:t xml:space="preserve"> </w:t>
      </w:r>
      <w:r w:rsidR="0019002D">
        <w:rPr>
          <w:rFonts w:hint="cs"/>
          <w:rtl/>
        </w:rPr>
        <w:t xml:space="preserve">ישנן </w:t>
      </w:r>
      <w:r w:rsidR="0086284A" w:rsidRPr="00510504">
        <w:rPr>
          <w:rtl/>
        </w:rPr>
        <w:t xml:space="preserve">טענות </w:t>
      </w:r>
      <w:r w:rsidR="009F75D3">
        <w:rPr>
          <w:rFonts w:hint="cs"/>
          <w:rtl/>
        </w:rPr>
        <w:t xml:space="preserve">כנגד </w:t>
      </w:r>
      <w:r w:rsidR="0086284A" w:rsidRPr="00510504">
        <w:rPr>
          <w:rtl/>
        </w:rPr>
        <w:t xml:space="preserve">וועדות הבנייה </w:t>
      </w:r>
      <w:r w:rsidR="008C3A09" w:rsidRPr="00510504">
        <w:rPr>
          <w:rtl/>
        </w:rPr>
        <w:t xml:space="preserve">ומכרזי המדינה של </w:t>
      </w:r>
      <w:r w:rsidR="0019002D">
        <w:rPr>
          <w:rFonts w:hint="cs"/>
          <w:rtl/>
        </w:rPr>
        <w:t>ה</w:t>
      </w:r>
      <w:r w:rsidR="008C3A09" w:rsidRPr="00510504">
        <w:rPr>
          <w:rtl/>
        </w:rPr>
        <w:t>רשויות</w:t>
      </w:r>
      <w:r w:rsidR="00C25A1C">
        <w:rPr>
          <w:rFonts w:hint="cs"/>
          <w:rtl/>
        </w:rPr>
        <w:t>,</w:t>
      </w:r>
      <w:r w:rsidR="008C3A09" w:rsidRPr="00510504">
        <w:rPr>
          <w:rtl/>
        </w:rPr>
        <w:t xml:space="preserve"> </w:t>
      </w:r>
      <w:r w:rsidR="00C25A1C">
        <w:rPr>
          <w:rFonts w:hint="cs"/>
          <w:rtl/>
        </w:rPr>
        <w:t>בנוגע ליח</w:t>
      </w:r>
      <w:r w:rsidR="0086284A" w:rsidRPr="00510504">
        <w:rPr>
          <w:rtl/>
        </w:rPr>
        <w:t xml:space="preserve">סי הכוחות </w:t>
      </w:r>
      <w:r w:rsidR="00C25A1C">
        <w:rPr>
          <w:rFonts w:hint="cs"/>
          <w:rtl/>
        </w:rPr>
        <w:t>אשר אינם</w:t>
      </w:r>
      <w:r w:rsidR="00546E43" w:rsidRPr="00510504">
        <w:rPr>
          <w:rtl/>
        </w:rPr>
        <w:t xml:space="preserve"> שווים </w:t>
      </w:r>
      <w:r w:rsidR="009F75D3">
        <w:rPr>
          <w:rFonts w:hint="cs"/>
          <w:rtl/>
        </w:rPr>
        <w:t>בין קבוצות התרבות השונות</w:t>
      </w:r>
      <w:r w:rsidR="00C25A1C">
        <w:rPr>
          <w:rFonts w:hint="cs"/>
          <w:rtl/>
        </w:rPr>
        <w:t>.</w:t>
      </w:r>
      <w:r w:rsidR="009F75D3">
        <w:rPr>
          <w:rFonts w:hint="cs"/>
          <w:rtl/>
        </w:rPr>
        <w:t xml:space="preserve"> </w:t>
      </w:r>
      <w:r w:rsidR="00546E43" w:rsidRPr="00510504">
        <w:rPr>
          <w:rtl/>
        </w:rPr>
        <w:t xml:space="preserve">זאת לא רק </w:t>
      </w:r>
      <w:r w:rsidR="0086284A" w:rsidRPr="00510504">
        <w:rPr>
          <w:rtl/>
        </w:rPr>
        <w:t>בין ה</w:t>
      </w:r>
      <w:r w:rsidR="0019002D">
        <w:rPr>
          <w:rFonts w:hint="cs"/>
          <w:rtl/>
        </w:rPr>
        <w:t>ציבור</w:t>
      </w:r>
      <w:r w:rsidR="0086284A" w:rsidRPr="00510504">
        <w:rPr>
          <w:rtl/>
        </w:rPr>
        <w:t xml:space="preserve"> היהודי </w:t>
      </w:r>
      <w:r w:rsidR="0019002D">
        <w:rPr>
          <w:rFonts w:hint="cs"/>
          <w:rtl/>
        </w:rPr>
        <w:t xml:space="preserve">לבין </w:t>
      </w:r>
      <w:r w:rsidR="0086284A" w:rsidRPr="00510504">
        <w:rPr>
          <w:rtl/>
        </w:rPr>
        <w:t>הלא</w:t>
      </w:r>
      <w:r w:rsidR="0019002D">
        <w:rPr>
          <w:rFonts w:hint="cs"/>
          <w:rtl/>
        </w:rPr>
        <w:t>-</w:t>
      </w:r>
      <w:r w:rsidR="0086284A" w:rsidRPr="00510504">
        <w:rPr>
          <w:rtl/>
        </w:rPr>
        <w:t>יהודי</w:t>
      </w:r>
      <w:r w:rsidR="001B293A" w:rsidRPr="00510504">
        <w:rPr>
          <w:rtl/>
        </w:rPr>
        <w:t>,</w:t>
      </w:r>
      <w:r w:rsidR="00546E43" w:rsidRPr="00510504">
        <w:rPr>
          <w:rtl/>
        </w:rPr>
        <w:t xml:space="preserve"> אלא גם בין הציבור היהודי</w:t>
      </w:r>
      <w:r w:rsidR="001B293A" w:rsidRPr="00510504">
        <w:rPr>
          <w:rtl/>
        </w:rPr>
        <w:t xml:space="preserve">-חרדי </w:t>
      </w:r>
      <w:r w:rsidR="00546E43" w:rsidRPr="00510504">
        <w:rPr>
          <w:rtl/>
        </w:rPr>
        <w:t>לבין הציבור היהודי-חילוני</w:t>
      </w:r>
      <w:r w:rsidR="001B293A" w:rsidRPr="00510504">
        <w:rPr>
          <w:rtl/>
        </w:rPr>
        <w:t>.</w:t>
      </w:r>
      <w:r w:rsidR="00546E43" w:rsidRPr="00510504">
        <w:rPr>
          <w:rtl/>
        </w:rPr>
        <w:t xml:space="preserve"> </w:t>
      </w:r>
      <w:r w:rsidR="0065761C">
        <w:rPr>
          <w:rFonts w:hint="cs"/>
          <w:rtl/>
        </w:rPr>
        <w:t>ניתן לראות זאת ב</w:t>
      </w:r>
      <w:r w:rsidR="00546E43" w:rsidRPr="00510504">
        <w:rPr>
          <w:color w:val="000000"/>
          <w:rtl/>
        </w:rPr>
        <w:t>פרשת עמותת "עם חופשי"</w:t>
      </w:r>
      <w:r w:rsidR="003B04DF" w:rsidRPr="00510504">
        <w:rPr>
          <w:rStyle w:val="a9"/>
          <w:color w:val="000000"/>
          <w:rtl/>
        </w:rPr>
        <w:footnoteReference w:id="10"/>
      </w:r>
      <w:r w:rsidR="0065761C">
        <w:rPr>
          <w:rFonts w:hint="cs"/>
          <w:color w:val="000000"/>
          <w:rtl/>
        </w:rPr>
        <w:t xml:space="preserve">. שם </w:t>
      </w:r>
      <w:r w:rsidR="0019002D">
        <w:rPr>
          <w:rFonts w:hint="cs"/>
          <w:color w:val="000000"/>
          <w:rtl/>
        </w:rPr>
        <w:t>ביקשו</w:t>
      </w:r>
      <w:r w:rsidR="00546E43" w:rsidRPr="00510504">
        <w:rPr>
          <w:color w:val="000000"/>
          <w:rtl/>
        </w:rPr>
        <w:t xml:space="preserve"> העותרים להשוות את התנאים שיינתנו לרוכשי דירות באזור המרכז בסמוך לאלעד</w:t>
      </w:r>
      <w:r w:rsidR="0065761C">
        <w:rPr>
          <w:rFonts w:hint="cs"/>
          <w:color w:val="000000"/>
          <w:rtl/>
        </w:rPr>
        <w:t>,</w:t>
      </w:r>
      <w:r w:rsidR="00546E43" w:rsidRPr="00510504">
        <w:rPr>
          <w:color w:val="000000"/>
          <w:rtl/>
        </w:rPr>
        <w:t xml:space="preserve"> לתנאים שניתנו לרוכשי הדירות באלע</w:t>
      </w:r>
      <w:r w:rsidR="003B04DF" w:rsidRPr="00510504">
        <w:rPr>
          <w:color w:val="000000"/>
          <w:rtl/>
        </w:rPr>
        <w:t>ד</w:t>
      </w:r>
      <w:r w:rsidR="0065761C">
        <w:rPr>
          <w:rFonts w:hint="cs"/>
          <w:color w:val="000000"/>
          <w:rtl/>
        </w:rPr>
        <w:t>.</w:t>
      </w:r>
      <w:r w:rsidR="0019002D">
        <w:rPr>
          <w:rFonts w:hint="cs"/>
          <w:color w:val="000000"/>
          <w:rtl/>
        </w:rPr>
        <w:t xml:space="preserve"> </w:t>
      </w:r>
      <w:r w:rsidR="0019002D" w:rsidRPr="00510504">
        <w:rPr>
          <w:color w:val="000000"/>
          <w:rtl/>
        </w:rPr>
        <w:t xml:space="preserve">רוכשי יחידות </w:t>
      </w:r>
      <w:r w:rsidR="0019002D">
        <w:rPr>
          <w:rFonts w:hint="cs"/>
          <w:color w:val="000000"/>
          <w:rtl/>
        </w:rPr>
        <w:t>ה</w:t>
      </w:r>
      <w:r w:rsidR="0019002D" w:rsidRPr="00510504">
        <w:rPr>
          <w:color w:val="000000"/>
          <w:rtl/>
        </w:rPr>
        <w:t xml:space="preserve">דיור </w:t>
      </w:r>
      <w:r w:rsidR="0019002D">
        <w:rPr>
          <w:rFonts w:hint="cs"/>
          <w:color w:val="000000"/>
          <w:rtl/>
        </w:rPr>
        <w:t xml:space="preserve">ביישוב </w:t>
      </w:r>
      <w:r w:rsidR="0019002D" w:rsidRPr="00510504">
        <w:rPr>
          <w:color w:val="000000"/>
          <w:rtl/>
        </w:rPr>
        <w:t>באלעד</w:t>
      </w:r>
      <w:r w:rsidR="0019002D">
        <w:rPr>
          <w:rFonts w:hint="cs"/>
          <w:color w:val="000000"/>
          <w:rtl/>
        </w:rPr>
        <w:t>, ש</w:t>
      </w:r>
      <w:r w:rsidR="0019002D" w:rsidRPr="00510504">
        <w:rPr>
          <w:color w:val="000000"/>
          <w:rtl/>
        </w:rPr>
        <w:t>בזמנו הייתה עיר חרדית חדשה שהוקמה במרכז הארץ</w:t>
      </w:r>
      <w:r w:rsidR="0019002D">
        <w:rPr>
          <w:rFonts w:hint="cs"/>
          <w:color w:val="000000"/>
          <w:rtl/>
        </w:rPr>
        <w:t xml:space="preserve">, </w:t>
      </w:r>
      <w:r w:rsidR="0065761C">
        <w:rPr>
          <w:rFonts w:hint="cs"/>
          <w:color w:val="000000"/>
          <w:rtl/>
        </w:rPr>
        <w:t xml:space="preserve">קיבלו </w:t>
      </w:r>
      <w:r w:rsidR="0065761C" w:rsidRPr="00510504">
        <w:rPr>
          <w:color w:val="000000"/>
          <w:rtl/>
        </w:rPr>
        <w:t xml:space="preserve">הטבות </w:t>
      </w:r>
      <w:r w:rsidR="0065761C">
        <w:rPr>
          <w:rFonts w:hint="cs"/>
          <w:color w:val="000000"/>
          <w:rtl/>
        </w:rPr>
        <w:t>רכישה מ</w:t>
      </w:r>
      <w:r w:rsidR="0065761C" w:rsidRPr="00510504">
        <w:rPr>
          <w:color w:val="000000"/>
          <w:rtl/>
        </w:rPr>
        <w:t>המדינה</w:t>
      </w:r>
      <w:r w:rsidR="0065761C">
        <w:rPr>
          <w:rFonts w:hint="cs"/>
          <w:color w:val="000000"/>
          <w:rtl/>
        </w:rPr>
        <w:t>. הטבות אלו</w:t>
      </w:r>
      <w:r w:rsidR="0019002D" w:rsidRPr="00510504">
        <w:rPr>
          <w:color w:val="000000"/>
          <w:rtl/>
        </w:rPr>
        <w:t xml:space="preserve"> חריגות ולא </w:t>
      </w:r>
      <w:r w:rsidR="0019002D">
        <w:rPr>
          <w:rFonts w:hint="cs"/>
          <w:color w:val="000000"/>
          <w:rtl/>
        </w:rPr>
        <w:t xml:space="preserve">מידתיות להטבות שניתנו </w:t>
      </w:r>
      <w:r w:rsidR="0019002D" w:rsidRPr="00510504">
        <w:rPr>
          <w:color w:val="000000"/>
          <w:rtl/>
        </w:rPr>
        <w:t>לרוכשי דירות ב</w:t>
      </w:r>
      <w:r w:rsidR="0019002D">
        <w:rPr>
          <w:rFonts w:hint="cs"/>
          <w:color w:val="000000"/>
          <w:rtl/>
        </w:rPr>
        <w:t>ערים אחרות</w:t>
      </w:r>
      <w:r w:rsidR="0065761C">
        <w:rPr>
          <w:rFonts w:hint="cs"/>
          <w:color w:val="000000"/>
          <w:rtl/>
        </w:rPr>
        <w:t>,</w:t>
      </w:r>
      <w:r w:rsidR="0019002D">
        <w:rPr>
          <w:rFonts w:hint="cs"/>
          <w:color w:val="000000"/>
          <w:rtl/>
        </w:rPr>
        <w:t xml:space="preserve"> </w:t>
      </w:r>
      <w:r w:rsidR="0019002D" w:rsidRPr="00510504">
        <w:rPr>
          <w:color w:val="000000"/>
          <w:rtl/>
        </w:rPr>
        <w:t>המצוי</w:t>
      </w:r>
      <w:r w:rsidR="0019002D">
        <w:rPr>
          <w:rFonts w:hint="cs"/>
          <w:color w:val="000000"/>
          <w:rtl/>
        </w:rPr>
        <w:t>ות</w:t>
      </w:r>
      <w:r w:rsidR="0019002D" w:rsidRPr="00510504">
        <w:rPr>
          <w:color w:val="000000"/>
          <w:rtl/>
        </w:rPr>
        <w:t xml:space="preserve"> במרכז הארץ </w:t>
      </w:r>
      <w:r w:rsidR="0019002D">
        <w:rPr>
          <w:rFonts w:hint="cs"/>
          <w:color w:val="000000"/>
          <w:rtl/>
        </w:rPr>
        <w:t>ב</w:t>
      </w:r>
      <w:r w:rsidR="0019002D" w:rsidRPr="00510504">
        <w:rPr>
          <w:color w:val="000000"/>
          <w:rtl/>
        </w:rPr>
        <w:t>סמוך לאלעד</w:t>
      </w:r>
      <w:r w:rsidR="0019002D">
        <w:rPr>
          <w:rFonts w:hint="cs"/>
          <w:color w:val="000000"/>
          <w:rtl/>
        </w:rPr>
        <w:t>.</w:t>
      </w:r>
      <w:r w:rsidR="0019002D" w:rsidRPr="00510504">
        <w:rPr>
          <w:color w:val="000000"/>
          <w:rtl/>
        </w:rPr>
        <w:t xml:space="preserve"> </w:t>
      </w:r>
      <w:r w:rsidR="00546E43" w:rsidRPr="00510504">
        <w:rPr>
          <w:rtl/>
        </w:rPr>
        <w:t>בי</w:t>
      </w:r>
      <w:r w:rsidR="0065761C">
        <w:rPr>
          <w:rFonts w:hint="cs"/>
          <w:rtl/>
        </w:rPr>
        <w:t xml:space="preserve">ת המשפט </w:t>
      </w:r>
      <w:r w:rsidR="0019002D">
        <w:rPr>
          <w:rFonts w:hint="cs"/>
          <w:rtl/>
        </w:rPr>
        <w:t xml:space="preserve">העליון </w:t>
      </w:r>
      <w:r w:rsidR="00546E43" w:rsidRPr="00510504">
        <w:rPr>
          <w:rtl/>
        </w:rPr>
        <w:t xml:space="preserve">פסק כי </w:t>
      </w:r>
      <w:r w:rsidR="00A50E16" w:rsidRPr="00510504">
        <w:rPr>
          <w:rtl/>
        </w:rPr>
        <w:t xml:space="preserve">הכרה באפשרות להקצות מקרקעין ולאפשר דיור נפרד לקבוצות </w:t>
      </w:r>
      <w:r w:rsidR="00983329" w:rsidRPr="00510504">
        <w:rPr>
          <w:rtl/>
        </w:rPr>
        <w:t>אוכלוסייה</w:t>
      </w:r>
      <w:r w:rsidR="00A50E16" w:rsidRPr="00510504">
        <w:rPr>
          <w:rtl/>
        </w:rPr>
        <w:t xml:space="preserve"> בעלות מאפיינים מיוחדים, </w:t>
      </w:r>
      <w:r w:rsidR="0019002D">
        <w:rPr>
          <w:rFonts w:hint="cs"/>
          <w:rtl/>
        </w:rPr>
        <w:t>לצורך הגשמת צרכיהם, עומדת בקנה אחד</w:t>
      </w:r>
      <w:r w:rsidR="00A50E16" w:rsidRPr="00510504">
        <w:rPr>
          <w:rtl/>
        </w:rPr>
        <w:t xml:space="preserve"> </w:t>
      </w:r>
      <w:r w:rsidR="0019002D">
        <w:rPr>
          <w:rFonts w:hint="cs"/>
          <w:rtl/>
        </w:rPr>
        <w:t xml:space="preserve">עם הכרה </w:t>
      </w:r>
      <w:r w:rsidR="00A72B47">
        <w:rPr>
          <w:rFonts w:hint="cs"/>
          <w:rtl/>
        </w:rPr>
        <w:t>ב</w:t>
      </w:r>
      <w:r w:rsidR="0019002D">
        <w:rPr>
          <w:rFonts w:hint="cs"/>
          <w:rtl/>
        </w:rPr>
        <w:t>זכויות המיעוט</w:t>
      </w:r>
      <w:r w:rsidR="004C00C7">
        <w:rPr>
          <w:rFonts w:hint="cs"/>
          <w:rtl/>
        </w:rPr>
        <w:t xml:space="preserve">, וכי </w:t>
      </w:r>
      <w:r w:rsidR="00A50E16" w:rsidRPr="00510504">
        <w:rPr>
          <w:rtl/>
        </w:rPr>
        <w:t xml:space="preserve">הקצאת קרקע לבניית יישוב נפרד </w:t>
      </w:r>
      <w:r w:rsidR="00983329" w:rsidRPr="00510504">
        <w:rPr>
          <w:rtl/>
        </w:rPr>
        <w:t>לאוכלוסייה</w:t>
      </w:r>
      <w:r w:rsidR="00A50E16" w:rsidRPr="00510504">
        <w:rPr>
          <w:rtl/>
        </w:rPr>
        <w:t xml:space="preserve"> החרדית כדי</w:t>
      </w:r>
      <w:r w:rsidR="000E1FC4">
        <w:rPr>
          <w:rFonts w:hint="cs"/>
          <w:rtl/>
        </w:rPr>
        <w:t xml:space="preserve"> </w:t>
      </w:r>
      <w:r w:rsidR="00A50E16" w:rsidRPr="00510504">
        <w:rPr>
          <w:rtl/>
        </w:rPr>
        <w:t>לאפשר ל</w:t>
      </w:r>
      <w:r w:rsidR="004C00C7">
        <w:rPr>
          <w:rFonts w:hint="cs"/>
          <w:rtl/>
        </w:rPr>
        <w:t>קיים</w:t>
      </w:r>
      <w:r w:rsidR="00A50E16" w:rsidRPr="00510504">
        <w:rPr>
          <w:rtl/>
        </w:rPr>
        <w:t xml:space="preserve"> את אורחות חייה כשלעצמה אי</w:t>
      </w:r>
      <w:r w:rsidR="000E1FC4">
        <w:rPr>
          <w:rFonts w:hint="cs"/>
          <w:rtl/>
        </w:rPr>
        <w:t xml:space="preserve">נה </w:t>
      </w:r>
      <w:r w:rsidR="00A50E16" w:rsidRPr="00510504">
        <w:rPr>
          <w:rtl/>
        </w:rPr>
        <w:t>פגיעה בעקרון השוויון</w:t>
      </w:r>
      <w:r w:rsidR="0050476F">
        <w:rPr>
          <w:rFonts w:hint="cs"/>
          <w:rtl/>
        </w:rPr>
        <w:t>.</w:t>
      </w:r>
    </w:p>
    <w:p w14:paraId="1786C93A" w14:textId="5E9E3673" w:rsidR="00936A80" w:rsidRPr="009D1684" w:rsidRDefault="00936A80" w:rsidP="00E82E9B">
      <w:pPr>
        <w:pStyle w:val="aa"/>
        <w:numPr>
          <w:ilvl w:val="0"/>
          <w:numId w:val="6"/>
        </w:numPr>
        <w:spacing w:line="360" w:lineRule="auto"/>
        <w:ind w:left="360"/>
        <w:jc w:val="both"/>
        <w:rPr>
          <w:b/>
          <w:bCs/>
          <w:u w:val="single"/>
          <w:rtl/>
        </w:rPr>
      </w:pPr>
      <w:r w:rsidRPr="009D1684">
        <w:rPr>
          <w:b/>
          <w:bCs/>
          <w:u w:val="single"/>
          <w:rtl/>
        </w:rPr>
        <w:t xml:space="preserve">סיכום </w:t>
      </w:r>
    </w:p>
    <w:p w14:paraId="39B02CCB" w14:textId="3E9F4C44" w:rsidR="009D1684" w:rsidRDefault="000327BF" w:rsidP="00E82E9B">
      <w:pPr>
        <w:spacing w:line="360" w:lineRule="auto"/>
        <w:jc w:val="both"/>
        <w:rPr>
          <w:rtl/>
        </w:rPr>
      </w:pPr>
      <w:r w:rsidRPr="00983329">
        <w:rPr>
          <w:rtl/>
        </w:rPr>
        <w:t>לסיכום</w:t>
      </w:r>
      <w:r w:rsidR="0065761C">
        <w:rPr>
          <w:rFonts w:hint="cs"/>
          <w:rtl/>
        </w:rPr>
        <w:t>, לעניות דעתי</w:t>
      </w:r>
      <w:r w:rsidR="009F75D3">
        <w:rPr>
          <w:rFonts w:hint="cs"/>
          <w:rtl/>
        </w:rPr>
        <w:t xml:space="preserve"> </w:t>
      </w:r>
      <w:r w:rsidR="00994F44">
        <w:rPr>
          <w:rFonts w:hint="cs"/>
          <w:rtl/>
        </w:rPr>
        <w:t>אין להסתכל על הקנקן אלא על מה שיש בו</w:t>
      </w:r>
      <w:r w:rsidR="002C4A36">
        <w:rPr>
          <w:rFonts w:hint="cs"/>
          <w:rtl/>
        </w:rPr>
        <w:t>.</w:t>
      </w:r>
      <w:r w:rsidR="00C21BF4">
        <w:rPr>
          <w:rFonts w:hint="cs"/>
          <w:rtl/>
        </w:rPr>
        <w:t xml:space="preserve"> </w:t>
      </w:r>
      <w:r w:rsidR="00994F44">
        <w:rPr>
          <w:rFonts w:hint="cs"/>
          <w:rtl/>
        </w:rPr>
        <w:t>תכולת הנכס ה</w:t>
      </w:r>
      <w:r w:rsidR="00C21BF4">
        <w:rPr>
          <w:rFonts w:hint="cs"/>
          <w:rtl/>
        </w:rPr>
        <w:t>ו</w:t>
      </w:r>
      <w:r w:rsidR="00994F44">
        <w:rPr>
          <w:rFonts w:hint="cs"/>
          <w:rtl/>
        </w:rPr>
        <w:t>א הציבור עצמו</w:t>
      </w:r>
      <w:r w:rsidR="0065761C">
        <w:rPr>
          <w:rFonts w:hint="cs"/>
          <w:rtl/>
        </w:rPr>
        <w:t xml:space="preserve">. </w:t>
      </w:r>
      <w:r w:rsidR="00BD4023">
        <w:rPr>
          <w:rFonts w:hint="cs"/>
          <w:rtl/>
        </w:rPr>
        <w:t xml:space="preserve">ציבור </w:t>
      </w:r>
      <w:r w:rsidR="0065761C">
        <w:rPr>
          <w:rFonts w:hint="cs"/>
          <w:rtl/>
        </w:rPr>
        <w:t xml:space="preserve">זה </w:t>
      </w:r>
      <w:r w:rsidR="00994F44">
        <w:rPr>
          <w:rFonts w:hint="cs"/>
          <w:rtl/>
        </w:rPr>
        <w:t>מורכב ממגזרים מגוונים</w:t>
      </w:r>
      <w:r w:rsidR="004416F3">
        <w:rPr>
          <w:rFonts w:hint="cs"/>
          <w:rtl/>
        </w:rPr>
        <w:t>,</w:t>
      </w:r>
      <w:r w:rsidR="00994F44">
        <w:rPr>
          <w:rFonts w:hint="cs"/>
          <w:rtl/>
        </w:rPr>
        <w:t xml:space="preserve"> מעמדות סוציו אקונומיים שונים</w:t>
      </w:r>
      <w:r w:rsidR="004416F3">
        <w:rPr>
          <w:rFonts w:hint="cs"/>
          <w:rtl/>
        </w:rPr>
        <w:t>,</w:t>
      </w:r>
      <w:r w:rsidR="00994F44">
        <w:rPr>
          <w:rFonts w:hint="cs"/>
          <w:rtl/>
        </w:rPr>
        <w:t xml:space="preserve"> והשקפ</w:t>
      </w:r>
      <w:r w:rsidR="00BD4023">
        <w:rPr>
          <w:rFonts w:hint="cs"/>
          <w:rtl/>
        </w:rPr>
        <w:t>ות</w:t>
      </w:r>
      <w:r w:rsidR="00994F44">
        <w:rPr>
          <w:rFonts w:hint="cs"/>
          <w:rtl/>
        </w:rPr>
        <w:t xml:space="preserve"> דתי</w:t>
      </w:r>
      <w:r w:rsidR="00BD4023">
        <w:rPr>
          <w:rFonts w:hint="cs"/>
          <w:rtl/>
        </w:rPr>
        <w:t>ו</w:t>
      </w:r>
      <w:r w:rsidR="00994F44">
        <w:rPr>
          <w:rFonts w:hint="cs"/>
          <w:rtl/>
        </w:rPr>
        <w:t>ת ופוליטי</w:t>
      </w:r>
      <w:r w:rsidR="00BD4023">
        <w:rPr>
          <w:rFonts w:hint="cs"/>
          <w:rtl/>
        </w:rPr>
        <w:t>ו</w:t>
      </w:r>
      <w:r w:rsidR="00994F44">
        <w:rPr>
          <w:rFonts w:hint="cs"/>
          <w:rtl/>
        </w:rPr>
        <w:t>ת שונ</w:t>
      </w:r>
      <w:r w:rsidR="00BD4023">
        <w:rPr>
          <w:rFonts w:hint="cs"/>
          <w:rtl/>
        </w:rPr>
        <w:t>ות</w:t>
      </w:r>
      <w:r w:rsidR="004416F3">
        <w:rPr>
          <w:rFonts w:hint="cs"/>
          <w:rtl/>
        </w:rPr>
        <w:t>.</w:t>
      </w:r>
      <w:r w:rsidR="002C4A36">
        <w:rPr>
          <w:rFonts w:hint="cs"/>
          <w:rtl/>
        </w:rPr>
        <w:t xml:space="preserve"> על כן, לפי הסיבות שהצגתי לעיל, </w:t>
      </w:r>
      <w:r w:rsidR="00BD4023">
        <w:rPr>
          <w:rFonts w:hint="cs"/>
          <w:rtl/>
        </w:rPr>
        <w:t xml:space="preserve">יש לאפשר </w:t>
      </w:r>
      <w:r w:rsidR="0065761C">
        <w:rPr>
          <w:rFonts w:hint="cs"/>
          <w:rtl/>
        </w:rPr>
        <w:t>ל</w:t>
      </w:r>
      <w:r w:rsidR="00994F44">
        <w:rPr>
          <w:rFonts w:hint="cs"/>
          <w:rtl/>
        </w:rPr>
        <w:t>קהילות מסוימות</w:t>
      </w:r>
      <w:r w:rsidR="004416F3">
        <w:rPr>
          <w:rFonts w:hint="cs"/>
          <w:rtl/>
        </w:rPr>
        <w:t xml:space="preserve"> </w:t>
      </w:r>
      <w:r w:rsidR="0065761C">
        <w:rPr>
          <w:rFonts w:hint="cs"/>
          <w:rtl/>
        </w:rPr>
        <w:t xml:space="preserve">את החופש לבחור </w:t>
      </w:r>
      <w:r w:rsidR="004416F3">
        <w:rPr>
          <w:rFonts w:hint="cs"/>
          <w:rtl/>
        </w:rPr>
        <w:t xml:space="preserve">היכן </w:t>
      </w:r>
      <w:r w:rsidR="00994F44">
        <w:rPr>
          <w:rFonts w:hint="cs"/>
          <w:rtl/>
        </w:rPr>
        <w:t>לגו</w:t>
      </w:r>
      <w:r w:rsidR="0065761C">
        <w:rPr>
          <w:rFonts w:hint="cs"/>
          <w:rtl/>
        </w:rPr>
        <w:t xml:space="preserve">ר. </w:t>
      </w:r>
      <w:r w:rsidR="004416F3">
        <w:rPr>
          <w:rFonts w:hint="cs"/>
          <w:rtl/>
        </w:rPr>
        <w:t xml:space="preserve">לרבות </w:t>
      </w:r>
      <w:r w:rsidR="00994F44">
        <w:rPr>
          <w:rFonts w:hint="cs"/>
          <w:rtl/>
        </w:rPr>
        <w:t>סביבה מתבדלת שמאפיינת את אורח חי</w:t>
      </w:r>
      <w:r w:rsidR="0065761C">
        <w:rPr>
          <w:rFonts w:hint="cs"/>
          <w:rtl/>
        </w:rPr>
        <w:t>ים</w:t>
      </w:r>
      <w:r w:rsidR="00994F44">
        <w:rPr>
          <w:rFonts w:hint="cs"/>
          <w:rtl/>
        </w:rPr>
        <w:t xml:space="preserve"> וערכי</w:t>
      </w:r>
      <w:r w:rsidR="0065761C">
        <w:rPr>
          <w:rFonts w:hint="cs"/>
          <w:rtl/>
        </w:rPr>
        <w:t>ם</w:t>
      </w:r>
      <w:r w:rsidR="00C21BF4">
        <w:rPr>
          <w:rtl/>
        </w:rPr>
        <w:t xml:space="preserve"> </w:t>
      </w:r>
      <w:r w:rsidR="004416F3">
        <w:rPr>
          <w:rFonts w:hint="cs"/>
          <w:rtl/>
        </w:rPr>
        <w:t>המ</w:t>
      </w:r>
      <w:r w:rsidR="00C21BF4">
        <w:rPr>
          <w:rtl/>
        </w:rPr>
        <w:t>עצב</w:t>
      </w:r>
      <w:r w:rsidR="004416F3">
        <w:rPr>
          <w:rFonts w:hint="cs"/>
          <w:rtl/>
        </w:rPr>
        <w:t>ים</w:t>
      </w:r>
      <w:r w:rsidR="00C21BF4">
        <w:rPr>
          <w:rtl/>
        </w:rPr>
        <w:t xml:space="preserve"> את </w:t>
      </w:r>
      <w:r w:rsidR="004416F3">
        <w:rPr>
          <w:rFonts w:hint="cs"/>
          <w:rtl/>
        </w:rPr>
        <w:t xml:space="preserve">קהילתם </w:t>
      </w:r>
      <w:r w:rsidR="00C21BF4">
        <w:rPr>
          <w:rtl/>
        </w:rPr>
        <w:t>על בסיס תפיסת עולמם הפרטי</w:t>
      </w:r>
      <w:r w:rsidR="004416F3">
        <w:rPr>
          <w:rFonts w:hint="cs"/>
          <w:rtl/>
        </w:rPr>
        <w:t>ת</w:t>
      </w:r>
      <w:r w:rsidR="0065761C">
        <w:rPr>
          <w:rFonts w:hint="cs"/>
          <w:rtl/>
        </w:rPr>
        <w:t xml:space="preserve">. זאת </w:t>
      </w:r>
      <w:r w:rsidR="004416F3">
        <w:rPr>
          <w:rFonts w:hint="cs"/>
          <w:rtl/>
        </w:rPr>
        <w:t>בכפוף</w:t>
      </w:r>
      <w:r w:rsidR="00C21BF4">
        <w:rPr>
          <w:rtl/>
        </w:rPr>
        <w:t xml:space="preserve"> לערך </w:t>
      </w:r>
      <w:r w:rsidR="004416F3">
        <w:rPr>
          <w:rFonts w:hint="cs"/>
          <w:rtl/>
        </w:rPr>
        <w:t>ה</w:t>
      </w:r>
      <w:r w:rsidR="00C21BF4">
        <w:rPr>
          <w:rtl/>
        </w:rPr>
        <w:t>אוטונומי</w:t>
      </w:r>
      <w:r w:rsidR="004416F3">
        <w:rPr>
          <w:rFonts w:hint="cs"/>
          <w:rtl/>
        </w:rPr>
        <w:t>ו</w:t>
      </w:r>
      <w:r w:rsidR="00C21BF4">
        <w:rPr>
          <w:rtl/>
        </w:rPr>
        <w:t>ת</w:t>
      </w:r>
      <w:r w:rsidR="00C21BF4">
        <w:rPr>
          <w:rFonts w:hint="cs"/>
          <w:rtl/>
        </w:rPr>
        <w:t xml:space="preserve"> </w:t>
      </w:r>
      <w:r w:rsidR="00994F44">
        <w:rPr>
          <w:rFonts w:hint="cs"/>
          <w:rtl/>
        </w:rPr>
        <w:t xml:space="preserve">כפי שזכותה של המדינה לשמור על מעמדה כמדינה יהודית, </w:t>
      </w:r>
      <w:r w:rsidR="00BD4023">
        <w:rPr>
          <w:rFonts w:hint="cs"/>
          <w:rtl/>
        </w:rPr>
        <w:t>מבלי שה</w:t>
      </w:r>
      <w:r w:rsidR="00C21BF4">
        <w:rPr>
          <w:rFonts w:hint="cs"/>
          <w:rtl/>
        </w:rPr>
        <w:t xml:space="preserve">דבר יפורש </w:t>
      </w:r>
      <w:r w:rsidR="00BD4023">
        <w:rPr>
          <w:rFonts w:hint="cs"/>
          <w:rtl/>
        </w:rPr>
        <w:t xml:space="preserve">כהפליה. </w:t>
      </w:r>
      <w:r w:rsidR="00C21BF4">
        <w:rPr>
          <w:rFonts w:hint="cs"/>
          <w:rtl/>
        </w:rPr>
        <w:t>אולם</w:t>
      </w:r>
      <w:r w:rsidR="0065761C">
        <w:rPr>
          <w:rFonts w:hint="cs"/>
          <w:rtl/>
        </w:rPr>
        <w:t>,</w:t>
      </w:r>
      <w:r w:rsidR="00C21BF4">
        <w:rPr>
          <w:rFonts w:hint="cs"/>
          <w:rtl/>
        </w:rPr>
        <w:t xml:space="preserve"> </w:t>
      </w:r>
      <w:r w:rsidR="00994F44">
        <w:rPr>
          <w:rFonts w:hint="cs"/>
          <w:rtl/>
        </w:rPr>
        <w:t>יש לכבד את כלל הציבור באשר ל</w:t>
      </w:r>
      <w:r w:rsidR="00734D19">
        <w:rPr>
          <w:rFonts w:hint="cs"/>
          <w:rtl/>
        </w:rPr>
        <w:t>חלוקת משאבי ה</w:t>
      </w:r>
      <w:r w:rsidR="004416F3">
        <w:rPr>
          <w:rFonts w:hint="cs"/>
          <w:rtl/>
        </w:rPr>
        <w:t>מדינה</w:t>
      </w:r>
      <w:r w:rsidR="002C4A36">
        <w:rPr>
          <w:rFonts w:hint="cs"/>
          <w:rtl/>
        </w:rPr>
        <w:t>, שכן</w:t>
      </w:r>
      <w:r w:rsidR="004416F3">
        <w:rPr>
          <w:rFonts w:hint="cs"/>
          <w:rtl/>
        </w:rPr>
        <w:t xml:space="preserve"> </w:t>
      </w:r>
      <w:r w:rsidR="00994F44">
        <w:rPr>
          <w:rFonts w:hint="cs"/>
          <w:rtl/>
        </w:rPr>
        <w:t xml:space="preserve">זאת </w:t>
      </w:r>
      <w:r w:rsidR="00F216B0">
        <w:rPr>
          <w:rFonts w:hint="cs"/>
          <w:rtl/>
        </w:rPr>
        <w:t>חובתה של המדינה</w:t>
      </w:r>
      <w:r w:rsidR="00510504">
        <w:rPr>
          <w:rFonts w:hint="cs"/>
          <w:rtl/>
        </w:rPr>
        <w:t xml:space="preserve"> לנהוג בשוויון</w:t>
      </w:r>
      <w:r w:rsidR="00994F44">
        <w:rPr>
          <w:rFonts w:hint="cs"/>
          <w:rtl/>
        </w:rPr>
        <w:t xml:space="preserve"> כלפי כ</w:t>
      </w:r>
      <w:r w:rsidR="004416F3">
        <w:rPr>
          <w:rFonts w:hint="cs"/>
          <w:rtl/>
        </w:rPr>
        <w:t>לל</w:t>
      </w:r>
      <w:r w:rsidR="00994F44">
        <w:rPr>
          <w:rFonts w:hint="cs"/>
          <w:rtl/>
        </w:rPr>
        <w:t xml:space="preserve"> </w:t>
      </w:r>
      <w:r w:rsidR="004416F3">
        <w:rPr>
          <w:rFonts w:hint="cs"/>
          <w:rtl/>
        </w:rPr>
        <w:t xml:space="preserve">הציבור </w:t>
      </w:r>
      <w:r w:rsidR="00994F44">
        <w:rPr>
          <w:rFonts w:hint="cs"/>
          <w:rtl/>
        </w:rPr>
        <w:t xml:space="preserve">ולמנוע </w:t>
      </w:r>
      <w:r w:rsidR="00117D04">
        <w:rPr>
          <w:rFonts w:hint="cs"/>
          <w:rtl/>
        </w:rPr>
        <w:t>פגיעה לא שיווניות באוכלוסיות מסוימות</w:t>
      </w:r>
      <w:r w:rsidR="004416F3">
        <w:rPr>
          <w:rFonts w:hint="cs"/>
          <w:rtl/>
        </w:rPr>
        <w:t>.</w:t>
      </w:r>
      <w:r w:rsidR="009D1684">
        <w:rPr>
          <w:rFonts w:hint="cs"/>
          <w:rtl/>
        </w:rPr>
        <w:t xml:space="preserve"> </w:t>
      </w:r>
      <w:r w:rsidR="00BD4023">
        <w:rPr>
          <w:rFonts w:hint="cs"/>
          <w:rtl/>
        </w:rPr>
        <w:t xml:space="preserve">אני </w:t>
      </w:r>
      <w:r w:rsidR="009D1684">
        <w:rPr>
          <w:rFonts w:hint="cs"/>
          <w:rtl/>
        </w:rPr>
        <w:t>מאמין</w:t>
      </w:r>
      <w:r w:rsidR="00BD4023">
        <w:rPr>
          <w:rFonts w:hint="cs"/>
          <w:rtl/>
        </w:rPr>
        <w:t xml:space="preserve"> </w:t>
      </w:r>
      <w:r w:rsidR="002C4A36">
        <w:rPr>
          <w:rFonts w:hint="cs"/>
          <w:rtl/>
        </w:rPr>
        <w:t>כי</w:t>
      </w:r>
      <w:r w:rsidR="00117D04">
        <w:rPr>
          <w:rFonts w:hint="cs"/>
          <w:rtl/>
        </w:rPr>
        <w:t xml:space="preserve"> </w:t>
      </w:r>
      <w:r w:rsidR="001B293A">
        <w:rPr>
          <w:rtl/>
        </w:rPr>
        <w:t xml:space="preserve">ניתן </w:t>
      </w:r>
      <w:r w:rsidR="002C4A36">
        <w:rPr>
          <w:rFonts w:hint="cs"/>
          <w:rtl/>
        </w:rPr>
        <w:t xml:space="preserve">יהיה </w:t>
      </w:r>
      <w:r w:rsidR="001B293A">
        <w:rPr>
          <w:rtl/>
        </w:rPr>
        <w:t>להגיע לפתרון הוגן ו</w:t>
      </w:r>
      <w:r w:rsidR="00734D19">
        <w:rPr>
          <w:rFonts w:hint="cs"/>
          <w:rtl/>
        </w:rPr>
        <w:t xml:space="preserve">שוויוני </w:t>
      </w:r>
      <w:r w:rsidR="00E37016">
        <w:rPr>
          <w:rFonts w:hint="cs"/>
          <w:rtl/>
        </w:rPr>
        <w:t>באופן המוסדר בחוק</w:t>
      </w:r>
      <w:r w:rsidR="00E37016" w:rsidRPr="00983329">
        <w:rPr>
          <w:rtl/>
        </w:rPr>
        <w:t xml:space="preserve"> </w:t>
      </w:r>
      <w:r w:rsidR="006A7479">
        <w:rPr>
          <w:rFonts w:hint="cs"/>
          <w:rtl/>
        </w:rPr>
        <w:t>ב</w:t>
      </w:r>
      <w:r w:rsidR="00734D19">
        <w:rPr>
          <w:rFonts w:hint="cs"/>
          <w:rtl/>
        </w:rPr>
        <w:t xml:space="preserve">עבור </w:t>
      </w:r>
      <w:r w:rsidR="00E37016">
        <w:rPr>
          <w:rFonts w:hint="cs"/>
          <w:rtl/>
        </w:rPr>
        <w:t>כלל הציבור</w:t>
      </w:r>
      <w:r w:rsidR="006A7479">
        <w:rPr>
          <w:rFonts w:hint="cs"/>
          <w:rtl/>
        </w:rPr>
        <w:t>.</w:t>
      </w:r>
      <w:r w:rsidR="002C4A36">
        <w:rPr>
          <w:rFonts w:hint="cs"/>
          <w:rtl/>
        </w:rPr>
        <w:t xml:space="preserve"> זאת </w:t>
      </w:r>
      <w:r w:rsidR="002C4A36">
        <w:rPr>
          <w:rtl/>
        </w:rPr>
        <w:t>באמצעות</w:t>
      </w:r>
      <w:r w:rsidR="002C4A36">
        <w:rPr>
          <w:rFonts w:hint="cs"/>
          <w:rtl/>
        </w:rPr>
        <w:t xml:space="preserve"> </w:t>
      </w:r>
      <w:r w:rsidR="002C4A36">
        <w:rPr>
          <w:rtl/>
        </w:rPr>
        <w:t xml:space="preserve">שיתוף פעולה </w:t>
      </w:r>
      <w:r w:rsidR="002C4A36">
        <w:rPr>
          <w:rFonts w:hint="cs"/>
          <w:rtl/>
        </w:rPr>
        <w:t>מקיף בין הרשויות</w:t>
      </w:r>
      <w:r w:rsidR="002C4A36" w:rsidRPr="00E37016">
        <w:rPr>
          <w:rFonts w:hint="cs"/>
          <w:rtl/>
        </w:rPr>
        <w:t xml:space="preserve"> </w:t>
      </w:r>
      <w:r w:rsidR="002C4A36">
        <w:rPr>
          <w:rFonts w:hint="cs"/>
          <w:rtl/>
        </w:rPr>
        <w:t>ונבחרי הציבור,</w:t>
      </w:r>
      <w:r w:rsidR="002C4A36">
        <w:rPr>
          <w:rtl/>
        </w:rPr>
        <w:t xml:space="preserve"> </w:t>
      </w:r>
      <w:r w:rsidR="002C4A36">
        <w:rPr>
          <w:rFonts w:hint="cs"/>
          <w:rtl/>
        </w:rPr>
        <w:t>המייצגים את כלל המגזרים והקהילות במדינה.</w:t>
      </w:r>
    </w:p>
    <w:p w14:paraId="70308361" w14:textId="77777777" w:rsidR="00513AC0" w:rsidRPr="00983329" w:rsidRDefault="00513AC0" w:rsidP="00E82E9B">
      <w:pPr>
        <w:spacing w:line="360" w:lineRule="auto"/>
        <w:jc w:val="both"/>
      </w:pPr>
    </w:p>
    <w:sectPr w:rsidR="00513AC0" w:rsidRPr="00983329" w:rsidSect="003921D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5A96" w14:textId="77777777" w:rsidR="00802051" w:rsidRDefault="00802051" w:rsidP="000557A1">
      <w:pPr>
        <w:spacing w:after="0" w:line="240" w:lineRule="auto"/>
      </w:pPr>
      <w:r>
        <w:separator/>
      </w:r>
    </w:p>
  </w:endnote>
  <w:endnote w:type="continuationSeparator" w:id="0">
    <w:p w14:paraId="015856FE" w14:textId="77777777" w:rsidR="00802051" w:rsidRDefault="00802051" w:rsidP="000557A1">
      <w:pPr>
        <w:spacing w:after="0" w:line="240" w:lineRule="auto"/>
      </w:pPr>
      <w:r>
        <w:continuationSeparator/>
      </w:r>
    </w:p>
  </w:endnote>
  <w:endnote w:type="continuationNotice" w:id="1">
    <w:p w14:paraId="77853BFA" w14:textId="77777777" w:rsidR="00802051" w:rsidRDefault="00802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15293038"/>
      <w:docPartObj>
        <w:docPartGallery w:val="Page Numbers (Bottom of Page)"/>
        <w:docPartUnique/>
      </w:docPartObj>
    </w:sdtPr>
    <w:sdtEndPr/>
    <w:sdtContent>
      <w:p w14:paraId="183F9AB4" w14:textId="423CEB40" w:rsidR="000557A1" w:rsidRDefault="000557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179FB0A1" w14:textId="77777777" w:rsidR="000557A1" w:rsidRDefault="000557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D224" w14:textId="77777777" w:rsidR="00802051" w:rsidRDefault="00802051" w:rsidP="000557A1">
      <w:pPr>
        <w:spacing w:after="0" w:line="240" w:lineRule="auto"/>
      </w:pPr>
      <w:r>
        <w:separator/>
      </w:r>
    </w:p>
  </w:footnote>
  <w:footnote w:type="continuationSeparator" w:id="0">
    <w:p w14:paraId="193651D6" w14:textId="77777777" w:rsidR="00802051" w:rsidRDefault="00802051" w:rsidP="000557A1">
      <w:pPr>
        <w:spacing w:after="0" w:line="240" w:lineRule="auto"/>
      </w:pPr>
      <w:r>
        <w:continuationSeparator/>
      </w:r>
    </w:p>
  </w:footnote>
  <w:footnote w:type="continuationNotice" w:id="1">
    <w:p w14:paraId="78AC8A9A" w14:textId="77777777" w:rsidR="00802051" w:rsidRDefault="00802051">
      <w:pPr>
        <w:spacing w:after="0" w:line="240" w:lineRule="auto"/>
      </w:pPr>
    </w:p>
  </w:footnote>
  <w:footnote w:id="2">
    <w:p w14:paraId="5DF6EB9F" w14:textId="30C02513" w:rsidR="00AB0A10" w:rsidRDefault="00AB0A10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321B1A">
        <w:rPr>
          <w:rFonts w:hint="cs"/>
          <w:rtl/>
        </w:rPr>
        <w:t xml:space="preserve">פרופ' רונן אברהם </w:t>
      </w:r>
      <w:r w:rsidR="00BF0792">
        <w:rPr>
          <w:rFonts w:hint="cs"/>
          <w:rtl/>
        </w:rPr>
        <w:t xml:space="preserve">"בנפרד ועדיין שווה?" </w:t>
      </w:r>
      <w:r w:rsidR="00BF0792" w:rsidRPr="004416F3">
        <w:rPr>
          <w:b/>
          <w:bCs/>
          <w:rtl/>
        </w:rPr>
        <w:t xml:space="preserve">המשפט </w:t>
      </w:r>
      <w:r w:rsidR="00BF0792">
        <w:rPr>
          <w:rtl/>
        </w:rPr>
        <w:t xml:space="preserve">כח </w:t>
      </w:r>
      <w:r w:rsidR="00380AC2">
        <w:rPr>
          <w:rFonts w:hint="cs"/>
          <w:rtl/>
        </w:rPr>
        <w:t>(2023)</w:t>
      </w:r>
      <w:r w:rsidR="004416F3">
        <w:rPr>
          <w:rFonts w:hint="cs"/>
          <w:rtl/>
        </w:rPr>
        <w:t>.</w:t>
      </w:r>
    </w:p>
  </w:footnote>
  <w:footnote w:id="3">
    <w:p w14:paraId="1FE3BA8F" w14:textId="7B825136" w:rsidR="00834E38" w:rsidRPr="009D1684" w:rsidRDefault="00834E38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9D1684" w:rsidRPr="009D1684">
        <w:rPr>
          <w:rtl/>
        </w:rPr>
        <w:t>חוק איסור הפליה במוצרים, בשירותים ובכניסה למקומות בידור ולמקומות ציבוריים, תשס"א-2000</w:t>
      </w:r>
      <w:r w:rsidR="004416F3">
        <w:rPr>
          <w:rFonts w:hint="cs"/>
          <w:rtl/>
        </w:rPr>
        <w:t>.</w:t>
      </w:r>
    </w:p>
  </w:footnote>
  <w:footnote w:id="4">
    <w:p w14:paraId="603D2C21" w14:textId="2EB1F149" w:rsidR="007C13F1" w:rsidRDefault="007C13F1" w:rsidP="007C13F1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פרופ' רונן אברהם "בנפרד ועדיין שווה?" </w:t>
      </w:r>
      <w:r w:rsidRPr="004416F3">
        <w:rPr>
          <w:b/>
          <w:bCs/>
          <w:rtl/>
        </w:rPr>
        <w:t>המשפט</w:t>
      </w:r>
      <w:r>
        <w:rPr>
          <w:rtl/>
        </w:rPr>
        <w:t xml:space="preserve"> כח </w:t>
      </w:r>
      <w:r>
        <w:rPr>
          <w:rFonts w:hint="cs"/>
          <w:rtl/>
        </w:rPr>
        <w:t>63-67 (2023)</w:t>
      </w:r>
      <w:r w:rsidR="004416F3">
        <w:rPr>
          <w:rFonts w:hint="cs"/>
          <w:rtl/>
        </w:rPr>
        <w:t>.</w:t>
      </w:r>
    </w:p>
  </w:footnote>
  <w:footnote w:id="5">
    <w:p w14:paraId="543EA35E" w14:textId="77777777" w:rsidR="007C13F1" w:rsidRDefault="007C13F1" w:rsidP="007C13F1">
      <w:pPr>
        <w:pStyle w:val="a7"/>
      </w:pPr>
      <w:r>
        <w:rPr>
          <w:rStyle w:val="a9"/>
        </w:rPr>
        <w:footnoteRef/>
      </w:r>
      <w:r>
        <w:rPr>
          <w:rtl/>
        </w:rPr>
        <w:t xml:space="preserve"> פרופסור מן המניין בפקולטה למשפטים באוניברסיטת תל אביב ומרצה באוניברסיטת טקסס שבאוסטין</w:t>
      </w:r>
      <w:r>
        <w:t>.</w:t>
      </w:r>
    </w:p>
  </w:footnote>
  <w:footnote w:id="6">
    <w:p w14:paraId="26E31E2F" w14:textId="75B1525F" w:rsidR="00C40327" w:rsidRDefault="00C40327" w:rsidP="00C40327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6A7479" w:rsidRPr="006A7479">
        <w:rPr>
          <w:rtl/>
        </w:rPr>
        <w:t xml:space="preserve">רע"א 10011/17 </w:t>
      </w:r>
      <w:r w:rsidR="006A7479" w:rsidRPr="004416F3">
        <w:rPr>
          <w:b/>
          <w:bCs/>
          <w:rtl/>
        </w:rPr>
        <w:t>מי-טל הנדסה ושירותים בע"מ נ' חאלד סלמאן</w:t>
      </w:r>
      <w:r w:rsidR="004416F3">
        <w:rPr>
          <w:rFonts w:hint="cs"/>
          <w:rtl/>
        </w:rPr>
        <w:t>.</w:t>
      </w:r>
    </w:p>
  </w:footnote>
  <w:footnote w:id="7">
    <w:p w14:paraId="0421BDD9" w14:textId="6AD03AAA" w:rsidR="006C338C" w:rsidRPr="006C338C" w:rsidRDefault="006C338C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6C338C">
        <w:rPr>
          <w:rtl/>
        </w:rPr>
        <w:t>חוק קרן קיימת לישראל, תשי"ד-1953</w:t>
      </w:r>
      <w:r w:rsidR="004416F3">
        <w:rPr>
          <w:rFonts w:hint="cs"/>
          <w:rtl/>
        </w:rPr>
        <w:t>.</w:t>
      </w:r>
    </w:p>
  </w:footnote>
  <w:footnote w:id="8">
    <w:p w14:paraId="36C47E0B" w14:textId="704D9BFD" w:rsidR="006C338C" w:rsidRDefault="006C338C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6C338C">
        <w:rPr>
          <w:rtl/>
        </w:rPr>
        <w:t>כתב אמנה בין מדינת ישראל ובין קרן קיימת לישראל</w:t>
      </w:r>
      <w:r w:rsidR="009D1684">
        <w:rPr>
          <w:rFonts w:hint="cs"/>
          <w:rtl/>
        </w:rPr>
        <w:t>, כ"א (נחתמה ב</w:t>
      </w:r>
      <w:r w:rsidR="009D1684" w:rsidRPr="009D1684">
        <w:rPr>
          <w:rtl/>
        </w:rPr>
        <w:t xml:space="preserve"> 1961)</w:t>
      </w:r>
      <w:r w:rsidR="009D1684">
        <w:rPr>
          <w:rFonts w:hint="cs"/>
          <w:rtl/>
        </w:rPr>
        <w:t>.</w:t>
      </w:r>
    </w:p>
  </w:footnote>
  <w:footnote w:id="9">
    <w:p w14:paraId="76DE388B" w14:textId="2D359C62" w:rsidR="006D2229" w:rsidRPr="00513AC0" w:rsidRDefault="006D2229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6A7479">
        <w:rPr>
          <w:rFonts w:hint="cs"/>
          <w:rtl/>
        </w:rPr>
        <w:t>עו"ד עמיר דרורי</w:t>
      </w:r>
      <w:r w:rsidR="004416F3">
        <w:rPr>
          <w:rFonts w:hint="cs"/>
          <w:rtl/>
        </w:rPr>
        <w:t>,</w:t>
      </w:r>
      <w:r w:rsidR="006A7479">
        <w:rPr>
          <w:rFonts w:hint="cs"/>
          <w:rtl/>
        </w:rPr>
        <w:t xml:space="preserve"> </w:t>
      </w:r>
      <w:r w:rsidR="006A7479" w:rsidRPr="004416F3">
        <w:rPr>
          <w:rFonts w:hint="cs"/>
          <w:b/>
          <w:bCs/>
          <w:rtl/>
        </w:rPr>
        <w:t>"</w:t>
      </w:r>
      <w:r w:rsidR="006A7479" w:rsidRPr="004416F3">
        <w:rPr>
          <w:b/>
          <w:bCs/>
          <w:rtl/>
        </w:rPr>
        <w:t>ביטול אמנת קק"ל: להשאיר את הקרקעות בבעלות פרטית</w:t>
      </w:r>
      <w:r w:rsidR="006A7479" w:rsidRPr="004416F3">
        <w:rPr>
          <w:rFonts w:hint="cs"/>
          <w:b/>
          <w:bCs/>
          <w:rtl/>
        </w:rPr>
        <w:t>"</w:t>
      </w:r>
      <w:r w:rsidR="00A672A3">
        <w:rPr>
          <w:rFonts w:hint="cs"/>
          <w:b/>
          <w:bCs/>
          <w:rtl/>
        </w:rPr>
        <w:t>,</w:t>
      </w:r>
      <w:r w:rsidR="006A7479" w:rsidRPr="004416F3">
        <w:rPr>
          <w:rFonts w:hint="cs"/>
          <w:b/>
          <w:bCs/>
          <w:rtl/>
        </w:rPr>
        <w:t xml:space="preserve"> </w:t>
      </w:r>
      <w:r w:rsidR="006A7479" w:rsidRPr="004416F3">
        <w:rPr>
          <w:rFonts w:hint="cs"/>
          <w:rtl/>
        </w:rPr>
        <w:t>פסקדין</w:t>
      </w:r>
      <w:r w:rsidR="006A7479">
        <w:rPr>
          <w:rFonts w:hint="cs"/>
          <w:rtl/>
        </w:rPr>
        <w:t xml:space="preserve"> (</w:t>
      </w:r>
      <w:r w:rsidR="006A7479" w:rsidRPr="006A7479">
        <w:rPr>
          <w:rtl/>
        </w:rPr>
        <w:t>10/07/2018</w:t>
      </w:r>
      <w:r w:rsidR="006A7479">
        <w:rPr>
          <w:rFonts w:hint="cs"/>
          <w:rtl/>
        </w:rPr>
        <w:t xml:space="preserve">) </w:t>
      </w:r>
      <w:r w:rsidR="00513AC0" w:rsidRPr="00513AC0">
        <w:t>https://bit.ly/3YgXZk8</w:t>
      </w:r>
      <w:r w:rsidR="004416F3">
        <w:rPr>
          <w:rFonts w:hint="cs"/>
          <w:rtl/>
        </w:rPr>
        <w:t>.</w:t>
      </w:r>
    </w:p>
  </w:footnote>
  <w:footnote w:id="10">
    <w:p w14:paraId="38BA56BB" w14:textId="2979F5FF" w:rsidR="003B04DF" w:rsidRDefault="003B04DF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3B04DF">
        <w:rPr>
          <w:rtl/>
        </w:rPr>
        <w:t xml:space="preserve">בג"ץ 4906/98 </w:t>
      </w:r>
      <w:r w:rsidRPr="004416F3">
        <w:rPr>
          <w:b/>
          <w:bCs/>
          <w:rtl/>
        </w:rPr>
        <w:t>עמותת "עם חופשי" לחופש דת מצפון חינוך ותרבות נ' משרד הבינוי והשיכון</w:t>
      </w:r>
      <w:r w:rsidRPr="003B04DF">
        <w:rPr>
          <w:rtl/>
        </w:rPr>
        <w:t>, נד(2) 503 (2000)</w:t>
      </w:r>
      <w:r w:rsidR="004416F3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ED0A" w14:textId="7B31CB75" w:rsidR="00E37617" w:rsidRPr="00062F01" w:rsidRDefault="00C06ECE" w:rsidP="00C06ECE">
    <w:pPr>
      <w:pStyle w:val="a3"/>
      <w:rPr>
        <w:rtl/>
      </w:rPr>
    </w:pPr>
    <w:r w:rsidRPr="008A7A0F">
      <w:rPr>
        <w:rFonts w:hint="cs"/>
        <w:b/>
        <w:bCs/>
        <w:rtl/>
      </w:rPr>
      <w:t>ת"ז:</w:t>
    </w:r>
    <w:r w:rsidRPr="00062F01">
      <w:rPr>
        <w:rFonts w:hint="cs"/>
        <w:rtl/>
      </w:rPr>
      <w:t xml:space="preserve"> 208547620 </w:t>
    </w:r>
    <w:r w:rsidR="00E60E14">
      <w:rPr>
        <w:rFonts w:hint="cs"/>
        <w:rtl/>
      </w:rPr>
      <w:t xml:space="preserve"> </w:t>
    </w:r>
    <w:r w:rsidR="00E60E14" w:rsidRPr="008A7A0F">
      <w:rPr>
        <w:rFonts w:hint="cs"/>
        <w:b/>
        <w:bCs/>
        <w:rtl/>
      </w:rPr>
      <w:t>קבוצה:</w:t>
    </w:r>
    <w:r w:rsidR="00E60E14" w:rsidRPr="00062F01">
      <w:rPr>
        <w:rFonts w:hint="cs"/>
        <w:rtl/>
      </w:rPr>
      <w:t xml:space="preserve"> 02 </w:t>
    </w:r>
    <w:r w:rsidR="00E60E14" w:rsidRPr="008A7A0F">
      <w:rPr>
        <w:rFonts w:hint="cs"/>
        <w:b/>
        <w:bCs/>
        <w:rtl/>
      </w:rPr>
      <w:t>מס'</w:t>
    </w:r>
    <w:r w:rsidR="00E60E14" w:rsidRPr="008A7A0F">
      <w:rPr>
        <w:rFonts w:hint="cs"/>
        <w:b/>
        <w:bCs/>
      </w:rPr>
      <w:t xml:space="preserve"> </w:t>
    </w:r>
    <w:r w:rsidR="00E60E14" w:rsidRPr="008A7A0F">
      <w:rPr>
        <w:rFonts w:hint="cs"/>
        <w:b/>
        <w:bCs/>
        <w:rtl/>
      </w:rPr>
      <w:t>מילים:</w:t>
    </w:r>
    <w:r w:rsidR="00E60E14" w:rsidRPr="00062F01">
      <w:rPr>
        <w:rFonts w:hint="cs"/>
        <w:rtl/>
      </w:rPr>
      <w:t xml:space="preserve"> </w:t>
    </w:r>
    <w:r w:rsidR="00E60E14">
      <w:rPr>
        <w:rFonts w:hint="cs"/>
        <w:rtl/>
      </w:rPr>
      <w:t>1000</w:t>
    </w:r>
    <w:r w:rsidR="00E60E14">
      <w:rPr>
        <w:rFonts w:hint="cs"/>
        <w:rtl/>
      </w:rPr>
      <w:t xml:space="preserve">  </w:t>
    </w:r>
    <w:r w:rsidRPr="008A7A0F">
      <w:rPr>
        <w:rFonts w:hint="cs"/>
        <w:b/>
        <w:bCs/>
        <w:rtl/>
      </w:rPr>
      <w:t>מרצה:</w:t>
    </w:r>
    <w:r w:rsidRPr="00062F01">
      <w:rPr>
        <w:rFonts w:hint="cs"/>
        <w:rtl/>
      </w:rPr>
      <w:t xml:space="preserve"> </w:t>
    </w:r>
    <w:r w:rsidRPr="00062F01">
      <w:rPr>
        <w:rtl/>
      </w:rPr>
      <w:t>ד"ר אלונה חגאי פריי</w:t>
    </w:r>
    <w:r w:rsidRPr="00062F01">
      <w:rPr>
        <w:rFonts w:hint="cs"/>
        <w:rtl/>
      </w:rPr>
      <w:t xml:space="preserve">  </w:t>
    </w:r>
    <w:r w:rsidRPr="008A7A0F">
      <w:rPr>
        <w:rFonts w:hint="cs"/>
        <w:b/>
        <w:bCs/>
        <w:rtl/>
      </w:rPr>
      <w:t>מתרגל/ת:</w:t>
    </w:r>
    <w:r w:rsidRPr="00062F01">
      <w:rPr>
        <w:rFonts w:hint="cs"/>
        <w:rtl/>
      </w:rPr>
      <w:t xml:space="preserve"> מר אריה גלפנד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88D"/>
    <w:multiLevelType w:val="hybridMultilevel"/>
    <w:tmpl w:val="BB1A8A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371C"/>
    <w:multiLevelType w:val="hybridMultilevel"/>
    <w:tmpl w:val="EEE0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5731"/>
    <w:multiLevelType w:val="hybridMultilevel"/>
    <w:tmpl w:val="E33AD244"/>
    <w:lvl w:ilvl="0" w:tplc="4104CB9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C1E2C"/>
    <w:multiLevelType w:val="hybridMultilevel"/>
    <w:tmpl w:val="617C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7F79"/>
    <w:multiLevelType w:val="hybridMultilevel"/>
    <w:tmpl w:val="2882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30CD3"/>
    <w:multiLevelType w:val="hybridMultilevel"/>
    <w:tmpl w:val="50BA5E34"/>
    <w:lvl w:ilvl="0" w:tplc="47C0E6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129C0"/>
    <w:multiLevelType w:val="hybridMultilevel"/>
    <w:tmpl w:val="EC28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9830">
    <w:abstractNumId w:val="5"/>
  </w:num>
  <w:num w:numId="2" w16cid:durableId="2122844950">
    <w:abstractNumId w:val="2"/>
  </w:num>
  <w:num w:numId="3" w16cid:durableId="295919587">
    <w:abstractNumId w:val="4"/>
  </w:num>
  <w:num w:numId="4" w16cid:durableId="314380489">
    <w:abstractNumId w:val="1"/>
  </w:num>
  <w:num w:numId="5" w16cid:durableId="182280559">
    <w:abstractNumId w:val="6"/>
  </w:num>
  <w:num w:numId="6" w16cid:durableId="1147934639">
    <w:abstractNumId w:val="0"/>
  </w:num>
  <w:num w:numId="7" w16cid:durableId="1399668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1"/>
    <w:rsid w:val="000120CD"/>
    <w:rsid w:val="00015031"/>
    <w:rsid w:val="0001751C"/>
    <w:rsid w:val="000327BF"/>
    <w:rsid w:val="00036625"/>
    <w:rsid w:val="00036874"/>
    <w:rsid w:val="00037278"/>
    <w:rsid w:val="000557A1"/>
    <w:rsid w:val="00062F01"/>
    <w:rsid w:val="00072793"/>
    <w:rsid w:val="0008691F"/>
    <w:rsid w:val="00087384"/>
    <w:rsid w:val="00096AE6"/>
    <w:rsid w:val="00096C40"/>
    <w:rsid w:val="000A6922"/>
    <w:rsid w:val="000B2812"/>
    <w:rsid w:val="000B3B0F"/>
    <w:rsid w:val="000C2613"/>
    <w:rsid w:val="000C568B"/>
    <w:rsid w:val="000C5A15"/>
    <w:rsid w:val="000D1A5E"/>
    <w:rsid w:val="000E1FC4"/>
    <w:rsid w:val="000E74B9"/>
    <w:rsid w:val="000F681C"/>
    <w:rsid w:val="001010E8"/>
    <w:rsid w:val="00111D88"/>
    <w:rsid w:val="00117D04"/>
    <w:rsid w:val="00121206"/>
    <w:rsid w:val="0012168D"/>
    <w:rsid w:val="00122944"/>
    <w:rsid w:val="00130306"/>
    <w:rsid w:val="001317A3"/>
    <w:rsid w:val="00131A2F"/>
    <w:rsid w:val="00132664"/>
    <w:rsid w:val="00140435"/>
    <w:rsid w:val="00165092"/>
    <w:rsid w:val="00174F73"/>
    <w:rsid w:val="00180B9E"/>
    <w:rsid w:val="0019002D"/>
    <w:rsid w:val="001B293A"/>
    <w:rsid w:val="001E7838"/>
    <w:rsid w:val="001F2955"/>
    <w:rsid w:val="00261E5A"/>
    <w:rsid w:val="00271DD3"/>
    <w:rsid w:val="00276957"/>
    <w:rsid w:val="002833D7"/>
    <w:rsid w:val="0029186E"/>
    <w:rsid w:val="002938A7"/>
    <w:rsid w:val="002A7385"/>
    <w:rsid w:val="002B3525"/>
    <w:rsid w:val="002C3961"/>
    <w:rsid w:val="002C4A36"/>
    <w:rsid w:val="002D0667"/>
    <w:rsid w:val="002D556A"/>
    <w:rsid w:val="002E33E5"/>
    <w:rsid w:val="002F0F90"/>
    <w:rsid w:val="002F7DE5"/>
    <w:rsid w:val="00301AB5"/>
    <w:rsid w:val="00303A20"/>
    <w:rsid w:val="00311536"/>
    <w:rsid w:val="0031641B"/>
    <w:rsid w:val="00321B1A"/>
    <w:rsid w:val="00324079"/>
    <w:rsid w:val="0033112F"/>
    <w:rsid w:val="00355272"/>
    <w:rsid w:val="00363C76"/>
    <w:rsid w:val="00380AC2"/>
    <w:rsid w:val="003921D4"/>
    <w:rsid w:val="00395B64"/>
    <w:rsid w:val="003A4FED"/>
    <w:rsid w:val="003B04DF"/>
    <w:rsid w:val="003B6C31"/>
    <w:rsid w:val="003C3198"/>
    <w:rsid w:val="003D6F4D"/>
    <w:rsid w:val="003E236B"/>
    <w:rsid w:val="003E2A88"/>
    <w:rsid w:val="003F20FD"/>
    <w:rsid w:val="003F3C19"/>
    <w:rsid w:val="003F56E5"/>
    <w:rsid w:val="00400A8A"/>
    <w:rsid w:val="00402D0D"/>
    <w:rsid w:val="00406D1D"/>
    <w:rsid w:val="004161EE"/>
    <w:rsid w:val="004200C8"/>
    <w:rsid w:val="00422343"/>
    <w:rsid w:val="004274C2"/>
    <w:rsid w:val="004416F3"/>
    <w:rsid w:val="004453DD"/>
    <w:rsid w:val="00447054"/>
    <w:rsid w:val="004505B0"/>
    <w:rsid w:val="004667F5"/>
    <w:rsid w:val="00470BA4"/>
    <w:rsid w:val="004756C3"/>
    <w:rsid w:val="0047581D"/>
    <w:rsid w:val="00476871"/>
    <w:rsid w:val="00492D51"/>
    <w:rsid w:val="004947D5"/>
    <w:rsid w:val="00495EE0"/>
    <w:rsid w:val="004A3E37"/>
    <w:rsid w:val="004C00C7"/>
    <w:rsid w:val="004D3550"/>
    <w:rsid w:val="004D503B"/>
    <w:rsid w:val="004E1F41"/>
    <w:rsid w:val="004E3A39"/>
    <w:rsid w:val="004E742D"/>
    <w:rsid w:val="004F1A44"/>
    <w:rsid w:val="004F23AE"/>
    <w:rsid w:val="004F74C9"/>
    <w:rsid w:val="0050361E"/>
    <w:rsid w:val="0050476F"/>
    <w:rsid w:val="00510504"/>
    <w:rsid w:val="00513AC0"/>
    <w:rsid w:val="005200A8"/>
    <w:rsid w:val="00520370"/>
    <w:rsid w:val="00524AD6"/>
    <w:rsid w:val="005332D5"/>
    <w:rsid w:val="00540E9A"/>
    <w:rsid w:val="00546E43"/>
    <w:rsid w:val="00564ED8"/>
    <w:rsid w:val="00566C08"/>
    <w:rsid w:val="00571CBC"/>
    <w:rsid w:val="005A21DF"/>
    <w:rsid w:val="005A3918"/>
    <w:rsid w:val="005A4CEA"/>
    <w:rsid w:val="005B0E1D"/>
    <w:rsid w:val="005B308A"/>
    <w:rsid w:val="005B5158"/>
    <w:rsid w:val="005D6902"/>
    <w:rsid w:val="005F1D6B"/>
    <w:rsid w:val="005F3C86"/>
    <w:rsid w:val="00600003"/>
    <w:rsid w:val="006426FF"/>
    <w:rsid w:val="00652A8D"/>
    <w:rsid w:val="0065761C"/>
    <w:rsid w:val="0066603B"/>
    <w:rsid w:val="00685D95"/>
    <w:rsid w:val="006942D6"/>
    <w:rsid w:val="006956E7"/>
    <w:rsid w:val="006A1AB6"/>
    <w:rsid w:val="006A340B"/>
    <w:rsid w:val="006A710F"/>
    <w:rsid w:val="006A7479"/>
    <w:rsid w:val="006B6F0B"/>
    <w:rsid w:val="006C338C"/>
    <w:rsid w:val="006C669B"/>
    <w:rsid w:val="006D2229"/>
    <w:rsid w:val="006D5CDC"/>
    <w:rsid w:val="006D64ED"/>
    <w:rsid w:val="006E2EC4"/>
    <w:rsid w:val="006E4D28"/>
    <w:rsid w:val="00701DEC"/>
    <w:rsid w:val="0072039D"/>
    <w:rsid w:val="00724ADE"/>
    <w:rsid w:val="00731A10"/>
    <w:rsid w:val="00734D19"/>
    <w:rsid w:val="007433CF"/>
    <w:rsid w:val="0075521C"/>
    <w:rsid w:val="00772548"/>
    <w:rsid w:val="0077712D"/>
    <w:rsid w:val="0079223C"/>
    <w:rsid w:val="007A7057"/>
    <w:rsid w:val="007B6C4A"/>
    <w:rsid w:val="007C13F1"/>
    <w:rsid w:val="007C5251"/>
    <w:rsid w:val="007C5F6C"/>
    <w:rsid w:val="007E68AD"/>
    <w:rsid w:val="008013B3"/>
    <w:rsid w:val="00802051"/>
    <w:rsid w:val="00807EEF"/>
    <w:rsid w:val="008137EA"/>
    <w:rsid w:val="0082285B"/>
    <w:rsid w:val="00827EC4"/>
    <w:rsid w:val="0083492A"/>
    <w:rsid w:val="00834E38"/>
    <w:rsid w:val="0086284A"/>
    <w:rsid w:val="00864D01"/>
    <w:rsid w:val="00886400"/>
    <w:rsid w:val="0089490E"/>
    <w:rsid w:val="008A7A0F"/>
    <w:rsid w:val="008C2E43"/>
    <w:rsid w:val="008C3A09"/>
    <w:rsid w:val="008C7132"/>
    <w:rsid w:val="008D5AB7"/>
    <w:rsid w:val="008E1EBF"/>
    <w:rsid w:val="008E3EB8"/>
    <w:rsid w:val="008E5E1C"/>
    <w:rsid w:val="008F5620"/>
    <w:rsid w:val="008F72A1"/>
    <w:rsid w:val="00905654"/>
    <w:rsid w:val="009101DE"/>
    <w:rsid w:val="00910A34"/>
    <w:rsid w:val="00921077"/>
    <w:rsid w:val="00924DA3"/>
    <w:rsid w:val="00936A80"/>
    <w:rsid w:val="0094046E"/>
    <w:rsid w:val="009448AE"/>
    <w:rsid w:val="0095371B"/>
    <w:rsid w:val="00957D91"/>
    <w:rsid w:val="009600B9"/>
    <w:rsid w:val="00961D33"/>
    <w:rsid w:val="00965798"/>
    <w:rsid w:val="009660A2"/>
    <w:rsid w:val="00983329"/>
    <w:rsid w:val="00987984"/>
    <w:rsid w:val="00992DB2"/>
    <w:rsid w:val="00994F44"/>
    <w:rsid w:val="009A393F"/>
    <w:rsid w:val="009B519D"/>
    <w:rsid w:val="009C236E"/>
    <w:rsid w:val="009D1684"/>
    <w:rsid w:val="009D3B05"/>
    <w:rsid w:val="009D5A81"/>
    <w:rsid w:val="009F555B"/>
    <w:rsid w:val="009F75D3"/>
    <w:rsid w:val="00A12FCA"/>
    <w:rsid w:val="00A312B8"/>
    <w:rsid w:val="00A35A8C"/>
    <w:rsid w:val="00A45166"/>
    <w:rsid w:val="00A50E16"/>
    <w:rsid w:val="00A672A3"/>
    <w:rsid w:val="00A72B47"/>
    <w:rsid w:val="00A929F4"/>
    <w:rsid w:val="00AA5B00"/>
    <w:rsid w:val="00AB0A10"/>
    <w:rsid w:val="00AC3845"/>
    <w:rsid w:val="00AD3B4F"/>
    <w:rsid w:val="00AE078A"/>
    <w:rsid w:val="00AE7087"/>
    <w:rsid w:val="00AF2281"/>
    <w:rsid w:val="00B064C1"/>
    <w:rsid w:val="00B06E43"/>
    <w:rsid w:val="00B135CA"/>
    <w:rsid w:val="00B16F0A"/>
    <w:rsid w:val="00B35AD1"/>
    <w:rsid w:val="00B6063F"/>
    <w:rsid w:val="00B62093"/>
    <w:rsid w:val="00B77BE6"/>
    <w:rsid w:val="00BA0ED0"/>
    <w:rsid w:val="00BB13DC"/>
    <w:rsid w:val="00BC0EEF"/>
    <w:rsid w:val="00BC51C5"/>
    <w:rsid w:val="00BD0EF7"/>
    <w:rsid w:val="00BD208D"/>
    <w:rsid w:val="00BD4023"/>
    <w:rsid w:val="00BE1055"/>
    <w:rsid w:val="00BF0792"/>
    <w:rsid w:val="00BF661D"/>
    <w:rsid w:val="00BF74F2"/>
    <w:rsid w:val="00C0321A"/>
    <w:rsid w:val="00C06ECE"/>
    <w:rsid w:val="00C14A95"/>
    <w:rsid w:val="00C162E6"/>
    <w:rsid w:val="00C17404"/>
    <w:rsid w:val="00C21BF4"/>
    <w:rsid w:val="00C22222"/>
    <w:rsid w:val="00C25A1C"/>
    <w:rsid w:val="00C40327"/>
    <w:rsid w:val="00C648E4"/>
    <w:rsid w:val="00C65471"/>
    <w:rsid w:val="00C76BC5"/>
    <w:rsid w:val="00C80758"/>
    <w:rsid w:val="00C84C38"/>
    <w:rsid w:val="00C9444E"/>
    <w:rsid w:val="00CA086E"/>
    <w:rsid w:val="00CA30AB"/>
    <w:rsid w:val="00CA4777"/>
    <w:rsid w:val="00CC6DEB"/>
    <w:rsid w:val="00CD7EA0"/>
    <w:rsid w:val="00CE4F10"/>
    <w:rsid w:val="00CF19CE"/>
    <w:rsid w:val="00CF73F3"/>
    <w:rsid w:val="00D056CB"/>
    <w:rsid w:val="00D072F1"/>
    <w:rsid w:val="00D07CF8"/>
    <w:rsid w:val="00D107F9"/>
    <w:rsid w:val="00D12347"/>
    <w:rsid w:val="00D32868"/>
    <w:rsid w:val="00D34833"/>
    <w:rsid w:val="00D4430C"/>
    <w:rsid w:val="00D71956"/>
    <w:rsid w:val="00D80CB9"/>
    <w:rsid w:val="00D9198A"/>
    <w:rsid w:val="00DA0B5C"/>
    <w:rsid w:val="00DC2F4B"/>
    <w:rsid w:val="00DC31CE"/>
    <w:rsid w:val="00DC7DD0"/>
    <w:rsid w:val="00DE3B4B"/>
    <w:rsid w:val="00DF4BA6"/>
    <w:rsid w:val="00E007BD"/>
    <w:rsid w:val="00E032F6"/>
    <w:rsid w:val="00E10F22"/>
    <w:rsid w:val="00E1312B"/>
    <w:rsid w:val="00E2563B"/>
    <w:rsid w:val="00E31F99"/>
    <w:rsid w:val="00E37016"/>
    <w:rsid w:val="00E37617"/>
    <w:rsid w:val="00E41C34"/>
    <w:rsid w:val="00E43074"/>
    <w:rsid w:val="00E566D3"/>
    <w:rsid w:val="00E57F90"/>
    <w:rsid w:val="00E60E14"/>
    <w:rsid w:val="00E82E9B"/>
    <w:rsid w:val="00E95E4C"/>
    <w:rsid w:val="00E97500"/>
    <w:rsid w:val="00EA3AC9"/>
    <w:rsid w:val="00EB75A5"/>
    <w:rsid w:val="00EE08AD"/>
    <w:rsid w:val="00EF2D28"/>
    <w:rsid w:val="00F06BD1"/>
    <w:rsid w:val="00F100F3"/>
    <w:rsid w:val="00F17570"/>
    <w:rsid w:val="00F216B0"/>
    <w:rsid w:val="00F25A66"/>
    <w:rsid w:val="00F44FE6"/>
    <w:rsid w:val="00F51EB3"/>
    <w:rsid w:val="00F55A4E"/>
    <w:rsid w:val="00F55D40"/>
    <w:rsid w:val="00F654CD"/>
    <w:rsid w:val="00F674C1"/>
    <w:rsid w:val="00F72800"/>
    <w:rsid w:val="00F91077"/>
    <w:rsid w:val="00F9546B"/>
    <w:rsid w:val="00F960C9"/>
    <w:rsid w:val="00F960E6"/>
    <w:rsid w:val="00F97983"/>
    <w:rsid w:val="00FD3457"/>
    <w:rsid w:val="00FE0A04"/>
    <w:rsid w:val="00FF5B5A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CD427"/>
  <w15:chartTrackingRefBased/>
  <w15:docId w15:val="{2860338C-BEC3-4527-8199-D98D750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D1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7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57A1"/>
  </w:style>
  <w:style w:type="paragraph" w:styleId="a5">
    <w:name w:val="footer"/>
    <w:basedOn w:val="a"/>
    <w:link w:val="a6"/>
    <w:uiPriority w:val="99"/>
    <w:unhideWhenUsed/>
    <w:rsid w:val="0005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57A1"/>
  </w:style>
  <w:style w:type="character" w:customStyle="1" w:styleId="40">
    <w:name w:val="כותרת 4 תו"/>
    <w:basedOn w:val="a0"/>
    <w:link w:val="4"/>
    <w:uiPriority w:val="9"/>
    <w:semiHidden/>
    <w:rsid w:val="000557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footnote text"/>
    <w:basedOn w:val="a"/>
    <w:link w:val="a8"/>
    <w:uiPriority w:val="99"/>
    <w:semiHidden/>
    <w:unhideWhenUsed/>
    <w:rsid w:val="00AB0A10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AB0A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0A10"/>
    <w:rPr>
      <w:vertAlign w:val="superscript"/>
    </w:rPr>
  </w:style>
  <w:style w:type="paragraph" w:styleId="aa">
    <w:name w:val="List Paragraph"/>
    <w:basedOn w:val="a"/>
    <w:uiPriority w:val="34"/>
    <w:qFormat/>
    <w:rsid w:val="0086284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9D16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Revision"/>
    <w:hidden/>
    <w:uiPriority w:val="99"/>
    <w:semiHidden/>
    <w:rsid w:val="002D0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9C4DBE-BC75-410D-8414-9F44C19DE080}">
  <we:reference id="wa104218065" version="4.2.0.0" store="he-IL" storeType="OMEX"/>
  <we:alternateReferences>
    <we:reference id="WA104218065" version="4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07C3-C0D3-42AE-A3B0-4C93E44C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4480</Characters>
  <Application>Microsoft Office Word</Application>
  <DocSecurity>0</DocSecurity>
  <Lines>64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Gustavsson</dc:creator>
  <cp:keywords/>
  <dc:description/>
  <cp:lastModifiedBy>Michael Gustavsson</cp:lastModifiedBy>
  <cp:revision>2</cp:revision>
  <dcterms:created xsi:type="dcterms:W3CDTF">2023-03-05T21:11:00Z</dcterms:created>
  <dcterms:modified xsi:type="dcterms:W3CDTF">2023-03-05T21:11:00Z</dcterms:modified>
</cp:coreProperties>
</file>