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2962673" w:displacedByCustomXml="next"/>
    <w:bookmarkEnd w:id="0" w:displacedByCustomXml="next"/>
    <w:sdt>
      <w:sdtPr>
        <w:rPr>
          <w:rFonts w:ascii="David" w:eastAsiaTheme="minorHAnsi" w:hAnsi="David"/>
          <w:bCs w:val="0"/>
          <w:sz w:val="22"/>
          <w:szCs w:val="22"/>
          <w:cs w:val="0"/>
          <w:lang w:val="he-IL"/>
        </w:rPr>
        <w:id w:val="-1460105391"/>
        <w:docPartObj>
          <w:docPartGallery w:val="Table of Contents"/>
          <w:docPartUnique/>
        </w:docPartObj>
      </w:sdtPr>
      <w:sdtEndPr>
        <w:rPr>
          <w:lang w:val="en-US"/>
        </w:rPr>
      </w:sdtEndPr>
      <w:sdtContent>
        <w:p w14:paraId="5114AF69" w14:textId="03AB0F74" w:rsidR="00D33427" w:rsidRPr="00AE39BB" w:rsidRDefault="00D33427" w:rsidP="00050205">
          <w:pPr>
            <w:pStyle w:val="a3"/>
            <w:spacing w:line="360" w:lineRule="auto"/>
            <w:rPr>
              <w:rFonts w:ascii="David" w:hAnsi="David"/>
            </w:rPr>
          </w:pPr>
          <w:r w:rsidRPr="00AE39BB">
            <w:rPr>
              <w:rFonts w:ascii="David" w:hAnsi="David"/>
              <w:lang w:val="he-IL"/>
            </w:rPr>
            <w:t>תוכן עניינים</w:t>
          </w:r>
        </w:p>
        <w:p w14:paraId="5F8E14E1" w14:textId="7E55FA5C" w:rsidR="00706C82" w:rsidRDefault="00D33427">
          <w:pPr>
            <w:pStyle w:val="TOC2"/>
            <w:tabs>
              <w:tab w:val="right" w:leader="dot" w:pos="9854"/>
            </w:tabs>
            <w:rPr>
              <w:rFonts w:eastAsiaTheme="minorEastAsia" w:cstheme="minorBidi"/>
              <w:noProof/>
              <w:rtl/>
            </w:rPr>
          </w:pPr>
          <w:r w:rsidRPr="00AE39BB">
            <w:rPr>
              <w:rFonts w:ascii="David" w:hAnsi="David"/>
            </w:rPr>
            <w:fldChar w:fldCharType="begin"/>
          </w:r>
          <w:r w:rsidRPr="00AE39BB">
            <w:rPr>
              <w:rFonts w:ascii="David" w:hAnsi="David"/>
            </w:rPr>
            <w:instrText xml:space="preserve"> TOC \o "1-3" \h \z \u </w:instrText>
          </w:r>
          <w:r w:rsidRPr="00AE39BB">
            <w:rPr>
              <w:rFonts w:ascii="David" w:hAnsi="David"/>
            </w:rPr>
            <w:fldChar w:fldCharType="separate"/>
          </w:r>
          <w:hyperlink w:anchor="_Toc107438149" w:history="1">
            <w:r w:rsidR="00706C82" w:rsidRPr="00C551AA">
              <w:rPr>
                <w:rStyle w:val="Hyperlink"/>
                <w:noProof/>
                <w:rtl/>
              </w:rPr>
              <w:t>מבוא</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Toc107438149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1</w:t>
            </w:r>
            <w:r w:rsidR="00706C82">
              <w:rPr>
                <w:noProof/>
                <w:webHidden/>
                <w:rtl/>
              </w:rPr>
              <w:fldChar w:fldCharType="end"/>
            </w:r>
          </w:hyperlink>
        </w:p>
        <w:p w14:paraId="68C3D294" w14:textId="7AA66475" w:rsidR="00706C82" w:rsidRDefault="00000000">
          <w:pPr>
            <w:pStyle w:val="TOC2"/>
            <w:tabs>
              <w:tab w:val="right" w:leader="dot" w:pos="9854"/>
            </w:tabs>
            <w:rPr>
              <w:rFonts w:eastAsiaTheme="minorEastAsia" w:cstheme="minorBidi"/>
              <w:noProof/>
              <w:rtl/>
            </w:rPr>
          </w:pPr>
          <w:hyperlink w:anchor="_Toc107438150" w:history="1">
            <w:r w:rsidR="00706C82" w:rsidRPr="00C551AA">
              <w:rPr>
                <w:rStyle w:val="Hyperlink"/>
                <w:noProof/>
                <w:rtl/>
              </w:rPr>
              <w:t>ההיסטוריה של בית הדין הרבני והרבנות הראשית</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Toc107438150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2</w:t>
            </w:r>
            <w:r w:rsidR="00706C82">
              <w:rPr>
                <w:noProof/>
                <w:webHidden/>
                <w:rtl/>
              </w:rPr>
              <w:fldChar w:fldCharType="end"/>
            </w:r>
          </w:hyperlink>
        </w:p>
        <w:p w14:paraId="3B72659C" w14:textId="3FA9C195" w:rsidR="00706C82" w:rsidRDefault="00000000">
          <w:pPr>
            <w:pStyle w:val="TOC2"/>
            <w:tabs>
              <w:tab w:val="right" w:leader="dot" w:pos="9854"/>
            </w:tabs>
            <w:rPr>
              <w:rFonts w:eastAsiaTheme="minorEastAsia" w:cstheme="minorBidi"/>
              <w:noProof/>
              <w:rtl/>
            </w:rPr>
          </w:pPr>
          <w:hyperlink w:anchor="_Toc107438151" w:history="1">
            <w:r w:rsidR="00706C82" w:rsidRPr="00C551AA">
              <w:rPr>
                <w:rStyle w:val="Hyperlink"/>
                <w:noProof/>
                <w:rtl/>
              </w:rPr>
              <w:t>הכפפת מוסד הרבנות לדין הישראל</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Toc107438151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2</w:t>
            </w:r>
            <w:r w:rsidR="00706C82">
              <w:rPr>
                <w:noProof/>
                <w:webHidden/>
                <w:rtl/>
              </w:rPr>
              <w:fldChar w:fldCharType="end"/>
            </w:r>
          </w:hyperlink>
        </w:p>
        <w:p w14:paraId="2EB0F674" w14:textId="0B4FC23F" w:rsidR="00706C82" w:rsidRDefault="00000000">
          <w:pPr>
            <w:pStyle w:val="TOC2"/>
            <w:tabs>
              <w:tab w:val="right" w:leader="dot" w:pos="9854"/>
            </w:tabs>
            <w:rPr>
              <w:rFonts w:eastAsiaTheme="minorEastAsia" w:cstheme="minorBidi"/>
              <w:noProof/>
              <w:rtl/>
            </w:rPr>
          </w:pPr>
          <w:hyperlink w:anchor="_Toc107438152" w:history="1">
            <w:r w:rsidR="00706C82" w:rsidRPr="00C551AA">
              <w:rPr>
                <w:rStyle w:val="Hyperlink"/>
                <w:noProof/>
                <w:rtl/>
              </w:rPr>
              <w:t>היחס לעליונות בית המשפט עליון לעומת בית הדין הרבני:</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Toc107438152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4</w:t>
            </w:r>
            <w:r w:rsidR="00706C82">
              <w:rPr>
                <w:noProof/>
                <w:webHidden/>
                <w:rtl/>
              </w:rPr>
              <w:fldChar w:fldCharType="end"/>
            </w:r>
          </w:hyperlink>
        </w:p>
        <w:p w14:paraId="55EB7F61" w14:textId="50C65865" w:rsidR="00706C82" w:rsidRDefault="00000000">
          <w:pPr>
            <w:pStyle w:val="TOC2"/>
            <w:tabs>
              <w:tab w:val="right" w:leader="dot" w:pos="9854"/>
            </w:tabs>
            <w:rPr>
              <w:rFonts w:eastAsiaTheme="minorEastAsia" w:cstheme="minorBidi"/>
              <w:noProof/>
              <w:rtl/>
            </w:rPr>
          </w:pPr>
          <w:hyperlink w:anchor="_Toc107438153" w:history="1">
            <w:r w:rsidR="00706C82" w:rsidRPr="00C551AA">
              <w:rPr>
                <w:rStyle w:val="Hyperlink"/>
                <w:noProof/>
                <w:rtl/>
              </w:rPr>
              <w:t>בתי דין פרטיים מול רשמיים</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Toc107438153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5</w:t>
            </w:r>
            <w:r w:rsidR="00706C82">
              <w:rPr>
                <w:noProof/>
                <w:webHidden/>
                <w:rtl/>
              </w:rPr>
              <w:fldChar w:fldCharType="end"/>
            </w:r>
          </w:hyperlink>
        </w:p>
        <w:p w14:paraId="468291C4" w14:textId="49F85538" w:rsidR="00706C82" w:rsidRDefault="00000000">
          <w:pPr>
            <w:pStyle w:val="TOC2"/>
            <w:tabs>
              <w:tab w:val="right" w:leader="dot" w:pos="9854"/>
            </w:tabs>
            <w:rPr>
              <w:rFonts w:eastAsiaTheme="minorEastAsia" w:cstheme="minorBidi"/>
              <w:noProof/>
              <w:rtl/>
            </w:rPr>
          </w:pPr>
          <w:hyperlink w:anchor="_Toc107438154" w:history="1">
            <w:r w:rsidR="00706C82" w:rsidRPr="00C551AA">
              <w:rPr>
                <w:rStyle w:val="Hyperlink"/>
                <w:noProof/>
                <w:rtl/>
              </w:rPr>
              <w:t>סוגית הערעור על בתי הדין הרבניים:</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Toc107438154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6</w:t>
            </w:r>
            <w:r w:rsidR="00706C82">
              <w:rPr>
                <w:noProof/>
                <w:webHidden/>
                <w:rtl/>
              </w:rPr>
              <w:fldChar w:fldCharType="end"/>
            </w:r>
          </w:hyperlink>
        </w:p>
        <w:p w14:paraId="1A1EEAC4" w14:textId="21C6F6A9" w:rsidR="00706C82" w:rsidRDefault="00000000">
          <w:pPr>
            <w:pStyle w:val="TOC2"/>
            <w:tabs>
              <w:tab w:val="right" w:leader="dot" w:pos="9854"/>
            </w:tabs>
            <w:rPr>
              <w:rFonts w:eastAsiaTheme="minorEastAsia" w:cstheme="minorBidi"/>
              <w:noProof/>
              <w:rtl/>
            </w:rPr>
          </w:pPr>
          <w:hyperlink w:anchor="_Toc107438155" w:history="1">
            <w:r w:rsidR="00706C82" w:rsidRPr="00C551AA">
              <w:rPr>
                <w:rStyle w:val="Hyperlink"/>
                <w:noProof/>
                <w:rtl/>
              </w:rPr>
              <w:t>מוסד הנימוק</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Toc107438155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10</w:t>
            </w:r>
            <w:r w:rsidR="00706C82">
              <w:rPr>
                <w:noProof/>
                <w:webHidden/>
                <w:rtl/>
              </w:rPr>
              <w:fldChar w:fldCharType="end"/>
            </w:r>
          </w:hyperlink>
        </w:p>
        <w:p w14:paraId="2F211D86" w14:textId="378DDD61" w:rsidR="00706C82" w:rsidRDefault="00000000">
          <w:pPr>
            <w:pStyle w:val="TOC2"/>
            <w:tabs>
              <w:tab w:val="right" w:leader="dot" w:pos="9854"/>
            </w:tabs>
            <w:rPr>
              <w:rFonts w:eastAsiaTheme="minorEastAsia" w:cstheme="minorBidi"/>
              <w:noProof/>
              <w:rtl/>
            </w:rPr>
          </w:pPr>
          <w:hyperlink w:anchor="_Toc107438156" w:history="1">
            <w:r w:rsidR="00706C82" w:rsidRPr="00C551AA">
              <w:rPr>
                <w:rStyle w:val="Hyperlink"/>
                <w:noProof/>
                <w:rtl/>
              </w:rPr>
              <w:t>בתי דין וראיות</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Toc107438156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11</w:t>
            </w:r>
            <w:r w:rsidR="00706C82">
              <w:rPr>
                <w:noProof/>
                <w:webHidden/>
                <w:rtl/>
              </w:rPr>
              <w:fldChar w:fldCharType="end"/>
            </w:r>
          </w:hyperlink>
        </w:p>
        <w:p w14:paraId="247659A0" w14:textId="3DC5D5CB" w:rsidR="00706C82" w:rsidRDefault="00000000">
          <w:pPr>
            <w:pStyle w:val="TOC2"/>
            <w:tabs>
              <w:tab w:val="right" w:leader="dot" w:pos="9854"/>
            </w:tabs>
            <w:rPr>
              <w:rFonts w:eastAsiaTheme="minorEastAsia" w:cstheme="minorBidi"/>
              <w:noProof/>
              <w:rtl/>
            </w:rPr>
          </w:pPr>
          <w:hyperlink w:anchor="_Toc107438157" w:history="1">
            <w:r w:rsidR="00706C82" w:rsidRPr="00C551AA">
              <w:rPr>
                <w:rStyle w:val="Hyperlink"/>
                <w:noProof/>
                <w:rtl/>
              </w:rPr>
              <w:t>עדות קידושין - שיעור מהתאריך</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Toc107438157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17</w:t>
            </w:r>
            <w:r w:rsidR="00706C82">
              <w:rPr>
                <w:noProof/>
                <w:webHidden/>
                <w:rtl/>
              </w:rPr>
              <w:fldChar w:fldCharType="end"/>
            </w:r>
          </w:hyperlink>
        </w:p>
        <w:p w14:paraId="6B590E96" w14:textId="3CAFA0B0" w:rsidR="00706C82" w:rsidRDefault="00000000">
          <w:pPr>
            <w:pStyle w:val="TOC2"/>
            <w:tabs>
              <w:tab w:val="right" w:leader="dot" w:pos="9854"/>
            </w:tabs>
            <w:rPr>
              <w:rFonts w:eastAsiaTheme="minorEastAsia" w:cstheme="minorBidi"/>
              <w:noProof/>
              <w:rtl/>
            </w:rPr>
          </w:pPr>
          <w:hyperlink w:anchor="_Toc107438158" w:history="1">
            <w:r w:rsidR="00706C82" w:rsidRPr="00C551AA">
              <w:rPr>
                <w:rStyle w:val="Hyperlink"/>
                <w:noProof/>
                <w:rtl/>
              </w:rPr>
              <w:t>כושר לנישואין וטקס הנישואין</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Toc107438158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19</w:t>
            </w:r>
            <w:r w:rsidR="00706C82">
              <w:rPr>
                <w:noProof/>
                <w:webHidden/>
                <w:rtl/>
              </w:rPr>
              <w:fldChar w:fldCharType="end"/>
            </w:r>
          </w:hyperlink>
        </w:p>
        <w:p w14:paraId="52918AED" w14:textId="7B477214" w:rsidR="00706C82" w:rsidRDefault="00000000">
          <w:pPr>
            <w:pStyle w:val="TOC2"/>
            <w:tabs>
              <w:tab w:val="right" w:leader="dot" w:pos="9854"/>
            </w:tabs>
            <w:rPr>
              <w:rFonts w:eastAsiaTheme="minorEastAsia" w:cstheme="minorBidi"/>
              <w:noProof/>
              <w:rtl/>
            </w:rPr>
          </w:pPr>
          <w:hyperlink w:anchor="_Toc107438159" w:history="1">
            <w:r w:rsidR="00706C82" w:rsidRPr="00C551AA">
              <w:rPr>
                <w:rStyle w:val="Hyperlink"/>
                <w:noProof/>
                <w:rtl/>
              </w:rPr>
              <w:t>גיל הנישואין</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Toc107438159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21</w:t>
            </w:r>
            <w:r w:rsidR="00706C82">
              <w:rPr>
                <w:noProof/>
                <w:webHidden/>
                <w:rtl/>
              </w:rPr>
              <w:fldChar w:fldCharType="end"/>
            </w:r>
          </w:hyperlink>
        </w:p>
        <w:p w14:paraId="348B7872" w14:textId="07C9E9A5" w:rsidR="00706C82" w:rsidRDefault="00000000">
          <w:pPr>
            <w:pStyle w:val="TOC2"/>
            <w:tabs>
              <w:tab w:val="right" w:leader="dot" w:pos="9854"/>
            </w:tabs>
            <w:rPr>
              <w:rFonts w:eastAsiaTheme="minorEastAsia" w:cstheme="minorBidi"/>
              <w:noProof/>
              <w:rtl/>
            </w:rPr>
          </w:pPr>
          <w:hyperlink w:anchor="_Toc107438160" w:history="1">
            <w:r w:rsidR="00706C82" w:rsidRPr="00C551AA">
              <w:rPr>
                <w:rStyle w:val="Hyperlink"/>
                <w:noProof/>
                <w:rtl/>
              </w:rPr>
              <w:t>ריבוי נישואין</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Toc107438160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23</w:t>
            </w:r>
            <w:r w:rsidR="00706C82">
              <w:rPr>
                <w:noProof/>
                <w:webHidden/>
                <w:rtl/>
              </w:rPr>
              <w:fldChar w:fldCharType="end"/>
            </w:r>
          </w:hyperlink>
        </w:p>
        <w:p w14:paraId="659878CA" w14:textId="10D21489" w:rsidR="00706C82" w:rsidRDefault="00000000">
          <w:pPr>
            <w:pStyle w:val="TOC2"/>
            <w:tabs>
              <w:tab w:val="right" w:leader="dot" w:pos="9854"/>
            </w:tabs>
            <w:rPr>
              <w:rFonts w:eastAsiaTheme="minorEastAsia" w:cstheme="minorBidi"/>
              <w:noProof/>
              <w:rtl/>
            </w:rPr>
          </w:pPr>
          <w:hyperlink w:anchor="_Toc107438161" w:history="1">
            <w:r w:rsidR="00706C82" w:rsidRPr="00C551AA">
              <w:rPr>
                <w:rStyle w:val="Hyperlink"/>
                <w:noProof/>
                <w:rtl/>
              </w:rPr>
              <w:t>טקס הקידושין</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Toc107438161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29</w:t>
            </w:r>
            <w:r w:rsidR="00706C82">
              <w:rPr>
                <w:noProof/>
                <w:webHidden/>
                <w:rtl/>
              </w:rPr>
              <w:fldChar w:fldCharType="end"/>
            </w:r>
          </w:hyperlink>
        </w:p>
        <w:p w14:paraId="255ED33F" w14:textId="3F701877" w:rsidR="00706C82" w:rsidRDefault="00000000">
          <w:pPr>
            <w:pStyle w:val="TOC2"/>
            <w:tabs>
              <w:tab w:val="right" w:leader="dot" w:pos="9854"/>
            </w:tabs>
            <w:rPr>
              <w:rFonts w:eastAsiaTheme="minorEastAsia" w:cstheme="minorBidi"/>
              <w:noProof/>
              <w:rtl/>
            </w:rPr>
          </w:pPr>
          <w:hyperlink w:anchor="_Toc107438162" w:history="1">
            <w:r w:rsidR="00706C82" w:rsidRPr="00C551AA">
              <w:rPr>
                <w:rStyle w:val="Hyperlink"/>
                <w:noProof/>
                <w:rtl/>
              </w:rPr>
              <w:t>ייבום חליצה</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Toc107438162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33</w:t>
            </w:r>
            <w:r w:rsidR="00706C82">
              <w:rPr>
                <w:noProof/>
                <w:webHidden/>
                <w:rtl/>
              </w:rPr>
              <w:fldChar w:fldCharType="end"/>
            </w:r>
          </w:hyperlink>
        </w:p>
        <w:p w14:paraId="41DAE703" w14:textId="45AB3BC0" w:rsidR="00706C82" w:rsidRDefault="00000000">
          <w:pPr>
            <w:pStyle w:val="TOC2"/>
            <w:tabs>
              <w:tab w:val="right" w:leader="dot" w:pos="9854"/>
            </w:tabs>
            <w:rPr>
              <w:rFonts w:eastAsiaTheme="minorEastAsia" w:cstheme="minorBidi"/>
              <w:noProof/>
              <w:rtl/>
            </w:rPr>
          </w:pPr>
          <w:hyperlink w:anchor="_Toc107438163" w:history="1">
            <w:r w:rsidR="00706C82" w:rsidRPr="00C551AA">
              <w:rPr>
                <w:rStyle w:val="Hyperlink"/>
                <w:noProof/>
                <w:rtl/>
              </w:rPr>
              <w:t>נישואין אזרחים</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Toc107438163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37</w:t>
            </w:r>
            <w:r w:rsidR="00706C82">
              <w:rPr>
                <w:noProof/>
                <w:webHidden/>
                <w:rtl/>
              </w:rPr>
              <w:fldChar w:fldCharType="end"/>
            </w:r>
          </w:hyperlink>
        </w:p>
        <w:p w14:paraId="05DD30BD" w14:textId="6E119B01" w:rsidR="00706C82" w:rsidRDefault="00000000">
          <w:pPr>
            <w:pStyle w:val="TOC2"/>
            <w:tabs>
              <w:tab w:val="right" w:leader="dot" w:pos="9854"/>
            </w:tabs>
            <w:rPr>
              <w:rFonts w:eastAsiaTheme="minorEastAsia" w:cstheme="minorBidi"/>
              <w:noProof/>
              <w:rtl/>
            </w:rPr>
          </w:pPr>
          <w:hyperlink w:anchor="_Toc107438164" w:history="1">
            <w:r w:rsidR="00706C82" w:rsidRPr="00C551AA">
              <w:rPr>
                <w:rStyle w:val="Hyperlink"/>
                <w:noProof/>
                <w:rtl/>
              </w:rPr>
              <w:t>גירושין</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Toc107438164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42</w:t>
            </w:r>
            <w:r w:rsidR="00706C82">
              <w:rPr>
                <w:noProof/>
                <w:webHidden/>
                <w:rtl/>
              </w:rPr>
              <w:fldChar w:fldCharType="end"/>
            </w:r>
          </w:hyperlink>
        </w:p>
        <w:p w14:paraId="11A3838D" w14:textId="4C7B6E2D" w:rsidR="00706C82" w:rsidRDefault="00000000">
          <w:pPr>
            <w:pStyle w:val="TOC2"/>
            <w:tabs>
              <w:tab w:val="right" w:leader="dot" w:pos="9854"/>
            </w:tabs>
            <w:rPr>
              <w:rFonts w:eastAsiaTheme="minorEastAsia" w:cstheme="minorBidi"/>
              <w:noProof/>
              <w:rtl/>
            </w:rPr>
          </w:pPr>
          <w:hyperlink w:anchor="_Toc107438165" w:history="1">
            <w:r w:rsidR="00706C82" w:rsidRPr="00C551AA">
              <w:rPr>
                <w:rStyle w:val="Hyperlink"/>
                <w:noProof/>
                <w:rtl/>
              </w:rPr>
              <w:t>סרבנות גט ועילות גירושין</w:t>
            </w:r>
            <w:r w:rsidR="00706C82">
              <w:rPr>
                <w:noProof/>
                <w:webHidden/>
                <w:rtl/>
              </w:rPr>
              <w:tab/>
            </w:r>
            <w:r w:rsidR="00706C82">
              <w:rPr>
                <w:noProof/>
                <w:webHidden/>
                <w:rtl/>
              </w:rPr>
              <w:fldChar w:fldCharType="begin"/>
            </w:r>
            <w:r w:rsidR="00706C82">
              <w:rPr>
                <w:noProof/>
                <w:webHidden/>
                <w:rtl/>
              </w:rPr>
              <w:instrText xml:space="preserve"> </w:instrText>
            </w:r>
            <w:r w:rsidR="00706C82">
              <w:rPr>
                <w:noProof/>
                <w:webHidden/>
              </w:rPr>
              <w:instrText>PAGEREF</w:instrText>
            </w:r>
            <w:r w:rsidR="00706C82">
              <w:rPr>
                <w:noProof/>
                <w:webHidden/>
                <w:rtl/>
              </w:rPr>
              <w:instrText xml:space="preserve"> _</w:instrText>
            </w:r>
            <w:r w:rsidR="00706C82">
              <w:rPr>
                <w:noProof/>
                <w:webHidden/>
              </w:rPr>
              <w:instrText>Toc107438165 \h</w:instrText>
            </w:r>
            <w:r w:rsidR="00706C82">
              <w:rPr>
                <w:noProof/>
                <w:webHidden/>
                <w:rtl/>
              </w:rPr>
              <w:instrText xml:space="preserve"> </w:instrText>
            </w:r>
            <w:r w:rsidR="00706C82">
              <w:rPr>
                <w:noProof/>
                <w:webHidden/>
                <w:rtl/>
              </w:rPr>
            </w:r>
            <w:r w:rsidR="00706C82">
              <w:rPr>
                <w:noProof/>
                <w:webHidden/>
                <w:rtl/>
              </w:rPr>
              <w:fldChar w:fldCharType="separate"/>
            </w:r>
            <w:r w:rsidR="00706C82">
              <w:rPr>
                <w:noProof/>
                <w:webHidden/>
                <w:rtl/>
              </w:rPr>
              <w:t>43</w:t>
            </w:r>
            <w:r w:rsidR="00706C82">
              <w:rPr>
                <w:noProof/>
                <w:webHidden/>
                <w:rtl/>
              </w:rPr>
              <w:fldChar w:fldCharType="end"/>
            </w:r>
          </w:hyperlink>
        </w:p>
        <w:p w14:paraId="219A3AD2" w14:textId="48FA773D" w:rsidR="00D33427" w:rsidRPr="00AE39BB" w:rsidRDefault="00D33427" w:rsidP="00050205">
          <w:pPr>
            <w:rPr>
              <w:rFonts w:ascii="David" w:hAnsi="David"/>
            </w:rPr>
          </w:pPr>
          <w:r w:rsidRPr="00AE39BB">
            <w:rPr>
              <w:rFonts w:ascii="David" w:hAnsi="David"/>
              <w:b/>
              <w:bCs/>
              <w:lang w:val="he-IL"/>
            </w:rPr>
            <w:fldChar w:fldCharType="end"/>
          </w:r>
        </w:p>
      </w:sdtContent>
    </w:sdt>
    <w:p w14:paraId="4F0E39DE" w14:textId="713BE89A" w:rsidR="008458B2" w:rsidRDefault="00692A99" w:rsidP="00EF0BAB">
      <w:pPr>
        <w:pBdr>
          <w:top w:val="single" w:sz="4" w:space="1" w:color="auto"/>
        </w:pBdr>
        <w:rPr>
          <w:rtl/>
        </w:rPr>
      </w:pPr>
      <w:r>
        <w:rPr>
          <w:rFonts w:hint="cs"/>
          <w:rtl/>
        </w:rPr>
        <w:t xml:space="preserve">שיעור </w:t>
      </w:r>
      <w:r w:rsidR="007D035D">
        <w:rPr>
          <w:rFonts w:hint="cs"/>
          <w:rtl/>
        </w:rPr>
        <w:t>06</w:t>
      </w:r>
      <w:r w:rsidR="00EF0BAB">
        <w:rPr>
          <w:rFonts w:hint="cs"/>
          <w:rtl/>
        </w:rPr>
        <w:t>.03.2022</w:t>
      </w:r>
    </w:p>
    <w:p w14:paraId="3C5B9043" w14:textId="63B5C332" w:rsidR="00067C1D" w:rsidRPr="00AE39BB" w:rsidRDefault="00DC11AE" w:rsidP="004C7EB3">
      <w:pPr>
        <w:pStyle w:val="21"/>
        <w:rPr>
          <w:b/>
          <w:sz w:val="22"/>
          <w:szCs w:val="22"/>
          <w:rtl/>
        </w:rPr>
      </w:pPr>
      <w:bookmarkStart w:id="1" w:name="_Toc107438149"/>
      <w:r>
        <w:rPr>
          <w:rFonts w:hint="cs"/>
          <w:rtl/>
        </w:rPr>
        <w:t>מבוא</w:t>
      </w:r>
      <w:bookmarkEnd w:id="1"/>
    </w:p>
    <w:p w14:paraId="40CC119D" w14:textId="7706C935" w:rsidR="00FB008B" w:rsidRPr="007337FB" w:rsidRDefault="001039FC" w:rsidP="007337FB">
      <w:pPr>
        <w:shd w:val="clear" w:color="auto" w:fill="FFF4CD" w:themeFill="accent1" w:themeFillTint="33"/>
        <w:rPr>
          <w:rFonts w:ascii="David" w:hAnsi="David"/>
          <w:b/>
          <w:bCs/>
        </w:rPr>
      </w:pPr>
      <w:r w:rsidRPr="007337FB">
        <w:rPr>
          <w:rFonts w:ascii="David" w:hAnsi="David" w:hint="cs"/>
          <w:b/>
          <w:bCs/>
          <w:rtl/>
        </w:rPr>
        <w:t>מה</w:t>
      </w:r>
      <w:r w:rsidR="00480E99" w:rsidRPr="007337FB">
        <w:rPr>
          <w:rFonts w:ascii="David" w:hAnsi="David" w:hint="cs"/>
          <w:b/>
          <w:bCs/>
          <w:rtl/>
        </w:rPr>
        <w:t xml:space="preserve"> נכלל בתוך היסודות ההלכתיים של דיני המשפחה?</w:t>
      </w:r>
      <w:r w:rsidRPr="007337FB">
        <w:rPr>
          <w:rFonts w:ascii="David" w:hAnsi="David" w:hint="cs"/>
          <w:b/>
          <w:bCs/>
          <w:rtl/>
        </w:rPr>
        <w:t xml:space="preserve"> </w:t>
      </w:r>
    </w:p>
    <w:p w14:paraId="78C41D47" w14:textId="03AF02BA" w:rsidR="00E36176" w:rsidRDefault="00480E99" w:rsidP="00465590">
      <w:pPr>
        <w:pStyle w:val="ac"/>
        <w:numPr>
          <w:ilvl w:val="1"/>
          <w:numId w:val="1"/>
        </w:numPr>
        <w:bidi/>
        <w:rPr>
          <w:rFonts w:ascii="David" w:hAnsi="David"/>
          <w:sz w:val="22"/>
        </w:rPr>
      </w:pPr>
      <w:r>
        <w:rPr>
          <w:rFonts w:ascii="David" w:hAnsi="David" w:hint="cs"/>
          <w:sz w:val="22"/>
          <w:rtl/>
        </w:rPr>
        <w:t xml:space="preserve">דיני משפחה זה תחום מאוד רחב, </w:t>
      </w:r>
      <w:r w:rsidR="00E95FD0">
        <w:rPr>
          <w:rFonts w:ascii="David" w:hAnsi="David" w:hint="cs"/>
          <w:sz w:val="22"/>
          <w:rtl/>
        </w:rPr>
        <w:t>ואנחנו נתעסק בכמה סוגיות מרכזיות ובכל אחת מהסוגיות ניגע ביסודות שלה.</w:t>
      </w:r>
      <w:r w:rsidR="00B00DA4">
        <w:rPr>
          <w:rFonts w:ascii="David" w:hAnsi="David" w:hint="cs"/>
          <w:sz w:val="22"/>
          <w:rtl/>
        </w:rPr>
        <w:t xml:space="preserve"> אנחנו נעסוק בתחומים שההלכה היא מהמשפט הישראלי.</w:t>
      </w:r>
      <w:r w:rsidR="009B52C2">
        <w:rPr>
          <w:rFonts w:ascii="David" w:hAnsi="David" w:hint="cs"/>
          <w:sz w:val="22"/>
          <w:rtl/>
        </w:rPr>
        <w:t xml:space="preserve"> שתי חטיבות: </w:t>
      </w:r>
      <w:r w:rsidR="009B52C2" w:rsidRPr="00AE5875">
        <w:rPr>
          <w:rFonts w:ascii="David" w:hAnsi="David" w:hint="cs"/>
          <w:sz w:val="22"/>
          <w:u w:val="single"/>
          <w:rtl/>
        </w:rPr>
        <w:t>חטיבה ראשונה</w:t>
      </w:r>
      <w:r w:rsidR="009B52C2">
        <w:rPr>
          <w:rFonts w:ascii="David" w:hAnsi="David" w:hint="cs"/>
          <w:sz w:val="22"/>
          <w:rtl/>
        </w:rPr>
        <w:t xml:space="preserve"> (וקטנה יותר) </w:t>
      </w:r>
      <w:r w:rsidR="009B52C2">
        <w:rPr>
          <w:rFonts w:ascii="David" w:hAnsi="David"/>
          <w:sz w:val="22"/>
          <w:rtl/>
        </w:rPr>
        <w:t>–</w:t>
      </w:r>
      <w:r w:rsidR="009B52C2">
        <w:rPr>
          <w:rFonts w:ascii="David" w:hAnsi="David" w:hint="cs"/>
          <w:sz w:val="22"/>
          <w:rtl/>
        </w:rPr>
        <w:t xml:space="preserve"> נעסוק במוסד בית הדין הרבני</w:t>
      </w:r>
      <w:r w:rsidR="00CB598B">
        <w:rPr>
          <w:rFonts w:ascii="David" w:hAnsi="David" w:hint="cs"/>
          <w:sz w:val="22"/>
          <w:rtl/>
        </w:rPr>
        <w:t>: נעסוק בהיסטוריה, סדרי הדין, דיני ראיות</w:t>
      </w:r>
      <w:r w:rsidR="00E614BC">
        <w:rPr>
          <w:rFonts w:ascii="David" w:hAnsi="David" w:hint="cs"/>
          <w:sz w:val="22"/>
          <w:rtl/>
        </w:rPr>
        <w:t xml:space="preserve"> ייחודיים</w:t>
      </w:r>
      <w:r w:rsidR="00917334">
        <w:rPr>
          <w:rFonts w:ascii="David" w:hAnsi="David" w:hint="cs"/>
          <w:sz w:val="22"/>
          <w:rtl/>
        </w:rPr>
        <w:t xml:space="preserve">; </w:t>
      </w:r>
      <w:r w:rsidR="00917334" w:rsidRPr="00AE5875">
        <w:rPr>
          <w:rFonts w:ascii="David" w:hAnsi="David" w:hint="cs"/>
          <w:sz w:val="22"/>
          <w:u w:val="single"/>
          <w:rtl/>
        </w:rPr>
        <w:t>והחטיבה השנייה</w:t>
      </w:r>
      <w:r w:rsidR="00917334">
        <w:rPr>
          <w:rFonts w:ascii="David" w:hAnsi="David" w:hint="cs"/>
          <w:sz w:val="22"/>
          <w:rtl/>
        </w:rPr>
        <w:t xml:space="preserve"> </w:t>
      </w:r>
      <w:r w:rsidR="00E614BC">
        <w:rPr>
          <w:rFonts w:ascii="David" w:hAnsi="David"/>
          <w:sz w:val="22"/>
          <w:rtl/>
        </w:rPr>
        <w:t>–</w:t>
      </w:r>
      <w:r w:rsidR="00917334">
        <w:rPr>
          <w:rFonts w:ascii="David" w:hAnsi="David" w:hint="cs"/>
          <w:sz w:val="22"/>
          <w:rtl/>
        </w:rPr>
        <w:t xml:space="preserve"> </w:t>
      </w:r>
      <w:r w:rsidR="00E614BC">
        <w:rPr>
          <w:rFonts w:ascii="David" w:hAnsi="David" w:hint="cs"/>
          <w:sz w:val="22"/>
          <w:rtl/>
        </w:rPr>
        <w:t>נעסוק בדיני המשפחה ב</w:t>
      </w:r>
      <w:r w:rsidR="0053204D">
        <w:rPr>
          <w:rFonts w:ascii="David" w:hAnsi="David" w:hint="cs"/>
          <w:sz w:val="22"/>
          <w:rtl/>
        </w:rPr>
        <w:t>מסגרת הסמכות של בית הדין הזה: כושר וכשירות להינשא, נישואים וגירושין</w:t>
      </w:r>
      <w:r w:rsidR="00EF0DC7">
        <w:rPr>
          <w:rFonts w:ascii="David" w:hAnsi="David" w:hint="cs"/>
          <w:sz w:val="22"/>
          <w:rtl/>
        </w:rPr>
        <w:t>.</w:t>
      </w:r>
      <w:r w:rsidR="00720BFD">
        <w:rPr>
          <w:rFonts w:ascii="David" w:hAnsi="David" w:hint="cs"/>
          <w:sz w:val="22"/>
          <w:rtl/>
        </w:rPr>
        <w:t xml:space="preserve"> החלק שלא נעסוק</w:t>
      </w:r>
      <w:r w:rsidR="003251DD">
        <w:rPr>
          <w:rFonts w:ascii="David" w:hAnsi="David" w:hint="cs"/>
          <w:sz w:val="22"/>
          <w:rtl/>
        </w:rPr>
        <w:t xml:space="preserve"> בו הוא החלק של חיובים בין בני זוג (לדוג' חוק יחסי ממון</w:t>
      </w:r>
      <w:r w:rsidR="00BB290A">
        <w:rPr>
          <w:rFonts w:ascii="David" w:hAnsi="David" w:hint="cs"/>
          <w:sz w:val="22"/>
          <w:rtl/>
        </w:rPr>
        <w:t>, כתובה, רכוש</w:t>
      </w:r>
      <w:r w:rsidR="003251DD">
        <w:rPr>
          <w:rFonts w:ascii="David" w:hAnsi="David" w:hint="cs"/>
          <w:sz w:val="22"/>
          <w:rtl/>
        </w:rPr>
        <w:t>).</w:t>
      </w:r>
      <w:r w:rsidR="00913A1F">
        <w:rPr>
          <w:rFonts w:ascii="David" w:hAnsi="David" w:hint="cs"/>
          <w:sz w:val="22"/>
          <w:rtl/>
        </w:rPr>
        <w:t xml:space="preserve"> במשפט הישראלי יש הבחנה קריטית בין נישואין וגירושין לבין חיובים </w:t>
      </w:r>
      <w:r w:rsidR="004B2544">
        <w:rPr>
          <w:rFonts w:ascii="David" w:hAnsi="David" w:hint="cs"/>
          <w:sz w:val="22"/>
          <w:rtl/>
        </w:rPr>
        <w:t>-</w:t>
      </w:r>
      <w:r w:rsidR="00913A1F">
        <w:rPr>
          <w:rFonts w:ascii="David" w:hAnsi="David" w:hint="cs"/>
          <w:sz w:val="22"/>
          <w:rtl/>
        </w:rPr>
        <w:t xml:space="preserve"> בעוד גירושין ונישואין זה סמכות ייחודית</w:t>
      </w:r>
      <w:r w:rsidR="00160760">
        <w:rPr>
          <w:rFonts w:ascii="David" w:hAnsi="David" w:hint="cs"/>
          <w:sz w:val="22"/>
          <w:rtl/>
        </w:rPr>
        <w:t xml:space="preserve"> של ביד"ר</w:t>
      </w:r>
      <w:r w:rsidR="00913A1F">
        <w:rPr>
          <w:rFonts w:ascii="David" w:hAnsi="David" w:hint="cs"/>
          <w:sz w:val="22"/>
          <w:rtl/>
        </w:rPr>
        <w:t>, חיובים זו סמכות מקבילה</w:t>
      </w:r>
      <w:r w:rsidR="00160760">
        <w:rPr>
          <w:rFonts w:ascii="David" w:hAnsi="David" w:hint="cs"/>
          <w:sz w:val="22"/>
          <w:rtl/>
        </w:rPr>
        <w:t xml:space="preserve"> גם לביהמ"ש</w:t>
      </w:r>
      <w:r w:rsidR="00913A1F">
        <w:rPr>
          <w:rFonts w:ascii="David" w:hAnsi="David" w:hint="cs"/>
          <w:sz w:val="22"/>
          <w:rtl/>
        </w:rPr>
        <w:t>.</w:t>
      </w:r>
    </w:p>
    <w:p w14:paraId="006EF584" w14:textId="620C7B91" w:rsidR="00EB43E0" w:rsidRPr="008817D6" w:rsidRDefault="00D367AE" w:rsidP="00465590">
      <w:pPr>
        <w:pStyle w:val="ac"/>
        <w:numPr>
          <w:ilvl w:val="1"/>
          <w:numId w:val="1"/>
        </w:numPr>
        <w:bidi/>
        <w:rPr>
          <w:rFonts w:ascii="David" w:hAnsi="David"/>
          <w:b/>
          <w:bCs/>
          <w:sz w:val="22"/>
          <w:u w:val="single"/>
        </w:rPr>
      </w:pPr>
      <w:r w:rsidRPr="00A41B63">
        <w:rPr>
          <w:rFonts w:ascii="David" w:hAnsi="David" w:hint="cs"/>
          <w:sz w:val="22"/>
          <w:shd w:val="clear" w:color="auto" w:fill="FFF4CD" w:themeFill="accent1" w:themeFillTint="33"/>
          <w:rtl/>
        </w:rPr>
        <w:t xml:space="preserve">מה הכוונה ביסודות ההלכתיים </w:t>
      </w:r>
      <w:r w:rsidRPr="00A41B63">
        <w:rPr>
          <w:rFonts w:ascii="David" w:hAnsi="David" w:hint="cs"/>
          <w:b/>
          <w:bCs/>
          <w:sz w:val="22"/>
          <w:u w:val="single"/>
          <w:shd w:val="clear" w:color="auto" w:fill="FFF4CD" w:themeFill="accent1" w:themeFillTint="33"/>
          <w:rtl/>
        </w:rPr>
        <w:t>בישראל</w:t>
      </w:r>
      <w:r>
        <w:rPr>
          <w:rFonts w:ascii="David" w:hAnsi="David" w:hint="cs"/>
          <w:sz w:val="22"/>
          <w:rtl/>
        </w:rPr>
        <w:t xml:space="preserve">? </w:t>
      </w:r>
      <w:r w:rsidR="00175ACF">
        <w:rPr>
          <w:rFonts w:ascii="David" w:hAnsi="David" w:hint="cs"/>
          <w:sz w:val="22"/>
          <w:rtl/>
        </w:rPr>
        <w:t xml:space="preserve">חשוב להבחין כי אין בהכרח קשר בין </w:t>
      </w:r>
      <w:r w:rsidR="00551B45">
        <w:rPr>
          <w:rFonts w:ascii="David" w:hAnsi="David" w:hint="cs"/>
          <w:sz w:val="22"/>
          <w:rtl/>
        </w:rPr>
        <w:t>הדרך שבה</w:t>
      </w:r>
      <w:r w:rsidR="00175ACF">
        <w:rPr>
          <w:rFonts w:ascii="David" w:hAnsi="David" w:hint="cs"/>
          <w:sz w:val="22"/>
          <w:rtl/>
        </w:rPr>
        <w:t xml:space="preserve"> מופעלים דיני המשפחה</w:t>
      </w:r>
      <w:r w:rsidR="00551B45">
        <w:rPr>
          <w:rFonts w:ascii="David" w:hAnsi="David" w:hint="cs"/>
          <w:sz w:val="22"/>
          <w:rtl/>
        </w:rPr>
        <w:t xml:space="preserve"> ההלכתיים</w:t>
      </w:r>
      <w:r w:rsidR="00175ACF">
        <w:rPr>
          <w:rFonts w:ascii="David" w:hAnsi="David" w:hint="cs"/>
          <w:sz w:val="22"/>
          <w:rtl/>
        </w:rPr>
        <w:t xml:space="preserve"> בישראל </w:t>
      </w:r>
      <w:r w:rsidR="00551B45">
        <w:rPr>
          <w:rFonts w:ascii="David" w:hAnsi="David" w:hint="cs"/>
          <w:sz w:val="22"/>
          <w:rtl/>
        </w:rPr>
        <w:t xml:space="preserve">לבין איך שדיני המשפחה ההלכתיים פעלו במהלך הדורות. </w:t>
      </w:r>
      <w:r w:rsidR="00F24445">
        <w:rPr>
          <w:rFonts w:ascii="David" w:hAnsi="David" w:hint="cs"/>
          <w:sz w:val="22"/>
          <w:rtl/>
        </w:rPr>
        <w:t>לטענת רדזינר, ההלכה השתנתה העקבות העבודה שהיא הפכה להיות חוק במדינה</w:t>
      </w:r>
      <w:r w:rsidR="00997F13">
        <w:rPr>
          <w:rFonts w:ascii="David" w:hAnsi="David" w:hint="cs"/>
          <w:sz w:val="22"/>
          <w:rtl/>
        </w:rPr>
        <w:t xml:space="preserve"> וגם הסובייקט היהודי הושפע מכך שההלכה הפכה להיות חוק המדינה.</w:t>
      </w:r>
      <w:r w:rsidR="009724EB">
        <w:rPr>
          <w:rFonts w:ascii="David" w:hAnsi="David" w:hint="cs"/>
          <w:sz w:val="22"/>
          <w:rtl/>
        </w:rPr>
        <w:t xml:space="preserve"> </w:t>
      </w:r>
      <w:r w:rsidR="00EB43E0" w:rsidRPr="008817D6">
        <w:rPr>
          <w:rFonts w:ascii="David" w:hAnsi="David" w:hint="cs"/>
          <w:b/>
          <w:bCs/>
          <w:sz w:val="22"/>
          <w:u w:val="single"/>
          <w:rtl/>
        </w:rPr>
        <w:t xml:space="preserve">ההשפעה היא </w:t>
      </w:r>
      <w:r w:rsidR="00D073C7" w:rsidRPr="008817D6">
        <w:rPr>
          <w:rFonts w:ascii="David" w:hAnsi="David" w:hint="cs"/>
          <w:b/>
          <w:bCs/>
          <w:sz w:val="22"/>
          <w:u w:val="single"/>
          <w:rtl/>
        </w:rPr>
        <w:t>במספר דרכים:</w:t>
      </w:r>
    </w:p>
    <w:p w14:paraId="142FA4C2" w14:textId="63639E1F" w:rsidR="00D367AE" w:rsidRPr="00D367AE" w:rsidRDefault="009724EB" w:rsidP="00465590">
      <w:pPr>
        <w:pStyle w:val="ac"/>
        <w:numPr>
          <w:ilvl w:val="2"/>
          <w:numId w:val="1"/>
        </w:numPr>
        <w:bidi/>
        <w:rPr>
          <w:rFonts w:ascii="David" w:hAnsi="David"/>
          <w:sz w:val="22"/>
        </w:rPr>
      </w:pPr>
      <w:r w:rsidRPr="00D74E17">
        <w:rPr>
          <w:rFonts w:ascii="David" w:hAnsi="David" w:hint="cs"/>
          <w:sz w:val="22"/>
          <w:u w:val="single"/>
          <w:rtl/>
        </w:rPr>
        <w:t>יש דברים שמותרים</w:t>
      </w:r>
      <w:r w:rsidRPr="008E10CD">
        <w:rPr>
          <w:rFonts w:ascii="David" w:hAnsi="David" w:hint="cs"/>
          <w:sz w:val="22"/>
          <w:u w:val="single"/>
          <w:rtl/>
        </w:rPr>
        <w:t xml:space="preserve"> הלכתית אך על פי החוק זה </w:t>
      </w:r>
      <w:r w:rsidR="00D073C7" w:rsidRPr="008E10CD">
        <w:rPr>
          <w:rFonts w:ascii="David" w:hAnsi="David" w:hint="cs"/>
          <w:sz w:val="22"/>
          <w:u w:val="single"/>
          <w:rtl/>
        </w:rPr>
        <w:t>אסורים</w:t>
      </w:r>
      <w:r w:rsidR="00E13A2D">
        <w:rPr>
          <w:rFonts w:ascii="David" w:hAnsi="David" w:hint="cs"/>
          <w:sz w:val="22"/>
          <w:rtl/>
        </w:rPr>
        <w:t>, כך למשל חוק גיל הנישואין.</w:t>
      </w:r>
      <w:r w:rsidR="000A1A22">
        <w:rPr>
          <w:rFonts w:ascii="David" w:hAnsi="David" w:hint="cs"/>
          <w:sz w:val="22"/>
          <w:rtl/>
        </w:rPr>
        <w:t xml:space="preserve"> </w:t>
      </w:r>
      <w:r w:rsidR="004E6D84">
        <w:rPr>
          <w:rFonts w:ascii="David" w:hAnsi="David" w:hint="cs"/>
          <w:sz w:val="22"/>
          <w:rtl/>
        </w:rPr>
        <w:t>הבעיה בכך היא שמבחינה הלכתית אין שום תוקף הלכתי לעובדה שזה אסור על פי חוק</w:t>
      </w:r>
      <w:r w:rsidR="002B7BEC">
        <w:rPr>
          <w:rFonts w:ascii="David" w:hAnsi="David" w:hint="cs"/>
          <w:sz w:val="22"/>
          <w:rtl/>
        </w:rPr>
        <w:t xml:space="preserve"> והנישואים תקפים</w:t>
      </w:r>
      <w:r w:rsidR="004E6D84">
        <w:rPr>
          <w:rFonts w:ascii="David" w:hAnsi="David" w:hint="cs"/>
          <w:sz w:val="22"/>
          <w:rtl/>
        </w:rPr>
        <w:t>.</w:t>
      </w:r>
    </w:p>
    <w:p w14:paraId="574A8657" w14:textId="3B4F96F2" w:rsidR="006150B5" w:rsidRDefault="00EB43E0" w:rsidP="00465590">
      <w:pPr>
        <w:pStyle w:val="ac"/>
        <w:numPr>
          <w:ilvl w:val="2"/>
          <w:numId w:val="1"/>
        </w:numPr>
        <w:bidi/>
        <w:spacing w:after="0"/>
        <w:rPr>
          <w:rFonts w:ascii="David" w:hAnsi="David"/>
          <w:sz w:val="22"/>
        </w:rPr>
      </w:pPr>
      <w:r w:rsidRPr="00D74E17">
        <w:rPr>
          <w:rFonts w:ascii="David" w:hAnsi="David" w:hint="cs"/>
          <w:sz w:val="22"/>
          <w:u w:val="single"/>
          <w:rtl/>
        </w:rPr>
        <w:t xml:space="preserve">ההלכה עצמה </w:t>
      </w:r>
      <w:r w:rsidR="004E4346" w:rsidRPr="00D74E17">
        <w:rPr>
          <w:rFonts w:ascii="David" w:hAnsi="David" w:hint="cs"/>
          <w:sz w:val="22"/>
          <w:u w:val="single"/>
          <w:rtl/>
        </w:rPr>
        <w:t xml:space="preserve">משתנה בעקבות </w:t>
      </w:r>
      <w:r w:rsidR="00D527C3" w:rsidRPr="00D74E17">
        <w:rPr>
          <w:rFonts w:ascii="David" w:hAnsi="David" w:hint="cs"/>
          <w:sz w:val="22"/>
          <w:u w:val="single"/>
          <w:rtl/>
        </w:rPr>
        <w:t xml:space="preserve">העובדה שהיא חלק מחוק </w:t>
      </w:r>
      <w:r w:rsidR="008E10CD" w:rsidRPr="00D74E17">
        <w:rPr>
          <w:rFonts w:ascii="David" w:hAnsi="David" w:hint="cs"/>
          <w:sz w:val="22"/>
          <w:u w:val="single"/>
          <w:rtl/>
        </w:rPr>
        <w:t>המדינה</w:t>
      </w:r>
      <w:r w:rsidR="008E10CD">
        <w:rPr>
          <w:rFonts w:ascii="David" w:hAnsi="David" w:hint="cs"/>
          <w:sz w:val="22"/>
          <w:rtl/>
        </w:rPr>
        <w:t xml:space="preserve"> </w:t>
      </w:r>
      <w:r w:rsidR="00265517">
        <w:rPr>
          <w:rFonts w:ascii="David" w:hAnsi="David"/>
          <w:sz w:val="22"/>
          <w:rtl/>
        </w:rPr>
        <w:t>–</w:t>
      </w:r>
      <w:r w:rsidR="00265517">
        <w:rPr>
          <w:rFonts w:ascii="David" w:hAnsi="David" w:hint="cs"/>
          <w:sz w:val="22"/>
          <w:rtl/>
        </w:rPr>
        <w:t xml:space="preserve"> האם זה רע למדינה שהיא חלק מחוק המדינה? מצד אחד היא מושפעת מלחצים חיצונים ומצד שני היא יכולה להכריח אנשים שאינם מעוניינים לבוא בשעריה</w:t>
      </w:r>
      <w:r w:rsidR="00D4305F">
        <w:rPr>
          <w:rFonts w:ascii="David" w:hAnsi="David" w:hint="cs"/>
          <w:sz w:val="22"/>
          <w:rtl/>
        </w:rPr>
        <w:t>, מלבד כפייה דתית</w:t>
      </w:r>
      <w:r w:rsidR="00B53A45">
        <w:rPr>
          <w:rFonts w:ascii="David" w:hAnsi="David" w:hint="cs"/>
          <w:sz w:val="22"/>
          <w:rtl/>
        </w:rPr>
        <w:t>, זה גם יכול לעזור שכן אפשר להכריח סרבני גט להגיע</w:t>
      </w:r>
      <w:r w:rsidR="00265517">
        <w:rPr>
          <w:rFonts w:ascii="David" w:hAnsi="David" w:hint="cs"/>
          <w:sz w:val="22"/>
          <w:rtl/>
        </w:rPr>
        <w:t>.</w:t>
      </w:r>
      <w:r w:rsidR="00D527C3">
        <w:rPr>
          <w:rFonts w:ascii="David" w:hAnsi="David" w:hint="cs"/>
          <w:sz w:val="22"/>
          <w:rtl/>
        </w:rPr>
        <w:t xml:space="preserve"> </w:t>
      </w:r>
      <w:r w:rsidR="00D74E17">
        <w:rPr>
          <w:rFonts w:ascii="David" w:hAnsi="David" w:hint="cs"/>
          <w:sz w:val="22"/>
          <w:rtl/>
        </w:rPr>
        <w:t>התוך העולם הדתי ישנם רבנים רבים שחושבים שהכוח שנתנה המדינה</w:t>
      </w:r>
      <w:r w:rsidR="008535BD">
        <w:rPr>
          <w:rFonts w:ascii="David" w:hAnsi="David" w:hint="cs"/>
          <w:sz w:val="22"/>
          <w:rtl/>
        </w:rPr>
        <w:t xml:space="preserve"> (כמו סנקציות על </w:t>
      </w:r>
      <w:r w:rsidR="006953EC">
        <w:rPr>
          <w:rFonts w:ascii="David" w:hAnsi="David" w:hint="cs"/>
          <w:sz w:val="22"/>
          <w:rtl/>
        </w:rPr>
        <w:t>סרבני גט)</w:t>
      </w:r>
      <w:r w:rsidR="00D74E17">
        <w:rPr>
          <w:rFonts w:ascii="David" w:hAnsi="David" w:hint="cs"/>
          <w:sz w:val="22"/>
          <w:rtl/>
        </w:rPr>
        <w:t xml:space="preserve"> אינו טוב שכן הוא יוכל ליצור "גט מעושה".</w:t>
      </w:r>
    </w:p>
    <w:p w14:paraId="775E8F89" w14:textId="414D456A" w:rsidR="004E63D3" w:rsidRPr="004E63D3" w:rsidRDefault="004E63D3" w:rsidP="008817D6">
      <w:pPr>
        <w:pStyle w:val="2"/>
        <w:shd w:val="clear" w:color="auto" w:fill="FFDF6A" w:themeFill="accent1" w:themeFillTint="99"/>
      </w:pPr>
      <w:bookmarkStart w:id="2" w:name="_Toc107438150"/>
      <w:r w:rsidRPr="004E63D3">
        <w:rPr>
          <w:rFonts w:hint="cs"/>
          <w:rtl/>
        </w:rPr>
        <w:lastRenderedPageBreak/>
        <w:t>ההיסטוריה של בית הדין הרבני והרבנות הראשית</w:t>
      </w:r>
      <w:bookmarkEnd w:id="2"/>
    </w:p>
    <w:p w14:paraId="4BE99078" w14:textId="77777777" w:rsidR="0015283C" w:rsidRPr="009505CB" w:rsidRDefault="00EE339A" w:rsidP="009505CB">
      <w:pPr>
        <w:shd w:val="clear" w:color="auto" w:fill="FFF4CD" w:themeFill="accent1" w:themeFillTint="33"/>
        <w:rPr>
          <w:rFonts w:ascii="David" w:hAnsi="David"/>
        </w:rPr>
      </w:pPr>
      <w:r w:rsidRPr="009505CB">
        <w:rPr>
          <w:rFonts w:ascii="David" w:hAnsi="David" w:hint="cs"/>
          <w:b/>
          <w:bCs/>
          <w:shd w:val="clear" w:color="auto" w:fill="FFF4CD" w:themeFill="accent1" w:themeFillTint="33"/>
          <w:rtl/>
        </w:rPr>
        <w:t>מה הנקודה ההיסטורית שאפשר לשים עליה את הא</w:t>
      </w:r>
      <w:r w:rsidR="003E5461" w:rsidRPr="009505CB">
        <w:rPr>
          <w:rFonts w:ascii="David" w:hAnsi="David" w:hint="cs"/>
          <w:b/>
          <w:bCs/>
          <w:shd w:val="clear" w:color="auto" w:fill="FFF4CD" w:themeFill="accent1" w:themeFillTint="33"/>
          <w:rtl/>
        </w:rPr>
        <w:t xml:space="preserve">צבע שבה התחיל המוסד של </w:t>
      </w:r>
      <w:r w:rsidR="00633391" w:rsidRPr="009505CB">
        <w:rPr>
          <w:rFonts w:ascii="David" w:hAnsi="David" w:hint="cs"/>
          <w:b/>
          <w:bCs/>
          <w:shd w:val="clear" w:color="auto" w:fill="FFF4CD" w:themeFill="accent1" w:themeFillTint="33"/>
          <w:rtl/>
        </w:rPr>
        <w:t>בתי הדין הדתיים כשולטים על האזרחים?</w:t>
      </w:r>
      <w:r w:rsidR="00A814C1" w:rsidRPr="009505CB">
        <w:rPr>
          <w:rFonts w:ascii="David" w:hAnsi="David" w:hint="cs"/>
          <w:rtl/>
        </w:rPr>
        <w:t xml:space="preserve"> </w:t>
      </w:r>
    </w:p>
    <w:p w14:paraId="323D1A33" w14:textId="2C694207" w:rsidR="00860465" w:rsidRDefault="00495EC6" w:rsidP="00465590">
      <w:pPr>
        <w:pStyle w:val="ac"/>
        <w:numPr>
          <w:ilvl w:val="1"/>
          <w:numId w:val="4"/>
        </w:numPr>
        <w:bidi/>
        <w:spacing w:after="0"/>
        <w:rPr>
          <w:rFonts w:ascii="David" w:hAnsi="David"/>
          <w:sz w:val="22"/>
        </w:rPr>
      </w:pPr>
      <w:r>
        <w:rPr>
          <w:rFonts w:ascii="David" w:hAnsi="David" w:hint="cs"/>
          <w:sz w:val="22"/>
          <w:rtl/>
        </w:rPr>
        <w:t xml:space="preserve">מדובר בשיטה שנקראת המילט ולאורך הדורות החליטו לא לשנות את השיטה ולהשאיר את הסטטוס קוו. </w:t>
      </w:r>
      <w:r w:rsidR="00E21C9E">
        <w:rPr>
          <w:rFonts w:ascii="David" w:hAnsi="David" w:hint="cs"/>
          <w:sz w:val="22"/>
          <w:rtl/>
        </w:rPr>
        <w:t xml:space="preserve">בתקופה לפני קום המדינה אם </w:t>
      </w:r>
      <w:r w:rsidR="00497D4E">
        <w:rPr>
          <w:rFonts w:ascii="David" w:hAnsi="David" w:hint="cs"/>
          <w:sz w:val="22"/>
          <w:rtl/>
        </w:rPr>
        <w:t xml:space="preserve">בני זוג יהודים רוצים להתגרש על פי בית הדין השרעי הם היו יכולים </w:t>
      </w:r>
      <w:r w:rsidR="00497D4E">
        <w:rPr>
          <w:rFonts w:ascii="David" w:hAnsi="David"/>
          <w:sz w:val="22"/>
          <w:rtl/>
        </w:rPr>
        <w:t>–</w:t>
      </w:r>
      <w:r w:rsidR="00497D4E">
        <w:rPr>
          <w:rFonts w:ascii="David" w:hAnsi="David" w:hint="cs"/>
          <w:sz w:val="22"/>
          <w:rtl/>
        </w:rPr>
        <w:t xml:space="preserve"> למה הם היו יכולים לעשות זאת פעם </w:t>
      </w:r>
      <w:r w:rsidR="007C0BE7">
        <w:rPr>
          <w:rFonts w:ascii="David" w:hAnsi="David" w:hint="cs"/>
          <w:sz w:val="22"/>
          <w:rtl/>
        </w:rPr>
        <w:t xml:space="preserve">(מה שהיה נראה לא הגיוני)? מכיוון שדת המדינה הייתה </w:t>
      </w:r>
      <w:r w:rsidR="004C7DFB">
        <w:rPr>
          <w:rFonts w:ascii="David" w:hAnsi="David" w:hint="cs"/>
          <w:sz w:val="22"/>
          <w:rtl/>
        </w:rPr>
        <w:t>ה</w:t>
      </w:r>
      <w:r w:rsidR="007C0BE7">
        <w:rPr>
          <w:rFonts w:ascii="David" w:hAnsi="David" w:hint="cs"/>
          <w:sz w:val="22"/>
          <w:rtl/>
        </w:rPr>
        <w:t>אסל</w:t>
      </w:r>
      <w:r w:rsidR="004C7DFB">
        <w:rPr>
          <w:rFonts w:ascii="David" w:hAnsi="David" w:hint="cs"/>
          <w:sz w:val="22"/>
          <w:rtl/>
        </w:rPr>
        <w:t>א</w:t>
      </w:r>
      <w:r w:rsidR="007C0BE7">
        <w:rPr>
          <w:rFonts w:ascii="David" w:hAnsi="David" w:hint="cs"/>
          <w:sz w:val="22"/>
          <w:rtl/>
        </w:rPr>
        <w:t xml:space="preserve">ם. </w:t>
      </w:r>
      <w:r w:rsidR="003E5461">
        <w:rPr>
          <w:rFonts w:ascii="David" w:hAnsi="David" w:hint="cs"/>
          <w:sz w:val="22"/>
          <w:rtl/>
        </w:rPr>
        <w:t xml:space="preserve"> </w:t>
      </w:r>
      <w:r w:rsidR="007C0BE7">
        <w:rPr>
          <w:rFonts w:ascii="David" w:hAnsi="David" w:hint="cs"/>
          <w:sz w:val="22"/>
          <w:rtl/>
        </w:rPr>
        <w:t xml:space="preserve">הבריטים הגיעו וכבשו את הארץ ובוחרים להמשיך לנהוג </w:t>
      </w:r>
      <w:r w:rsidR="005C1043">
        <w:rPr>
          <w:rFonts w:ascii="David" w:hAnsi="David" w:hint="cs"/>
          <w:sz w:val="22"/>
          <w:rtl/>
        </w:rPr>
        <w:t xml:space="preserve">בדיני המשפחה </w:t>
      </w:r>
      <w:r w:rsidR="007C0BE7">
        <w:rPr>
          <w:rFonts w:ascii="David" w:hAnsi="David" w:hint="cs"/>
          <w:sz w:val="22"/>
          <w:rtl/>
        </w:rPr>
        <w:t xml:space="preserve">כמו </w:t>
      </w:r>
      <w:r w:rsidR="005C1043">
        <w:rPr>
          <w:rFonts w:ascii="David" w:hAnsi="David" w:hint="cs"/>
          <w:sz w:val="22"/>
          <w:rtl/>
        </w:rPr>
        <w:t>שהיו נהוג לפני במקום שאותו כבשו. כך למשל,</w:t>
      </w:r>
      <w:r w:rsidR="007773D3">
        <w:rPr>
          <w:rFonts w:ascii="David" w:hAnsi="David" w:hint="cs"/>
          <w:sz w:val="22"/>
          <w:rtl/>
        </w:rPr>
        <w:t xml:space="preserve"> אפשר לראות </w:t>
      </w:r>
      <w:r w:rsidR="00F17AA5">
        <w:rPr>
          <w:rFonts w:ascii="David" w:hAnsi="David" w:hint="cs"/>
          <w:sz w:val="22"/>
          <w:rtl/>
        </w:rPr>
        <w:t xml:space="preserve">במכתב שנשלח לרב עוזיאל (הרב הראשי של תל אביב) ב1919 </w:t>
      </w:r>
      <w:r w:rsidR="00F17AA5">
        <w:rPr>
          <w:rFonts w:ascii="David" w:hAnsi="David"/>
          <w:sz w:val="22"/>
          <w:rtl/>
        </w:rPr>
        <w:t>–</w:t>
      </w:r>
      <w:r w:rsidR="00F17AA5">
        <w:rPr>
          <w:rFonts w:ascii="David" w:hAnsi="David" w:hint="cs"/>
          <w:sz w:val="22"/>
          <w:rtl/>
        </w:rPr>
        <w:t xml:space="preserve"> הרב עוזיאל דואג </w:t>
      </w:r>
      <w:r w:rsidR="00D8524C">
        <w:rPr>
          <w:rFonts w:ascii="David" w:hAnsi="David" w:hint="cs"/>
          <w:sz w:val="22"/>
          <w:rtl/>
        </w:rPr>
        <w:t xml:space="preserve">בגלל שהבריטים שאומרים לשלוט בארץ הם מעצמה מערבית חילונית והוא פוחד שהם ישליטו דיני משפחה אזרחיים בישראל. בשל כך, הוא שולח מכתב </w:t>
      </w:r>
      <w:r w:rsidR="00C732F3">
        <w:rPr>
          <w:rFonts w:ascii="David" w:hAnsi="David" w:hint="cs"/>
          <w:sz w:val="22"/>
          <w:rtl/>
        </w:rPr>
        <w:t>אל הבריטים ושואל מה התכנון שלהם לגבי דיני המשפחה בישראל. הוא מקבל תשובה בחזרה שאומרת כי</w:t>
      </w:r>
      <w:r w:rsidR="00D21A1D">
        <w:rPr>
          <w:rFonts w:ascii="David" w:hAnsi="David" w:hint="cs"/>
          <w:sz w:val="22"/>
          <w:rtl/>
        </w:rPr>
        <w:t xml:space="preserve"> החוקים של הדתות הנוצריות והיהודיות יהיו כמו שהיו לפני שהם היו לפני חוק המשפחה העות'מאנ</w:t>
      </w:r>
      <w:r w:rsidR="00D21A1D">
        <w:rPr>
          <w:rFonts w:ascii="David" w:hAnsi="David" w:hint="eastAsia"/>
          <w:sz w:val="22"/>
          <w:rtl/>
        </w:rPr>
        <w:t>י</w:t>
      </w:r>
      <w:r w:rsidR="00D21A1D">
        <w:rPr>
          <w:rFonts w:ascii="David" w:hAnsi="David" w:hint="cs"/>
          <w:sz w:val="22"/>
          <w:rtl/>
        </w:rPr>
        <w:t xml:space="preserve"> (זה חל עדיין על המוסלמים בישראל)</w:t>
      </w:r>
      <w:r w:rsidR="00730C45">
        <w:rPr>
          <w:rFonts w:ascii="David" w:hAnsi="David" w:hint="cs"/>
          <w:sz w:val="22"/>
          <w:rtl/>
        </w:rPr>
        <w:t>.</w:t>
      </w:r>
    </w:p>
    <w:p w14:paraId="783D1E72" w14:textId="77777777" w:rsidR="0015283C" w:rsidRDefault="00132D3E" w:rsidP="00465590">
      <w:pPr>
        <w:pStyle w:val="ac"/>
        <w:numPr>
          <w:ilvl w:val="1"/>
          <w:numId w:val="4"/>
        </w:numPr>
        <w:bidi/>
        <w:spacing w:after="0"/>
        <w:rPr>
          <w:rFonts w:ascii="David" w:hAnsi="David"/>
          <w:sz w:val="22"/>
        </w:rPr>
      </w:pPr>
      <w:r w:rsidRPr="0019497F">
        <w:rPr>
          <w:rFonts w:ascii="David" w:hAnsi="David" w:hint="cs"/>
          <w:b/>
          <w:bCs/>
          <w:sz w:val="22"/>
          <w:rtl/>
        </w:rPr>
        <w:t>ב1922 הופך בית הדין הרבני לחלק המחוק החילוני של המדינה</w:t>
      </w:r>
      <w:r w:rsidR="008817D6" w:rsidRPr="0019497F">
        <w:rPr>
          <w:rFonts w:ascii="David" w:hAnsi="David" w:hint="cs"/>
          <w:b/>
          <w:bCs/>
          <w:sz w:val="22"/>
          <w:rtl/>
        </w:rPr>
        <w:t>:</w:t>
      </w:r>
      <w:r>
        <w:rPr>
          <w:rFonts w:ascii="David" w:hAnsi="David" w:hint="cs"/>
          <w:sz w:val="22"/>
          <w:rtl/>
        </w:rPr>
        <w:t xml:space="preserve"> דבר המלך במועצה</w:t>
      </w:r>
      <w:r w:rsidR="007914D6">
        <w:rPr>
          <w:rFonts w:ascii="David" w:hAnsi="David" w:hint="cs"/>
          <w:sz w:val="22"/>
          <w:rtl/>
        </w:rPr>
        <w:t xml:space="preserve"> ס' </w:t>
      </w:r>
      <w:r w:rsidR="0066613B">
        <w:rPr>
          <w:rFonts w:ascii="David" w:hAnsi="David" w:hint="cs"/>
          <w:sz w:val="22"/>
          <w:rtl/>
        </w:rPr>
        <w:t>47.</w:t>
      </w:r>
      <w:r w:rsidR="007914D6">
        <w:rPr>
          <w:rFonts w:ascii="David" w:hAnsi="David" w:hint="cs"/>
          <w:sz w:val="22"/>
          <w:rtl/>
        </w:rPr>
        <w:t xml:space="preserve"> </w:t>
      </w:r>
    </w:p>
    <w:p w14:paraId="065522C2" w14:textId="19B0253C" w:rsidR="000D6120" w:rsidRDefault="007914D6" w:rsidP="00465590">
      <w:pPr>
        <w:pStyle w:val="ac"/>
        <w:numPr>
          <w:ilvl w:val="1"/>
          <w:numId w:val="4"/>
        </w:numPr>
        <w:bidi/>
        <w:spacing w:after="0"/>
        <w:rPr>
          <w:rFonts w:ascii="David" w:hAnsi="David"/>
          <w:sz w:val="22"/>
        </w:rPr>
      </w:pPr>
      <w:r w:rsidRPr="0019497F">
        <w:rPr>
          <w:rFonts w:ascii="David" w:hAnsi="David" w:hint="cs"/>
          <w:b/>
          <w:bCs/>
          <w:sz w:val="22"/>
          <w:rtl/>
        </w:rPr>
        <w:t xml:space="preserve">שנה לפני </w:t>
      </w:r>
      <w:r w:rsidR="009175AF" w:rsidRPr="0019497F">
        <w:rPr>
          <w:rFonts w:ascii="David" w:hAnsi="David" w:hint="cs"/>
          <w:b/>
          <w:bCs/>
          <w:sz w:val="22"/>
          <w:rtl/>
        </w:rPr>
        <w:t xml:space="preserve">כן, </w:t>
      </w:r>
      <w:r w:rsidRPr="0019497F">
        <w:rPr>
          <w:rFonts w:ascii="David" w:hAnsi="David" w:hint="cs"/>
          <w:b/>
          <w:bCs/>
          <w:sz w:val="22"/>
          <w:rtl/>
        </w:rPr>
        <w:t xml:space="preserve">ב1921 </w:t>
      </w:r>
      <w:r w:rsidR="007400AC" w:rsidRPr="0019497F">
        <w:rPr>
          <w:rFonts w:ascii="David" w:hAnsi="David" w:hint="cs"/>
          <w:b/>
          <w:bCs/>
          <w:sz w:val="22"/>
          <w:rtl/>
        </w:rPr>
        <w:t>מקים המנדט הבריטי את הרבנות הראשית, כשהם מקימים את הרבנות הראשית</w:t>
      </w:r>
      <w:r w:rsidR="0015283C" w:rsidRPr="0019497F">
        <w:rPr>
          <w:rFonts w:ascii="David" w:hAnsi="David" w:hint="cs"/>
          <w:b/>
          <w:bCs/>
          <w:sz w:val="22"/>
          <w:rtl/>
        </w:rPr>
        <w:t>.</w:t>
      </w:r>
      <w:r w:rsidR="007400AC" w:rsidRPr="0019497F">
        <w:rPr>
          <w:rFonts w:ascii="David" w:hAnsi="David" w:hint="cs"/>
          <w:b/>
          <w:bCs/>
          <w:sz w:val="22"/>
          <w:rtl/>
        </w:rPr>
        <w:t xml:space="preserve"> </w:t>
      </w:r>
      <w:r w:rsidR="0019497F">
        <w:rPr>
          <w:rFonts w:ascii="David" w:hAnsi="David" w:hint="cs"/>
          <w:sz w:val="22"/>
          <w:rtl/>
        </w:rPr>
        <w:t>הבריטים</w:t>
      </w:r>
      <w:r w:rsidR="007400AC">
        <w:rPr>
          <w:rFonts w:ascii="David" w:hAnsi="David" w:hint="cs"/>
          <w:sz w:val="22"/>
          <w:rtl/>
        </w:rPr>
        <w:t xml:space="preserve"> מקימים אותה לא בשביל כשרות או גיור</w:t>
      </w:r>
      <w:r w:rsidR="00E37D5D">
        <w:rPr>
          <w:rFonts w:ascii="David" w:hAnsi="David" w:hint="cs"/>
          <w:sz w:val="22"/>
          <w:rtl/>
        </w:rPr>
        <w:t xml:space="preserve">, אלא מקימים אותה בשביל נישואין וגירושין. כלומר הרבנות הייתה אמורה להיות בראש בתי הדין הרבניים </w:t>
      </w:r>
      <w:r w:rsidR="00A020D5">
        <w:rPr>
          <w:rFonts w:ascii="David" w:hAnsi="David" w:hint="cs"/>
          <w:sz w:val="22"/>
          <w:rtl/>
        </w:rPr>
        <w:t xml:space="preserve">ובעבר הם היו אותו גוף. </w:t>
      </w:r>
    </w:p>
    <w:p w14:paraId="7C38D985" w14:textId="77777777" w:rsidR="007E146C" w:rsidRDefault="00A020D5" w:rsidP="00465590">
      <w:pPr>
        <w:pStyle w:val="ac"/>
        <w:numPr>
          <w:ilvl w:val="1"/>
          <w:numId w:val="4"/>
        </w:numPr>
        <w:bidi/>
        <w:spacing w:after="0"/>
        <w:rPr>
          <w:rFonts w:ascii="David" w:hAnsi="David"/>
          <w:sz w:val="22"/>
        </w:rPr>
      </w:pPr>
      <w:r w:rsidRPr="0019497F">
        <w:rPr>
          <w:rFonts w:ascii="David" w:hAnsi="David" w:hint="cs"/>
          <w:b/>
          <w:bCs/>
          <w:sz w:val="22"/>
          <w:rtl/>
        </w:rPr>
        <w:t>בשנת 1955 בעזרת חוק הדיינים מדינת ישראל מפרידה בין הרבנות הראשית לבתי הדין הרבניים.</w:t>
      </w:r>
      <w:r w:rsidRPr="0019497F">
        <w:rPr>
          <w:rFonts w:ascii="David" w:hAnsi="David" w:hint="cs"/>
          <w:sz w:val="22"/>
          <w:rtl/>
        </w:rPr>
        <w:t xml:space="preserve"> </w:t>
      </w:r>
      <w:r w:rsidR="00646808" w:rsidRPr="0019497F">
        <w:rPr>
          <w:rFonts w:ascii="David" w:hAnsi="David" w:hint="cs"/>
          <w:sz w:val="22"/>
          <w:rtl/>
        </w:rPr>
        <w:t>המטרה</w:t>
      </w:r>
      <w:r w:rsidR="00646808">
        <w:rPr>
          <w:rFonts w:ascii="David" w:hAnsi="David" w:hint="cs"/>
          <w:sz w:val="22"/>
          <w:rtl/>
        </w:rPr>
        <w:t xml:space="preserve"> של הרבנות בראשיתה הייתה הקמת מוסד רשמי לדיני המשפחה היהודיים.</w:t>
      </w:r>
      <w:r w:rsidR="00294E35">
        <w:rPr>
          <w:rFonts w:ascii="David" w:hAnsi="David" w:hint="cs"/>
          <w:sz w:val="22"/>
          <w:rtl/>
        </w:rPr>
        <w:t xml:space="preserve"> </w:t>
      </w:r>
      <w:r w:rsidR="00790193" w:rsidRPr="0019497F">
        <w:rPr>
          <w:rFonts w:ascii="David" w:hAnsi="David" w:hint="cs"/>
          <w:sz w:val="22"/>
          <w:u w:val="single"/>
          <w:rtl/>
        </w:rPr>
        <w:t>כיום הקשר היחיד בין המוסדות הוא שאחד הרבנים הראשיים משמש כנשיא בית הדין הרבני הגדול.</w:t>
      </w:r>
      <w:r w:rsidR="00790193">
        <w:rPr>
          <w:rFonts w:ascii="David" w:hAnsi="David" w:hint="cs"/>
          <w:sz w:val="22"/>
          <w:rtl/>
        </w:rPr>
        <w:t xml:space="preserve"> </w:t>
      </w:r>
      <w:r w:rsidR="0019497F">
        <w:rPr>
          <w:rFonts w:ascii="David" w:hAnsi="David" w:hint="cs"/>
          <w:sz w:val="22"/>
          <w:rtl/>
        </w:rPr>
        <w:t xml:space="preserve">מינוי זה </w:t>
      </w:r>
      <w:r w:rsidR="0063600F">
        <w:rPr>
          <w:rFonts w:ascii="David" w:hAnsi="David" w:hint="cs"/>
          <w:sz w:val="22"/>
          <w:rtl/>
        </w:rPr>
        <w:t>יוצר הרבה בעיות שכן לעיתים הרב הראשי הוא בכלל לא דיין וזה חסר הגיון למנותו להיות הנשיא של בתי הדין.</w:t>
      </w:r>
      <w:r w:rsidR="007861F4">
        <w:rPr>
          <w:rFonts w:ascii="David" w:hAnsi="David" w:hint="cs"/>
          <w:sz w:val="22"/>
          <w:rtl/>
        </w:rPr>
        <w:t xml:space="preserve"> </w:t>
      </w:r>
    </w:p>
    <w:p w14:paraId="5FC5269E" w14:textId="6ABD794B" w:rsidR="00132D3E" w:rsidRDefault="00E216CC" w:rsidP="00465590">
      <w:pPr>
        <w:pStyle w:val="ac"/>
        <w:numPr>
          <w:ilvl w:val="1"/>
          <w:numId w:val="4"/>
        </w:numPr>
        <w:bidi/>
        <w:spacing w:after="0"/>
        <w:rPr>
          <w:rFonts w:ascii="David" w:hAnsi="David"/>
          <w:sz w:val="22"/>
        </w:rPr>
      </w:pPr>
      <w:r>
        <w:rPr>
          <w:rFonts w:ascii="David" w:hAnsi="David" w:hint="cs"/>
          <w:sz w:val="22"/>
          <w:rtl/>
        </w:rPr>
        <w:t>באם</w:t>
      </w:r>
      <w:r w:rsidR="000C5171">
        <w:rPr>
          <w:rFonts w:ascii="David" w:hAnsi="David" w:hint="cs"/>
          <w:sz w:val="22"/>
          <w:rtl/>
        </w:rPr>
        <w:t xml:space="preserve"> נחזור לתקופת המנדט אפשר לחשוב שהקמת הרבנות ובית הדין הרבני</w:t>
      </w:r>
      <w:r>
        <w:rPr>
          <w:rFonts w:ascii="David" w:hAnsi="David" w:hint="cs"/>
          <w:sz w:val="22"/>
          <w:rtl/>
        </w:rPr>
        <w:t xml:space="preserve"> הוא צעד מדהים לטובת הדת במדינה, אולם מהר מאוד מגלים שיש לדבר זה </w:t>
      </w:r>
      <w:r w:rsidRPr="00BF66A6">
        <w:rPr>
          <w:rFonts w:ascii="David" w:hAnsi="David" w:hint="cs"/>
          <w:sz w:val="22"/>
          <w:u w:val="single"/>
          <w:rtl/>
        </w:rPr>
        <w:t>מחיר מאוד כבד</w:t>
      </w:r>
      <w:r>
        <w:rPr>
          <w:rFonts w:ascii="David" w:hAnsi="David" w:hint="cs"/>
          <w:sz w:val="22"/>
          <w:rtl/>
        </w:rPr>
        <w:t>. ברגע שהשיפוט ההלכתי הפך להיות חלק ממשפט המדינה</w:t>
      </w:r>
      <w:r w:rsidR="009522AC">
        <w:rPr>
          <w:rFonts w:ascii="David" w:hAnsi="David" w:hint="cs"/>
          <w:sz w:val="22"/>
          <w:rtl/>
        </w:rPr>
        <w:t>, אפשר לעתור לבג"ץ (הבריטי) על פסקי דין של ביד"ר.</w:t>
      </w:r>
      <w:r w:rsidR="00B70086">
        <w:rPr>
          <w:rFonts w:ascii="David" w:hAnsi="David" w:hint="cs"/>
          <w:sz w:val="22"/>
          <w:rtl/>
        </w:rPr>
        <w:t xml:space="preserve"> מצב זה קיים עד היום במדינת ישראל</w:t>
      </w:r>
      <w:r w:rsidR="007E146C">
        <w:rPr>
          <w:rFonts w:ascii="David" w:hAnsi="David" w:hint="cs"/>
          <w:sz w:val="22"/>
          <w:rtl/>
        </w:rPr>
        <w:t>:</w:t>
      </w:r>
      <w:r w:rsidR="00B70086">
        <w:rPr>
          <w:rFonts w:ascii="David" w:hAnsi="David" w:hint="cs"/>
          <w:sz w:val="22"/>
          <w:rtl/>
        </w:rPr>
        <w:t xml:space="preserve"> גם היום </w:t>
      </w:r>
      <w:r w:rsidR="00FD4F5A">
        <w:rPr>
          <w:rFonts w:ascii="David" w:hAnsi="David" w:hint="cs"/>
          <w:sz w:val="22"/>
          <w:rtl/>
        </w:rPr>
        <w:t xml:space="preserve">לבג"ץ יש סמכות מסוימת על ביד"ר. על הרב עוזיאל </w:t>
      </w:r>
      <w:r w:rsidR="00B77530">
        <w:rPr>
          <w:rFonts w:ascii="David" w:hAnsi="David" w:hint="cs"/>
          <w:sz w:val="22"/>
          <w:rtl/>
        </w:rPr>
        <w:t xml:space="preserve">שהיה הרב הראשי של תל אביב ולימים הרב הראשי של ישראל, </w:t>
      </w:r>
      <w:r w:rsidR="00F56984">
        <w:rPr>
          <w:rFonts w:ascii="David" w:hAnsi="David" w:hint="cs"/>
          <w:sz w:val="22"/>
          <w:rtl/>
        </w:rPr>
        <w:t>התנהלות זו אינה מתקבלת על הדעת, שכן הערכאה של בג"ץ היא חילונית</w:t>
      </w:r>
      <w:r w:rsidR="00307FBC">
        <w:rPr>
          <w:rFonts w:ascii="David" w:hAnsi="David" w:hint="cs"/>
          <w:sz w:val="22"/>
          <w:rtl/>
        </w:rPr>
        <w:t xml:space="preserve"> ויותר מכך מורכבת גם מגויים</w:t>
      </w:r>
      <w:r w:rsidR="00F56984">
        <w:rPr>
          <w:rFonts w:ascii="David" w:hAnsi="David" w:hint="cs"/>
          <w:sz w:val="22"/>
          <w:rtl/>
        </w:rPr>
        <w:t>.</w:t>
      </w:r>
      <w:r w:rsidR="00B60085">
        <w:rPr>
          <w:rFonts w:ascii="David" w:hAnsi="David" w:hint="cs"/>
          <w:sz w:val="22"/>
          <w:rtl/>
        </w:rPr>
        <w:t xml:space="preserve"> </w:t>
      </w:r>
      <w:r w:rsidR="00BF66A6">
        <w:rPr>
          <w:rFonts w:ascii="David" w:hAnsi="David" w:hint="cs"/>
          <w:sz w:val="22"/>
          <w:rtl/>
        </w:rPr>
        <w:t>אומנם זה מחיר משמעותי, אך עדיין</w:t>
      </w:r>
      <w:r w:rsidR="00201522">
        <w:rPr>
          <w:rFonts w:ascii="David" w:hAnsi="David" w:hint="cs"/>
          <w:sz w:val="22"/>
          <w:rtl/>
        </w:rPr>
        <w:t xml:space="preserve"> הוא לא רחב היקף שכן, לא בכל מקרה בג"ץ יכול להתערב.</w:t>
      </w:r>
    </w:p>
    <w:p w14:paraId="01E31694" w14:textId="33C20F88" w:rsidR="009505CB" w:rsidRPr="009505CB" w:rsidRDefault="009505CB" w:rsidP="009505CB">
      <w:pPr>
        <w:pStyle w:val="21"/>
        <w:rPr>
          <w:sz w:val="22"/>
        </w:rPr>
      </w:pPr>
      <w:bookmarkStart w:id="3" w:name="_Toc107438151"/>
      <w:r>
        <w:rPr>
          <w:rFonts w:hint="cs"/>
          <w:rtl/>
        </w:rPr>
        <w:t>הכפפת מוסד הרבנות לדין הישראל</w:t>
      </w:r>
      <w:bookmarkEnd w:id="3"/>
    </w:p>
    <w:p w14:paraId="641E4B0F" w14:textId="65F8BF96" w:rsidR="00B77530" w:rsidRPr="009505CB" w:rsidRDefault="00823C1F" w:rsidP="009505CB">
      <w:pPr>
        <w:shd w:val="clear" w:color="auto" w:fill="FFF4CD" w:themeFill="accent1" w:themeFillTint="33"/>
        <w:rPr>
          <w:rFonts w:ascii="David" w:hAnsi="David"/>
        </w:rPr>
      </w:pPr>
      <w:r w:rsidRPr="009505CB">
        <w:rPr>
          <w:rFonts w:ascii="David" w:hAnsi="David" w:hint="cs"/>
          <w:b/>
          <w:bCs/>
          <w:rtl/>
        </w:rPr>
        <w:t xml:space="preserve">במהלך השנים בית הדין מוצא עצמו מתמודד עם עוד הגבלות שהחוק מטיל עליו </w:t>
      </w:r>
      <w:r w:rsidR="000F55FA" w:rsidRPr="009505CB">
        <w:rPr>
          <w:rFonts w:ascii="David" w:hAnsi="David" w:hint="cs"/>
          <w:b/>
          <w:bCs/>
          <w:rtl/>
        </w:rPr>
        <w:t>:</w:t>
      </w:r>
    </w:p>
    <w:p w14:paraId="752C2A8E" w14:textId="4ACDA86A" w:rsidR="005B29D7" w:rsidRDefault="005B29D7" w:rsidP="00465590">
      <w:pPr>
        <w:pStyle w:val="ac"/>
        <w:numPr>
          <w:ilvl w:val="1"/>
          <w:numId w:val="4"/>
        </w:numPr>
        <w:bidi/>
        <w:spacing w:after="0"/>
        <w:rPr>
          <w:rFonts w:ascii="David" w:hAnsi="David"/>
          <w:sz w:val="22"/>
        </w:rPr>
      </w:pPr>
      <w:r>
        <w:rPr>
          <w:rFonts w:ascii="David" w:hAnsi="David" w:hint="cs"/>
          <w:sz w:val="22"/>
          <w:rtl/>
        </w:rPr>
        <w:t>שתי גישות מרכזיות בנוגע להתערבות החוק\בג"ץ בהתנהלות בתי הדין הרבניים:</w:t>
      </w:r>
    </w:p>
    <w:p w14:paraId="7D7657FB" w14:textId="7001E823" w:rsidR="009505CB" w:rsidRPr="009505CB" w:rsidRDefault="005B29D7" w:rsidP="00465590">
      <w:pPr>
        <w:pStyle w:val="ac"/>
        <w:numPr>
          <w:ilvl w:val="2"/>
          <w:numId w:val="4"/>
        </w:numPr>
        <w:bidi/>
        <w:spacing w:after="0"/>
        <w:rPr>
          <w:rFonts w:ascii="David" w:hAnsi="David"/>
          <w:sz w:val="22"/>
        </w:rPr>
      </w:pPr>
      <w:r w:rsidRPr="009505CB">
        <w:rPr>
          <w:rFonts w:ascii="David" w:hAnsi="David" w:hint="cs"/>
          <w:b/>
          <w:bCs/>
          <w:sz w:val="22"/>
          <w:rtl/>
        </w:rPr>
        <w:t>הגישה החרדית</w:t>
      </w:r>
      <w:r w:rsidR="009505CB" w:rsidRPr="009505CB">
        <w:rPr>
          <w:rFonts w:ascii="David" w:hAnsi="David" w:hint="cs"/>
          <w:b/>
          <w:bCs/>
          <w:sz w:val="22"/>
          <w:rtl/>
        </w:rPr>
        <w:t>:</w:t>
      </w:r>
      <w:r w:rsidR="009505CB">
        <w:rPr>
          <w:rFonts w:ascii="David" w:hAnsi="David" w:hint="cs"/>
          <w:sz w:val="22"/>
          <w:rtl/>
        </w:rPr>
        <w:t xml:space="preserve"> הכפפת החוק מעלה את השאלה האם </w:t>
      </w:r>
      <w:r w:rsidR="00823C1F">
        <w:rPr>
          <w:rFonts w:ascii="David" w:hAnsi="David" w:hint="cs"/>
          <w:sz w:val="22"/>
          <w:rtl/>
        </w:rPr>
        <w:t>הרבנות</w:t>
      </w:r>
      <w:r w:rsidR="00B40B25">
        <w:rPr>
          <w:rFonts w:ascii="David" w:hAnsi="David" w:hint="cs"/>
          <w:sz w:val="22"/>
          <w:rtl/>
        </w:rPr>
        <w:t xml:space="preserve"> בכלל רלוונטי, </w:t>
      </w:r>
      <w:r w:rsidR="009505CB">
        <w:rPr>
          <w:rFonts w:ascii="David" w:hAnsi="David" w:hint="cs"/>
          <w:sz w:val="22"/>
          <w:rtl/>
        </w:rPr>
        <w:t>שכן</w:t>
      </w:r>
      <w:r w:rsidR="00B40B25">
        <w:rPr>
          <w:rFonts w:ascii="David" w:hAnsi="David" w:hint="cs"/>
          <w:sz w:val="22"/>
          <w:rtl/>
        </w:rPr>
        <w:t xml:space="preserve"> כך או כך יהודים יגיעו </w:t>
      </w:r>
      <w:r w:rsidR="009505CB">
        <w:rPr>
          <w:rFonts w:ascii="David" w:hAnsi="David" w:hint="cs"/>
          <w:sz w:val="22"/>
          <w:rtl/>
        </w:rPr>
        <w:t>אל הדיינים להישפט</w:t>
      </w:r>
      <w:r w:rsidR="00B40B25">
        <w:rPr>
          <w:rFonts w:ascii="David" w:hAnsi="David" w:hint="cs"/>
          <w:sz w:val="22"/>
          <w:rtl/>
        </w:rPr>
        <w:t>. זו בעיקר הגישה שמקובלת על ידי החרדים</w:t>
      </w:r>
      <w:r w:rsidR="00F95AC7">
        <w:rPr>
          <w:rFonts w:ascii="David" w:hAnsi="David" w:hint="cs"/>
          <w:sz w:val="22"/>
          <w:rtl/>
        </w:rPr>
        <w:t xml:space="preserve"> ואכן הם מקימים בקהילותיהם בתי דין עצמאיים שאינם קשורים למדינה.</w:t>
      </w:r>
      <w:r w:rsidR="002F7F3B">
        <w:rPr>
          <w:rFonts w:ascii="David" w:hAnsi="David" w:hint="cs"/>
          <w:sz w:val="22"/>
          <w:rtl/>
        </w:rPr>
        <w:t xml:space="preserve"> </w:t>
      </w:r>
    </w:p>
    <w:p w14:paraId="01CF5344" w14:textId="1EA36CD7" w:rsidR="002F7F3B" w:rsidRDefault="009505CB" w:rsidP="00465590">
      <w:pPr>
        <w:pStyle w:val="ac"/>
        <w:numPr>
          <w:ilvl w:val="2"/>
          <w:numId w:val="4"/>
        </w:numPr>
        <w:bidi/>
        <w:spacing w:after="0"/>
        <w:rPr>
          <w:rFonts w:ascii="David" w:hAnsi="David"/>
          <w:sz w:val="22"/>
        </w:rPr>
      </w:pPr>
      <w:r w:rsidRPr="009505CB">
        <w:rPr>
          <w:rFonts w:ascii="David" w:hAnsi="David" w:hint="cs"/>
          <w:b/>
          <w:bCs/>
          <w:rtl/>
        </w:rPr>
        <w:t>הגישה המקובלת:</w:t>
      </w:r>
      <w:r>
        <w:rPr>
          <w:rFonts w:ascii="David" w:hAnsi="David" w:hint="cs"/>
          <w:rtl/>
        </w:rPr>
        <w:t xml:space="preserve"> </w:t>
      </w:r>
      <w:r w:rsidR="002F7F3B" w:rsidRPr="00D315A6">
        <w:rPr>
          <w:rFonts w:ascii="David" w:hAnsi="David" w:hint="cs"/>
          <w:rtl/>
        </w:rPr>
        <w:t>המיינסטרים הרבני עדיין חושב שעל אף ההכפפה של בית הדין הרבני לחלק מהדין האזרחי, זה עדיף על פני בתי דין רבניים ולנטרניי</w:t>
      </w:r>
      <w:r w:rsidR="002F7F3B" w:rsidRPr="00D315A6">
        <w:rPr>
          <w:rFonts w:ascii="David" w:hAnsi="David" w:hint="eastAsia"/>
          <w:rtl/>
        </w:rPr>
        <w:t>ם</w:t>
      </w:r>
      <w:r w:rsidR="002F7F3B" w:rsidRPr="00D315A6">
        <w:rPr>
          <w:rFonts w:ascii="David" w:hAnsi="David" w:hint="cs"/>
          <w:rtl/>
        </w:rPr>
        <w:t>.</w:t>
      </w:r>
    </w:p>
    <w:p w14:paraId="23927E57" w14:textId="4652BF24" w:rsidR="00F95AC7" w:rsidRDefault="00F95AC7" w:rsidP="00465590">
      <w:pPr>
        <w:pStyle w:val="ac"/>
        <w:numPr>
          <w:ilvl w:val="1"/>
          <w:numId w:val="4"/>
        </w:numPr>
        <w:bidi/>
        <w:spacing w:after="0"/>
        <w:rPr>
          <w:rFonts w:ascii="David" w:hAnsi="David"/>
          <w:sz w:val="22"/>
        </w:rPr>
      </w:pPr>
      <w:r w:rsidRPr="009505CB">
        <w:rPr>
          <w:rFonts w:ascii="David" w:hAnsi="David" w:hint="cs"/>
          <w:b/>
          <w:bCs/>
          <w:sz w:val="22"/>
          <w:shd w:val="clear" w:color="auto" w:fill="FFF4CD" w:themeFill="accent1" w:themeFillTint="33"/>
          <w:rtl/>
        </w:rPr>
        <w:t>חוקים במדינה</w:t>
      </w:r>
      <w:r w:rsidR="009505CB" w:rsidRPr="009505CB">
        <w:rPr>
          <w:rFonts w:ascii="David" w:hAnsi="David" w:hint="cs"/>
          <w:b/>
          <w:bCs/>
          <w:sz w:val="22"/>
          <w:shd w:val="clear" w:color="auto" w:fill="FFF4CD" w:themeFill="accent1" w:themeFillTint="33"/>
          <w:rtl/>
        </w:rPr>
        <w:t xml:space="preserve"> אשר יוצרים הכפפה</w:t>
      </w:r>
      <w:r>
        <w:rPr>
          <w:rFonts w:ascii="David" w:hAnsi="David" w:hint="cs"/>
          <w:b/>
          <w:bCs/>
          <w:sz w:val="22"/>
          <w:rtl/>
        </w:rPr>
        <w:t>:</w:t>
      </w:r>
    </w:p>
    <w:p w14:paraId="5A3C4D03" w14:textId="77777777" w:rsidR="003D04A9" w:rsidRDefault="00F95AC7" w:rsidP="00465590">
      <w:pPr>
        <w:pStyle w:val="ac"/>
        <w:numPr>
          <w:ilvl w:val="2"/>
          <w:numId w:val="4"/>
        </w:numPr>
        <w:bidi/>
        <w:spacing w:after="0"/>
        <w:rPr>
          <w:rFonts w:ascii="David" w:hAnsi="David"/>
          <w:sz w:val="22"/>
        </w:rPr>
      </w:pPr>
      <w:r w:rsidRPr="000F55FA">
        <w:rPr>
          <w:rFonts w:ascii="David" w:hAnsi="David" w:hint="cs"/>
          <w:sz w:val="22"/>
          <w:highlight w:val="green"/>
          <w:u w:val="single"/>
          <w:rtl/>
        </w:rPr>
        <w:t xml:space="preserve">חוק יסוד השפיטה </w:t>
      </w:r>
      <w:r w:rsidR="003D04A9" w:rsidRPr="000F55FA">
        <w:rPr>
          <w:rFonts w:ascii="David" w:hAnsi="David" w:hint="cs"/>
          <w:sz w:val="22"/>
          <w:highlight w:val="green"/>
          <w:u w:val="single"/>
          <w:rtl/>
        </w:rPr>
        <w:t>15(ד)(4</w:t>
      </w:r>
      <w:r w:rsidR="003D04A9" w:rsidRPr="000F55FA">
        <w:rPr>
          <w:rFonts w:ascii="David" w:hAnsi="David" w:hint="cs"/>
          <w:sz w:val="22"/>
          <w:highlight w:val="green"/>
          <w:rtl/>
        </w:rPr>
        <w:t>)</w:t>
      </w:r>
      <w:r w:rsidR="003D04A9">
        <w:rPr>
          <w:rFonts w:ascii="David" w:hAnsi="David" w:hint="cs"/>
          <w:sz w:val="22"/>
          <w:rtl/>
        </w:rPr>
        <w:t xml:space="preserve"> </w:t>
      </w:r>
      <w:r w:rsidR="003D04A9">
        <w:rPr>
          <w:rFonts w:ascii="David" w:hAnsi="David"/>
          <w:sz w:val="22"/>
          <w:rtl/>
        </w:rPr>
        <w:t>–</w:t>
      </w:r>
      <w:r w:rsidR="003D04A9">
        <w:rPr>
          <w:rFonts w:ascii="David" w:hAnsi="David" w:hint="cs"/>
          <w:sz w:val="22"/>
          <w:rtl/>
        </w:rPr>
        <w:t xml:space="preserve"> נלמדת הסמכות של בג"ץ על בית הדין הרבני.</w:t>
      </w:r>
    </w:p>
    <w:p w14:paraId="023C6ECA" w14:textId="7EA14A98" w:rsidR="00823C1F" w:rsidRDefault="003D04A9" w:rsidP="00465590">
      <w:pPr>
        <w:pStyle w:val="ac"/>
        <w:numPr>
          <w:ilvl w:val="2"/>
          <w:numId w:val="4"/>
        </w:numPr>
        <w:bidi/>
        <w:spacing w:after="0"/>
        <w:rPr>
          <w:rFonts w:ascii="David" w:hAnsi="David"/>
          <w:sz w:val="22"/>
        </w:rPr>
      </w:pPr>
      <w:r w:rsidRPr="000F55FA">
        <w:rPr>
          <w:rFonts w:ascii="David" w:hAnsi="David" w:hint="cs"/>
          <w:sz w:val="22"/>
          <w:highlight w:val="green"/>
          <w:u w:val="single"/>
          <w:rtl/>
        </w:rPr>
        <w:t>חוק שיווי זכויות האישה</w:t>
      </w:r>
      <w:r w:rsidR="0000253A">
        <w:rPr>
          <w:rFonts w:ascii="David" w:hAnsi="David" w:hint="cs"/>
          <w:sz w:val="22"/>
          <w:rtl/>
        </w:rPr>
        <w:t xml:space="preserve"> -</w:t>
      </w:r>
      <w:r>
        <w:rPr>
          <w:rFonts w:ascii="David" w:hAnsi="David" w:hint="cs"/>
          <w:sz w:val="22"/>
          <w:rtl/>
        </w:rPr>
        <w:t xml:space="preserve"> </w:t>
      </w:r>
      <w:r w:rsidR="00386702">
        <w:rPr>
          <w:rFonts w:ascii="David" w:hAnsi="David" w:hint="cs"/>
          <w:sz w:val="22"/>
          <w:rtl/>
        </w:rPr>
        <w:t xml:space="preserve">ס' </w:t>
      </w:r>
      <w:r w:rsidR="00C2306F">
        <w:rPr>
          <w:rFonts w:ascii="David" w:hAnsi="David" w:hint="cs"/>
          <w:sz w:val="22"/>
          <w:rtl/>
        </w:rPr>
        <w:t>1</w:t>
      </w:r>
      <w:r w:rsidR="00C2306F">
        <w:rPr>
          <w:rFonts w:ascii="David" w:hAnsi="David" w:hint="cs"/>
          <w:sz w:val="22"/>
        </w:rPr>
        <w:t xml:space="preserve"> </w:t>
      </w:r>
      <w:r w:rsidR="00C2306F">
        <w:rPr>
          <w:rFonts w:ascii="David" w:hAnsi="David" w:hint="cs"/>
          <w:sz w:val="22"/>
          <w:rtl/>
        </w:rPr>
        <w:t>ו-2</w:t>
      </w:r>
      <w:r w:rsidR="00386702">
        <w:rPr>
          <w:rFonts w:ascii="David" w:hAnsi="David" w:hint="cs"/>
          <w:sz w:val="22"/>
          <w:rtl/>
        </w:rPr>
        <w:t xml:space="preserve"> החפפת ההלכה היהודית לתרבות המערב החילונית</w:t>
      </w:r>
      <w:r w:rsidR="009C3FF0">
        <w:rPr>
          <w:rFonts w:ascii="David" w:hAnsi="David" w:hint="cs"/>
          <w:sz w:val="22"/>
          <w:rtl/>
        </w:rPr>
        <w:t xml:space="preserve">, קניינה של אישה וכשרותה לעשות דברים עם </w:t>
      </w:r>
      <w:r w:rsidR="00DC640E">
        <w:rPr>
          <w:rFonts w:ascii="David" w:hAnsi="David" w:hint="cs"/>
          <w:sz w:val="22"/>
          <w:rtl/>
        </w:rPr>
        <w:t xml:space="preserve">הקניין יהיו </w:t>
      </w:r>
      <w:r w:rsidR="005B4A72">
        <w:rPr>
          <w:rFonts w:ascii="David" w:hAnsi="David" w:hint="cs"/>
          <w:sz w:val="22"/>
          <w:rtl/>
        </w:rPr>
        <w:t>כאילו הייתה פנויה</w:t>
      </w:r>
      <w:r w:rsidR="00780933">
        <w:rPr>
          <w:rFonts w:ascii="David" w:hAnsi="David" w:hint="cs"/>
          <w:sz w:val="22"/>
          <w:rtl/>
        </w:rPr>
        <w:t xml:space="preserve"> (זה בניגוד להלכה)</w:t>
      </w:r>
      <w:r w:rsidR="00C23949">
        <w:rPr>
          <w:rFonts w:ascii="David" w:hAnsi="David" w:hint="cs"/>
          <w:sz w:val="22"/>
          <w:rtl/>
        </w:rPr>
        <w:t>;</w:t>
      </w:r>
      <w:r w:rsidR="002D66CE">
        <w:rPr>
          <w:rFonts w:ascii="David" w:hAnsi="David" w:hint="cs"/>
          <w:sz w:val="22"/>
          <w:rtl/>
        </w:rPr>
        <w:t xml:space="preserve"> ס' 5 אומר שהחוק לא אמור לפגוע בדיני איסור והיתר של ההלכה היהודית (דיני מ</w:t>
      </w:r>
      <w:r w:rsidR="00C23949">
        <w:rPr>
          <w:rFonts w:ascii="David" w:hAnsi="David" w:hint="cs"/>
          <w:sz w:val="22"/>
          <w:rtl/>
        </w:rPr>
        <w:t>עמד אישי) והחוק גם לא חל על מינוי לתפקיד דתי.</w:t>
      </w:r>
      <w:r>
        <w:rPr>
          <w:rFonts w:ascii="David" w:hAnsi="David" w:hint="cs"/>
          <w:sz w:val="22"/>
          <w:rtl/>
        </w:rPr>
        <w:t xml:space="preserve"> </w:t>
      </w:r>
      <w:r w:rsidR="00B40B25">
        <w:rPr>
          <w:rFonts w:ascii="David" w:hAnsi="David" w:hint="cs"/>
          <w:sz w:val="22"/>
          <w:rtl/>
        </w:rPr>
        <w:t xml:space="preserve"> </w:t>
      </w:r>
    </w:p>
    <w:p w14:paraId="524C9CD6" w14:textId="4E490C8B" w:rsidR="005B4A72" w:rsidRDefault="005B4A72" w:rsidP="00465590">
      <w:pPr>
        <w:pStyle w:val="ac"/>
        <w:numPr>
          <w:ilvl w:val="2"/>
          <w:numId w:val="4"/>
        </w:numPr>
        <w:bidi/>
        <w:spacing w:after="0"/>
        <w:rPr>
          <w:rFonts w:ascii="David" w:hAnsi="David"/>
          <w:sz w:val="22"/>
        </w:rPr>
      </w:pPr>
      <w:r w:rsidRPr="000F55FA">
        <w:rPr>
          <w:rFonts w:ascii="David" w:hAnsi="David" w:hint="cs"/>
          <w:sz w:val="22"/>
          <w:highlight w:val="green"/>
          <w:u w:val="single"/>
          <w:rtl/>
        </w:rPr>
        <w:t>חוק יחסי ממון</w:t>
      </w:r>
      <w:r>
        <w:rPr>
          <w:rFonts w:ascii="David" w:hAnsi="David" w:hint="cs"/>
          <w:sz w:val="22"/>
          <w:rtl/>
        </w:rPr>
        <w:t xml:space="preserve"> </w:t>
      </w:r>
      <w:r>
        <w:rPr>
          <w:rFonts w:ascii="David" w:hAnsi="David"/>
          <w:sz w:val="22"/>
          <w:rtl/>
        </w:rPr>
        <w:t>–</w:t>
      </w:r>
      <w:r>
        <w:rPr>
          <w:rFonts w:ascii="David" w:hAnsi="David" w:hint="cs"/>
          <w:sz w:val="22"/>
          <w:rtl/>
        </w:rPr>
        <w:t xml:space="preserve"> בית הדין הרבני חייב לפסוק את חלוקת </w:t>
      </w:r>
      <w:r w:rsidR="00780933">
        <w:rPr>
          <w:rFonts w:ascii="David" w:hAnsi="David" w:hint="cs"/>
          <w:sz w:val="22"/>
          <w:rtl/>
        </w:rPr>
        <w:t xml:space="preserve">הרכוש לפי חוק יחסי ממון. אך </w:t>
      </w:r>
      <w:r w:rsidR="0061621B">
        <w:rPr>
          <w:rFonts w:ascii="David" w:hAnsi="David" w:hint="cs"/>
          <w:sz w:val="22"/>
          <w:rtl/>
        </w:rPr>
        <w:t>מצוין</w:t>
      </w:r>
      <w:r w:rsidR="00780933">
        <w:rPr>
          <w:rFonts w:ascii="David" w:hAnsi="David" w:hint="cs"/>
          <w:sz w:val="22"/>
          <w:rtl/>
        </w:rPr>
        <w:t xml:space="preserve"> כי </w:t>
      </w:r>
      <w:r w:rsidR="0061621B">
        <w:rPr>
          <w:rFonts w:ascii="David" w:hAnsi="David" w:hint="cs"/>
          <w:sz w:val="22"/>
          <w:rtl/>
        </w:rPr>
        <w:t>ח</w:t>
      </w:r>
      <w:r w:rsidR="00780933">
        <w:rPr>
          <w:rFonts w:ascii="David" w:hAnsi="David" w:hint="cs"/>
          <w:sz w:val="22"/>
          <w:rtl/>
        </w:rPr>
        <w:t>וק זה אינו בא לשנות מסמכות שיפוטם של בתי הדין הרבניים</w:t>
      </w:r>
      <w:r w:rsidR="0061621B">
        <w:rPr>
          <w:rFonts w:ascii="David" w:hAnsi="David" w:hint="cs"/>
          <w:sz w:val="22"/>
          <w:rtl/>
        </w:rPr>
        <w:t xml:space="preserve">. </w:t>
      </w:r>
    </w:p>
    <w:p w14:paraId="63731712" w14:textId="535A8CC0" w:rsidR="00B82F7E" w:rsidRPr="00B82F7E" w:rsidRDefault="00B82F7E" w:rsidP="004E63D3">
      <w:pPr>
        <w:pBdr>
          <w:top w:val="single" w:sz="4" w:space="1" w:color="auto"/>
        </w:pBdr>
        <w:rPr>
          <w:rFonts w:ascii="David" w:hAnsi="David"/>
        </w:rPr>
      </w:pPr>
      <w:r>
        <w:rPr>
          <w:rFonts w:ascii="David" w:hAnsi="David" w:hint="cs"/>
          <w:rtl/>
        </w:rPr>
        <w:t xml:space="preserve">שיעור </w:t>
      </w:r>
      <w:r w:rsidR="004E63D3">
        <w:rPr>
          <w:rFonts w:ascii="David" w:hAnsi="David" w:hint="cs"/>
          <w:rtl/>
        </w:rPr>
        <w:t>08.03.2022</w:t>
      </w:r>
    </w:p>
    <w:p w14:paraId="6A0E3210" w14:textId="7C10948E" w:rsidR="00D315A6" w:rsidRPr="00631BCD" w:rsidRDefault="00505740" w:rsidP="00465590">
      <w:pPr>
        <w:pStyle w:val="ac"/>
        <w:numPr>
          <w:ilvl w:val="2"/>
          <w:numId w:val="4"/>
        </w:numPr>
        <w:bidi/>
        <w:spacing w:after="0"/>
        <w:rPr>
          <w:rFonts w:ascii="David" w:hAnsi="David"/>
          <w:sz w:val="22"/>
          <w:u w:val="single"/>
        </w:rPr>
      </w:pPr>
      <w:r w:rsidRPr="00F2242F">
        <w:rPr>
          <w:rFonts w:ascii="David" w:hAnsi="David" w:hint="cs"/>
          <w:sz w:val="22"/>
          <w:highlight w:val="green"/>
          <w:u w:val="single"/>
          <w:rtl/>
        </w:rPr>
        <w:t>חוק שיפוט בתי דין רבניים</w:t>
      </w:r>
      <w:r w:rsidRPr="00631BCD">
        <w:rPr>
          <w:rFonts w:ascii="David" w:hAnsi="David" w:hint="cs"/>
          <w:sz w:val="22"/>
          <w:u w:val="single"/>
          <w:rtl/>
        </w:rPr>
        <w:t>:</w:t>
      </w:r>
      <w:r w:rsidR="002F7F3B" w:rsidRPr="00631BCD">
        <w:rPr>
          <w:rFonts w:ascii="David" w:hAnsi="David" w:hint="cs"/>
          <w:sz w:val="22"/>
          <w:u w:val="single"/>
          <w:rtl/>
        </w:rPr>
        <w:t xml:space="preserve"> </w:t>
      </w:r>
    </w:p>
    <w:p w14:paraId="45323589" w14:textId="49A4F483" w:rsidR="00786868" w:rsidRDefault="008140A5" w:rsidP="00465590">
      <w:pPr>
        <w:pStyle w:val="ac"/>
        <w:numPr>
          <w:ilvl w:val="3"/>
          <w:numId w:val="4"/>
        </w:numPr>
        <w:bidi/>
        <w:spacing w:after="0"/>
        <w:rPr>
          <w:rFonts w:ascii="David" w:hAnsi="David"/>
          <w:sz w:val="22"/>
        </w:rPr>
      </w:pPr>
      <w:r w:rsidRPr="00F2242F">
        <w:rPr>
          <w:rFonts w:ascii="David" w:hAnsi="David" w:hint="cs"/>
          <w:b/>
          <w:bCs/>
          <w:sz w:val="22"/>
          <w:highlight w:val="green"/>
          <w:rtl/>
        </w:rPr>
        <w:t>ס' 2</w:t>
      </w:r>
      <w:r w:rsidR="00085D2D">
        <w:rPr>
          <w:rFonts w:ascii="David" w:hAnsi="David" w:hint="cs"/>
          <w:sz w:val="22"/>
          <w:rtl/>
        </w:rPr>
        <w:t xml:space="preserve"> - </w:t>
      </w:r>
      <w:r>
        <w:rPr>
          <w:rFonts w:ascii="David" w:hAnsi="David" w:hint="cs"/>
          <w:sz w:val="22"/>
          <w:rtl/>
        </w:rPr>
        <w:t xml:space="preserve"> נישואים וגירושין של יהודים בישראל יערכו על פי דין תורה. </w:t>
      </w:r>
    </w:p>
    <w:p w14:paraId="333D75A9" w14:textId="6146977B" w:rsidR="00505740" w:rsidRDefault="00DA6EF7" w:rsidP="00465590">
      <w:pPr>
        <w:pStyle w:val="ac"/>
        <w:numPr>
          <w:ilvl w:val="4"/>
          <w:numId w:val="4"/>
        </w:numPr>
        <w:bidi/>
        <w:spacing w:after="0"/>
        <w:rPr>
          <w:rFonts w:ascii="David" w:hAnsi="David"/>
          <w:sz w:val="22"/>
        </w:rPr>
      </w:pPr>
      <w:r>
        <w:rPr>
          <w:rFonts w:ascii="David" w:hAnsi="David" w:hint="cs"/>
          <w:sz w:val="22"/>
          <w:rtl/>
        </w:rPr>
        <w:lastRenderedPageBreak/>
        <w:t>ההבנה מכאן היא שבית</w:t>
      </w:r>
      <w:r w:rsidR="007A4F5B">
        <w:rPr>
          <w:rFonts w:ascii="David" w:hAnsi="David" w:hint="cs"/>
          <w:sz w:val="22"/>
          <w:rtl/>
        </w:rPr>
        <w:t xml:space="preserve"> </w:t>
      </w:r>
      <w:r>
        <w:rPr>
          <w:rFonts w:ascii="David" w:hAnsi="David" w:hint="cs"/>
          <w:sz w:val="22"/>
          <w:rtl/>
        </w:rPr>
        <w:t xml:space="preserve">הדין הרבני יכול לשפוט רק בני זוג ששניהם יהודיים. </w:t>
      </w:r>
      <w:r w:rsidR="007B205A">
        <w:rPr>
          <w:rFonts w:ascii="David" w:hAnsi="David" w:hint="cs"/>
          <w:sz w:val="22"/>
          <w:rtl/>
        </w:rPr>
        <w:t xml:space="preserve">אם אחד מבני הזוג אינו יהודי יש לפעול על פי חוק התרת נישואים. </w:t>
      </w:r>
      <w:r w:rsidR="00617ABE">
        <w:rPr>
          <w:rFonts w:ascii="David" w:hAnsi="David" w:hint="cs"/>
          <w:sz w:val="22"/>
          <w:rtl/>
        </w:rPr>
        <w:t xml:space="preserve">אך, בעבר בני זוג שאחד מהם לא יהודי היו הולכים לבית הדין הרבני כי זה היה מקצר את הדרך </w:t>
      </w:r>
      <w:r w:rsidR="00483939">
        <w:rPr>
          <w:rFonts w:ascii="David" w:hAnsi="David" w:hint="cs"/>
          <w:sz w:val="22"/>
          <w:rtl/>
        </w:rPr>
        <w:t xml:space="preserve">שכן בית הדין היה אומר שהנישואים מעולם לא היו תקפים. בית המשפט בשנות ה90 </w:t>
      </w:r>
      <w:r w:rsidR="00483939" w:rsidRPr="009C7EEE">
        <w:rPr>
          <w:rFonts w:ascii="David" w:hAnsi="David" w:hint="cs"/>
          <w:sz w:val="22"/>
          <w:highlight w:val="cyan"/>
          <w:u w:val="single"/>
          <w:rtl/>
        </w:rPr>
        <w:t>בפס"ד סרגובי</w:t>
      </w:r>
      <w:r w:rsidR="008E6420" w:rsidRPr="009C7EEE">
        <w:rPr>
          <w:rFonts w:ascii="David" w:hAnsi="David" w:hint="cs"/>
          <w:sz w:val="22"/>
          <w:highlight w:val="cyan"/>
          <w:u w:val="single"/>
          <w:rtl/>
        </w:rPr>
        <w:t>:</w:t>
      </w:r>
      <w:r w:rsidR="00483939">
        <w:rPr>
          <w:rFonts w:ascii="David" w:hAnsi="David" w:hint="cs"/>
          <w:sz w:val="22"/>
          <w:rtl/>
        </w:rPr>
        <w:t xml:space="preserve"> קובע שאין לבית הדין הרבני סמכות ומותר לו לעסוק רק בבני זוג ששניהם יהודיים.</w:t>
      </w:r>
    </w:p>
    <w:p w14:paraId="634EBF05" w14:textId="0C15200E" w:rsidR="00786868" w:rsidRDefault="00045670" w:rsidP="00465590">
      <w:pPr>
        <w:pStyle w:val="ac"/>
        <w:numPr>
          <w:ilvl w:val="4"/>
          <w:numId w:val="4"/>
        </w:numPr>
        <w:bidi/>
        <w:spacing w:after="0"/>
        <w:rPr>
          <w:rFonts w:ascii="David" w:hAnsi="David"/>
          <w:sz w:val="22"/>
        </w:rPr>
      </w:pPr>
      <w:r>
        <w:rPr>
          <w:rFonts w:ascii="David" w:hAnsi="David" w:hint="cs"/>
          <w:sz w:val="22"/>
          <w:rtl/>
        </w:rPr>
        <w:t xml:space="preserve">ס' זה הוא ס' מאוד מיוחד שכן, הוא קובע כי החוק הישראלי </w:t>
      </w:r>
      <w:r w:rsidRPr="008E6420">
        <w:rPr>
          <w:rFonts w:ascii="David" w:hAnsi="David" w:hint="cs"/>
          <w:sz w:val="22"/>
          <w:u w:val="single"/>
          <w:rtl/>
        </w:rPr>
        <w:t>יפנה למערכת דינים אחרת, דין תורה.</w:t>
      </w:r>
      <w:r>
        <w:rPr>
          <w:rFonts w:ascii="David" w:hAnsi="David" w:hint="cs"/>
          <w:sz w:val="22"/>
          <w:rtl/>
        </w:rPr>
        <w:t xml:space="preserve"> </w:t>
      </w:r>
      <w:r w:rsidR="00D6055F">
        <w:rPr>
          <w:rFonts w:ascii="David" w:hAnsi="David" w:hint="cs"/>
          <w:sz w:val="22"/>
          <w:rtl/>
        </w:rPr>
        <w:t xml:space="preserve">החוק הישראלי </w:t>
      </w:r>
      <w:r w:rsidR="00CE5B22">
        <w:rPr>
          <w:rFonts w:ascii="David" w:hAnsi="David" w:hint="cs"/>
          <w:sz w:val="22"/>
          <w:rtl/>
        </w:rPr>
        <w:t xml:space="preserve">לא קובע </w:t>
      </w:r>
      <w:r w:rsidR="002B26E8">
        <w:rPr>
          <w:rFonts w:ascii="David" w:hAnsi="David" w:hint="cs"/>
          <w:sz w:val="22"/>
          <w:rtl/>
        </w:rPr>
        <w:t>בעצמו</w:t>
      </w:r>
      <w:r w:rsidR="00CE5B22">
        <w:rPr>
          <w:rFonts w:ascii="David" w:hAnsi="David" w:hint="cs"/>
          <w:sz w:val="22"/>
          <w:rtl/>
        </w:rPr>
        <w:t xml:space="preserve"> דינים לגבי נישואים וגירושין ורק מפנה להל</w:t>
      </w:r>
      <w:r w:rsidR="002B26E8">
        <w:rPr>
          <w:rFonts w:ascii="David" w:hAnsi="David" w:hint="cs"/>
          <w:sz w:val="22"/>
          <w:rtl/>
        </w:rPr>
        <w:t>כה</w:t>
      </w:r>
      <w:r w:rsidR="0039776F">
        <w:rPr>
          <w:rFonts w:ascii="David" w:hAnsi="David" w:hint="cs"/>
          <w:sz w:val="22"/>
          <w:rtl/>
        </w:rPr>
        <w:t>, ו</w:t>
      </w:r>
      <w:r w:rsidR="00962DDA">
        <w:rPr>
          <w:rFonts w:ascii="David" w:hAnsi="David" w:hint="cs"/>
          <w:sz w:val="22"/>
          <w:rtl/>
        </w:rPr>
        <w:t xml:space="preserve">ס' זה קובע כי אין דרך אחרת בישראל להינשא ולהתגרש </w:t>
      </w:r>
      <w:r w:rsidR="002B26E8">
        <w:rPr>
          <w:rFonts w:ascii="David" w:hAnsi="David" w:hint="cs"/>
          <w:sz w:val="22"/>
          <w:rtl/>
        </w:rPr>
        <w:t xml:space="preserve">אלא על פי דין תורה. </w:t>
      </w:r>
      <w:r w:rsidR="00962DDA">
        <w:rPr>
          <w:rFonts w:ascii="David" w:hAnsi="David" w:hint="cs"/>
          <w:sz w:val="22"/>
          <w:rtl/>
        </w:rPr>
        <w:t>(חשוב לזכור שאין תלות בכך שבני הזוג נישאו לפי דין תורה</w:t>
      </w:r>
      <w:r w:rsidR="00631BCD">
        <w:rPr>
          <w:rFonts w:ascii="David" w:hAnsi="David" w:hint="cs"/>
          <w:sz w:val="22"/>
          <w:rtl/>
        </w:rPr>
        <w:t xml:space="preserve"> כדי שהם גם יתגרשו על פי דין תורה</w:t>
      </w:r>
      <w:r w:rsidR="00732EAC" w:rsidRPr="009C7EEE">
        <w:rPr>
          <w:rFonts w:ascii="David" w:hAnsi="David" w:hint="cs"/>
          <w:sz w:val="22"/>
          <w:highlight w:val="cyan"/>
          <w:rtl/>
        </w:rPr>
        <w:t xml:space="preserve">, </w:t>
      </w:r>
      <w:r w:rsidR="00732EAC" w:rsidRPr="009C7EEE">
        <w:rPr>
          <w:rFonts w:ascii="David" w:hAnsi="David" w:hint="cs"/>
          <w:sz w:val="22"/>
          <w:highlight w:val="cyan"/>
          <w:u w:val="single"/>
          <w:rtl/>
        </w:rPr>
        <w:t>פס"ד בני נוח</w:t>
      </w:r>
      <w:r w:rsidR="00732EAC">
        <w:rPr>
          <w:rFonts w:ascii="David" w:hAnsi="David" w:hint="cs"/>
          <w:sz w:val="22"/>
          <w:rtl/>
        </w:rPr>
        <w:t>).</w:t>
      </w:r>
      <w:r w:rsidR="00D6055F">
        <w:rPr>
          <w:rFonts w:ascii="David" w:hAnsi="David" w:hint="cs"/>
          <w:sz w:val="22"/>
          <w:rtl/>
        </w:rPr>
        <w:t xml:space="preserve"> </w:t>
      </w:r>
    </w:p>
    <w:p w14:paraId="7D5F5A39" w14:textId="27F6D874" w:rsidR="0039776F" w:rsidRDefault="0039776F" w:rsidP="00465590">
      <w:pPr>
        <w:pStyle w:val="ac"/>
        <w:numPr>
          <w:ilvl w:val="4"/>
          <w:numId w:val="4"/>
        </w:numPr>
        <w:bidi/>
        <w:spacing w:after="0"/>
        <w:rPr>
          <w:rFonts w:ascii="David" w:hAnsi="David"/>
          <w:sz w:val="22"/>
          <w:u w:val="single"/>
        </w:rPr>
      </w:pPr>
      <w:r w:rsidRPr="0001077C">
        <w:rPr>
          <w:rFonts w:ascii="David" w:hAnsi="David" w:hint="cs"/>
          <w:sz w:val="22"/>
          <w:rtl/>
        </w:rPr>
        <w:t xml:space="preserve">בעיה נוספת של ס' זה היא שלא ברור מה זה ענייני נישואין וגירושין </w:t>
      </w:r>
      <w:r w:rsidRPr="0001077C">
        <w:rPr>
          <w:rFonts w:ascii="David" w:hAnsi="David"/>
          <w:sz w:val="22"/>
          <w:rtl/>
        </w:rPr>
        <w:t>–</w:t>
      </w:r>
      <w:r w:rsidRPr="0001077C">
        <w:rPr>
          <w:rFonts w:ascii="David" w:hAnsi="David" w:hint="cs"/>
          <w:sz w:val="22"/>
          <w:rtl/>
        </w:rPr>
        <w:t xml:space="preserve"> </w:t>
      </w:r>
      <w:r w:rsidRPr="007A4F5B">
        <w:rPr>
          <w:rFonts w:ascii="David" w:hAnsi="David" w:hint="cs"/>
          <w:sz w:val="22"/>
          <w:u w:val="single"/>
          <w:rtl/>
        </w:rPr>
        <w:t>מי קובע מהם ענייני נישואין וגירושין?</w:t>
      </w:r>
      <w:r w:rsidRPr="0001077C">
        <w:rPr>
          <w:rFonts w:ascii="David" w:hAnsi="David" w:hint="cs"/>
          <w:sz w:val="22"/>
          <w:rtl/>
        </w:rPr>
        <w:t xml:space="preserve"> בית המשפט העליון.</w:t>
      </w:r>
      <w:r w:rsidR="0001077C" w:rsidRPr="0001077C">
        <w:rPr>
          <w:rFonts w:ascii="David" w:hAnsi="David" w:hint="cs"/>
          <w:sz w:val="22"/>
          <w:rtl/>
        </w:rPr>
        <w:t xml:space="preserve"> מציאות זו גורמת לנו להבין שעל אף שנראה שס' זה נותן המון כוח לבית הדין הרבני כוח זה מותנה</w:t>
      </w:r>
      <w:r w:rsidR="007A4F5B">
        <w:rPr>
          <w:rFonts w:ascii="David" w:hAnsi="David" w:hint="cs"/>
          <w:sz w:val="22"/>
          <w:rtl/>
        </w:rPr>
        <w:t xml:space="preserve"> ו</w:t>
      </w:r>
      <w:r w:rsidR="006D3332">
        <w:rPr>
          <w:rFonts w:ascii="David" w:hAnsi="David" w:hint="cs"/>
          <w:sz w:val="22"/>
          <w:rtl/>
        </w:rPr>
        <w:t>מצומצם על ידי ביהמ"ש העליון</w:t>
      </w:r>
      <w:r w:rsidR="0001077C" w:rsidRPr="0001077C">
        <w:rPr>
          <w:rFonts w:ascii="David" w:hAnsi="David" w:hint="cs"/>
          <w:sz w:val="22"/>
          <w:rtl/>
        </w:rPr>
        <w:t>.</w:t>
      </w:r>
      <w:r w:rsidR="006D3332">
        <w:rPr>
          <w:rFonts w:ascii="David" w:hAnsi="David" w:hint="cs"/>
          <w:sz w:val="22"/>
          <w:rtl/>
        </w:rPr>
        <w:t xml:space="preserve"> לדוגמה: דיין בוודאי יחשוב שרכוש הוא חלק מהענייני נישואין וגירושין, אבל ביהמ"ש </w:t>
      </w:r>
      <w:r w:rsidR="009C758F">
        <w:rPr>
          <w:rFonts w:ascii="David" w:hAnsi="David" w:hint="cs"/>
          <w:sz w:val="22"/>
          <w:rtl/>
        </w:rPr>
        <w:t xml:space="preserve">בפסיקתו קבע כי רכוש לא יחשב חלק מעניינים אלו. </w:t>
      </w:r>
      <w:r w:rsidR="009C758F" w:rsidRPr="009C758F">
        <w:rPr>
          <w:rFonts w:ascii="David" w:hAnsi="David" w:hint="cs"/>
          <w:sz w:val="22"/>
          <w:u w:val="single"/>
          <w:rtl/>
        </w:rPr>
        <w:t>אם כך מהם ענייני נישואין וגירושין שהם הסמכות של בית הדין הרבני</w:t>
      </w:r>
      <w:r w:rsidR="009C758F">
        <w:rPr>
          <w:rFonts w:ascii="David" w:hAnsi="David" w:hint="cs"/>
          <w:sz w:val="22"/>
          <w:u w:val="single"/>
          <w:rtl/>
        </w:rPr>
        <w:t>:</w:t>
      </w:r>
    </w:p>
    <w:p w14:paraId="43DA9A81" w14:textId="6840022F" w:rsidR="009C758F" w:rsidRPr="002708FE" w:rsidRDefault="00075DF3" w:rsidP="00465590">
      <w:pPr>
        <w:pStyle w:val="ac"/>
        <w:numPr>
          <w:ilvl w:val="5"/>
          <w:numId w:val="4"/>
        </w:numPr>
        <w:bidi/>
        <w:spacing w:after="0"/>
        <w:rPr>
          <w:rFonts w:ascii="David" w:hAnsi="David"/>
          <w:sz w:val="22"/>
          <w:u w:val="single"/>
        </w:rPr>
      </w:pPr>
      <w:r>
        <w:rPr>
          <w:rFonts w:ascii="David" w:hAnsi="David" w:hint="cs"/>
          <w:sz w:val="22"/>
          <w:rtl/>
        </w:rPr>
        <w:t xml:space="preserve">נישואין וגירושין במובן המצומצם </w:t>
      </w:r>
      <w:r>
        <w:rPr>
          <w:rFonts w:ascii="David" w:hAnsi="David"/>
          <w:sz w:val="22"/>
          <w:rtl/>
        </w:rPr>
        <w:t>–</w:t>
      </w:r>
      <w:r>
        <w:rPr>
          <w:rFonts w:ascii="David" w:hAnsi="David" w:hint="cs"/>
          <w:sz w:val="22"/>
          <w:rtl/>
        </w:rPr>
        <w:t xml:space="preserve"> הכניסה והיציאה מהנישואי</w:t>
      </w:r>
      <w:r w:rsidR="002708FE">
        <w:rPr>
          <w:rFonts w:ascii="David" w:hAnsi="David" w:hint="cs"/>
          <w:sz w:val="22"/>
          <w:rtl/>
        </w:rPr>
        <w:t>ן, ועילות נישואין.</w:t>
      </w:r>
    </w:p>
    <w:p w14:paraId="48917974" w14:textId="45C1849A" w:rsidR="002708FE" w:rsidRPr="00993B4D" w:rsidRDefault="002708FE" w:rsidP="00465590">
      <w:pPr>
        <w:pStyle w:val="ac"/>
        <w:numPr>
          <w:ilvl w:val="5"/>
          <w:numId w:val="4"/>
        </w:numPr>
        <w:bidi/>
        <w:spacing w:after="0"/>
        <w:rPr>
          <w:rFonts w:ascii="David" w:hAnsi="David"/>
          <w:sz w:val="22"/>
          <w:u w:val="single"/>
        </w:rPr>
      </w:pPr>
      <w:r>
        <w:rPr>
          <w:rFonts w:ascii="David" w:hAnsi="David" w:hint="cs"/>
          <w:sz w:val="22"/>
          <w:rtl/>
        </w:rPr>
        <w:t xml:space="preserve">כתובה </w:t>
      </w:r>
      <w:r>
        <w:rPr>
          <w:rFonts w:ascii="David" w:hAnsi="David"/>
          <w:sz w:val="22"/>
          <w:rtl/>
        </w:rPr>
        <w:t>–</w:t>
      </w:r>
      <w:r>
        <w:rPr>
          <w:rFonts w:ascii="David" w:hAnsi="David" w:hint="cs"/>
          <w:sz w:val="22"/>
          <w:rtl/>
        </w:rPr>
        <w:t xml:space="preserve"> רק במידה והאישה תובעת את הכתובה בגירושין ולא כאשר הבעל מת. כאשר הבעל מת </w:t>
      </w:r>
      <w:r w:rsidR="00C972DD">
        <w:rPr>
          <w:rFonts w:ascii="David" w:hAnsi="David" w:hint="cs"/>
          <w:sz w:val="22"/>
          <w:rtl/>
        </w:rPr>
        <w:t>חוק הירושה הוא הקובע ואינו נותן סמכות לבית הדין הרבני.</w:t>
      </w:r>
    </w:p>
    <w:p w14:paraId="2C08D293" w14:textId="6FD3651F" w:rsidR="00993B4D" w:rsidRDefault="00993B4D" w:rsidP="00465590">
      <w:pPr>
        <w:pStyle w:val="ac"/>
        <w:numPr>
          <w:ilvl w:val="3"/>
          <w:numId w:val="4"/>
        </w:numPr>
        <w:bidi/>
        <w:spacing w:after="0"/>
        <w:rPr>
          <w:rFonts w:ascii="David" w:hAnsi="David"/>
          <w:sz w:val="22"/>
          <w:u w:val="single"/>
        </w:rPr>
      </w:pPr>
      <w:r w:rsidRPr="00F2242F">
        <w:rPr>
          <w:rFonts w:ascii="David" w:hAnsi="David" w:hint="cs"/>
          <w:b/>
          <w:bCs/>
          <w:sz w:val="22"/>
          <w:highlight w:val="green"/>
          <w:rtl/>
        </w:rPr>
        <w:t xml:space="preserve">ס' </w:t>
      </w:r>
      <w:r w:rsidR="00E93481" w:rsidRPr="00F2242F">
        <w:rPr>
          <w:rFonts w:ascii="David" w:hAnsi="David" w:hint="cs"/>
          <w:b/>
          <w:bCs/>
          <w:sz w:val="22"/>
          <w:highlight w:val="green"/>
          <w:rtl/>
        </w:rPr>
        <w:t>3</w:t>
      </w:r>
      <w:r w:rsidR="00E93481" w:rsidRPr="00085D2D">
        <w:rPr>
          <w:rFonts w:ascii="David" w:hAnsi="David" w:hint="cs"/>
          <w:b/>
          <w:bCs/>
          <w:sz w:val="22"/>
          <w:rtl/>
        </w:rPr>
        <w:t xml:space="preserve"> </w:t>
      </w:r>
      <w:r w:rsidR="00085D2D">
        <w:rPr>
          <w:rFonts w:ascii="David" w:hAnsi="David" w:hint="cs"/>
          <w:sz w:val="22"/>
          <w:rtl/>
        </w:rPr>
        <w:t>-</w:t>
      </w:r>
      <w:r w:rsidR="00E93481">
        <w:rPr>
          <w:rFonts w:ascii="David" w:hAnsi="David" w:hint="cs"/>
          <w:sz w:val="22"/>
          <w:rtl/>
        </w:rPr>
        <w:t xml:space="preserve"> סעיף הכריכה: בית הדין מקבל סמכות בנושאים הקשורים לגירושין</w:t>
      </w:r>
      <w:r w:rsidR="00592D1D">
        <w:rPr>
          <w:rFonts w:ascii="David" w:hAnsi="David" w:hint="cs"/>
          <w:sz w:val="22"/>
          <w:rtl/>
        </w:rPr>
        <w:t xml:space="preserve"> במידה וכורכים אותו לתביעת הגירושין</w:t>
      </w:r>
      <w:r w:rsidR="00BB0820">
        <w:rPr>
          <w:rFonts w:ascii="David" w:hAnsi="David" w:hint="cs"/>
          <w:sz w:val="22"/>
          <w:rtl/>
        </w:rPr>
        <w:t xml:space="preserve">, </w:t>
      </w:r>
      <w:r w:rsidR="00592D1D">
        <w:rPr>
          <w:rFonts w:ascii="David" w:hAnsi="David" w:hint="cs"/>
          <w:sz w:val="22"/>
          <w:rtl/>
        </w:rPr>
        <w:t xml:space="preserve">אם לא מתבצעת כריכה אז בית משפט </w:t>
      </w:r>
      <w:r w:rsidR="00BB0820">
        <w:rPr>
          <w:rFonts w:ascii="David" w:hAnsi="David" w:hint="cs"/>
          <w:sz w:val="22"/>
          <w:rtl/>
        </w:rPr>
        <w:t>אזרחי. כלומר, ברירת המחדל היא בית משפט אזרחי.</w:t>
      </w:r>
      <w:r w:rsidR="00BB0820">
        <w:rPr>
          <w:rFonts w:ascii="David" w:hAnsi="David" w:hint="cs"/>
          <w:sz w:val="22"/>
          <w:u w:val="single"/>
          <w:rtl/>
        </w:rPr>
        <w:t xml:space="preserve"> מבחינת בית הדין מדובר בס' מאוד בעייתי.</w:t>
      </w:r>
      <w:r w:rsidR="00BB0820">
        <w:rPr>
          <w:rFonts w:ascii="David" w:hAnsi="David" w:hint="cs"/>
          <w:sz w:val="22"/>
          <w:rtl/>
        </w:rPr>
        <w:t xml:space="preserve"> </w:t>
      </w:r>
      <w:r w:rsidR="00004357">
        <w:rPr>
          <w:rFonts w:ascii="David" w:hAnsi="David" w:hint="cs"/>
          <w:sz w:val="22"/>
          <w:rtl/>
        </w:rPr>
        <w:t xml:space="preserve">ואפשר לראות כי בשנים האחרונות רוב התביעות הקשורות לנישואין לא מגיעות לבית הדין הרבני. יתר על כן, הפרשנות של ביהמ"ש העליון לס' </w:t>
      </w:r>
      <w:r w:rsidR="009C7EEE">
        <w:rPr>
          <w:rFonts w:ascii="David" w:hAnsi="David" w:hint="cs"/>
          <w:sz w:val="22"/>
          <w:rtl/>
        </w:rPr>
        <w:t>צמצמה</w:t>
      </w:r>
      <w:r w:rsidR="00004357">
        <w:rPr>
          <w:rFonts w:ascii="David" w:hAnsi="David" w:hint="cs"/>
          <w:sz w:val="22"/>
          <w:rtl/>
        </w:rPr>
        <w:t xml:space="preserve"> עוד יותר את הסד' הזה. </w:t>
      </w:r>
      <w:r w:rsidR="00004357" w:rsidRPr="009C7EEE">
        <w:rPr>
          <w:rFonts w:ascii="David" w:hAnsi="David" w:hint="cs"/>
          <w:sz w:val="22"/>
          <w:highlight w:val="cyan"/>
          <w:u w:val="single"/>
          <w:rtl/>
        </w:rPr>
        <w:t>בפס"ד שרגאי</w:t>
      </w:r>
      <w:r w:rsidR="009C7EEE">
        <w:rPr>
          <w:rFonts w:ascii="David" w:hAnsi="David" w:hint="cs"/>
          <w:sz w:val="22"/>
          <w:rtl/>
        </w:rPr>
        <w:t>:</w:t>
      </w:r>
      <w:r w:rsidR="00004357">
        <w:rPr>
          <w:rFonts w:ascii="David" w:hAnsi="David" w:hint="cs"/>
          <w:sz w:val="22"/>
          <w:rtl/>
        </w:rPr>
        <w:t xml:space="preserve"> נקבע כי </w:t>
      </w:r>
      <w:r w:rsidR="009C7EEE">
        <w:rPr>
          <w:rFonts w:ascii="David" w:hAnsi="David" w:hint="cs"/>
          <w:sz w:val="22"/>
          <w:rtl/>
        </w:rPr>
        <w:t xml:space="preserve">לא ניתן לכרוך מזונות ילדים. </w:t>
      </w:r>
    </w:p>
    <w:p w14:paraId="05C42105" w14:textId="529AE5E7" w:rsidR="00085D2D" w:rsidRDefault="00085D2D" w:rsidP="00465590">
      <w:pPr>
        <w:pStyle w:val="ac"/>
        <w:numPr>
          <w:ilvl w:val="3"/>
          <w:numId w:val="4"/>
        </w:numPr>
        <w:bidi/>
        <w:spacing w:after="0"/>
        <w:rPr>
          <w:rFonts w:ascii="David" w:hAnsi="David"/>
          <w:sz w:val="22"/>
          <w:u w:val="single"/>
        </w:rPr>
      </w:pPr>
      <w:r w:rsidRPr="00F2242F">
        <w:rPr>
          <w:rFonts w:ascii="David" w:hAnsi="David" w:hint="cs"/>
          <w:b/>
          <w:bCs/>
          <w:sz w:val="22"/>
          <w:highlight w:val="green"/>
          <w:rtl/>
        </w:rPr>
        <w:t>ס' 6</w:t>
      </w:r>
      <w:r w:rsidRPr="00E53029">
        <w:rPr>
          <w:rFonts w:ascii="David" w:hAnsi="David" w:hint="cs"/>
          <w:b/>
          <w:bCs/>
          <w:sz w:val="22"/>
          <w:rtl/>
        </w:rPr>
        <w:t xml:space="preserve"> - </w:t>
      </w:r>
      <w:r w:rsidRPr="00E53029">
        <w:rPr>
          <w:rFonts w:ascii="David" w:hAnsi="David" w:hint="cs"/>
          <w:sz w:val="22"/>
          <w:rtl/>
        </w:rPr>
        <w:t xml:space="preserve"> המדינה בס' זה קובעת כי אפשר </w:t>
      </w:r>
      <w:r w:rsidR="002440F4" w:rsidRPr="00E53029">
        <w:rPr>
          <w:rFonts w:ascii="David" w:hAnsi="David" w:hint="cs"/>
          <w:sz w:val="22"/>
          <w:rtl/>
        </w:rPr>
        <w:t>לכפות גט על גבר באמצעות מאסר. במשך שנים הס' היה לא כול כך רלוונטי ונעשה בו שימוש מועט ביותר.</w:t>
      </w:r>
      <w:r w:rsidR="00E53029">
        <w:rPr>
          <w:rFonts w:ascii="David" w:hAnsi="David" w:hint="cs"/>
          <w:sz w:val="22"/>
          <w:rtl/>
        </w:rPr>
        <w:t xml:space="preserve"> ניתן לעשות שימוש בס' זה רק כאשר נפסק בבית הדין כפיית גט.</w:t>
      </w:r>
      <w:r w:rsidR="002440F4" w:rsidRPr="00E53029">
        <w:rPr>
          <w:rFonts w:ascii="David" w:hAnsi="David" w:hint="cs"/>
          <w:rtl/>
        </w:rPr>
        <w:t xml:space="preserve"> אולם, בפועל </w:t>
      </w:r>
      <w:r w:rsidR="0011750F" w:rsidRPr="00E53029">
        <w:rPr>
          <w:rFonts w:ascii="David" w:hAnsi="David" w:hint="cs"/>
          <w:rtl/>
        </w:rPr>
        <w:t>הס' מגביל את ביד"ר:</w:t>
      </w:r>
      <w:r w:rsidR="002D272B" w:rsidRPr="00E53029">
        <w:rPr>
          <w:rFonts w:ascii="David" w:hAnsi="David" w:hint="cs"/>
          <w:rtl/>
        </w:rPr>
        <w:t xml:space="preserve"> הוא קובע שההחלטה צריכה לעבור אצל היועץ המשפטי </w:t>
      </w:r>
      <w:r w:rsidR="00AB2128">
        <w:rPr>
          <w:rFonts w:ascii="David" w:hAnsi="David" w:hint="cs"/>
          <w:rtl/>
        </w:rPr>
        <w:t>לממשלה</w:t>
      </w:r>
      <w:r w:rsidR="002D272B" w:rsidRPr="00E53029">
        <w:rPr>
          <w:rFonts w:ascii="David" w:hAnsi="David" w:hint="cs"/>
          <w:rtl/>
        </w:rPr>
        <w:t xml:space="preserve"> ובבית המשפט המחוזי.</w:t>
      </w:r>
      <w:r w:rsidR="00E53029" w:rsidRPr="00E53029">
        <w:rPr>
          <w:rFonts w:ascii="David" w:hAnsi="David" w:hint="cs"/>
          <w:rtl/>
        </w:rPr>
        <w:t xml:space="preserve"> </w:t>
      </w:r>
    </w:p>
    <w:p w14:paraId="2E8ACE1A" w14:textId="3FD7B899" w:rsidR="00421CE2" w:rsidRDefault="00421CE2" w:rsidP="00465590">
      <w:pPr>
        <w:pStyle w:val="ac"/>
        <w:numPr>
          <w:ilvl w:val="3"/>
          <w:numId w:val="4"/>
        </w:numPr>
        <w:bidi/>
        <w:spacing w:after="0"/>
        <w:rPr>
          <w:rFonts w:ascii="David" w:hAnsi="David"/>
          <w:sz w:val="22"/>
          <w:u w:val="single"/>
        </w:rPr>
      </w:pPr>
      <w:r w:rsidRPr="00F2242F">
        <w:rPr>
          <w:rFonts w:ascii="David" w:hAnsi="David" w:hint="cs"/>
          <w:b/>
          <w:bCs/>
          <w:sz w:val="22"/>
          <w:highlight w:val="green"/>
          <w:rtl/>
        </w:rPr>
        <w:t xml:space="preserve">ס' </w:t>
      </w:r>
      <w:r w:rsidR="008712E5" w:rsidRPr="00F2242F">
        <w:rPr>
          <w:rFonts w:ascii="David" w:hAnsi="David" w:hint="cs"/>
          <w:b/>
          <w:bCs/>
          <w:sz w:val="22"/>
          <w:highlight w:val="green"/>
          <w:rtl/>
        </w:rPr>
        <w:t>4 ו4א</w:t>
      </w:r>
      <w:r w:rsidR="008712E5">
        <w:rPr>
          <w:rFonts w:ascii="David" w:hAnsi="David" w:hint="cs"/>
          <w:sz w:val="22"/>
          <w:rtl/>
        </w:rPr>
        <w:t xml:space="preserve"> </w:t>
      </w:r>
      <w:r w:rsidR="008712E5">
        <w:rPr>
          <w:rFonts w:ascii="David" w:hAnsi="David"/>
          <w:sz w:val="22"/>
          <w:rtl/>
        </w:rPr>
        <w:t>–</w:t>
      </w:r>
      <w:r w:rsidR="008712E5">
        <w:rPr>
          <w:rFonts w:ascii="David" w:hAnsi="David" w:hint="cs"/>
          <w:sz w:val="22"/>
          <w:rtl/>
        </w:rPr>
        <w:t xml:space="preserve"> ס' זה יוצר מצב בו</w:t>
      </w:r>
      <w:r w:rsidR="00AB2128">
        <w:rPr>
          <w:rFonts w:ascii="David" w:hAnsi="David" w:hint="cs"/>
          <w:sz w:val="22"/>
          <w:rtl/>
        </w:rPr>
        <w:t xml:space="preserve"> </w:t>
      </w:r>
      <w:r w:rsidR="008712E5">
        <w:rPr>
          <w:rFonts w:ascii="David" w:hAnsi="David" w:hint="cs"/>
          <w:sz w:val="22"/>
          <w:rtl/>
        </w:rPr>
        <w:t>בית הדין הרבני בישראל הוא המוסד ההלכתי הכי חזק בעולם</w:t>
      </w:r>
      <w:r w:rsidR="0013689B">
        <w:rPr>
          <w:rFonts w:ascii="David" w:hAnsi="David" w:hint="cs"/>
          <w:sz w:val="22"/>
          <w:rtl/>
        </w:rPr>
        <w:t>,</w:t>
      </w:r>
      <w:r w:rsidR="008712E5">
        <w:rPr>
          <w:rFonts w:ascii="David" w:hAnsi="David" w:hint="cs"/>
          <w:sz w:val="22"/>
          <w:rtl/>
        </w:rPr>
        <w:t xml:space="preserve"> שכן הכוח שלו הוא לא רק על אזרחי המדינה, אלא על כול יהודי העולם</w:t>
      </w:r>
      <w:r w:rsidR="0013689B">
        <w:rPr>
          <w:rFonts w:ascii="David" w:hAnsi="David" w:hint="cs"/>
          <w:sz w:val="22"/>
          <w:rtl/>
        </w:rPr>
        <w:t xml:space="preserve">. הסיבה שס' זה נחקק היא ראשית, בקשה של רבניים מרחבי העולם שאין להם כוח לעזור לנשים </w:t>
      </w:r>
      <w:r w:rsidR="00BE2CF2">
        <w:rPr>
          <w:rFonts w:ascii="David" w:hAnsi="David" w:hint="cs"/>
          <w:sz w:val="22"/>
          <w:rtl/>
        </w:rPr>
        <w:t>שישראל תעזור להם ושנית,</w:t>
      </w:r>
      <w:r w:rsidR="0049107D">
        <w:rPr>
          <w:rFonts w:ascii="David" w:hAnsi="David" w:hint="cs"/>
          <w:sz w:val="22"/>
          <w:rtl/>
        </w:rPr>
        <w:t xml:space="preserve"> המקרה של </w:t>
      </w:r>
      <w:r w:rsidR="00BB089F" w:rsidRPr="0049107D">
        <w:rPr>
          <w:rFonts w:ascii="David" w:hAnsi="David" w:hint="cs"/>
          <w:sz w:val="22"/>
          <w:highlight w:val="cyan"/>
          <w:u w:val="single"/>
          <w:rtl/>
        </w:rPr>
        <w:t>פס"ד סבג</w:t>
      </w:r>
      <w:r w:rsidR="0049107D" w:rsidRPr="0049107D">
        <w:rPr>
          <w:rFonts w:ascii="David" w:hAnsi="David" w:hint="cs"/>
          <w:sz w:val="22"/>
          <w:u w:val="single"/>
          <w:rtl/>
        </w:rPr>
        <w:t>:</w:t>
      </w:r>
      <w:r w:rsidR="00BB089F">
        <w:rPr>
          <w:rFonts w:ascii="David" w:hAnsi="David" w:hint="cs"/>
          <w:sz w:val="22"/>
          <w:rtl/>
        </w:rPr>
        <w:t xml:space="preserve">  </w:t>
      </w:r>
      <w:r w:rsidR="0049107D">
        <w:rPr>
          <w:rFonts w:ascii="David" w:hAnsi="David" w:hint="cs"/>
          <w:sz w:val="22"/>
          <w:rtl/>
        </w:rPr>
        <w:t xml:space="preserve">סיפור של אישה שאינה אזרחית ישראלית תבעה גירושין כנגד בעלה הסרבן גט כאשר היה בנסיעת עסקים בארץ, ביד"ר קבע שהוא חייב גט ועיכב את יציאתו מהארץ. לבסוף לאחר שני ערעורים שוחרר שכן </w:t>
      </w:r>
      <w:r w:rsidR="008204EA">
        <w:rPr>
          <w:rFonts w:ascii="David" w:hAnsi="David" w:hint="cs"/>
          <w:sz w:val="22"/>
          <w:rtl/>
        </w:rPr>
        <w:t>ביהמ</w:t>
      </w:r>
      <w:r w:rsidR="0049107D">
        <w:rPr>
          <w:rFonts w:ascii="David" w:hAnsi="David" w:hint="cs"/>
          <w:sz w:val="22"/>
          <w:rtl/>
        </w:rPr>
        <w:t xml:space="preserve">"ש קבע כי לבית הדין אין סמכות </w:t>
      </w:r>
      <w:r w:rsidR="0049107D">
        <w:rPr>
          <w:rFonts w:ascii="David" w:hAnsi="David"/>
          <w:sz w:val="22"/>
          <w:rtl/>
        </w:rPr>
        <w:t>–</w:t>
      </w:r>
      <w:r w:rsidR="0049107D">
        <w:rPr>
          <w:rFonts w:ascii="David" w:hAnsi="David" w:hint="cs"/>
          <w:sz w:val="22"/>
          <w:rtl/>
        </w:rPr>
        <w:t xml:space="preserve"> בעקבות המקרה חוקקו הס' הנ"ל.</w:t>
      </w:r>
    </w:p>
    <w:p w14:paraId="000000EE" w14:textId="55CAA550" w:rsidR="00DA07EC" w:rsidRDefault="00A513B5" w:rsidP="00465590">
      <w:pPr>
        <w:pStyle w:val="ac"/>
        <w:numPr>
          <w:ilvl w:val="2"/>
          <w:numId w:val="4"/>
        </w:numPr>
        <w:bidi/>
        <w:spacing w:after="0"/>
        <w:rPr>
          <w:rFonts w:ascii="David" w:hAnsi="David"/>
          <w:sz w:val="22"/>
          <w:u w:val="single"/>
        </w:rPr>
      </w:pPr>
      <w:r w:rsidRPr="00083CF6">
        <w:rPr>
          <w:rFonts w:ascii="David" w:hAnsi="David" w:hint="cs"/>
          <w:sz w:val="22"/>
          <w:highlight w:val="green"/>
          <w:u w:val="single"/>
          <w:rtl/>
        </w:rPr>
        <w:t>הצעת חוק נישואין וגירושין (שיפוט בתי דין רבניים)</w:t>
      </w:r>
      <w:r w:rsidR="00083CF6">
        <w:rPr>
          <w:rFonts w:ascii="David" w:hAnsi="David" w:hint="cs"/>
          <w:sz w:val="22"/>
          <w:rtl/>
        </w:rPr>
        <w:t xml:space="preserve">: </w:t>
      </w:r>
      <w:r w:rsidR="00984E1B">
        <w:rPr>
          <w:rFonts w:ascii="David" w:hAnsi="David" w:hint="cs"/>
          <w:sz w:val="22"/>
          <w:rtl/>
        </w:rPr>
        <w:t xml:space="preserve">אפשר לשים לב שהשם של הצעת החוק הוא </w:t>
      </w:r>
      <w:r w:rsidR="00984E1B" w:rsidRPr="00984E1B">
        <w:rPr>
          <w:rFonts w:ascii="David" w:hAnsi="David" w:hint="cs"/>
          <w:sz w:val="22"/>
          <w:u w:val="single"/>
          <w:rtl/>
        </w:rPr>
        <w:t>הפוך</w:t>
      </w:r>
      <w:r w:rsidR="00984E1B">
        <w:rPr>
          <w:rFonts w:ascii="David" w:hAnsi="David" w:hint="cs"/>
          <w:sz w:val="22"/>
          <w:rtl/>
        </w:rPr>
        <w:t xml:space="preserve"> מהשם הסופי שנקבע לחוק.</w:t>
      </w:r>
      <w:r w:rsidR="004B686E">
        <w:rPr>
          <w:rFonts w:ascii="David" w:hAnsi="David" w:hint="cs"/>
          <w:sz w:val="22"/>
          <w:rtl/>
        </w:rPr>
        <w:t xml:space="preserve"> מדוע הכותרת </w:t>
      </w:r>
      <w:r w:rsidR="00DA07EC">
        <w:rPr>
          <w:rFonts w:ascii="David" w:hAnsi="David" w:hint="cs"/>
          <w:sz w:val="22"/>
          <w:rtl/>
        </w:rPr>
        <w:t xml:space="preserve">שונתה? </w:t>
      </w:r>
      <w:r w:rsidR="00630780" w:rsidRPr="00630780">
        <w:rPr>
          <w:rFonts w:ascii="David" w:hAnsi="David"/>
          <w:rtl/>
        </w:rPr>
        <w:t>זרח ורהפטיג</w:t>
      </w:r>
      <w:r w:rsidR="00630780">
        <w:rPr>
          <w:rFonts w:ascii="David" w:hAnsi="David" w:hint="cs"/>
          <w:rtl/>
        </w:rPr>
        <w:t xml:space="preserve"> אמר ש</w:t>
      </w:r>
      <w:r w:rsidR="00B05FBA">
        <w:rPr>
          <w:rFonts w:ascii="David" w:hAnsi="David" w:hint="cs"/>
          <w:rtl/>
        </w:rPr>
        <w:t>ה</w:t>
      </w:r>
      <w:r w:rsidR="00DA07EC" w:rsidRPr="006A7BB4">
        <w:rPr>
          <w:rFonts w:ascii="David" w:hAnsi="David" w:hint="cs"/>
          <w:rtl/>
        </w:rPr>
        <w:t xml:space="preserve">חוק פרוצדוראלי </w:t>
      </w:r>
      <w:r w:rsidR="00B05FBA">
        <w:rPr>
          <w:rFonts w:ascii="David" w:hAnsi="David" w:hint="cs"/>
          <w:rtl/>
        </w:rPr>
        <w:t>ו</w:t>
      </w:r>
      <w:r w:rsidR="00DA07EC" w:rsidRPr="006A7BB4">
        <w:rPr>
          <w:rFonts w:ascii="David" w:hAnsi="David" w:hint="cs"/>
          <w:rtl/>
        </w:rPr>
        <w:t>עוסק בסמכויות, הוא לא מטפל בהלכות המהותיות של נישואין וגירושין. זה חוק שנותן שיפוט לבתי הדין הרבניי</w:t>
      </w:r>
      <w:r w:rsidR="00757699" w:rsidRPr="006A7BB4">
        <w:rPr>
          <w:rFonts w:ascii="David" w:hAnsi="David" w:hint="cs"/>
          <w:rtl/>
        </w:rPr>
        <w:t xml:space="preserve">ם לשפוט על פי דין תורה. הכנסת עצמה לא יכולה לחוקק מהו דין תורה, לכן הכותרת צריכה להיות </w:t>
      </w:r>
      <w:r w:rsidR="00106A3A" w:rsidRPr="006A7BB4">
        <w:rPr>
          <w:rFonts w:ascii="David" w:hAnsi="David" w:hint="cs"/>
          <w:rtl/>
        </w:rPr>
        <w:t xml:space="preserve">הפוכה. הכנסת רק מחוקקת עניין של סמכות. </w:t>
      </w:r>
      <w:r w:rsidR="0002045B" w:rsidRPr="006A7BB4">
        <w:rPr>
          <w:rFonts w:ascii="David" w:hAnsi="David" w:hint="cs"/>
          <w:rtl/>
        </w:rPr>
        <w:t xml:space="preserve">כלומר היה חשוב לו לומר שהסיבה שמתחתנים על פי דין תורה זה בגלל ההלכה ולא בגלל חוק המדינה. </w:t>
      </w:r>
      <w:r w:rsidR="00CA1556" w:rsidRPr="006A7BB4">
        <w:rPr>
          <w:rFonts w:ascii="David" w:hAnsi="David" w:hint="cs"/>
          <w:rtl/>
        </w:rPr>
        <w:t>מאחורי</w:t>
      </w:r>
      <w:r w:rsidR="001279D7" w:rsidRPr="006A7BB4">
        <w:rPr>
          <w:rFonts w:ascii="David" w:hAnsi="David" w:hint="cs"/>
          <w:rtl/>
        </w:rPr>
        <w:t xml:space="preserve"> האמירה שלו יש אמירה אידאולוגיה מאוד משמעותית </w:t>
      </w:r>
      <w:r w:rsidR="001279D7" w:rsidRPr="006A7BB4">
        <w:rPr>
          <w:rFonts w:ascii="David" w:hAnsi="David"/>
          <w:rtl/>
        </w:rPr>
        <w:t>–</w:t>
      </w:r>
      <w:r w:rsidR="001279D7" w:rsidRPr="006A7BB4">
        <w:rPr>
          <w:rFonts w:ascii="David" w:hAnsi="David" w:hint="cs"/>
          <w:rtl/>
        </w:rPr>
        <w:t xml:space="preserve"> בין ההלכה לבין המשפט הישראלי יש פער בלתי ניתן לגירוש,  </w:t>
      </w:r>
      <w:r w:rsidR="001279D7" w:rsidRPr="006A7BB4">
        <w:rPr>
          <w:rFonts w:ascii="David" w:hAnsi="David" w:hint="cs"/>
          <w:u w:val="single"/>
          <w:rtl/>
        </w:rPr>
        <w:t>ולדעתו ההלכה קודמת לחוק.</w:t>
      </w:r>
      <w:r w:rsidR="00CA1556" w:rsidRPr="006A7BB4">
        <w:rPr>
          <w:rFonts w:ascii="David" w:hAnsi="David" w:hint="cs"/>
          <w:rtl/>
        </w:rPr>
        <w:t xml:space="preserve">  </w:t>
      </w:r>
      <w:r w:rsidR="00CA1556" w:rsidRPr="006A7BB4">
        <w:rPr>
          <w:rFonts w:ascii="David" w:hAnsi="David" w:hint="cs"/>
          <w:u w:val="single"/>
          <w:rtl/>
        </w:rPr>
        <w:t>בפועל</w:t>
      </w:r>
      <w:r w:rsidR="00CA1556" w:rsidRPr="006A7BB4">
        <w:rPr>
          <w:rFonts w:ascii="David" w:hAnsi="David" w:hint="cs"/>
          <w:rtl/>
        </w:rPr>
        <w:t xml:space="preserve"> זה מעט מצחיק שכן היום המון אנשים מתחתנים על פי דן תורה רק בגלל שזה החוק.</w:t>
      </w:r>
      <w:r w:rsidR="00564EB7" w:rsidRPr="006A7BB4">
        <w:rPr>
          <w:rFonts w:ascii="David" w:hAnsi="David" w:hint="cs"/>
          <w:rtl/>
        </w:rPr>
        <w:t xml:space="preserve"> </w:t>
      </w:r>
      <w:r w:rsidR="00D735EC" w:rsidRPr="006A7BB4">
        <w:rPr>
          <w:rFonts w:ascii="David" w:hAnsi="David" w:hint="cs"/>
          <w:rtl/>
        </w:rPr>
        <w:t>אמירתו האידאולוגית יוצרת פער מאוד משמעותי שלא ניתן לגישור, בעוד אדם דתי רואה את הנורמה העליונה כ</w:t>
      </w:r>
      <w:r w:rsidR="00F54391" w:rsidRPr="006A7BB4">
        <w:rPr>
          <w:rFonts w:ascii="David" w:hAnsi="David" w:hint="cs"/>
          <w:rtl/>
        </w:rPr>
        <w:t>ריבנו של עולם, אדם חילוני רואה את הריבון או עקרונות היסוד הדמ</w:t>
      </w:r>
      <w:r w:rsidR="00F747B4" w:rsidRPr="006A7BB4">
        <w:rPr>
          <w:rFonts w:ascii="David" w:hAnsi="David" w:hint="cs"/>
          <w:rtl/>
        </w:rPr>
        <w:t xml:space="preserve">וקרטיים כעליונים. דוגמה לפער </w:t>
      </w:r>
      <w:r w:rsidR="00F747B4" w:rsidRPr="006A7BB4">
        <w:rPr>
          <w:rFonts w:ascii="David" w:hAnsi="David"/>
          <w:rtl/>
        </w:rPr>
        <w:t>–</w:t>
      </w:r>
      <w:r w:rsidR="00F747B4" w:rsidRPr="006A7BB4">
        <w:rPr>
          <w:rFonts w:ascii="David" w:hAnsi="David" w:hint="cs"/>
          <w:rtl/>
        </w:rPr>
        <w:t xml:space="preserve"> חייל דתי מקבל פקודה שסותרת את ההלכה ומתקשר לרב שלו לשאול האם אפשר לבצע את הפעולה. </w:t>
      </w:r>
      <w:r w:rsidR="00B63265" w:rsidRPr="006A7BB4">
        <w:rPr>
          <w:rFonts w:ascii="David" w:hAnsi="David" w:hint="cs"/>
          <w:rtl/>
        </w:rPr>
        <w:t>עצם העובדה שהתקשר לרב מעיד על הפער לגבי מי הסמכות העליונה. אם הרב יגיד לו שהוא צריך לסרב, ה</w:t>
      </w:r>
      <w:r w:rsidR="00A91E04" w:rsidRPr="006A7BB4">
        <w:rPr>
          <w:rFonts w:ascii="David" w:hAnsi="David" w:hint="cs"/>
          <w:rtl/>
        </w:rPr>
        <w:t>חייל יצטרך לעמוד בפני השאלה מי הסמכות העליונה שעליו להקשיב לו.</w:t>
      </w:r>
    </w:p>
    <w:p w14:paraId="5A34E0C7" w14:textId="0566D50F" w:rsidR="001613C9" w:rsidRDefault="001613C9" w:rsidP="001613C9">
      <w:pPr>
        <w:rPr>
          <w:rFonts w:ascii="David" w:hAnsi="David"/>
          <w:u w:val="single"/>
          <w:rtl/>
        </w:rPr>
      </w:pPr>
    </w:p>
    <w:p w14:paraId="5508642F" w14:textId="77777777" w:rsidR="001613C9" w:rsidRPr="001613C9" w:rsidRDefault="001613C9" w:rsidP="001613C9">
      <w:pPr>
        <w:rPr>
          <w:rFonts w:ascii="David" w:hAnsi="David"/>
          <w:u w:val="single"/>
        </w:rPr>
      </w:pPr>
    </w:p>
    <w:p w14:paraId="13230E5B" w14:textId="3CD5F492" w:rsidR="008557AF" w:rsidRPr="008D7B4F" w:rsidRDefault="008D7B4F" w:rsidP="00C179A7">
      <w:pPr>
        <w:pStyle w:val="21"/>
        <w:rPr>
          <w:u w:val="single"/>
        </w:rPr>
      </w:pPr>
      <w:bookmarkStart w:id="4" w:name="_Toc107438152"/>
      <w:r w:rsidRPr="00C179A7">
        <w:rPr>
          <w:rFonts w:hint="cs"/>
          <w:rtl/>
        </w:rPr>
        <w:lastRenderedPageBreak/>
        <w:t>היחס לעליונות בית המשפט עליון</w:t>
      </w:r>
      <w:r w:rsidR="00083CF6" w:rsidRPr="00C179A7">
        <w:rPr>
          <w:rFonts w:hint="cs"/>
          <w:rtl/>
        </w:rPr>
        <w:t xml:space="preserve"> לעומת</w:t>
      </w:r>
      <w:r w:rsidRPr="00C179A7">
        <w:rPr>
          <w:rFonts w:hint="cs"/>
          <w:rtl/>
        </w:rPr>
        <w:t xml:space="preserve"> בית הדין הרבני</w:t>
      </w:r>
      <w:r w:rsidRPr="008D7B4F">
        <w:rPr>
          <w:rFonts w:hint="cs"/>
          <w:rtl/>
        </w:rPr>
        <w:t>:</w:t>
      </w:r>
      <w:bookmarkEnd w:id="4"/>
    </w:p>
    <w:p w14:paraId="36635158" w14:textId="1C9499BF" w:rsidR="0061418F" w:rsidRPr="00C836FB" w:rsidRDefault="0061418F" w:rsidP="00C836FB">
      <w:pPr>
        <w:shd w:val="clear" w:color="auto" w:fill="FFF4CD" w:themeFill="accent1" w:themeFillTint="33"/>
        <w:rPr>
          <w:rFonts w:ascii="David" w:hAnsi="David"/>
          <w:b/>
          <w:bCs/>
        </w:rPr>
      </w:pPr>
      <w:r w:rsidRPr="00C836FB">
        <w:rPr>
          <w:rFonts w:ascii="David" w:hAnsi="David" w:hint="cs"/>
          <w:b/>
          <w:bCs/>
          <w:rtl/>
        </w:rPr>
        <w:t xml:space="preserve">פסקי דין </w:t>
      </w:r>
      <w:r w:rsidR="00663844" w:rsidRPr="00C836FB">
        <w:rPr>
          <w:rFonts w:ascii="David" w:hAnsi="David" w:hint="cs"/>
          <w:b/>
          <w:bCs/>
          <w:rtl/>
        </w:rPr>
        <w:t>שעוסקי ביחס הכוחות החוק להלכה:</w:t>
      </w:r>
    </w:p>
    <w:p w14:paraId="45981418" w14:textId="4A799C05" w:rsidR="001E7A1C" w:rsidRPr="00FC1140" w:rsidRDefault="00FC1140" w:rsidP="00465590">
      <w:pPr>
        <w:pStyle w:val="ac"/>
        <w:numPr>
          <w:ilvl w:val="1"/>
          <w:numId w:val="6"/>
        </w:numPr>
        <w:bidi/>
        <w:spacing w:after="0"/>
        <w:rPr>
          <w:rFonts w:ascii="David" w:hAnsi="David"/>
          <w:sz w:val="22"/>
        </w:rPr>
      </w:pPr>
      <w:r w:rsidRPr="006E3BB4">
        <w:rPr>
          <w:rFonts w:ascii="David" w:hAnsi="David"/>
          <w:highlight w:val="cyan"/>
          <w:u w:val="single"/>
          <w:rtl/>
        </w:rPr>
        <w:t>ע"א 191/51 - לייב סקורניק נ' מרים סקורניק</w:t>
      </w:r>
      <w:r>
        <w:rPr>
          <w:rFonts w:ascii="David" w:hAnsi="David" w:hint="cs"/>
          <w:rtl/>
        </w:rPr>
        <w:t>:</w:t>
      </w:r>
      <w:r w:rsidRPr="00FC1140">
        <w:rPr>
          <w:rFonts w:ascii="David" w:hAnsi="David"/>
          <w:rtl/>
        </w:rPr>
        <w:t xml:space="preserve"> </w:t>
      </w:r>
      <w:r w:rsidRPr="00516A12">
        <w:rPr>
          <w:rFonts w:ascii="David" w:hAnsi="David" w:hint="cs"/>
          <w:b/>
          <w:bCs/>
          <w:rtl/>
        </w:rPr>
        <w:t>ה</w:t>
      </w:r>
      <w:r w:rsidRPr="00516A12">
        <w:rPr>
          <w:rFonts w:ascii="David" w:hAnsi="David"/>
          <w:b/>
          <w:bCs/>
          <w:rtl/>
        </w:rPr>
        <w:t>שופט ויתקון</w:t>
      </w:r>
      <w:r w:rsidRPr="00516A12">
        <w:rPr>
          <w:rFonts w:ascii="David" w:hAnsi="David" w:hint="cs"/>
          <w:b/>
          <w:bCs/>
          <w:rtl/>
        </w:rPr>
        <w:t>:</w:t>
      </w:r>
      <w:r w:rsidRPr="009C7B73">
        <w:rPr>
          <w:rFonts w:ascii="David" w:hAnsi="David" w:hint="cs"/>
          <w:i/>
          <w:iCs/>
          <w:rtl/>
        </w:rPr>
        <w:t xml:space="preserve"> "</w:t>
      </w:r>
      <w:r w:rsidRPr="00FC1140">
        <w:rPr>
          <w:rFonts w:ascii="David" w:hAnsi="David"/>
          <w:i/>
          <w:iCs/>
          <w:rtl/>
        </w:rPr>
        <w:t>ואם תאמר שהמשפט העברי הוא אוניברסלי, הרי כל משפט דתי בתחולתו בארץ נובע מדבר המחוקק החילוני, הוא הסימן 47 לדבר המלך</w:t>
      </w:r>
      <w:r w:rsidRPr="009C7B73">
        <w:rPr>
          <w:rFonts w:ascii="David" w:hAnsi="David" w:hint="cs"/>
          <w:i/>
          <w:iCs/>
          <w:rtl/>
        </w:rPr>
        <w:t xml:space="preserve"> </w:t>
      </w:r>
      <w:r w:rsidRPr="00FC1140">
        <w:rPr>
          <w:rFonts w:ascii="David" w:hAnsi="David"/>
          <w:i/>
          <w:iCs/>
          <w:rtl/>
        </w:rPr>
        <w:t>במועצה - בחינת הנורמה היסודית לפי ההלכה של קלזן - וממנו שואב הוא את כוחו. המחוקק החילוני לא נתן למשפט הדתי תוקף אלא</w:t>
      </w:r>
      <w:r w:rsidRPr="009C7B73">
        <w:rPr>
          <w:rFonts w:ascii="David" w:hAnsi="David" w:hint="cs"/>
          <w:i/>
          <w:iCs/>
          <w:rtl/>
        </w:rPr>
        <w:t xml:space="preserve"> </w:t>
      </w:r>
      <w:r w:rsidRPr="009C7B73">
        <w:rPr>
          <w:rFonts w:ascii="David" w:hAnsi="David"/>
          <w:i/>
          <w:iCs/>
          <w:sz w:val="22"/>
          <w:rtl/>
        </w:rPr>
        <w:t>בכפיפות לכללי המשפט הבינלאומי הפרטי. כך, בכל אופן, גורסים בבית-המשפט האזרחי במדינתנו</w:t>
      </w:r>
      <w:r w:rsidRPr="009C7B73">
        <w:rPr>
          <w:rFonts w:ascii="David" w:hAnsi="David"/>
          <w:i/>
          <w:iCs/>
          <w:sz w:val="22"/>
        </w:rPr>
        <w:t>.</w:t>
      </w:r>
      <w:r w:rsidRPr="009C7B73">
        <w:rPr>
          <w:rFonts w:ascii="David" w:hAnsi="David" w:hint="cs"/>
          <w:i/>
          <w:iCs/>
          <w:sz w:val="22"/>
          <w:rtl/>
        </w:rPr>
        <w:t>"</w:t>
      </w:r>
    </w:p>
    <w:p w14:paraId="5620E3A3" w14:textId="54D235E6" w:rsidR="00E45362" w:rsidRPr="006E3BB4" w:rsidRDefault="006E3BB4" w:rsidP="00465590">
      <w:pPr>
        <w:pStyle w:val="ac"/>
        <w:numPr>
          <w:ilvl w:val="1"/>
          <w:numId w:val="2"/>
        </w:numPr>
        <w:bidi/>
        <w:spacing w:after="0"/>
        <w:rPr>
          <w:rFonts w:ascii="David" w:hAnsi="David"/>
          <w:sz w:val="22"/>
        </w:rPr>
      </w:pPr>
      <w:r w:rsidRPr="00516A12">
        <w:rPr>
          <w:rFonts w:ascii="David" w:hAnsi="David"/>
          <w:highlight w:val="cyan"/>
          <w:rtl/>
        </w:rPr>
        <w:t>ד</w:t>
      </w:r>
      <w:r w:rsidRPr="006E3BB4">
        <w:rPr>
          <w:rFonts w:ascii="David" w:hAnsi="David"/>
          <w:highlight w:val="cyan"/>
          <w:u w:val="single"/>
          <w:rtl/>
        </w:rPr>
        <w:t>"נ 10/69 - רחל בורונובסקי נ' הרבניים הראשיים</w:t>
      </w:r>
      <w:r w:rsidRPr="00516A12">
        <w:rPr>
          <w:rFonts w:ascii="David" w:hAnsi="David" w:hint="cs"/>
          <w:b/>
          <w:bCs/>
          <w:rtl/>
        </w:rPr>
        <w:t xml:space="preserve">: </w:t>
      </w:r>
      <w:r w:rsidRPr="00516A12">
        <w:rPr>
          <w:rFonts w:ascii="David" w:hAnsi="David"/>
          <w:b/>
          <w:bCs/>
          <w:rtl/>
        </w:rPr>
        <w:t>השופט חיים כהן</w:t>
      </w:r>
      <w:r w:rsidRPr="006E3BB4">
        <w:rPr>
          <w:rFonts w:ascii="David" w:hAnsi="David" w:hint="cs"/>
          <w:rtl/>
        </w:rPr>
        <w:t xml:space="preserve">: </w:t>
      </w:r>
      <w:r w:rsidRPr="00516A12">
        <w:rPr>
          <w:rFonts w:ascii="David" w:hAnsi="David" w:hint="cs"/>
          <w:i/>
          <w:iCs/>
          <w:rtl/>
        </w:rPr>
        <w:t>"</w:t>
      </w:r>
      <w:r w:rsidRPr="006E3BB4">
        <w:rPr>
          <w:rFonts w:ascii="David" w:hAnsi="David"/>
          <w:i/>
          <w:iCs/>
          <w:rtl/>
        </w:rPr>
        <w:t>החוק - מעשה החקיקה של הכנסת - מחייב לא רק את בתי-המשפט, כי אם גם את בתי-הדין הרבניים. "הדין" אשר לפיו דנים הדיינים</w:t>
      </w:r>
      <w:r w:rsidRPr="006E3BB4">
        <w:rPr>
          <w:rFonts w:ascii="David" w:hAnsi="David"/>
          <w:i/>
          <w:iCs/>
        </w:rPr>
        <w:t>,</w:t>
      </w:r>
      <w:r w:rsidRPr="009C7B73">
        <w:rPr>
          <w:rFonts w:ascii="David" w:hAnsi="David" w:hint="cs"/>
          <w:i/>
          <w:iCs/>
          <w:rtl/>
        </w:rPr>
        <w:t xml:space="preserve"> </w:t>
      </w:r>
      <w:r w:rsidRPr="006E3BB4">
        <w:rPr>
          <w:rFonts w:ascii="David" w:hAnsi="David"/>
          <w:i/>
          <w:iCs/>
          <w:rtl/>
        </w:rPr>
        <w:t>כמשמעות דיבור זה בסעיף 12 לחוק הדיינים, תשט"ו- 1955 , לא רק דין התורה במשמע: דינם לא היה דין, אילולא הסמכתם מפי המחוקק</w:t>
      </w:r>
      <w:r w:rsidRPr="009C7B73">
        <w:rPr>
          <w:rFonts w:ascii="David" w:hAnsi="David" w:hint="cs"/>
          <w:i/>
          <w:iCs/>
          <w:rtl/>
        </w:rPr>
        <w:t xml:space="preserve"> </w:t>
      </w:r>
      <w:r w:rsidRPr="006E3BB4">
        <w:rPr>
          <w:rFonts w:ascii="David" w:hAnsi="David"/>
          <w:i/>
          <w:iCs/>
          <w:rtl/>
        </w:rPr>
        <w:t>בחוק שיפוט בתי-דין רבניים )נישואין וגירושין(, תשי"ג- 1953 , וחוק זה, למשל, הוא בכלל הדינים אשר לפיהם הם דנים. והדברים פשוטים</w:t>
      </w:r>
      <w:r w:rsidRPr="009C7B73">
        <w:rPr>
          <w:rFonts w:ascii="David" w:hAnsi="David" w:hint="cs"/>
          <w:i/>
          <w:iCs/>
          <w:rtl/>
        </w:rPr>
        <w:t xml:space="preserve"> </w:t>
      </w:r>
      <w:r w:rsidRPr="009C7B73">
        <w:rPr>
          <w:rFonts w:ascii="David" w:hAnsi="David"/>
          <w:i/>
          <w:iCs/>
          <w:sz w:val="22"/>
          <w:rtl/>
        </w:rPr>
        <w:t>ומובנים מאליהם</w:t>
      </w:r>
      <w:r w:rsidRPr="009C7B73">
        <w:rPr>
          <w:rFonts w:ascii="David" w:hAnsi="David"/>
          <w:i/>
          <w:iCs/>
          <w:sz w:val="22"/>
        </w:rPr>
        <w:t>.</w:t>
      </w:r>
      <w:r w:rsidRPr="009C7B73">
        <w:rPr>
          <w:rFonts w:ascii="David" w:hAnsi="David" w:hint="cs"/>
          <w:i/>
          <w:iCs/>
          <w:sz w:val="22"/>
          <w:rtl/>
        </w:rPr>
        <w:t>"</w:t>
      </w:r>
      <w:r>
        <w:rPr>
          <w:rFonts w:ascii="David" w:hAnsi="David" w:hint="cs"/>
          <w:rtl/>
        </w:rPr>
        <w:t xml:space="preserve"> -  לדעת כהן </w:t>
      </w:r>
      <w:r w:rsidRPr="006E3BB4">
        <w:rPr>
          <w:rFonts w:ascii="David" w:hAnsi="David" w:hint="cs"/>
          <w:rtl/>
        </w:rPr>
        <w:t>מעשה</w:t>
      </w:r>
      <w:r w:rsidR="005E600F" w:rsidRPr="006E3BB4">
        <w:rPr>
          <w:rFonts w:ascii="David" w:hAnsi="David" w:hint="cs"/>
          <w:rtl/>
        </w:rPr>
        <w:t xml:space="preserve"> החקיקה של הכנסת ק</w:t>
      </w:r>
      <w:r w:rsidR="007C42FA">
        <w:rPr>
          <w:rFonts w:ascii="David" w:hAnsi="David" w:hint="cs"/>
          <w:rtl/>
        </w:rPr>
        <w:t>ו</w:t>
      </w:r>
      <w:r w:rsidR="005E600F" w:rsidRPr="006E3BB4">
        <w:rPr>
          <w:rFonts w:ascii="David" w:hAnsi="David" w:hint="cs"/>
          <w:rtl/>
        </w:rPr>
        <w:t xml:space="preserve">בע </w:t>
      </w:r>
      <w:r w:rsidR="007C42FA">
        <w:rPr>
          <w:rFonts w:ascii="David" w:hAnsi="David" w:hint="cs"/>
          <w:rtl/>
        </w:rPr>
        <w:t>הדיינים</w:t>
      </w:r>
      <w:r w:rsidR="005E600F" w:rsidRPr="006E3BB4">
        <w:rPr>
          <w:rFonts w:ascii="David" w:hAnsi="David" w:hint="cs"/>
          <w:rtl/>
        </w:rPr>
        <w:t xml:space="preserve"> יכולים לשפוט, אלמלא חוק זה להלכה לא היה מקור סמכות ומקור הסמכות של בתי הדין הרבניים הוא הכנסת.</w:t>
      </w:r>
      <w:r w:rsidR="000853FC" w:rsidRPr="006E3BB4">
        <w:rPr>
          <w:rFonts w:ascii="David" w:hAnsi="David" w:hint="cs"/>
          <w:rtl/>
        </w:rPr>
        <w:t xml:space="preserve"> </w:t>
      </w:r>
      <w:r w:rsidR="00472A4A" w:rsidRPr="006E3BB4">
        <w:rPr>
          <w:rFonts w:ascii="David" w:hAnsi="David" w:hint="cs"/>
          <w:rtl/>
        </w:rPr>
        <w:t xml:space="preserve">עם זאת, יש את </w:t>
      </w:r>
      <w:r w:rsidR="00472A4A" w:rsidRPr="007C42FA">
        <w:rPr>
          <w:rFonts w:ascii="David" w:hAnsi="David" w:hint="cs"/>
          <w:u w:val="single"/>
          <w:rtl/>
        </w:rPr>
        <w:t xml:space="preserve">דעת המיעוט </w:t>
      </w:r>
      <w:r w:rsidR="00472A4A" w:rsidRPr="006E3BB4">
        <w:rPr>
          <w:rFonts w:ascii="David" w:hAnsi="David" w:hint="cs"/>
          <w:rtl/>
        </w:rPr>
        <w:t xml:space="preserve">של השופט אלון </w:t>
      </w:r>
      <w:r w:rsidR="00E45362" w:rsidRPr="007C42FA">
        <w:rPr>
          <w:rFonts w:ascii="David" w:hAnsi="David" w:hint="cs"/>
          <w:highlight w:val="cyan"/>
          <w:u w:val="single"/>
          <w:rtl/>
        </w:rPr>
        <w:t>בפס"ד כץ</w:t>
      </w:r>
      <w:r w:rsidR="00E45362" w:rsidRPr="006E3BB4">
        <w:rPr>
          <w:rFonts w:ascii="David" w:hAnsi="David" w:hint="cs"/>
          <w:rtl/>
        </w:rPr>
        <w:t xml:space="preserve"> וטען כי אין סמכות להתערב שכן בית הדין לא כפוף לסמכות של ביהמ"ש ויש להם נורמה עליונה אחרת.</w:t>
      </w:r>
    </w:p>
    <w:p w14:paraId="5A834F1D" w14:textId="56E3465C" w:rsidR="006404CD" w:rsidRPr="004277FF" w:rsidRDefault="00E45362" w:rsidP="00465590">
      <w:pPr>
        <w:pStyle w:val="ac"/>
        <w:numPr>
          <w:ilvl w:val="1"/>
          <w:numId w:val="3"/>
        </w:numPr>
        <w:bidi/>
        <w:spacing w:after="0"/>
        <w:rPr>
          <w:rFonts w:ascii="David" w:hAnsi="David"/>
          <w:sz w:val="22"/>
        </w:rPr>
      </w:pPr>
      <w:r w:rsidRPr="004277FF">
        <w:rPr>
          <w:rFonts w:ascii="David" w:hAnsi="David" w:hint="cs"/>
          <w:sz w:val="22"/>
          <w:highlight w:val="cyan"/>
          <w:u w:val="single"/>
          <w:rtl/>
        </w:rPr>
        <w:t xml:space="preserve">הרב אברהם שפירא </w:t>
      </w:r>
      <w:r w:rsidR="00D334B7" w:rsidRPr="004277FF">
        <w:rPr>
          <w:rFonts w:ascii="David" w:hAnsi="David" w:hint="cs"/>
          <w:sz w:val="22"/>
          <w:highlight w:val="cyan"/>
          <w:u w:val="single"/>
          <w:rtl/>
        </w:rPr>
        <w:t>בפס"ד שלא פורסם</w:t>
      </w:r>
      <w:r w:rsidR="00F27446" w:rsidRPr="004277FF">
        <w:rPr>
          <w:rFonts w:ascii="David" w:hAnsi="David" w:hint="cs"/>
          <w:sz w:val="22"/>
          <w:highlight w:val="cyan"/>
          <w:u w:val="single"/>
          <w:rtl/>
        </w:rPr>
        <w:t>:</w:t>
      </w:r>
      <w:r w:rsidR="00E52D3E" w:rsidRPr="004277FF">
        <w:rPr>
          <w:rFonts w:ascii="David" w:hAnsi="David" w:hint="cs"/>
          <w:sz w:val="22"/>
          <w:rtl/>
        </w:rPr>
        <w:t xml:space="preserve"> </w:t>
      </w:r>
      <w:r w:rsidR="004277FF" w:rsidRPr="004277FF">
        <w:rPr>
          <w:rFonts w:ascii="David" w:hAnsi="David" w:hint="cs"/>
          <w:sz w:val="22"/>
          <w:rtl/>
        </w:rPr>
        <w:t>"</w:t>
      </w:r>
      <w:r w:rsidR="004277FF" w:rsidRPr="004277FF">
        <w:rPr>
          <w:rFonts w:ascii="FrankRuehl" w:hAnsi="FrankRuehl" w:cs="FrankRuehl"/>
          <w:sz w:val="24"/>
          <w:szCs w:val="24"/>
          <w:rtl/>
        </w:rPr>
        <w:t xml:space="preserve"> </w:t>
      </w:r>
      <w:r w:rsidR="004277FF" w:rsidRPr="009C7B73">
        <w:rPr>
          <w:rFonts w:ascii="David" w:hAnsi="David"/>
          <w:i/>
          <w:iCs/>
          <w:rtl/>
        </w:rPr>
        <w:t>בתי המשפט יונקים סמכותם מחוק המדינה, והם פוסקים פסקיהם לפי דינא דמלכותא, שחברי בית הנבחרים חוקקו במדינה... לא כן אנחנו</w:t>
      </w:r>
      <w:r w:rsidR="004277FF" w:rsidRPr="009C7B73">
        <w:rPr>
          <w:rFonts w:ascii="David" w:hAnsi="David" w:hint="cs"/>
          <w:i/>
          <w:iCs/>
          <w:rtl/>
        </w:rPr>
        <w:t xml:space="preserve"> </w:t>
      </w:r>
      <w:r w:rsidR="004277FF" w:rsidRPr="009C7B73">
        <w:rPr>
          <w:rFonts w:ascii="David" w:hAnsi="David"/>
          <w:i/>
          <w:iCs/>
          <w:sz w:val="22"/>
          <w:rtl/>
        </w:rPr>
        <w:t>דייני ישראל בבתי הדין אנו דנים ופוסקים רק מכח סמכות התורה על כל ישראל, ולפי דיני התו</w:t>
      </w:r>
      <w:r w:rsidR="004277FF" w:rsidRPr="009C7B73">
        <w:rPr>
          <w:rFonts w:ascii="David" w:hAnsi="David" w:hint="cs"/>
          <w:i/>
          <w:iCs/>
          <w:sz w:val="22"/>
          <w:rtl/>
        </w:rPr>
        <w:t>רה"</w:t>
      </w:r>
      <w:r w:rsidR="004277FF">
        <w:rPr>
          <w:rFonts w:ascii="David" w:hAnsi="David" w:hint="cs"/>
          <w:sz w:val="22"/>
          <w:rtl/>
        </w:rPr>
        <w:t xml:space="preserve"> - </w:t>
      </w:r>
      <w:r w:rsidR="006C08F7" w:rsidRPr="004277FF">
        <w:rPr>
          <w:rFonts w:ascii="David" w:hAnsi="David" w:hint="cs"/>
          <w:sz w:val="22"/>
          <w:rtl/>
        </w:rPr>
        <w:t xml:space="preserve">הסמכות היא ההלכה, אבל בתי הדין הרבניים כפופים לחוקי הכנסת (במרביתה מקרים) בשל "דינא דמלכותא דינא" (דוגמה למקרה שלא ניתן ליישב באמצעות "דינא דמלכותא דינא" </w:t>
      </w:r>
      <w:r w:rsidR="006404CD" w:rsidRPr="004277FF">
        <w:rPr>
          <w:rFonts w:ascii="David" w:hAnsi="David" w:hint="cs"/>
          <w:sz w:val="22"/>
          <w:rtl/>
        </w:rPr>
        <w:t>חוק</w:t>
      </w:r>
      <w:r w:rsidR="006C08F7" w:rsidRPr="004277FF">
        <w:rPr>
          <w:rFonts w:ascii="David" w:hAnsi="David" w:hint="cs"/>
          <w:sz w:val="22"/>
          <w:rtl/>
        </w:rPr>
        <w:t xml:space="preserve"> ימי מנוחה </w:t>
      </w:r>
      <w:r w:rsidR="006C08F7" w:rsidRPr="004277FF">
        <w:rPr>
          <w:rFonts w:ascii="David" w:hAnsi="David"/>
          <w:sz w:val="22"/>
          <w:rtl/>
        </w:rPr>
        <w:t>–</w:t>
      </w:r>
      <w:r w:rsidR="006C08F7" w:rsidRPr="004277FF">
        <w:rPr>
          <w:rFonts w:ascii="David" w:hAnsi="David" w:hint="cs"/>
          <w:sz w:val="22"/>
          <w:rtl/>
        </w:rPr>
        <w:t xml:space="preserve"> מאפשר לעבוד בשבת מסיבות כלכליות).</w:t>
      </w:r>
    </w:p>
    <w:p w14:paraId="5948F4DA" w14:textId="77777777" w:rsidR="006A7BB4" w:rsidRDefault="004A1B85" w:rsidP="00465590">
      <w:pPr>
        <w:pStyle w:val="ac"/>
        <w:numPr>
          <w:ilvl w:val="1"/>
          <w:numId w:val="3"/>
        </w:numPr>
        <w:bidi/>
        <w:spacing w:after="0"/>
        <w:rPr>
          <w:rFonts w:ascii="David" w:hAnsi="David"/>
          <w:sz w:val="22"/>
        </w:rPr>
      </w:pPr>
      <w:r w:rsidRPr="00F27446">
        <w:rPr>
          <w:rFonts w:ascii="David" w:hAnsi="David" w:hint="cs"/>
          <w:sz w:val="22"/>
          <w:highlight w:val="cyan"/>
          <w:u w:val="single"/>
          <w:rtl/>
        </w:rPr>
        <w:t>בג"ץ סימה אמיר</w:t>
      </w:r>
      <w:r w:rsidR="00BF4041">
        <w:rPr>
          <w:rFonts w:ascii="David" w:hAnsi="David" w:hint="cs"/>
          <w:sz w:val="22"/>
          <w:rtl/>
        </w:rPr>
        <w:t>:</w:t>
      </w:r>
      <w:r>
        <w:rPr>
          <w:rFonts w:ascii="David" w:hAnsi="David" w:hint="cs"/>
          <w:sz w:val="22"/>
          <w:rtl/>
        </w:rPr>
        <w:t xml:space="preserve"> </w:t>
      </w:r>
      <w:r w:rsidR="00070A04">
        <w:rPr>
          <w:rFonts w:ascii="David" w:hAnsi="David" w:hint="cs"/>
          <w:sz w:val="22"/>
          <w:rtl/>
        </w:rPr>
        <w:t>נקבע מפי השופטת פורקצ'ה כי בית הדין הרבני לא יכול לדון בממונות ובוררות.</w:t>
      </w:r>
    </w:p>
    <w:p w14:paraId="34B159B2" w14:textId="4618FA49" w:rsidR="006C08F7" w:rsidRPr="00516A12" w:rsidRDefault="00070A04" w:rsidP="00465590">
      <w:pPr>
        <w:pStyle w:val="ac"/>
        <w:numPr>
          <w:ilvl w:val="1"/>
          <w:numId w:val="3"/>
        </w:numPr>
        <w:bidi/>
        <w:spacing w:after="0"/>
        <w:rPr>
          <w:rFonts w:ascii="David" w:hAnsi="David"/>
          <w:b/>
          <w:bCs/>
          <w:sz w:val="22"/>
          <w:u w:val="single"/>
        </w:rPr>
      </w:pPr>
      <w:r>
        <w:rPr>
          <w:rFonts w:ascii="David" w:hAnsi="David" w:hint="cs"/>
          <w:sz w:val="22"/>
          <w:rtl/>
        </w:rPr>
        <w:t>חודש אחרי הבג"ץ מגיע תיק בוררות לביד"ר</w:t>
      </w:r>
      <w:r w:rsidR="00BF4041">
        <w:rPr>
          <w:rFonts w:ascii="David" w:hAnsi="David" w:hint="cs"/>
          <w:sz w:val="22"/>
          <w:rtl/>
        </w:rPr>
        <w:t xml:space="preserve"> וביד"ר מבין שעליו להתייחס לבג"ץ סימה אמיר </w:t>
      </w:r>
      <w:r w:rsidR="00BF4041">
        <w:rPr>
          <w:rFonts w:ascii="David" w:hAnsi="David"/>
          <w:sz w:val="22"/>
          <w:rtl/>
        </w:rPr>
        <w:t>–</w:t>
      </w:r>
      <w:r w:rsidR="00BF4041">
        <w:rPr>
          <w:rFonts w:ascii="David" w:hAnsi="David" w:hint="cs"/>
          <w:sz w:val="22"/>
          <w:rtl/>
        </w:rPr>
        <w:t xml:space="preserve"> </w:t>
      </w:r>
      <w:r w:rsidR="000C54E9" w:rsidRPr="00516A12">
        <w:rPr>
          <w:rFonts w:ascii="David" w:hAnsi="David" w:hint="cs"/>
          <w:b/>
          <w:bCs/>
          <w:sz w:val="22"/>
          <w:u w:val="single"/>
          <w:rtl/>
        </w:rPr>
        <w:t>ביד"ר</w:t>
      </w:r>
      <w:r w:rsidR="00BF4041" w:rsidRPr="00516A12">
        <w:rPr>
          <w:rFonts w:ascii="David" w:hAnsi="David" w:hint="cs"/>
          <w:b/>
          <w:bCs/>
          <w:sz w:val="22"/>
          <w:u w:val="single"/>
          <w:rtl/>
        </w:rPr>
        <w:t xml:space="preserve"> מעלה נימוקים מדוע הוא חולק על בית המשפט העליון</w:t>
      </w:r>
      <w:r w:rsidR="00F27446" w:rsidRPr="00516A12">
        <w:rPr>
          <w:rFonts w:ascii="David" w:hAnsi="David" w:hint="cs"/>
          <w:b/>
          <w:bCs/>
          <w:sz w:val="22"/>
          <w:u w:val="single"/>
          <w:rtl/>
        </w:rPr>
        <w:t>:</w:t>
      </w:r>
    </w:p>
    <w:p w14:paraId="4BCCC97C" w14:textId="26F6B815" w:rsidR="00F27446" w:rsidRDefault="006A222C" w:rsidP="00465590">
      <w:pPr>
        <w:pStyle w:val="ac"/>
        <w:numPr>
          <w:ilvl w:val="2"/>
          <w:numId w:val="3"/>
        </w:numPr>
        <w:bidi/>
        <w:spacing w:after="0"/>
        <w:rPr>
          <w:rFonts w:ascii="David" w:hAnsi="David"/>
          <w:sz w:val="22"/>
        </w:rPr>
      </w:pPr>
      <w:r w:rsidRPr="00516A12">
        <w:rPr>
          <w:rFonts w:ascii="David" w:hAnsi="David" w:hint="cs"/>
          <w:sz w:val="22"/>
          <w:u w:val="single"/>
          <w:rtl/>
        </w:rPr>
        <w:t>פגיעה בסטטוס קוו</w:t>
      </w:r>
      <w:r w:rsidR="00516A12">
        <w:rPr>
          <w:rFonts w:ascii="David" w:hAnsi="David" w:hint="cs"/>
          <w:sz w:val="22"/>
          <w:rtl/>
        </w:rPr>
        <w:t>:</w:t>
      </w:r>
      <w:r>
        <w:rPr>
          <w:rFonts w:ascii="David" w:hAnsi="David" w:hint="cs"/>
          <w:sz w:val="22"/>
          <w:rtl/>
        </w:rPr>
        <w:t xml:space="preserve"> לדעת בית הדין תמיד הייתה להם סמכות לדון בהכול גם בתקופת המנדט והאימפריה העות'מנית.</w:t>
      </w:r>
    </w:p>
    <w:p w14:paraId="0E013227" w14:textId="707ED916" w:rsidR="006A222C" w:rsidRDefault="006A222C" w:rsidP="00465590">
      <w:pPr>
        <w:pStyle w:val="ac"/>
        <w:numPr>
          <w:ilvl w:val="2"/>
          <w:numId w:val="3"/>
        </w:numPr>
        <w:bidi/>
        <w:spacing w:after="0"/>
        <w:rPr>
          <w:rFonts w:ascii="David" w:hAnsi="David"/>
          <w:sz w:val="22"/>
        </w:rPr>
      </w:pPr>
      <w:r w:rsidRPr="00516A12">
        <w:rPr>
          <w:rFonts w:ascii="David" w:hAnsi="David" w:hint="cs"/>
          <w:sz w:val="22"/>
          <w:u w:val="single"/>
          <w:rtl/>
        </w:rPr>
        <w:t>כפייה אנטי דתית</w:t>
      </w:r>
      <w:r w:rsidR="00516A12">
        <w:rPr>
          <w:rFonts w:ascii="David" w:hAnsi="David" w:hint="cs"/>
          <w:sz w:val="22"/>
          <w:rtl/>
        </w:rPr>
        <w:t>:</w:t>
      </w:r>
      <w:r>
        <w:rPr>
          <w:rFonts w:ascii="David" w:hAnsi="David" w:hint="cs"/>
          <w:sz w:val="22"/>
          <w:rtl/>
        </w:rPr>
        <w:t xml:space="preserve"> יש פגיעה באוכלוסייה הדתית, שכן שומרי מצוות רוצים לדון על פי דין תורה.</w:t>
      </w:r>
      <w:r w:rsidR="00B96AA7">
        <w:rPr>
          <w:rFonts w:ascii="David" w:hAnsi="David" w:hint="cs"/>
          <w:sz w:val="22"/>
          <w:rtl/>
        </w:rPr>
        <w:t xml:space="preserve"> נימוק חלש שכן יש בתי דין פרטיים.</w:t>
      </w:r>
    </w:p>
    <w:p w14:paraId="4FADABC8" w14:textId="4339C828" w:rsidR="00B96AA7" w:rsidRDefault="000C54E9" w:rsidP="00465590">
      <w:pPr>
        <w:pStyle w:val="ac"/>
        <w:numPr>
          <w:ilvl w:val="2"/>
          <w:numId w:val="3"/>
        </w:numPr>
        <w:bidi/>
        <w:spacing w:after="0"/>
        <w:rPr>
          <w:rFonts w:ascii="David" w:hAnsi="David"/>
          <w:sz w:val="22"/>
        </w:rPr>
      </w:pPr>
      <w:r w:rsidRPr="00516A12">
        <w:rPr>
          <w:rFonts w:ascii="David" w:hAnsi="David" w:hint="cs"/>
          <w:sz w:val="22"/>
          <w:u w:val="single"/>
          <w:rtl/>
        </w:rPr>
        <w:t>נימוק\איום</w:t>
      </w:r>
      <w:r w:rsidR="00516A12">
        <w:rPr>
          <w:rFonts w:ascii="David" w:hAnsi="David" w:hint="cs"/>
          <w:sz w:val="22"/>
          <w:rtl/>
        </w:rPr>
        <w:t>:</w:t>
      </w:r>
      <w:r>
        <w:rPr>
          <w:rFonts w:ascii="David" w:hAnsi="David" w:hint="cs"/>
          <w:sz w:val="22"/>
          <w:rtl/>
        </w:rPr>
        <w:t xml:space="preserve"> </w:t>
      </w:r>
      <w:r w:rsidR="00A96F97">
        <w:rPr>
          <w:rFonts w:ascii="David" w:hAnsi="David" w:hint="cs"/>
          <w:sz w:val="22"/>
          <w:rtl/>
        </w:rPr>
        <w:t xml:space="preserve">ההסכם </w:t>
      </w:r>
      <w:r w:rsidR="00B45C39">
        <w:rPr>
          <w:rFonts w:ascii="David" w:hAnsi="David" w:hint="cs"/>
          <w:sz w:val="22"/>
          <w:rtl/>
        </w:rPr>
        <w:t>של סימה אמיר בו הסכימה לבוררות בממונות בביד"ר היה הסכם גירושין</w:t>
      </w:r>
      <w:r w:rsidR="00E45C15">
        <w:rPr>
          <w:rFonts w:ascii="David" w:hAnsi="David" w:hint="cs"/>
          <w:sz w:val="22"/>
          <w:rtl/>
        </w:rPr>
        <w:t xml:space="preserve"> ולכן ההחלטה שהיא אינה מעוניינת לדון בביד"ר עלולה להוביל </w:t>
      </w:r>
      <w:r w:rsidR="00CD1A75">
        <w:rPr>
          <w:rFonts w:ascii="David" w:hAnsi="David" w:hint="cs"/>
          <w:sz w:val="22"/>
          <w:rtl/>
        </w:rPr>
        <w:t>לבעיה הלכתית בנוגע לכשרות הגט. הבעל יכול להגיד שאם היה יודע שזה מה שהיא תעשה הוא לא היה נותן גט.</w:t>
      </w:r>
    </w:p>
    <w:p w14:paraId="0A1B473C" w14:textId="2D46D5BF" w:rsidR="00BD0905" w:rsidRDefault="00516A12" w:rsidP="00516A12">
      <w:pPr>
        <w:pStyle w:val="ac"/>
        <w:bidi/>
        <w:spacing w:after="0"/>
        <w:ind w:left="405"/>
        <w:rPr>
          <w:rFonts w:ascii="David" w:hAnsi="David"/>
          <w:sz w:val="22"/>
          <w:rtl/>
        </w:rPr>
      </w:pPr>
      <w:r>
        <w:rPr>
          <w:rFonts w:ascii="David" w:hAnsi="David" w:hint="cs"/>
          <w:sz w:val="22"/>
          <w:rtl/>
        </w:rPr>
        <w:t xml:space="preserve">בהמשך פס"ד </w:t>
      </w:r>
      <w:r w:rsidR="007F1925">
        <w:rPr>
          <w:rFonts w:ascii="David" w:hAnsi="David" w:hint="cs"/>
          <w:sz w:val="22"/>
          <w:rtl/>
        </w:rPr>
        <w:t>ביד"ר אומר כי הסמכות שלו ה</w:t>
      </w:r>
      <w:r w:rsidR="0082285F">
        <w:rPr>
          <w:rFonts w:ascii="David" w:hAnsi="David" w:hint="cs"/>
          <w:sz w:val="22"/>
          <w:rtl/>
        </w:rPr>
        <w:t>יא התורה שהועברה למשה מסיני ובית הדין הוא המשך ישיר של בתי הדין שהוקמו במהלך הדורות</w:t>
      </w:r>
      <w:r w:rsidR="003E239F">
        <w:rPr>
          <w:rFonts w:ascii="David" w:hAnsi="David" w:hint="cs"/>
          <w:sz w:val="22"/>
          <w:rtl/>
        </w:rPr>
        <w:t xml:space="preserve"> ולכן מקור הסמכות הוא לא החוק בישראל - אמירה זו היא לא בדיוק נימוק נוסף אך מחזקת את ההתנגדות לבג"ץ אמיר.</w:t>
      </w:r>
    </w:p>
    <w:p w14:paraId="37CFEA78" w14:textId="791D0BC8" w:rsidR="00225EA3" w:rsidRDefault="00225EA3" w:rsidP="00465590">
      <w:pPr>
        <w:pStyle w:val="ac"/>
        <w:numPr>
          <w:ilvl w:val="1"/>
          <w:numId w:val="5"/>
        </w:numPr>
        <w:bidi/>
        <w:spacing w:after="0"/>
        <w:rPr>
          <w:rFonts w:ascii="David" w:hAnsi="David"/>
          <w:sz w:val="22"/>
        </w:rPr>
      </w:pPr>
      <w:r w:rsidRPr="00DD23C0">
        <w:rPr>
          <w:rFonts w:ascii="David" w:hAnsi="David" w:hint="cs"/>
          <w:sz w:val="22"/>
          <w:highlight w:val="cyan"/>
          <w:u w:val="single"/>
          <w:rtl/>
        </w:rPr>
        <w:t>פס"ד שטרייט</w:t>
      </w:r>
      <w:r>
        <w:rPr>
          <w:rFonts w:ascii="David" w:hAnsi="David" w:hint="cs"/>
          <w:sz w:val="22"/>
          <w:rtl/>
        </w:rPr>
        <w:t>: ניתן היתר נישואים לגבר שאישתו סירבה לתת לו גט, באותו המקרה הם נישאו בנישואים אזרחיים. בהימ"ש קבע שבית הדין הרבני לא יכול לתת היתר נישואים כי האישה מסרבת - כלומר בית המשפט יתערב ממש ממש בענייני נישואים וגירושין (הדין המהותי). אך, הלכה זו נהפכה שבע שני לאחר מכן וכיום יש סמכות כזו לבית הדין הרבני.</w:t>
      </w:r>
    </w:p>
    <w:p w14:paraId="32308A51" w14:textId="4180CF3C" w:rsidR="006A3411" w:rsidRPr="004561C6" w:rsidRDefault="009F7BFA" w:rsidP="004561C6">
      <w:pPr>
        <w:shd w:val="clear" w:color="auto" w:fill="FFF4CD" w:themeFill="accent1" w:themeFillTint="33"/>
        <w:rPr>
          <w:rFonts w:ascii="David" w:hAnsi="David"/>
          <w:b/>
          <w:bCs/>
        </w:rPr>
      </w:pPr>
      <w:r w:rsidRPr="004561C6">
        <w:rPr>
          <w:rFonts w:ascii="David" w:hAnsi="David" w:hint="cs"/>
          <w:b/>
          <w:bCs/>
          <w:rtl/>
        </w:rPr>
        <w:t>דרכי התמודדות ש</w:t>
      </w:r>
      <w:r w:rsidR="006A3411" w:rsidRPr="004561C6">
        <w:rPr>
          <w:rFonts w:ascii="David" w:hAnsi="David" w:hint="cs"/>
          <w:b/>
          <w:bCs/>
          <w:rtl/>
        </w:rPr>
        <w:t xml:space="preserve">ונות </w:t>
      </w:r>
      <w:r w:rsidR="007E09A0" w:rsidRPr="004561C6">
        <w:rPr>
          <w:rFonts w:ascii="David" w:hAnsi="David" w:hint="cs"/>
          <w:b/>
          <w:bCs/>
          <w:rtl/>
        </w:rPr>
        <w:t>כאשר ישנה</w:t>
      </w:r>
      <w:r w:rsidR="006A3411" w:rsidRPr="004561C6">
        <w:rPr>
          <w:rFonts w:ascii="David" w:hAnsi="David" w:hint="cs"/>
          <w:b/>
          <w:bCs/>
          <w:rtl/>
        </w:rPr>
        <w:t xml:space="preserve"> סתירה בין חוק</w:t>
      </w:r>
      <w:r w:rsidRPr="004561C6">
        <w:rPr>
          <w:rFonts w:ascii="David" w:hAnsi="David" w:hint="cs"/>
          <w:b/>
          <w:bCs/>
          <w:rtl/>
        </w:rPr>
        <w:t>/פסיקת בג"ץ לבין ה</w:t>
      </w:r>
      <w:r w:rsidR="00E21A39" w:rsidRPr="004561C6">
        <w:rPr>
          <w:rFonts w:ascii="David" w:hAnsi="David" w:hint="cs"/>
          <w:b/>
          <w:bCs/>
          <w:rtl/>
        </w:rPr>
        <w:t>הלכה:</w:t>
      </w:r>
    </w:p>
    <w:p w14:paraId="7FD37372" w14:textId="029859AF" w:rsidR="006A3411" w:rsidRPr="006A3411" w:rsidRDefault="002D5C2F" w:rsidP="00465590">
      <w:pPr>
        <w:pStyle w:val="ac"/>
        <w:numPr>
          <w:ilvl w:val="2"/>
          <w:numId w:val="5"/>
        </w:numPr>
        <w:bidi/>
        <w:spacing w:after="0"/>
        <w:rPr>
          <w:rFonts w:ascii="David" w:hAnsi="David"/>
          <w:sz w:val="22"/>
        </w:rPr>
      </w:pPr>
      <w:r w:rsidRPr="002D5C2F">
        <w:rPr>
          <w:rFonts w:ascii="David" w:hAnsi="David" w:hint="cs"/>
          <w:b/>
          <w:bCs/>
          <w:rtl/>
        </w:rPr>
        <w:t xml:space="preserve">התעלומות מהחוק במקרה של </w:t>
      </w:r>
      <w:r>
        <w:rPr>
          <w:rFonts w:ascii="David" w:hAnsi="David" w:hint="cs"/>
          <w:b/>
          <w:bCs/>
          <w:rtl/>
        </w:rPr>
        <w:t>סתירה</w:t>
      </w:r>
      <w:r w:rsidRPr="00EE13FF">
        <w:rPr>
          <w:rFonts w:ascii="David" w:hAnsi="David" w:hint="cs"/>
          <w:rtl/>
        </w:rPr>
        <w:t xml:space="preserve">: </w:t>
      </w:r>
      <w:r w:rsidR="00DC36B1" w:rsidRPr="00EE13FF">
        <w:rPr>
          <w:rFonts w:ascii="David" w:hAnsi="David" w:hint="cs"/>
          <w:u w:val="single"/>
          <w:rtl/>
        </w:rPr>
        <w:t xml:space="preserve">הרב רוזנטל </w:t>
      </w:r>
      <w:r w:rsidR="001C5968" w:rsidRPr="00EE13FF">
        <w:rPr>
          <w:rFonts w:ascii="David" w:hAnsi="David" w:hint="cs"/>
          <w:u w:val="single"/>
          <w:rtl/>
        </w:rPr>
        <w:t>בכנס הדיינים</w:t>
      </w:r>
      <w:r w:rsidR="00EE13FF" w:rsidRPr="00EE13FF">
        <w:rPr>
          <w:rFonts w:ascii="David" w:hAnsi="David" w:hint="cs"/>
          <w:u w:val="single"/>
          <w:rtl/>
        </w:rPr>
        <w:t xml:space="preserve"> טוען</w:t>
      </w:r>
      <w:r w:rsidR="00DC36B1" w:rsidRPr="00CB4E68">
        <w:rPr>
          <w:rFonts w:ascii="David" w:hAnsi="David" w:hint="cs"/>
          <w:rtl/>
        </w:rPr>
        <w:t xml:space="preserve"> </w:t>
      </w:r>
      <w:r w:rsidR="00DC36B1" w:rsidRPr="00EE13FF">
        <w:rPr>
          <w:rFonts w:ascii="David" w:hAnsi="David" w:hint="cs"/>
          <w:rtl/>
        </w:rPr>
        <w:t xml:space="preserve">אם </w:t>
      </w:r>
      <w:r w:rsidR="0008242C" w:rsidRPr="00EE13FF">
        <w:rPr>
          <w:rFonts w:ascii="David" w:hAnsi="David" w:hint="cs"/>
          <w:rtl/>
        </w:rPr>
        <w:t xml:space="preserve">החוק סותר את ההלכה אז הוא לא יפעל </w:t>
      </w:r>
      <w:r w:rsidR="00A01949" w:rsidRPr="00EE13FF">
        <w:rPr>
          <w:rFonts w:ascii="David" w:hAnsi="David" w:hint="cs"/>
          <w:rtl/>
        </w:rPr>
        <w:t xml:space="preserve">על פי </w:t>
      </w:r>
      <w:r w:rsidR="0008242C" w:rsidRPr="00EE13FF">
        <w:rPr>
          <w:rFonts w:ascii="David" w:hAnsi="David" w:hint="cs"/>
          <w:rtl/>
        </w:rPr>
        <w:t>חוק.</w:t>
      </w:r>
      <w:r w:rsidR="0008242C" w:rsidRPr="00CB4E68">
        <w:rPr>
          <w:rFonts w:ascii="David" w:hAnsi="David" w:hint="cs"/>
          <w:rtl/>
        </w:rPr>
        <w:t xml:space="preserve"> לדעת פ</w:t>
      </w:r>
      <w:r w:rsidR="007943D0" w:rsidRPr="00CB4E68">
        <w:rPr>
          <w:rFonts w:ascii="David" w:hAnsi="David" w:hint="cs"/>
          <w:rtl/>
        </w:rPr>
        <w:t>רופ' רדזינר זה דבר שאינו מסורי שכן הוא מונה לדיין לאחר שידע על העובדה שהחוק מכפיף את בתי הדין אליו (לדוג' חוק יחסי ממון).</w:t>
      </w:r>
      <w:r w:rsidR="00A01949" w:rsidRPr="00CB4E68">
        <w:rPr>
          <w:rFonts w:ascii="David" w:hAnsi="David" w:hint="cs"/>
          <w:rtl/>
        </w:rPr>
        <w:t xml:space="preserve"> בכנס עצמו </w:t>
      </w:r>
      <w:r w:rsidR="00161287" w:rsidRPr="00CB4E68">
        <w:rPr>
          <w:rFonts w:ascii="David" w:hAnsi="David" w:hint="cs"/>
          <w:rtl/>
        </w:rPr>
        <w:t>הרב רוזנטל כועס על הדיינים אשר פועלים על פי חוק יחסי ממון.</w:t>
      </w:r>
      <w:r w:rsidR="00CC2F2E" w:rsidRPr="00CB4E68">
        <w:rPr>
          <w:rFonts w:ascii="David" w:hAnsi="David" w:hint="cs"/>
          <w:rtl/>
        </w:rPr>
        <w:t xml:space="preserve"> </w:t>
      </w:r>
    </w:p>
    <w:p w14:paraId="0F08B335" w14:textId="3124E8CB" w:rsidR="00E21A39" w:rsidRPr="00E21A39" w:rsidRDefault="002D5C2F" w:rsidP="00465590">
      <w:pPr>
        <w:pStyle w:val="ac"/>
        <w:numPr>
          <w:ilvl w:val="2"/>
          <w:numId w:val="5"/>
        </w:numPr>
        <w:bidi/>
        <w:spacing w:after="0"/>
        <w:rPr>
          <w:rFonts w:ascii="David" w:hAnsi="David"/>
          <w:sz w:val="22"/>
        </w:rPr>
      </w:pPr>
      <w:r>
        <w:rPr>
          <w:rFonts w:ascii="David" w:hAnsi="David" w:hint="cs"/>
          <w:rtl/>
        </w:rPr>
        <w:t xml:space="preserve"> </w:t>
      </w:r>
      <w:r w:rsidRPr="00EE13FF">
        <w:rPr>
          <w:rFonts w:ascii="David" w:hAnsi="David" w:hint="cs"/>
          <w:b/>
          <w:bCs/>
          <w:rtl/>
        </w:rPr>
        <w:t>"גיור" לחוק:</w:t>
      </w:r>
      <w:r>
        <w:rPr>
          <w:rFonts w:ascii="David" w:hAnsi="David" w:hint="cs"/>
          <w:rtl/>
        </w:rPr>
        <w:t xml:space="preserve"> דיינים </w:t>
      </w:r>
      <w:r>
        <w:rPr>
          <w:rFonts w:ascii="David" w:hAnsi="David" w:hint="cs"/>
          <w:sz w:val="22"/>
          <w:rtl/>
        </w:rPr>
        <w:t>ש</w:t>
      </w:r>
      <w:r w:rsidR="00EE13FF">
        <w:rPr>
          <w:rFonts w:ascii="David" w:hAnsi="David" w:hint="cs"/>
          <w:sz w:val="22"/>
          <w:rtl/>
        </w:rPr>
        <w:t>משתמשים בכלים הלכתיים כדי ליישב את הסתירה בין החוק להלכה. הם עושים זאת בשתי דרכים מרכזיות:</w:t>
      </w:r>
    </w:p>
    <w:p w14:paraId="244DB14D" w14:textId="6A742F37" w:rsidR="00E21A39" w:rsidRPr="00E21A39" w:rsidRDefault="00CC2F2E" w:rsidP="00465590">
      <w:pPr>
        <w:pStyle w:val="ac"/>
        <w:numPr>
          <w:ilvl w:val="3"/>
          <w:numId w:val="5"/>
        </w:numPr>
        <w:bidi/>
        <w:spacing w:after="0"/>
        <w:rPr>
          <w:rFonts w:ascii="David" w:hAnsi="David"/>
          <w:sz w:val="22"/>
        </w:rPr>
      </w:pPr>
      <w:r w:rsidRPr="00CB4E68">
        <w:rPr>
          <w:rFonts w:ascii="David" w:hAnsi="David" w:hint="cs"/>
          <w:rtl/>
        </w:rPr>
        <w:t xml:space="preserve">לפי </w:t>
      </w:r>
      <w:r w:rsidR="00516A12">
        <w:rPr>
          <w:rFonts w:ascii="David" w:hAnsi="David" w:hint="cs"/>
          <w:rtl/>
        </w:rPr>
        <w:t>"</w:t>
      </w:r>
      <w:r w:rsidRPr="00CB4E68">
        <w:rPr>
          <w:rFonts w:ascii="David" w:hAnsi="David" w:hint="cs"/>
          <w:rtl/>
        </w:rPr>
        <w:t>דינא דמלכותא</w:t>
      </w:r>
      <w:r w:rsidR="00516A12">
        <w:rPr>
          <w:rFonts w:ascii="David" w:hAnsi="David" w:hint="cs"/>
          <w:rtl/>
        </w:rPr>
        <w:t>".</w:t>
      </w:r>
    </w:p>
    <w:p w14:paraId="40C2B87A" w14:textId="77777777" w:rsidR="00E21A39" w:rsidRPr="00E21A39" w:rsidRDefault="00CC2F2E" w:rsidP="00465590">
      <w:pPr>
        <w:pStyle w:val="ac"/>
        <w:numPr>
          <w:ilvl w:val="3"/>
          <w:numId w:val="5"/>
        </w:numPr>
        <w:bidi/>
        <w:spacing w:after="0"/>
        <w:rPr>
          <w:rFonts w:ascii="David" w:hAnsi="David"/>
          <w:sz w:val="22"/>
        </w:rPr>
      </w:pPr>
      <w:r w:rsidRPr="00CB4E68">
        <w:rPr>
          <w:rFonts w:ascii="David" w:hAnsi="David" w:hint="cs"/>
          <w:rtl/>
        </w:rPr>
        <w:t xml:space="preserve">על ידי הטענה </w:t>
      </w:r>
      <w:r w:rsidR="00E21A39">
        <w:rPr>
          <w:rFonts w:ascii="David" w:hAnsi="David" w:hint="cs"/>
          <w:rtl/>
        </w:rPr>
        <w:t>שהחוק הישראלי</w:t>
      </w:r>
      <w:r w:rsidRPr="00CB4E68">
        <w:rPr>
          <w:rFonts w:ascii="David" w:hAnsi="David" w:hint="cs"/>
          <w:rtl/>
        </w:rPr>
        <w:t xml:space="preserve"> נהפך למנהג מדינה </w:t>
      </w:r>
      <w:r w:rsidRPr="00CB4E68">
        <w:rPr>
          <w:rFonts w:ascii="David" w:hAnsi="David"/>
          <w:rtl/>
        </w:rPr>
        <w:t>–</w:t>
      </w:r>
      <w:r w:rsidRPr="00CB4E68">
        <w:rPr>
          <w:rFonts w:ascii="David" w:hAnsi="David" w:hint="cs"/>
          <w:rtl/>
        </w:rPr>
        <w:t xml:space="preserve"> שכן בין אם הם מודעים לכך או לא </w:t>
      </w:r>
      <w:r w:rsidR="006E58E0" w:rsidRPr="00CB4E68">
        <w:rPr>
          <w:rFonts w:ascii="David" w:hAnsi="David" w:hint="cs"/>
          <w:rtl/>
        </w:rPr>
        <w:t>היהודים בארץ חיים באופן שוויוני</w:t>
      </w:r>
      <w:r w:rsidR="00414EC1" w:rsidRPr="00CB4E68">
        <w:rPr>
          <w:rFonts w:ascii="David" w:hAnsi="David" w:hint="cs"/>
          <w:rtl/>
        </w:rPr>
        <w:t xml:space="preserve"> ולא עושים הסכמי ממון לפי הנישואין.</w:t>
      </w:r>
      <w:r w:rsidR="00FA1CCE" w:rsidRPr="00CB4E68">
        <w:rPr>
          <w:rFonts w:ascii="David" w:hAnsi="David" w:hint="cs"/>
          <w:rtl/>
        </w:rPr>
        <w:t xml:space="preserve"> </w:t>
      </w:r>
    </w:p>
    <w:p w14:paraId="0F81BA24" w14:textId="77777777" w:rsidR="00516A12" w:rsidRPr="00516A12" w:rsidRDefault="00FA1CCE" w:rsidP="00465590">
      <w:pPr>
        <w:pStyle w:val="ac"/>
        <w:numPr>
          <w:ilvl w:val="4"/>
          <w:numId w:val="5"/>
        </w:numPr>
        <w:bidi/>
        <w:spacing w:after="0"/>
        <w:rPr>
          <w:rFonts w:ascii="David" w:hAnsi="David"/>
          <w:sz w:val="22"/>
        </w:rPr>
      </w:pPr>
      <w:r w:rsidRPr="00CB4E68">
        <w:rPr>
          <w:rFonts w:ascii="David" w:hAnsi="David" w:hint="cs"/>
          <w:rtl/>
        </w:rPr>
        <w:lastRenderedPageBreak/>
        <w:t xml:space="preserve">עם זאת, טענה זו היא בעייתית שכן הסיבה שהחוק תקף היא לא בגלל שהכנסת קבעה אותו, אלא כי הציבור נוהג על פיו. </w:t>
      </w:r>
      <w:r w:rsidR="00516A12">
        <w:rPr>
          <w:rFonts w:ascii="David" w:hAnsi="David" w:hint="cs"/>
          <w:rtl/>
        </w:rPr>
        <w:t>אם</w:t>
      </w:r>
      <w:r w:rsidR="004C2AC6" w:rsidRPr="00CB4E68">
        <w:rPr>
          <w:rFonts w:ascii="David" w:hAnsi="David" w:hint="cs"/>
          <w:rtl/>
        </w:rPr>
        <w:t xml:space="preserve"> אדם יוכיח שהחוק הוא אינו מנהג (לדוג' זכויות יוצרים, רוב האנשים כן מעתיקים חומרים)</w:t>
      </w:r>
      <w:r w:rsidR="002B5296" w:rsidRPr="00CB4E68">
        <w:rPr>
          <w:rFonts w:ascii="David" w:hAnsi="David" w:hint="cs"/>
          <w:rtl/>
        </w:rPr>
        <w:t xml:space="preserve"> הוא לא יהיה תקף. </w:t>
      </w:r>
    </w:p>
    <w:p w14:paraId="125CCCAF" w14:textId="0644413A" w:rsidR="00DC36B1" w:rsidRDefault="002B5296" w:rsidP="00465590">
      <w:pPr>
        <w:pStyle w:val="ac"/>
        <w:numPr>
          <w:ilvl w:val="4"/>
          <w:numId w:val="5"/>
        </w:numPr>
        <w:bidi/>
        <w:spacing w:after="0"/>
        <w:rPr>
          <w:rFonts w:ascii="David" w:hAnsi="David"/>
          <w:sz w:val="22"/>
        </w:rPr>
      </w:pPr>
      <w:r w:rsidRPr="00CB4E68">
        <w:rPr>
          <w:rFonts w:ascii="David" w:hAnsi="David" w:hint="cs"/>
          <w:rtl/>
        </w:rPr>
        <w:t>בנוסף,</w:t>
      </w:r>
      <w:r w:rsidR="005B46A6" w:rsidRPr="00CB4E68">
        <w:rPr>
          <w:rFonts w:ascii="David" w:hAnsi="David" w:hint="cs"/>
          <w:rtl/>
        </w:rPr>
        <w:t xml:space="preserve"> </w:t>
      </w:r>
      <w:r w:rsidR="00552A91" w:rsidRPr="00CB4E68">
        <w:rPr>
          <w:rFonts w:ascii="David" w:hAnsi="David" w:hint="cs"/>
          <w:rtl/>
        </w:rPr>
        <w:t xml:space="preserve">כאשר בני זוג מגיעים </w:t>
      </w:r>
      <w:r w:rsidR="005B46A6" w:rsidRPr="00CB4E68">
        <w:rPr>
          <w:rFonts w:ascii="David" w:hAnsi="David" w:hint="cs"/>
          <w:rtl/>
        </w:rPr>
        <w:t>לחלוקת</w:t>
      </w:r>
      <w:r w:rsidR="00552A91" w:rsidRPr="00CB4E68">
        <w:rPr>
          <w:rFonts w:ascii="David" w:hAnsi="David" w:hint="cs"/>
          <w:rtl/>
        </w:rPr>
        <w:t xml:space="preserve"> רכוש הדיינים מבקשים שבני הזוג יסכימו שבית הדין ידון ברכוש על פי חוק  דבר מאוד בעייתי שכן </w:t>
      </w:r>
      <w:r w:rsidR="005B46A6" w:rsidRPr="00CB4E68">
        <w:rPr>
          <w:rFonts w:ascii="David" w:hAnsi="David" w:hint="cs"/>
          <w:rtl/>
        </w:rPr>
        <w:t>ביד"ר הופך את החוק למעין חוזה של הסכמה ו</w:t>
      </w:r>
      <w:r w:rsidR="0004552B" w:rsidRPr="00CB4E68">
        <w:rPr>
          <w:rFonts w:ascii="David" w:hAnsi="David" w:hint="cs"/>
          <w:rtl/>
        </w:rPr>
        <w:t>זה מראה שאינו רואה את החוק כעליון.</w:t>
      </w:r>
    </w:p>
    <w:p w14:paraId="0387054C" w14:textId="423EA0FD" w:rsidR="00516A12" w:rsidRPr="00CB4E68" w:rsidRDefault="00516A12" w:rsidP="00465590">
      <w:pPr>
        <w:pStyle w:val="ac"/>
        <w:numPr>
          <w:ilvl w:val="4"/>
          <w:numId w:val="5"/>
        </w:numPr>
        <w:bidi/>
        <w:spacing w:after="0"/>
        <w:rPr>
          <w:rFonts w:ascii="David" w:hAnsi="David"/>
          <w:sz w:val="22"/>
        </w:rPr>
      </w:pPr>
      <w:r>
        <w:rPr>
          <w:rFonts w:ascii="David" w:hAnsi="David" w:hint="cs"/>
          <w:sz w:val="22"/>
          <w:rtl/>
        </w:rPr>
        <w:t>חשוב לזכור שמנהג מדינה או "דינא דמלכותא" אפשר לעשות רק במקרים של ממונות ולא בדיני היתר ואיסור. לדוג' חוק ימי מנוחה שקובע שמותר למעסיק להעביד עובדים בשבת לעולם לא יוכל לעבור גיור שכן הוא סותר את האיסור לחלל שבת.</w:t>
      </w:r>
    </w:p>
    <w:p w14:paraId="126908BA" w14:textId="2C364258" w:rsidR="00EB20C7" w:rsidRPr="00EB20C7" w:rsidRDefault="00EB20C7" w:rsidP="00EB20C7">
      <w:pPr>
        <w:pBdr>
          <w:top w:val="single" w:sz="4" w:space="1" w:color="auto"/>
        </w:pBdr>
        <w:rPr>
          <w:rFonts w:ascii="David" w:hAnsi="David"/>
        </w:rPr>
      </w:pPr>
      <w:r>
        <w:rPr>
          <w:rFonts w:ascii="David" w:hAnsi="David" w:hint="cs"/>
          <w:rtl/>
        </w:rPr>
        <w:t>13.03.2022</w:t>
      </w:r>
    </w:p>
    <w:p w14:paraId="1707EB49" w14:textId="2815D106" w:rsidR="00A97C08" w:rsidRDefault="00EC2F46" w:rsidP="00465590">
      <w:pPr>
        <w:pStyle w:val="ac"/>
        <w:numPr>
          <w:ilvl w:val="2"/>
          <w:numId w:val="5"/>
        </w:numPr>
        <w:bidi/>
        <w:spacing w:after="0"/>
        <w:rPr>
          <w:rFonts w:ascii="David" w:hAnsi="David"/>
          <w:sz w:val="22"/>
        </w:rPr>
      </w:pPr>
      <w:r w:rsidRPr="006A3411">
        <w:rPr>
          <w:rFonts w:ascii="David" w:hAnsi="David" w:hint="cs"/>
          <w:b/>
          <w:bCs/>
          <w:sz w:val="22"/>
          <w:rtl/>
        </w:rPr>
        <w:t>ליצור מהלך שיכריח את הצדדים להתדיין לפי דין תורה</w:t>
      </w:r>
      <w:r>
        <w:rPr>
          <w:rFonts w:ascii="David" w:hAnsi="David" w:hint="cs"/>
          <w:sz w:val="22"/>
          <w:rtl/>
        </w:rPr>
        <w:t>. כיצד? בית הדין יגיד שאם חלוקת הרכוש לא תהיה לפי דין תורה אז הגט לא יהיה כשר. במצב כזה הצדדים פשוט "יסכימו" להתדיין על פי דין תורה.</w:t>
      </w:r>
    </w:p>
    <w:p w14:paraId="680088D4" w14:textId="3E12A044" w:rsidR="00EE13FF" w:rsidRPr="00F53C0D" w:rsidRDefault="00EE13FF" w:rsidP="00465590">
      <w:pPr>
        <w:pStyle w:val="ac"/>
        <w:numPr>
          <w:ilvl w:val="2"/>
          <w:numId w:val="5"/>
        </w:numPr>
        <w:bidi/>
        <w:spacing w:after="0"/>
        <w:rPr>
          <w:rFonts w:ascii="David" w:hAnsi="David"/>
          <w:sz w:val="22"/>
        </w:rPr>
      </w:pPr>
      <w:r>
        <w:rPr>
          <w:rFonts w:ascii="David" w:hAnsi="David" w:hint="cs"/>
          <w:b/>
          <w:bCs/>
          <w:sz w:val="22"/>
          <w:rtl/>
        </w:rPr>
        <w:t>שימוש בחוק כדי לפסוק על פי ההלכה</w:t>
      </w:r>
      <w:r w:rsidRPr="00EE13FF">
        <w:rPr>
          <w:rFonts w:ascii="David" w:hAnsi="David" w:hint="cs"/>
          <w:sz w:val="22"/>
          <w:rtl/>
        </w:rPr>
        <w:t>:</w:t>
      </w:r>
      <w:r>
        <w:rPr>
          <w:rFonts w:ascii="David" w:hAnsi="David" w:hint="cs"/>
          <w:sz w:val="22"/>
          <w:rtl/>
        </w:rPr>
        <w:t xml:space="preserve"> ס' 8(2) לחוק יחסי ממון מאפשר חלוקה לא שוויונית של הרכוש בנסיבות מיוחדות</w:t>
      </w:r>
      <w:r w:rsidR="00F53C0D">
        <w:rPr>
          <w:rFonts w:ascii="David" w:hAnsi="David" w:hint="cs"/>
          <w:sz w:val="22"/>
          <w:rtl/>
        </w:rPr>
        <w:t>. בעזרת ס' זה לעיתים ביד"ר מצליח לפסוק חלוקה לא שיווניות שתתאים להלכה. אך, לא תמיד זה עובד שכן לעיתים בג"ץ יפסול חלוקה שכזו. לדוג' ב</w:t>
      </w:r>
      <w:r w:rsidR="00F53C0D" w:rsidRPr="00F53C0D">
        <w:rPr>
          <w:rFonts w:ascii="David" w:hAnsi="David" w:hint="cs"/>
          <w:sz w:val="22"/>
          <w:highlight w:val="cyan"/>
          <w:u w:val="single"/>
          <w:rtl/>
        </w:rPr>
        <w:t xml:space="preserve"> </w:t>
      </w:r>
      <w:r w:rsidR="00F53C0D" w:rsidRPr="00A71294">
        <w:rPr>
          <w:rFonts w:ascii="David" w:hAnsi="David" w:hint="cs"/>
          <w:sz w:val="22"/>
          <w:highlight w:val="cyan"/>
          <w:u w:val="single"/>
          <w:rtl/>
        </w:rPr>
        <w:t>דנג"ץ הבוגדת:</w:t>
      </w:r>
      <w:r w:rsidR="00F53C0D">
        <w:rPr>
          <w:rFonts w:ascii="David" w:hAnsi="David" w:hint="cs"/>
          <w:sz w:val="22"/>
          <w:rtl/>
        </w:rPr>
        <w:t xml:space="preserve"> באותו מקרה בית הדין קבע </w:t>
      </w:r>
      <w:r w:rsidR="00CD0B0A">
        <w:rPr>
          <w:rFonts w:ascii="David" w:hAnsi="David" w:hint="cs"/>
          <w:sz w:val="22"/>
          <w:rtl/>
        </w:rPr>
        <w:t>שבגידה של האישה יכולה להוות שיקול לחלוקה לא שיווניות של הרכוש. הוגשה עתירה לבג"ץ ע החלטה זו ובדיון הנוסף נקבע מפי ביניש ש</w:t>
      </w:r>
      <w:r w:rsidR="00F53C0D">
        <w:rPr>
          <w:rFonts w:ascii="David" w:hAnsi="David" w:hint="cs"/>
          <w:sz w:val="22"/>
          <w:rtl/>
        </w:rPr>
        <w:t>בגידה לא יכולה להוות שיקול בחלוקה לא שווה של הרכוש על פי חוק יחסי ממון לפי ס' 8.</w:t>
      </w:r>
    </w:p>
    <w:p w14:paraId="26992928" w14:textId="09973C99" w:rsidR="00CB4E68" w:rsidRDefault="00CB4E68" w:rsidP="00465590">
      <w:pPr>
        <w:pStyle w:val="ac"/>
        <w:numPr>
          <w:ilvl w:val="1"/>
          <w:numId w:val="5"/>
        </w:numPr>
        <w:bidi/>
        <w:spacing w:after="0"/>
        <w:rPr>
          <w:rFonts w:ascii="David" w:hAnsi="David"/>
          <w:sz w:val="22"/>
        </w:rPr>
      </w:pPr>
      <w:r w:rsidRPr="00663844">
        <w:rPr>
          <w:rFonts w:ascii="David" w:hAnsi="David" w:hint="cs"/>
          <w:b/>
          <w:bCs/>
          <w:sz w:val="22"/>
          <w:u w:val="single"/>
          <w:shd w:val="clear" w:color="auto" w:fill="FFF4CD" w:themeFill="accent1" w:themeFillTint="33"/>
          <w:rtl/>
        </w:rPr>
        <w:t>לסיכום</w:t>
      </w:r>
      <w:r w:rsidRPr="00663844">
        <w:rPr>
          <w:rFonts w:ascii="David" w:hAnsi="David" w:hint="cs"/>
          <w:sz w:val="22"/>
          <w:shd w:val="clear" w:color="auto" w:fill="FFF4CD" w:themeFill="accent1" w:themeFillTint="33"/>
          <w:rtl/>
        </w:rPr>
        <w:t xml:space="preserve">: </w:t>
      </w:r>
      <w:r w:rsidR="00B44200" w:rsidRPr="00663844">
        <w:rPr>
          <w:rFonts w:ascii="David" w:hAnsi="David" w:hint="cs"/>
          <w:sz w:val="22"/>
          <w:shd w:val="clear" w:color="auto" w:fill="FFF4CD" w:themeFill="accent1" w:themeFillTint="33"/>
          <w:rtl/>
        </w:rPr>
        <w:t>ארבעת הדרכים להתמודדות עם דרישת החוק המדינתי ביחס לדין תורה</w:t>
      </w:r>
      <w:r w:rsidR="000933E3">
        <w:rPr>
          <w:rFonts w:ascii="David" w:hAnsi="David" w:hint="cs"/>
          <w:sz w:val="22"/>
          <w:rtl/>
        </w:rPr>
        <w:t>:</w:t>
      </w:r>
    </w:p>
    <w:p w14:paraId="4BD2DC50" w14:textId="1038D84A" w:rsidR="00CB4E68" w:rsidRDefault="00CB4E68" w:rsidP="00465590">
      <w:pPr>
        <w:pStyle w:val="ac"/>
        <w:numPr>
          <w:ilvl w:val="2"/>
          <w:numId w:val="5"/>
        </w:numPr>
        <w:bidi/>
        <w:spacing w:after="0"/>
        <w:rPr>
          <w:rFonts w:ascii="David" w:hAnsi="David"/>
          <w:sz w:val="22"/>
        </w:rPr>
      </w:pPr>
      <w:r>
        <w:rPr>
          <w:rFonts w:ascii="David" w:hAnsi="David" w:hint="cs"/>
          <w:sz w:val="22"/>
          <w:rtl/>
        </w:rPr>
        <w:t>לא לפעול על פי חוק כאשר יש סתירה</w:t>
      </w:r>
      <w:r w:rsidR="00C179A7">
        <w:rPr>
          <w:rFonts w:ascii="David" w:hAnsi="David" w:hint="cs"/>
          <w:sz w:val="22"/>
          <w:rtl/>
        </w:rPr>
        <w:t xml:space="preserve"> - גישתו של הרב רוזנטל.</w:t>
      </w:r>
    </w:p>
    <w:p w14:paraId="735AD3AF" w14:textId="414AC78A" w:rsidR="00CB4E68" w:rsidRDefault="00CD0B0A" w:rsidP="00465590">
      <w:pPr>
        <w:pStyle w:val="ac"/>
        <w:numPr>
          <w:ilvl w:val="2"/>
          <w:numId w:val="5"/>
        </w:numPr>
        <w:bidi/>
        <w:spacing w:after="0"/>
        <w:rPr>
          <w:rFonts w:ascii="David" w:hAnsi="David"/>
          <w:sz w:val="22"/>
        </w:rPr>
      </w:pPr>
      <w:r>
        <w:rPr>
          <w:rFonts w:ascii="David" w:hAnsi="David" w:hint="cs"/>
          <w:sz w:val="22"/>
          <w:rtl/>
        </w:rPr>
        <w:t xml:space="preserve">לעשות שימוש בחוק כדי </w:t>
      </w:r>
      <w:r w:rsidR="00532733">
        <w:rPr>
          <w:rFonts w:ascii="David" w:hAnsi="David" w:hint="cs"/>
          <w:sz w:val="22"/>
          <w:rtl/>
        </w:rPr>
        <w:t>לפסוק על פי ההלכה</w:t>
      </w:r>
      <w:r w:rsidR="00CB4E68">
        <w:rPr>
          <w:rFonts w:ascii="David" w:hAnsi="David" w:hint="cs"/>
          <w:sz w:val="22"/>
          <w:rtl/>
        </w:rPr>
        <w:t>.</w:t>
      </w:r>
    </w:p>
    <w:p w14:paraId="7E77CC9E" w14:textId="3584DFB0" w:rsidR="00CB4E68" w:rsidRDefault="00CB4E68" w:rsidP="00465590">
      <w:pPr>
        <w:pStyle w:val="ac"/>
        <w:numPr>
          <w:ilvl w:val="2"/>
          <w:numId w:val="5"/>
        </w:numPr>
        <w:bidi/>
        <w:spacing w:after="0"/>
        <w:rPr>
          <w:rFonts w:ascii="David" w:hAnsi="David"/>
          <w:sz w:val="22"/>
        </w:rPr>
      </w:pPr>
      <w:r>
        <w:rPr>
          <w:rFonts w:ascii="David" w:hAnsi="David" w:hint="cs"/>
          <w:sz w:val="22"/>
          <w:rtl/>
        </w:rPr>
        <w:t>לעשות "גיור" לחוק</w:t>
      </w:r>
      <w:r w:rsidR="00C179A7">
        <w:rPr>
          <w:rFonts w:ascii="David" w:hAnsi="David" w:hint="cs"/>
          <w:sz w:val="22"/>
          <w:rtl/>
        </w:rPr>
        <w:t xml:space="preserve"> - גישת דינא דמלכותא דינא</w:t>
      </w:r>
      <w:r w:rsidR="006A3411">
        <w:rPr>
          <w:rFonts w:ascii="David" w:hAnsi="David" w:hint="cs"/>
          <w:sz w:val="22"/>
          <w:rtl/>
        </w:rPr>
        <w:t>.</w:t>
      </w:r>
    </w:p>
    <w:p w14:paraId="54F1C6E7" w14:textId="1D165930" w:rsidR="00CB4E68" w:rsidRPr="00CB4E68" w:rsidRDefault="00CB4E68" w:rsidP="00465590">
      <w:pPr>
        <w:pStyle w:val="ac"/>
        <w:numPr>
          <w:ilvl w:val="2"/>
          <w:numId w:val="5"/>
        </w:numPr>
        <w:bidi/>
        <w:spacing w:after="0"/>
        <w:rPr>
          <w:rFonts w:ascii="David" w:hAnsi="David"/>
          <w:sz w:val="22"/>
        </w:rPr>
      </w:pPr>
      <w:r>
        <w:rPr>
          <w:rFonts w:ascii="David" w:hAnsi="David" w:hint="cs"/>
          <w:sz w:val="22"/>
          <w:rtl/>
        </w:rPr>
        <w:t>לכפות בדרך עקיפה לפעול על פי דין תורה</w:t>
      </w:r>
      <w:r w:rsidR="007927FD">
        <w:rPr>
          <w:rFonts w:ascii="David" w:hAnsi="David" w:hint="cs"/>
          <w:sz w:val="22"/>
          <w:rtl/>
        </w:rPr>
        <w:t>.</w:t>
      </w:r>
    </w:p>
    <w:p w14:paraId="7C3657CA" w14:textId="2B3A7017" w:rsidR="00CB4E68" w:rsidRPr="004561C6" w:rsidRDefault="00C26E19" w:rsidP="004561C6">
      <w:pPr>
        <w:shd w:val="clear" w:color="auto" w:fill="FFF4CD" w:themeFill="accent1" w:themeFillTint="33"/>
        <w:rPr>
          <w:rFonts w:ascii="David" w:hAnsi="David"/>
          <w:b/>
          <w:bCs/>
        </w:rPr>
      </w:pPr>
      <w:r w:rsidRPr="004561C6">
        <w:rPr>
          <w:rFonts w:ascii="David" w:hAnsi="David" w:hint="cs"/>
          <w:b/>
          <w:bCs/>
          <w:rtl/>
        </w:rPr>
        <w:t>המאמר בין בג"ץ לבד"ץ:</w:t>
      </w:r>
    </w:p>
    <w:p w14:paraId="4B7575FE" w14:textId="5AB7A8FD" w:rsidR="004C784C" w:rsidRDefault="00663844" w:rsidP="00465590">
      <w:pPr>
        <w:pStyle w:val="ac"/>
        <w:numPr>
          <w:ilvl w:val="1"/>
          <w:numId w:val="5"/>
        </w:numPr>
        <w:bidi/>
        <w:spacing w:after="0"/>
        <w:rPr>
          <w:rFonts w:ascii="David" w:hAnsi="David"/>
          <w:sz w:val="22"/>
        </w:rPr>
      </w:pPr>
      <w:r w:rsidRPr="00F33966">
        <w:rPr>
          <w:rFonts w:ascii="David" w:hAnsi="David" w:hint="cs"/>
          <w:sz w:val="22"/>
          <w:rtl/>
        </w:rPr>
        <w:t xml:space="preserve">פרופ' רדזינר במאמרו </w:t>
      </w:r>
      <w:r w:rsidR="004C37A8" w:rsidRPr="00F33966">
        <w:rPr>
          <w:rFonts w:ascii="David" w:hAnsi="David" w:hint="cs"/>
          <w:sz w:val="22"/>
          <w:rtl/>
        </w:rPr>
        <w:t xml:space="preserve">מדבר על </w:t>
      </w:r>
      <w:r w:rsidR="001E1784" w:rsidRPr="00F33966">
        <w:rPr>
          <w:rFonts w:ascii="David" w:hAnsi="David" w:hint="cs"/>
          <w:sz w:val="22"/>
          <w:rtl/>
        </w:rPr>
        <w:t>הבעייתיות</w:t>
      </w:r>
      <w:r w:rsidR="004C37A8" w:rsidRPr="00F33966">
        <w:rPr>
          <w:rFonts w:ascii="David" w:hAnsi="David" w:hint="cs"/>
          <w:sz w:val="22"/>
          <w:rtl/>
        </w:rPr>
        <w:t xml:space="preserve"> שנוצרה בעקבות בג"ץ אמיר וכץ - בעוד בעבר בית הדין הרבני </w:t>
      </w:r>
      <w:r w:rsidR="00D66FAD" w:rsidRPr="00F33966">
        <w:rPr>
          <w:rFonts w:ascii="David" w:hAnsi="David" w:hint="cs"/>
          <w:sz w:val="22"/>
          <w:rtl/>
        </w:rPr>
        <w:t xml:space="preserve">בנה טיעון שאומר כי ביד"ר </w:t>
      </w:r>
      <w:r w:rsidR="00C01235">
        <w:rPr>
          <w:rFonts w:ascii="David" w:hAnsi="David" w:hint="cs"/>
          <w:sz w:val="22"/>
          <w:rtl/>
        </w:rPr>
        <w:t xml:space="preserve">הוא המשך ישיר </w:t>
      </w:r>
      <w:r w:rsidR="00B43FA7">
        <w:rPr>
          <w:rFonts w:ascii="David" w:hAnsi="David" w:hint="cs"/>
          <w:sz w:val="22"/>
          <w:rtl/>
        </w:rPr>
        <w:t>לבתי הדין שהיו קיימים בכל הדורות, ממתן תורה למשה מסיני</w:t>
      </w:r>
      <w:r w:rsidR="004C784C">
        <w:rPr>
          <w:rFonts w:ascii="David" w:hAnsi="David" w:hint="cs"/>
          <w:sz w:val="22"/>
          <w:rtl/>
        </w:rPr>
        <w:t>, כעת ביהמ"ש בפס"ד סימה אמיר אומר זה לא המצב</w:t>
      </w:r>
      <w:r w:rsidR="007A4517">
        <w:rPr>
          <w:rFonts w:ascii="David" w:hAnsi="David" w:hint="cs"/>
          <w:sz w:val="22"/>
          <w:rtl/>
        </w:rPr>
        <w:t xml:space="preserve">. </w:t>
      </w:r>
      <w:r w:rsidR="00743CA8">
        <w:rPr>
          <w:rFonts w:ascii="David" w:hAnsi="David" w:hint="cs"/>
          <w:sz w:val="22"/>
          <w:rtl/>
        </w:rPr>
        <w:t xml:space="preserve">הבעיה </w:t>
      </w:r>
      <w:r w:rsidR="00743CA8" w:rsidRPr="00F33966">
        <w:rPr>
          <w:rFonts w:ascii="David" w:hAnsi="David" w:hint="cs"/>
          <w:sz w:val="22"/>
          <w:rtl/>
        </w:rPr>
        <w:t xml:space="preserve">היא מהותית ולא דיונית שכן הבוררות בביד"ר באותה תקופה הייתה אולי אחוז מדיונים. </w:t>
      </w:r>
      <w:r w:rsidR="007A4517">
        <w:rPr>
          <w:rFonts w:ascii="David" w:hAnsi="David" w:hint="cs"/>
          <w:sz w:val="22"/>
          <w:rtl/>
        </w:rPr>
        <w:t xml:space="preserve">פס"ד זה קובע שביד"ר הוא בית דין שנועד לטיפול </w:t>
      </w:r>
      <w:r w:rsidR="00743CA8">
        <w:rPr>
          <w:rFonts w:ascii="David" w:hAnsi="David" w:hint="cs"/>
          <w:sz w:val="22"/>
          <w:rtl/>
        </w:rPr>
        <w:t>בענייני</w:t>
      </w:r>
      <w:r w:rsidR="007A4517">
        <w:rPr>
          <w:rFonts w:ascii="David" w:hAnsi="David" w:hint="cs"/>
          <w:sz w:val="22"/>
          <w:rtl/>
        </w:rPr>
        <w:t xml:space="preserve"> גירושין ונישואין בישראל והוא לא בית דין לכל הנושאים הקשורים להלכה. כלומר,</w:t>
      </w:r>
      <w:r w:rsidR="007A4517" w:rsidRPr="007A4517">
        <w:rPr>
          <w:rFonts w:ascii="David" w:hAnsi="David" w:hint="cs"/>
          <w:sz w:val="22"/>
          <w:rtl/>
        </w:rPr>
        <w:t xml:space="preserve"> </w:t>
      </w:r>
      <w:r w:rsidR="007A4517" w:rsidRPr="00F33966">
        <w:rPr>
          <w:rFonts w:ascii="David" w:hAnsi="David" w:hint="cs"/>
          <w:sz w:val="22"/>
          <w:rtl/>
        </w:rPr>
        <w:t>פעם ראשונה שאומרים לבית הדין שהוא לא בית דין כמו שהיה בכול הדורות, אלא ביד"ר הוא בית דין שהוקם בצורה ספציפית לצורך אזרחי לענייני גירושין ונישואין</w:t>
      </w:r>
      <w:r w:rsidR="007A4517">
        <w:rPr>
          <w:rFonts w:ascii="David" w:hAnsi="David" w:hint="cs"/>
          <w:sz w:val="22"/>
          <w:rtl/>
        </w:rPr>
        <w:t xml:space="preserve"> </w:t>
      </w:r>
      <w:r w:rsidR="007A4517">
        <w:rPr>
          <w:rFonts w:ascii="David" w:hAnsi="David" w:hint="cs"/>
          <w:sz w:val="22"/>
          <w:u w:val="single"/>
          <w:rtl/>
        </w:rPr>
        <w:t>בישראל</w:t>
      </w:r>
      <w:r w:rsidR="007A4517" w:rsidRPr="00F33966">
        <w:rPr>
          <w:rFonts w:ascii="David" w:hAnsi="David" w:hint="cs"/>
          <w:sz w:val="22"/>
          <w:rtl/>
        </w:rPr>
        <w:t>.</w:t>
      </w:r>
      <w:r w:rsidR="00743CA8">
        <w:rPr>
          <w:rFonts w:ascii="David" w:hAnsi="David" w:hint="cs"/>
          <w:sz w:val="22"/>
          <w:rtl/>
        </w:rPr>
        <w:t xml:space="preserve"> </w:t>
      </w:r>
    </w:p>
    <w:p w14:paraId="2BBD1CAF" w14:textId="141F87A6" w:rsidR="008B6419" w:rsidRPr="008B6419" w:rsidRDefault="00F444D5" w:rsidP="00465590">
      <w:pPr>
        <w:pStyle w:val="ac"/>
        <w:numPr>
          <w:ilvl w:val="1"/>
          <w:numId w:val="5"/>
        </w:numPr>
        <w:bidi/>
        <w:spacing w:after="0"/>
        <w:rPr>
          <w:rFonts w:ascii="David" w:hAnsi="David"/>
          <w:b/>
          <w:bCs/>
          <w:sz w:val="22"/>
        </w:rPr>
      </w:pPr>
      <w:r w:rsidRPr="008B6419">
        <w:rPr>
          <w:rFonts w:ascii="David" w:hAnsi="David" w:hint="cs"/>
          <w:b/>
          <w:bCs/>
          <w:sz w:val="22"/>
          <w:rtl/>
        </w:rPr>
        <w:t xml:space="preserve">ביד"ר חוטף מכה קשה ובמשך הזמן מנסה </w:t>
      </w:r>
      <w:r w:rsidR="00281349" w:rsidRPr="008B6419">
        <w:rPr>
          <w:rFonts w:ascii="David" w:hAnsi="David" w:hint="cs"/>
          <w:b/>
          <w:bCs/>
          <w:sz w:val="22"/>
          <w:rtl/>
        </w:rPr>
        <w:t>לעקוף את החלטת בג"ץ</w:t>
      </w:r>
      <w:r w:rsidR="008B6419">
        <w:rPr>
          <w:rFonts w:ascii="David" w:hAnsi="David" w:hint="cs"/>
          <w:b/>
          <w:bCs/>
          <w:sz w:val="22"/>
          <w:rtl/>
        </w:rPr>
        <w:t>:</w:t>
      </w:r>
    </w:p>
    <w:p w14:paraId="53CAE002" w14:textId="5BC98564" w:rsidR="00BF0167" w:rsidRPr="00281349" w:rsidRDefault="005123B9" w:rsidP="00465590">
      <w:pPr>
        <w:pStyle w:val="ac"/>
        <w:numPr>
          <w:ilvl w:val="2"/>
          <w:numId w:val="5"/>
        </w:numPr>
        <w:bidi/>
        <w:spacing w:after="0"/>
        <w:rPr>
          <w:rFonts w:ascii="David" w:hAnsi="David"/>
          <w:sz w:val="22"/>
        </w:rPr>
      </w:pPr>
      <w:r w:rsidRPr="00281349">
        <w:rPr>
          <w:rFonts w:ascii="David" w:hAnsi="David" w:hint="cs"/>
          <w:b/>
          <w:bCs/>
          <w:sz w:val="22"/>
          <w:rtl/>
        </w:rPr>
        <w:t>עקיפה באמצעות דיון:</w:t>
      </w:r>
      <w:r w:rsidRPr="00281349">
        <w:rPr>
          <w:rFonts w:ascii="David" w:hAnsi="David" w:hint="cs"/>
          <w:sz w:val="22"/>
          <w:rtl/>
        </w:rPr>
        <w:t xml:space="preserve"> </w:t>
      </w:r>
      <w:r w:rsidR="00945E04" w:rsidRPr="00281349">
        <w:rPr>
          <w:rFonts w:ascii="David" w:hAnsi="David" w:hint="cs"/>
          <w:sz w:val="22"/>
          <w:rtl/>
        </w:rPr>
        <w:t>בפועל לקח כמה שנים עד שביד"ר הפסיק לדון בממונות על אף איסור בג"ץ.</w:t>
      </w:r>
      <w:r w:rsidR="00E165F2" w:rsidRPr="00281349">
        <w:rPr>
          <w:rFonts w:ascii="David" w:hAnsi="David" w:hint="cs"/>
          <w:sz w:val="22"/>
          <w:rtl/>
        </w:rPr>
        <w:t xml:space="preserve"> </w:t>
      </w:r>
      <w:r w:rsidR="00984D4C" w:rsidRPr="00281349">
        <w:rPr>
          <w:rFonts w:ascii="David" w:hAnsi="David" w:hint="cs"/>
          <w:rtl/>
        </w:rPr>
        <w:t>אחת הסיבות לכך, היא שהמון אנשים היו מגיעים לביד"ר לדון בממונות וכאשר אחד הצדדים היה מפסיד הוא היה הולך לביהמ"ש האזרחי שהיה פוסל את הפס"ד על הסף.</w:t>
      </w:r>
      <w:r w:rsidRPr="00281349">
        <w:rPr>
          <w:rFonts w:ascii="David" w:hAnsi="David" w:hint="cs"/>
          <w:sz w:val="22"/>
          <w:rtl/>
        </w:rPr>
        <w:t xml:space="preserve"> ביום אי אפשר בכלל מבחינה פרוצדוראלית לדון בממונות בביד"ר.</w:t>
      </w:r>
      <w:r w:rsidR="00281349">
        <w:rPr>
          <w:rFonts w:ascii="David" w:hAnsi="David" w:hint="cs"/>
          <w:sz w:val="22"/>
          <w:rtl/>
        </w:rPr>
        <w:t xml:space="preserve"> </w:t>
      </w:r>
    </w:p>
    <w:p w14:paraId="3235C8E0" w14:textId="1A067AB5" w:rsidR="00E53A36" w:rsidRDefault="00534341" w:rsidP="00465590">
      <w:pPr>
        <w:pStyle w:val="ac"/>
        <w:numPr>
          <w:ilvl w:val="2"/>
          <w:numId w:val="5"/>
        </w:numPr>
        <w:bidi/>
        <w:spacing w:after="0"/>
        <w:rPr>
          <w:rFonts w:ascii="David" w:hAnsi="David"/>
          <w:sz w:val="22"/>
        </w:rPr>
      </w:pPr>
      <w:r w:rsidRPr="005123B9">
        <w:rPr>
          <w:rFonts w:ascii="David" w:hAnsi="David" w:hint="cs"/>
          <w:b/>
          <w:bCs/>
          <w:sz w:val="22"/>
          <w:rtl/>
        </w:rPr>
        <w:t xml:space="preserve">עקיפה באמצעות </w:t>
      </w:r>
      <w:r w:rsidR="005123B9" w:rsidRPr="005123B9">
        <w:rPr>
          <w:rFonts w:ascii="David" w:hAnsi="David" w:hint="cs"/>
          <w:b/>
          <w:bCs/>
          <w:sz w:val="22"/>
          <w:rtl/>
        </w:rPr>
        <w:t>ניסיונו</w:t>
      </w:r>
      <w:r w:rsidR="005123B9" w:rsidRPr="005123B9">
        <w:rPr>
          <w:rFonts w:ascii="David" w:hAnsi="David" w:hint="eastAsia"/>
          <w:b/>
          <w:bCs/>
          <w:sz w:val="22"/>
          <w:rtl/>
        </w:rPr>
        <w:t>ת</w:t>
      </w:r>
      <w:r w:rsidRPr="005123B9">
        <w:rPr>
          <w:rFonts w:ascii="David" w:hAnsi="David" w:hint="cs"/>
          <w:b/>
          <w:bCs/>
          <w:sz w:val="22"/>
          <w:rtl/>
        </w:rPr>
        <w:t xml:space="preserve"> חקיקה</w:t>
      </w:r>
      <w:r>
        <w:rPr>
          <w:rFonts w:ascii="David" w:hAnsi="David" w:hint="cs"/>
          <w:sz w:val="22"/>
          <w:rtl/>
        </w:rPr>
        <w:t xml:space="preserve">: </w:t>
      </w:r>
      <w:r w:rsidR="00E53A36" w:rsidRPr="00B54DB6">
        <w:rPr>
          <w:rFonts w:ascii="David" w:hAnsi="David" w:hint="cs"/>
          <w:sz w:val="22"/>
          <w:u w:val="single"/>
          <w:rtl/>
        </w:rPr>
        <w:t xml:space="preserve">הצעת חוק </w:t>
      </w:r>
      <w:r w:rsidR="00727FB4" w:rsidRPr="00B54DB6">
        <w:rPr>
          <w:rFonts w:ascii="David" w:hAnsi="David" w:hint="cs"/>
          <w:sz w:val="22"/>
          <w:u w:val="single"/>
          <w:rtl/>
        </w:rPr>
        <w:t>שיפוט בתי דין רבניים -</w:t>
      </w:r>
      <w:r w:rsidR="00727FB4">
        <w:rPr>
          <w:rFonts w:ascii="David" w:hAnsi="David" w:hint="cs"/>
          <w:sz w:val="22"/>
          <w:rtl/>
        </w:rPr>
        <w:t xml:space="preserve"> </w:t>
      </w:r>
      <w:r w:rsidR="00932C35">
        <w:rPr>
          <w:rFonts w:ascii="David" w:hAnsi="David" w:hint="cs"/>
          <w:sz w:val="22"/>
          <w:rtl/>
        </w:rPr>
        <w:t xml:space="preserve">במשך השנים באופן קבוע מועלה הצעת חוק </w:t>
      </w:r>
      <w:r w:rsidR="00E53D64">
        <w:rPr>
          <w:rFonts w:ascii="David" w:hAnsi="David" w:hint="cs"/>
          <w:sz w:val="22"/>
          <w:rtl/>
        </w:rPr>
        <w:t>בנוגע לשיפוט בתי דין רבניים שמטרתה היא לאפשר לבית הדין הרבני לדון בבוררות וכל פעם מחדש היא לא עוברת.</w:t>
      </w:r>
      <w:r w:rsidR="00A62DCA">
        <w:rPr>
          <w:rFonts w:ascii="David" w:hAnsi="David" w:hint="cs"/>
          <w:sz w:val="22"/>
          <w:rtl/>
        </w:rPr>
        <w:t xml:space="preserve"> </w:t>
      </w:r>
      <w:r w:rsidR="00727FB4">
        <w:rPr>
          <w:rFonts w:ascii="David" w:hAnsi="David" w:hint="cs"/>
          <w:sz w:val="22"/>
          <w:rtl/>
        </w:rPr>
        <w:t xml:space="preserve">הצעת חוק זו מציעה שברגע שיש הסכמה בין הצדדים </w:t>
      </w:r>
      <w:r w:rsidR="00A62DCA">
        <w:rPr>
          <w:rFonts w:ascii="David" w:hAnsi="David" w:hint="cs"/>
          <w:sz w:val="22"/>
          <w:rtl/>
        </w:rPr>
        <w:t xml:space="preserve">לשיפוט בבית הדין, </w:t>
      </w:r>
      <w:r w:rsidR="00727FB4">
        <w:rPr>
          <w:rFonts w:ascii="David" w:hAnsi="David" w:hint="cs"/>
          <w:sz w:val="22"/>
          <w:rtl/>
        </w:rPr>
        <w:t>בית הדין הרבני הופ</w:t>
      </w:r>
      <w:r w:rsidR="00A62DCA">
        <w:rPr>
          <w:rFonts w:ascii="David" w:hAnsi="David" w:hint="cs"/>
          <w:sz w:val="22"/>
          <w:rtl/>
        </w:rPr>
        <w:t>ך</w:t>
      </w:r>
      <w:r w:rsidR="00727FB4">
        <w:rPr>
          <w:rFonts w:ascii="David" w:hAnsi="David" w:hint="cs"/>
          <w:sz w:val="22"/>
          <w:rtl/>
        </w:rPr>
        <w:t xml:space="preserve"> להיות בית דין של ממש אפילו לא בוררות.</w:t>
      </w:r>
      <w:r w:rsidR="00DD00EC">
        <w:rPr>
          <w:rFonts w:ascii="David" w:hAnsi="David" w:hint="cs"/>
          <w:sz w:val="22"/>
          <w:rtl/>
        </w:rPr>
        <w:t xml:space="preserve"> בתי הדין רוצים סמכות שיפוט ולא בוררות כ</w:t>
      </w:r>
      <w:r w:rsidR="00A62DCA">
        <w:rPr>
          <w:rFonts w:ascii="David" w:hAnsi="David" w:hint="cs"/>
          <w:sz w:val="22"/>
          <w:rtl/>
        </w:rPr>
        <w:t>ד</w:t>
      </w:r>
      <w:r w:rsidR="00DD00EC">
        <w:rPr>
          <w:rFonts w:ascii="David" w:hAnsi="David" w:hint="cs"/>
          <w:sz w:val="22"/>
          <w:rtl/>
        </w:rPr>
        <w:t xml:space="preserve">י להיות חזקים יותר מבתי הדין הפרטיים שכרגע </w:t>
      </w:r>
      <w:r w:rsidR="00B03B7F">
        <w:rPr>
          <w:rFonts w:ascii="David" w:hAnsi="David" w:hint="cs"/>
          <w:sz w:val="22"/>
          <w:rtl/>
        </w:rPr>
        <w:t xml:space="preserve">נמצאים תחת חוק הבוררות (בורר הוא לא עצמאי והוא כפוף לשופט שיאשר את פסק הבוררות שלו). </w:t>
      </w:r>
    </w:p>
    <w:p w14:paraId="059E447B" w14:textId="3A12C666" w:rsidR="00741B4C" w:rsidRPr="00741B4C" w:rsidRDefault="00741B4C" w:rsidP="00741B4C">
      <w:pPr>
        <w:pStyle w:val="21"/>
        <w:rPr>
          <w:sz w:val="22"/>
        </w:rPr>
      </w:pPr>
      <w:bookmarkStart w:id="5" w:name="_Toc107438153"/>
      <w:r>
        <w:rPr>
          <w:rFonts w:hint="cs"/>
          <w:rtl/>
        </w:rPr>
        <w:t>בתי דין פרטיים מול רשמיים</w:t>
      </w:r>
      <w:bookmarkEnd w:id="5"/>
    </w:p>
    <w:p w14:paraId="7DAE623B" w14:textId="77777777" w:rsidR="00B370E2" w:rsidRPr="00A5098B" w:rsidRDefault="00E316A4" w:rsidP="00A5098B">
      <w:pPr>
        <w:shd w:val="clear" w:color="auto" w:fill="FFF4CD" w:themeFill="accent1" w:themeFillTint="33"/>
        <w:rPr>
          <w:rFonts w:ascii="David" w:hAnsi="David"/>
        </w:rPr>
      </w:pPr>
      <w:r w:rsidRPr="00A5098B">
        <w:rPr>
          <w:rFonts w:ascii="David" w:hAnsi="David" w:hint="cs"/>
          <w:b/>
          <w:bCs/>
          <w:shd w:val="clear" w:color="auto" w:fill="FFF4CD" w:themeFill="accent1" w:themeFillTint="33"/>
          <w:rtl/>
        </w:rPr>
        <w:t xml:space="preserve">בעקבות ההחלטות בפסקי הדין של בג"ץ עולה שוב לשטח </w:t>
      </w:r>
      <w:r w:rsidR="00F6372D" w:rsidRPr="00A5098B">
        <w:rPr>
          <w:rFonts w:ascii="David" w:hAnsi="David" w:hint="cs"/>
          <w:b/>
          <w:bCs/>
          <w:shd w:val="clear" w:color="auto" w:fill="FFF4CD" w:themeFill="accent1" w:themeFillTint="33"/>
          <w:rtl/>
        </w:rPr>
        <w:t>הוויכוח בין מערכת בתי הדין הפרטיים</w:t>
      </w:r>
      <w:r w:rsidR="00F6372D" w:rsidRPr="00A5098B">
        <w:rPr>
          <w:rFonts w:ascii="David" w:hAnsi="David" w:hint="cs"/>
          <w:shd w:val="clear" w:color="auto" w:fill="FFF4CD" w:themeFill="accent1" w:themeFillTint="33"/>
          <w:rtl/>
        </w:rPr>
        <w:t xml:space="preserve"> </w:t>
      </w:r>
      <w:r w:rsidRPr="00A5098B">
        <w:rPr>
          <w:rFonts w:ascii="David" w:hAnsi="David" w:hint="cs"/>
          <w:b/>
          <w:bCs/>
          <w:shd w:val="clear" w:color="auto" w:fill="FFF4CD" w:themeFill="accent1" w:themeFillTint="33"/>
          <w:rtl/>
        </w:rPr>
        <w:t>לבתי הדין הרשמ</w:t>
      </w:r>
      <w:r w:rsidR="00A46840" w:rsidRPr="00A5098B">
        <w:rPr>
          <w:rFonts w:ascii="David" w:hAnsi="David" w:hint="cs"/>
          <w:b/>
          <w:bCs/>
          <w:shd w:val="clear" w:color="auto" w:fill="FFF4CD" w:themeFill="accent1" w:themeFillTint="33"/>
          <w:rtl/>
        </w:rPr>
        <w:t>יים:</w:t>
      </w:r>
      <w:r w:rsidR="00F6372D" w:rsidRPr="00A5098B">
        <w:rPr>
          <w:rFonts w:ascii="David" w:hAnsi="David" w:hint="cs"/>
          <w:rtl/>
        </w:rPr>
        <w:t xml:space="preserve"> </w:t>
      </w:r>
    </w:p>
    <w:p w14:paraId="22A526DF" w14:textId="77777777" w:rsidR="00741B4C" w:rsidRPr="00741B4C" w:rsidRDefault="00F6372D" w:rsidP="00465590">
      <w:pPr>
        <w:pStyle w:val="ac"/>
        <w:numPr>
          <w:ilvl w:val="1"/>
          <w:numId w:val="7"/>
        </w:numPr>
        <w:bidi/>
        <w:spacing w:after="0"/>
        <w:rPr>
          <w:rFonts w:ascii="David" w:hAnsi="David"/>
          <w:sz w:val="22"/>
        </w:rPr>
      </w:pPr>
      <w:r>
        <w:rPr>
          <w:rFonts w:ascii="David" w:hAnsi="David" w:hint="cs"/>
          <w:sz w:val="22"/>
          <w:rtl/>
        </w:rPr>
        <w:t>הוויכוח קשור לעדיפות של בית דין אחד על משנהו</w:t>
      </w:r>
      <w:r w:rsidR="006C45A1">
        <w:rPr>
          <w:rFonts w:ascii="David" w:hAnsi="David" w:hint="cs"/>
          <w:sz w:val="22"/>
          <w:rtl/>
        </w:rPr>
        <w:t xml:space="preserve"> (פרטי לעומת רשמי)</w:t>
      </w:r>
      <w:r>
        <w:rPr>
          <w:rFonts w:ascii="David" w:hAnsi="David" w:hint="cs"/>
          <w:sz w:val="22"/>
          <w:rtl/>
        </w:rPr>
        <w:t>. מה קורה כאשר יש בני זוג והאישה תובעת</w:t>
      </w:r>
      <w:r w:rsidR="006C45A1">
        <w:rPr>
          <w:rFonts w:ascii="David" w:hAnsi="David" w:hint="cs"/>
          <w:sz w:val="22"/>
          <w:rtl/>
        </w:rPr>
        <w:t xml:space="preserve"> גירושין, האם ניתן לדון בו בבתי הדין הפרטי או חייב לדון בבית הדין הרשמי? </w:t>
      </w:r>
      <w:r w:rsidR="0059153C">
        <w:rPr>
          <w:rFonts w:ascii="David" w:hAnsi="David" w:hint="cs"/>
          <w:sz w:val="22"/>
          <w:rtl/>
        </w:rPr>
        <w:t xml:space="preserve">בית הדין הפרטי יטען כי </w:t>
      </w:r>
      <w:r w:rsidR="006C45A1">
        <w:rPr>
          <w:rFonts w:ascii="David" w:hAnsi="David" w:hint="cs"/>
          <w:sz w:val="22"/>
          <w:rtl/>
        </w:rPr>
        <w:t>התובע הולך אחרי הנתבע</w:t>
      </w:r>
      <w:r w:rsidR="00E47660">
        <w:rPr>
          <w:rFonts w:ascii="David" w:hAnsi="David" w:hint="cs"/>
          <w:sz w:val="22"/>
          <w:rtl/>
        </w:rPr>
        <w:t xml:space="preserve"> ומנגד בית הדין הרשמי יגיד כי על פי ההלכה צריך להיות בית דין קבוע. </w:t>
      </w:r>
    </w:p>
    <w:p w14:paraId="04C5B8D5" w14:textId="563AA3A7" w:rsidR="00E47660" w:rsidRDefault="00E47660" w:rsidP="00465590">
      <w:pPr>
        <w:pStyle w:val="ac"/>
        <w:numPr>
          <w:ilvl w:val="1"/>
          <w:numId w:val="7"/>
        </w:numPr>
        <w:bidi/>
        <w:spacing w:after="0"/>
        <w:rPr>
          <w:rFonts w:ascii="David" w:hAnsi="David"/>
          <w:sz w:val="22"/>
        </w:rPr>
      </w:pPr>
      <w:r w:rsidRPr="00F54EB3">
        <w:rPr>
          <w:rFonts w:ascii="David" w:hAnsi="David" w:hint="cs"/>
          <w:sz w:val="22"/>
          <w:u w:val="single"/>
          <w:rtl/>
        </w:rPr>
        <w:t>מהו בית דין קבוע, ש</w:t>
      </w:r>
      <w:r w:rsidR="00F54EB3" w:rsidRPr="00F54EB3">
        <w:rPr>
          <w:rFonts w:ascii="David" w:hAnsi="David" w:hint="cs"/>
          <w:sz w:val="22"/>
          <w:u w:val="single"/>
          <w:rtl/>
        </w:rPr>
        <w:t>נ</w:t>
      </w:r>
      <w:r w:rsidRPr="00F54EB3">
        <w:rPr>
          <w:rFonts w:ascii="David" w:hAnsi="David" w:hint="cs"/>
          <w:sz w:val="22"/>
          <w:u w:val="single"/>
          <w:rtl/>
        </w:rPr>
        <w:t>י מאפיינים</w:t>
      </w:r>
      <w:r w:rsidR="00F54EB3" w:rsidRPr="00F54EB3">
        <w:rPr>
          <w:rFonts w:ascii="David" w:hAnsi="David" w:hint="cs"/>
          <w:sz w:val="22"/>
          <w:u w:val="single"/>
          <w:rtl/>
        </w:rPr>
        <w:t>:</w:t>
      </w:r>
    </w:p>
    <w:p w14:paraId="1470EFC0" w14:textId="1BF49698" w:rsidR="005123B9" w:rsidRDefault="00E47660" w:rsidP="00465590">
      <w:pPr>
        <w:pStyle w:val="ac"/>
        <w:numPr>
          <w:ilvl w:val="2"/>
          <w:numId w:val="7"/>
        </w:numPr>
        <w:bidi/>
        <w:spacing w:after="0"/>
        <w:rPr>
          <w:rFonts w:ascii="David" w:hAnsi="David"/>
          <w:sz w:val="22"/>
        </w:rPr>
      </w:pPr>
      <w:r>
        <w:rPr>
          <w:rFonts w:ascii="David" w:hAnsi="David" w:hint="cs"/>
          <w:sz w:val="22"/>
          <w:rtl/>
        </w:rPr>
        <w:lastRenderedPageBreak/>
        <w:t>בית הדין הקבוע הוא זה שיש לו יותר סמכויו</w:t>
      </w:r>
      <w:r>
        <w:rPr>
          <w:rFonts w:ascii="David" w:hAnsi="David" w:hint="eastAsia"/>
          <w:sz w:val="22"/>
          <w:rtl/>
        </w:rPr>
        <w:t>ת</w:t>
      </w:r>
      <w:r>
        <w:rPr>
          <w:rFonts w:ascii="David" w:hAnsi="David" w:hint="cs"/>
          <w:sz w:val="22"/>
          <w:rtl/>
        </w:rPr>
        <w:t xml:space="preserve"> אכיפה לבית הדין שלו. לבית הדין הרשמי יש סמכויות אכיפה הרבה יותר נרחבות מכוח חוק המדינה.</w:t>
      </w:r>
    </w:p>
    <w:p w14:paraId="4A8855D5" w14:textId="09990C95" w:rsidR="00A46840" w:rsidRDefault="00E47660" w:rsidP="00465590">
      <w:pPr>
        <w:pStyle w:val="ac"/>
        <w:numPr>
          <w:ilvl w:val="2"/>
          <w:numId w:val="7"/>
        </w:numPr>
        <w:bidi/>
        <w:spacing w:after="0"/>
        <w:rPr>
          <w:rFonts w:ascii="David" w:hAnsi="David"/>
          <w:sz w:val="22"/>
        </w:rPr>
      </w:pPr>
      <w:r>
        <w:rPr>
          <w:rFonts w:ascii="David" w:hAnsi="David" w:hint="cs"/>
          <w:sz w:val="22"/>
          <w:rtl/>
        </w:rPr>
        <w:t>בית הדין שרוב הציבור הולך אליו. כמובן בית הדין שרוב הציבור הולך אליו זה בית הדין הרשמי.</w:t>
      </w:r>
    </w:p>
    <w:p w14:paraId="4F846F4B" w14:textId="72C2BC06" w:rsidR="006F7656" w:rsidRDefault="006F7656" w:rsidP="00465590">
      <w:pPr>
        <w:pStyle w:val="ac"/>
        <w:numPr>
          <w:ilvl w:val="1"/>
          <w:numId w:val="7"/>
        </w:numPr>
        <w:bidi/>
        <w:spacing w:after="0"/>
        <w:rPr>
          <w:rFonts w:ascii="David" w:hAnsi="David"/>
          <w:sz w:val="22"/>
        </w:rPr>
      </w:pPr>
      <w:r>
        <w:rPr>
          <w:rFonts w:ascii="David" w:hAnsi="David" w:hint="cs"/>
          <w:sz w:val="22"/>
          <w:rtl/>
        </w:rPr>
        <w:t>טענות לגבי היקף האכיפה של בית הדין וה</w:t>
      </w:r>
      <w:r w:rsidR="00D962F3">
        <w:rPr>
          <w:rFonts w:ascii="David" w:hAnsi="David" w:hint="cs"/>
          <w:sz w:val="22"/>
          <w:rtl/>
        </w:rPr>
        <w:t>סמכות שמוענקות לו על ידי הרוב נכונות כאשר מדובר בענייני גירושין ונישואין. דוגמה לכך אפשר לראות בס' 4 ו4א לחוק בתי דין רבניים שמעניק סמכות בינ"ל.</w:t>
      </w:r>
    </w:p>
    <w:p w14:paraId="5214F274" w14:textId="56267EDC" w:rsidR="00F54EB3" w:rsidRPr="00A46840" w:rsidRDefault="0022398E" w:rsidP="00465590">
      <w:pPr>
        <w:pStyle w:val="ac"/>
        <w:numPr>
          <w:ilvl w:val="4"/>
          <w:numId w:val="7"/>
        </w:numPr>
        <w:bidi/>
        <w:spacing w:after="0"/>
        <w:rPr>
          <w:rFonts w:ascii="David" w:hAnsi="David"/>
          <w:sz w:val="22"/>
        </w:rPr>
      </w:pPr>
      <w:r w:rsidRPr="00A46840">
        <w:rPr>
          <w:rFonts w:ascii="David" w:hAnsi="David" w:hint="cs"/>
          <w:highlight w:val="cyan"/>
          <w:u w:val="single"/>
          <w:rtl/>
        </w:rPr>
        <w:t>פס"ד מ</w:t>
      </w:r>
      <w:r w:rsidR="00984810" w:rsidRPr="00A46840">
        <w:rPr>
          <w:rFonts w:ascii="David" w:hAnsi="David" w:hint="cs"/>
          <w:highlight w:val="cyan"/>
          <w:u w:val="single"/>
          <w:rtl/>
        </w:rPr>
        <w:t>-</w:t>
      </w:r>
      <w:r w:rsidRPr="00A46840">
        <w:rPr>
          <w:rFonts w:ascii="David" w:hAnsi="David" w:hint="cs"/>
          <w:highlight w:val="cyan"/>
          <w:u w:val="single"/>
          <w:rtl/>
        </w:rPr>
        <w:t>2019:</w:t>
      </w:r>
      <w:r w:rsidRPr="00A46840">
        <w:rPr>
          <w:rFonts w:ascii="David" w:hAnsi="David" w:hint="cs"/>
          <w:rtl/>
        </w:rPr>
        <w:t xml:space="preserve"> האישה תובעת את איש לגט, עולה השאלה לגבי הסמכות שכן הזוג אינם אזרחי המדינה.</w:t>
      </w:r>
      <w:r w:rsidR="00705075" w:rsidRPr="00A46840">
        <w:rPr>
          <w:rFonts w:ascii="David" w:hAnsi="David" w:hint="cs"/>
          <w:rtl/>
        </w:rPr>
        <w:t xml:space="preserve"> בית הדין מחוץ לישראל קבע שהבעל יתן גט לאשתו, אך בפועל אין לו סמכויות אכיפה ולכן פונה לבית הדין בארץ</w:t>
      </w:r>
      <w:r w:rsidR="00D962F3">
        <w:rPr>
          <w:rFonts w:ascii="David" w:hAnsi="David" w:hint="cs"/>
          <w:rtl/>
        </w:rPr>
        <w:t xml:space="preserve"> (מראה על ההכרה בסמכותו)</w:t>
      </w:r>
      <w:r w:rsidR="00705075" w:rsidRPr="00A46840">
        <w:rPr>
          <w:rFonts w:ascii="David" w:hAnsi="David" w:hint="cs"/>
          <w:rtl/>
        </w:rPr>
        <w:t xml:space="preserve">. </w:t>
      </w:r>
      <w:r w:rsidR="006D1A97" w:rsidRPr="00B370E2">
        <w:rPr>
          <w:rFonts w:ascii="David" w:hAnsi="David" w:hint="cs"/>
          <w:u w:val="single"/>
          <w:rtl/>
        </w:rPr>
        <w:t xml:space="preserve">כיצד נגייר את הסמכות </w:t>
      </w:r>
      <w:r w:rsidR="008C1BF5" w:rsidRPr="00B370E2">
        <w:rPr>
          <w:rFonts w:ascii="David" w:hAnsi="David" w:hint="cs"/>
          <w:u w:val="single"/>
          <w:rtl/>
        </w:rPr>
        <w:t>הבינ"ל</w:t>
      </w:r>
      <w:r w:rsidR="006D1A97" w:rsidRPr="00B370E2">
        <w:rPr>
          <w:rFonts w:ascii="David" w:hAnsi="David" w:hint="cs"/>
          <w:u w:val="single"/>
          <w:rtl/>
        </w:rPr>
        <w:t xml:space="preserve"> שנתן החוק המדינתי</w:t>
      </w:r>
      <w:r w:rsidR="006D1A97" w:rsidRPr="00A46840">
        <w:rPr>
          <w:rFonts w:ascii="David" w:hAnsi="David" w:hint="cs"/>
          <w:rtl/>
        </w:rPr>
        <w:t xml:space="preserve">? </w:t>
      </w:r>
      <w:r w:rsidR="00562E81">
        <w:rPr>
          <w:rFonts w:ascii="David" w:hAnsi="David" w:hint="cs"/>
          <w:rtl/>
        </w:rPr>
        <w:t>הנימוק הוא ח</w:t>
      </w:r>
      <w:r w:rsidR="008C1BF5" w:rsidRPr="00A46840">
        <w:rPr>
          <w:rFonts w:ascii="David" w:hAnsi="David" w:hint="cs"/>
          <w:rtl/>
        </w:rPr>
        <w:t>וסר יכולת האכיפה של בית הדין</w:t>
      </w:r>
      <w:r w:rsidR="00562E81">
        <w:rPr>
          <w:rFonts w:ascii="David" w:hAnsi="David" w:hint="cs"/>
          <w:rtl/>
        </w:rPr>
        <w:t xml:space="preserve"> בחו"ל</w:t>
      </w:r>
      <w:r w:rsidR="00D962F3">
        <w:rPr>
          <w:rFonts w:ascii="David" w:hAnsi="David" w:hint="cs"/>
          <w:rtl/>
        </w:rPr>
        <w:t xml:space="preserve"> (מראה על יכולות אכיפה)</w:t>
      </w:r>
      <w:r w:rsidR="008C1BF5" w:rsidRPr="00A46840">
        <w:rPr>
          <w:rFonts w:ascii="David" w:hAnsi="David" w:hint="cs"/>
          <w:rtl/>
        </w:rPr>
        <w:t xml:space="preserve">. </w:t>
      </w:r>
      <w:r w:rsidR="00703489" w:rsidRPr="00A46840">
        <w:rPr>
          <w:rFonts w:ascii="David" w:hAnsi="David" w:hint="cs"/>
          <w:rtl/>
        </w:rPr>
        <w:t xml:space="preserve">הטענה שהתובע הולך אחרי </w:t>
      </w:r>
      <w:r w:rsidR="00276346" w:rsidRPr="00A46840">
        <w:rPr>
          <w:rFonts w:ascii="David" w:hAnsi="David" w:hint="cs"/>
          <w:rtl/>
        </w:rPr>
        <w:t>הנתבע</w:t>
      </w:r>
      <w:r w:rsidR="00703489" w:rsidRPr="00A46840">
        <w:rPr>
          <w:rFonts w:ascii="David" w:hAnsi="David" w:hint="cs"/>
          <w:rtl/>
        </w:rPr>
        <w:t xml:space="preserve"> לא רלוונטית כאשר הגבר טוען שהוא רוצה להתדיין בבית דין בחו"ל בפועל הוא לא מקשיב לפס"ד שלו שקובע שהוא צריך לתת גט. כלומר מבחינה הלכתית בית הדין יכול לדון כי הוא היחיד בעל סמכות אכיפה.</w:t>
      </w:r>
    </w:p>
    <w:p w14:paraId="63E507FB" w14:textId="624D6A4E" w:rsidR="00705075" w:rsidRDefault="00813DC7" w:rsidP="00465590">
      <w:pPr>
        <w:pStyle w:val="ac"/>
        <w:numPr>
          <w:ilvl w:val="1"/>
          <w:numId w:val="7"/>
        </w:numPr>
        <w:bidi/>
        <w:spacing w:after="0"/>
        <w:rPr>
          <w:rFonts w:ascii="David" w:hAnsi="David"/>
          <w:sz w:val="22"/>
        </w:rPr>
      </w:pPr>
      <w:r>
        <w:rPr>
          <w:rFonts w:ascii="David" w:hAnsi="David" w:hint="cs"/>
          <w:sz w:val="22"/>
          <w:rtl/>
        </w:rPr>
        <w:t>עם זאת,</w:t>
      </w:r>
      <w:r w:rsidR="004614B6">
        <w:rPr>
          <w:rFonts w:ascii="David" w:hAnsi="David" w:hint="cs"/>
          <w:sz w:val="22"/>
          <w:rtl/>
        </w:rPr>
        <w:t xml:space="preserve"> ב</w:t>
      </w:r>
      <w:r w:rsidR="00276346">
        <w:rPr>
          <w:rFonts w:ascii="David" w:hAnsi="David" w:hint="cs"/>
          <w:sz w:val="22"/>
          <w:rtl/>
        </w:rPr>
        <w:t xml:space="preserve">נושאים </w:t>
      </w:r>
      <w:r w:rsidR="00511A1F">
        <w:rPr>
          <w:rFonts w:ascii="David" w:hAnsi="David" w:hint="cs"/>
          <w:sz w:val="22"/>
          <w:rtl/>
        </w:rPr>
        <w:t>שכרוכים לגירושין אפשר להעביר לבורר כול עוד זה לא קשור למשמורת</w:t>
      </w:r>
      <w:r w:rsidR="006259BF">
        <w:rPr>
          <w:rFonts w:ascii="David" w:hAnsi="David" w:hint="cs"/>
          <w:sz w:val="22"/>
          <w:rtl/>
        </w:rPr>
        <w:t xml:space="preserve"> ילדים</w:t>
      </w:r>
      <w:r w:rsidR="00511A1F">
        <w:rPr>
          <w:rFonts w:ascii="David" w:hAnsi="David" w:hint="cs"/>
          <w:sz w:val="22"/>
          <w:rtl/>
        </w:rPr>
        <w:t xml:space="preserve"> (מזונות ילדים ניתן</w:t>
      </w:r>
      <w:r w:rsidR="006259BF">
        <w:rPr>
          <w:rFonts w:ascii="David" w:hAnsi="David" w:hint="cs"/>
          <w:sz w:val="22"/>
          <w:rtl/>
        </w:rPr>
        <w:t>, אך אין פסיקה חד משמעית</w:t>
      </w:r>
      <w:r w:rsidR="00511A1F">
        <w:rPr>
          <w:rFonts w:ascii="David" w:hAnsi="David" w:hint="cs"/>
          <w:sz w:val="22"/>
          <w:rtl/>
        </w:rPr>
        <w:t>).</w:t>
      </w:r>
      <w:r w:rsidR="00383B3D">
        <w:rPr>
          <w:rFonts w:ascii="David" w:hAnsi="David" w:hint="cs"/>
          <w:sz w:val="22"/>
          <w:rtl/>
        </w:rPr>
        <w:t xml:space="preserve"> </w:t>
      </w:r>
      <w:r w:rsidR="00BC6B88" w:rsidRPr="009050F2">
        <w:rPr>
          <w:rFonts w:ascii="David" w:hAnsi="David" w:hint="cs"/>
          <w:sz w:val="22"/>
          <w:u w:val="single"/>
          <w:rtl/>
        </w:rPr>
        <w:t>המון חרדים פונים לבתי הדין הפרטיים</w:t>
      </w:r>
      <w:r w:rsidR="009050F2">
        <w:rPr>
          <w:rFonts w:ascii="David" w:hAnsi="David" w:hint="cs"/>
          <w:sz w:val="22"/>
          <w:u w:val="single"/>
          <w:rtl/>
        </w:rPr>
        <w:t xml:space="preserve"> בענייני נישואים וגירושים,</w:t>
      </w:r>
      <w:r w:rsidR="009050F2" w:rsidRPr="009050F2">
        <w:rPr>
          <w:rFonts w:ascii="David" w:hAnsi="David" w:hint="cs"/>
          <w:sz w:val="22"/>
          <w:u w:val="single"/>
          <w:rtl/>
        </w:rPr>
        <w:t xml:space="preserve"> מ</w:t>
      </w:r>
      <w:r w:rsidR="00EB1314">
        <w:rPr>
          <w:rFonts w:ascii="David" w:hAnsi="David" w:hint="cs"/>
          <w:sz w:val="22"/>
          <w:u w:val="single"/>
          <w:rtl/>
        </w:rPr>
        <w:t>ה הטיעונים ההלכתיים להליכה לבית דין פרטי:</w:t>
      </w:r>
    </w:p>
    <w:p w14:paraId="7B53F51C" w14:textId="1E2A7EAA" w:rsidR="009050F2" w:rsidRDefault="009050F2" w:rsidP="00465590">
      <w:pPr>
        <w:pStyle w:val="ac"/>
        <w:numPr>
          <w:ilvl w:val="2"/>
          <w:numId w:val="7"/>
        </w:numPr>
        <w:bidi/>
        <w:spacing w:after="0"/>
        <w:rPr>
          <w:rFonts w:ascii="David" w:hAnsi="David"/>
          <w:sz w:val="22"/>
        </w:rPr>
      </w:pPr>
      <w:r>
        <w:rPr>
          <w:rFonts w:ascii="David" w:hAnsi="David" w:hint="cs"/>
          <w:sz w:val="22"/>
          <w:rtl/>
        </w:rPr>
        <w:t>המוסד הרשמי כפוף לחוק המדינה ולכן הם מוגבלים מאוד ולעיתים אינם פועלים על פי ההלכה.</w:t>
      </w:r>
      <w:r w:rsidR="00BF729C">
        <w:rPr>
          <w:rFonts w:ascii="David" w:hAnsi="David" w:hint="cs"/>
          <w:sz w:val="22"/>
          <w:rtl/>
        </w:rPr>
        <w:t xml:space="preserve"> בעוד בית הדין הפרטי פועל נטו על פי דין תורה.</w:t>
      </w:r>
    </w:p>
    <w:p w14:paraId="0DEE5AF2" w14:textId="77777777" w:rsidR="006368AD" w:rsidRDefault="00EB1314" w:rsidP="00465590">
      <w:pPr>
        <w:pStyle w:val="ac"/>
        <w:numPr>
          <w:ilvl w:val="2"/>
          <w:numId w:val="7"/>
        </w:numPr>
        <w:bidi/>
        <w:spacing w:after="0"/>
        <w:rPr>
          <w:rFonts w:ascii="David" w:hAnsi="David"/>
          <w:sz w:val="22"/>
        </w:rPr>
      </w:pPr>
      <w:r>
        <w:rPr>
          <w:rFonts w:ascii="David" w:hAnsi="David" w:hint="cs"/>
          <w:sz w:val="22"/>
          <w:rtl/>
        </w:rPr>
        <w:t>הגיטים של בית הדין הרבני בעיתיים מאוד מבחינה הלכתית - יש חשש שהגיטים ניתנו שלא כדין</w:t>
      </w:r>
      <w:r w:rsidR="008F1157">
        <w:rPr>
          <w:rFonts w:ascii="David" w:hAnsi="David" w:hint="cs"/>
          <w:sz w:val="22"/>
          <w:rtl/>
        </w:rPr>
        <w:t xml:space="preserve"> (גט מעושה)</w:t>
      </w:r>
      <w:r w:rsidR="00110068">
        <w:rPr>
          <w:rFonts w:ascii="David" w:hAnsi="David" w:hint="cs"/>
          <w:sz w:val="22"/>
          <w:rtl/>
        </w:rPr>
        <w:t>. הטענה היא שבתי הדין הרשמיים מאוד מהירים בכפיית גיטים והפעלת סנקציות</w:t>
      </w:r>
      <w:r w:rsidR="00742527">
        <w:rPr>
          <w:rFonts w:ascii="David" w:hAnsi="David" w:hint="cs"/>
          <w:sz w:val="22"/>
          <w:rtl/>
        </w:rPr>
        <w:t xml:space="preserve">, כי החוק מאפשר להם. </w:t>
      </w:r>
      <w:r w:rsidR="00D16A78">
        <w:rPr>
          <w:rFonts w:ascii="David" w:hAnsi="David" w:hint="cs"/>
          <w:sz w:val="22"/>
          <w:rtl/>
        </w:rPr>
        <w:t xml:space="preserve">כחלק מטענה זו עולה טענה שאומרת כי הגבר מראש שוקל את האפשרות </w:t>
      </w:r>
      <w:r w:rsidR="00D8151D">
        <w:rPr>
          <w:rFonts w:ascii="David" w:hAnsi="David" w:hint="cs"/>
          <w:sz w:val="22"/>
          <w:rtl/>
        </w:rPr>
        <w:t>שישימו עליו סנקציות ולכן מסכימים לתת גט.</w:t>
      </w:r>
      <w:r w:rsidR="00D16A78">
        <w:rPr>
          <w:rFonts w:ascii="David" w:hAnsi="David" w:hint="cs"/>
          <w:sz w:val="22"/>
          <w:rtl/>
        </w:rPr>
        <w:t xml:space="preserve"> </w:t>
      </w:r>
    </w:p>
    <w:p w14:paraId="54AFA188" w14:textId="63F0C536" w:rsidR="002B3AF0" w:rsidRDefault="002B3AF0" w:rsidP="00465590">
      <w:pPr>
        <w:pStyle w:val="ac"/>
        <w:numPr>
          <w:ilvl w:val="1"/>
          <w:numId w:val="7"/>
        </w:numPr>
        <w:bidi/>
        <w:spacing w:after="0"/>
        <w:rPr>
          <w:rFonts w:ascii="David" w:hAnsi="David"/>
          <w:sz w:val="22"/>
        </w:rPr>
      </w:pPr>
      <w:r w:rsidRPr="006368AD">
        <w:rPr>
          <w:rFonts w:ascii="David" w:hAnsi="David" w:hint="cs"/>
          <w:highlight w:val="cyan"/>
          <w:u w:val="single"/>
          <w:rtl/>
        </w:rPr>
        <w:t>פס"ד של בית הדן הרבני הגדול:</w:t>
      </w:r>
      <w:r w:rsidR="00930425" w:rsidRPr="006368AD">
        <w:rPr>
          <w:rFonts w:ascii="David" w:hAnsi="David" w:hint="cs"/>
          <w:rtl/>
        </w:rPr>
        <w:t xml:space="preserve"> זוג חרדי התגרש בבית דין פרטי ונקבע גט. לאחר מכן הלכו לבית הדין הרשמי ושם עשו להם גט נוסף!</w:t>
      </w:r>
      <w:r w:rsidR="00DE2003">
        <w:rPr>
          <w:rFonts w:ascii="David" w:hAnsi="David" w:hint="cs"/>
          <w:sz w:val="22"/>
          <w:rtl/>
        </w:rPr>
        <w:t xml:space="preserve"> לא היה צורך כול הנראה לגט נוסף אבל יש כן מלחמת </w:t>
      </w:r>
      <w:r w:rsidR="00D76878">
        <w:rPr>
          <w:rFonts w:ascii="David" w:hAnsi="David" w:hint="cs"/>
          <w:sz w:val="22"/>
          <w:rtl/>
        </w:rPr>
        <w:t xml:space="preserve">כוחות, בית הדין הרבני מראה שהוא לא מוכן שיעקפו אותו על ידי בית הדין הפרטי. </w:t>
      </w:r>
    </w:p>
    <w:p w14:paraId="7B748A37" w14:textId="655F3F7B" w:rsidR="000E2129" w:rsidRPr="00A5098B" w:rsidRDefault="000E2129" w:rsidP="00465590">
      <w:pPr>
        <w:pStyle w:val="ac"/>
        <w:numPr>
          <w:ilvl w:val="1"/>
          <w:numId w:val="7"/>
        </w:numPr>
        <w:bidi/>
        <w:spacing w:after="0"/>
        <w:rPr>
          <w:rFonts w:ascii="David" w:hAnsi="David"/>
          <w:b/>
          <w:bCs/>
          <w:sz w:val="22"/>
        </w:rPr>
      </w:pPr>
      <w:r w:rsidRPr="00741B4C">
        <w:rPr>
          <w:rFonts w:ascii="David" w:hAnsi="David" w:hint="cs"/>
          <w:b/>
          <w:bCs/>
          <w:shd w:val="clear" w:color="auto" w:fill="FFF4CD" w:themeFill="accent1" w:themeFillTint="33"/>
          <w:rtl/>
        </w:rPr>
        <w:t>הייחוד של בתי הדין הרשמיים</w:t>
      </w:r>
      <w:r w:rsidR="00741B4C" w:rsidRPr="00741B4C">
        <w:rPr>
          <w:rFonts w:ascii="David" w:hAnsi="David" w:hint="cs"/>
          <w:b/>
          <w:bCs/>
          <w:rtl/>
        </w:rPr>
        <w:t>:</w:t>
      </w:r>
      <w:r w:rsidR="00A5098B">
        <w:rPr>
          <w:rFonts w:ascii="David" w:hAnsi="David" w:hint="cs"/>
          <w:b/>
          <w:bCs/>
          <w:rtl/>
        </w:rPr>
        <w:t xml:space="preserve"> </w:t>
      </w:r>
      <w:r w:rsidRPr="00A5098B">
        <w:rPr>
          <w:rFonts w:ascii="David" w:hAnsi="David" w:hint="cs"/>
          <w:b/>
          <w:bCs/>
          <w:rtl/>
        </w:rPr>
        <w:t xml:space="preserve">פרוצדורה </w:t>
      </w:r>
      <w:r w:rsidRPr="00A5098B">
        <w:rPr>
          <w:rFonts w:ascii="David" w:hAnsi="David" w:hint="cs"/>
          <w:rtl/>
        </w:rPr>
        <w:t>-</w:t>
      </w:r>
      <w:r w:rsidR="00EA57C4" w:rsidRPr="00A5098B">
        <w:rPr>
          <w:rFonts w:ascii="David" w:hAnsi="David" w:hint="cs"/>
          <w:rtl/>
        </w:rPr>
        <w:t xml:space="preserve"> </w:t>
      </w:r>
      <w:r w:rsidRPr="00A5098B">
        <w:rPr>
          <w:rFonts w:ascii="David" w:hAnsi="David" w:hint="cs"/>
          <w:rtl/>
        </w:rPr>
        <w:t xml:space="preserve">סדרי הדין שלהם שונים </w:t>
      </w:r>
      <w:r w:rsidR="00A25C8B" w:rsidRPr="00A5098B">
        <w:rPr>
          <w:rFonts w:ascii="David" w:hAnsi="David" w:hint="cs"/>
          <w:rtl/>
        </w:rPr>
        <w:t>לפעמים בצורה דרמטית מאלה של בית הדין הפרטיים.</w:t>
      </w:r>
      <w:r w:rsidR="00EA57C4" w:rsidRPr="00A5098B">
        <w:rPr>
          <w:rFonts w:ascii="David" w:hAnsi="David" w:hint="cs"/>
          <w:rtl/>
        </w:rPr>
        <w:t xml:space="preserve"> מכיוון שהיא מושפעת ממערכת הדין של המדינה</w:t>
      </w:r>
      <w:r w:rsidR="00990560" w:rsidRPr="00A5098B">
        <w:rPr>
          <w:rFonts w:ascii="David" w:hAnsi="David" w:hint="cs"/>
          <w:rtl/>
        </w:rPr>
        <w:t xml:space="preserve">, ויש צפייה שיהיה דמיון כלשהו. </w:t>
      </w:r>
      <w:r w:rsidR="000901D6" w:rsidRPr="00A5098B">
        <w:rPr>
          <w:rFonts w:ascii="David" w:hAnsi="David" w:hint="cs"/>
          <w:rtl/>
        </w:rPr>
        <w:t xml:space="preserve">עם זאת קיים שוני גם בין </w:t>
      </w:r>
      <w:r w:rsidR="00D376CE" w:rsidRPr="00A5098B">
        <w:rPr>
          <w:rFonts w:ascii="David" w:hAnsi="David" w:hint="cs"/>
          <w:rtl/>
        </w:rPr>
        <w:t>בית הדין הרשמי לבית הדין האזרחים. הדוגמה הבולטת ביותר היא הפסיביות של הדיין במערכת האזרחית לעומת האקטיביות בבית הדין הרבני.</w:t>
      </w:r>
    </w:p>
    <w:p w14:paraId="73519468" w14:textId="5DD6A8A4" w:rsidR="005B2BCA" w:rsidRDefault="00A5098B" w:rsidP="00465590">
      <w:pPr>
        <w:pStyle w:val="ac"/>
        <w:numPr>
          <w:ilvl w:val="2"/>
          <w:numId w:val="7"/>
        </w:numPr>
        <w:bidi/>
        <w:spacing w:after="0"/>
        <w:rPr>
          <w:rFonts w:ascii="David" w:hAnsi="David"/>
          <w:sz w:val="22"/>
        </w:rPr>
      </w:pPr>
      <w:r>
        <w:rPr>
          <w:rFonts w:ascii="David" w:hAnsi="David" w:hint="cs"/>
          <w:sz w:val="22"/>
          <w:rtl/>
        </w:rPr>
        <w:t>ה</w:t>
      </w:r>
      <w:r w:rsidR="005B2BCA">
        <w:rPr>
          <w:rFonts w:ascii="David" w:hAnsi="David" w:hint="cs"/>
          <w:sz w:val="22"/>
          <w:rtl/>
        </w:rPr>
        <w:t xml:space="preserve">פרוצדורה של בתי הדין הרשמיים נקראות </w:t>
      </w:r>
      <w:r>
        <w:rPr>
          <w:rFonts w:ascii="David" w:hAnsi="David" w:hint="cs"/>
          <w:sz w:val="22"/>
          <w:rtl/>
        </w:rPr>
        <w:t>"</w:t>
      </w:r>
      <w:r w:rsidR="005B2BCA">
        <w:rPr>
          <w:rFonts w:ascii="David" w:hAnsi="David" w:hint="cs"/>
          <w:sz w:val="22"/>
          <w:rtl/>
        </w:rPr>
        <w:t>תק</w:t>
      </w:r>
      <w:r w:rsidR="00C83D3A">
        <w:rPr>
          <w:rFonts w:ascii="David" w:hAnsi="David" w:hint="cs"/>
          <w:sz w:val="22"/>
          <w:rtl/>
        </w:rPr>
        <w:t>נות הדיון בבתי הדין הרבניים בישראל</w:t>
      </w:r>
      <w:r>
        <w:rPr>
          <w:rFonts w:ascii="David" w:hAnsi="David" w:hint="cs"/>
          <w:sz w:val="22"/>
          <w:rtl/>
        </w:rPr>
        <w:t>"</w:t>
      </w:r>
      <w:r w:rsidR="00C83D3A">
        <w:rPr>
          <w:rFonts w:ascii="David" w:hAnsi="David" w:hint="cs"/>
          <w:sz w:val="22"/>
          <w:rtl/>
        </w:rPr>
        <w:t xml:space="preserve"> (מקב</w:t>
      </w:r>
      <w:r>
        <w:rPr>
          <w:rFonts w:ascii="David" w:hAnsi="David" w:hint="cs"/>
          <w:sz w:val="22"/>
          <w:rtl/>
        </w:rPr>
        <w:t>י</w:t>
      </w:r>
      <w:r w:rsidR="00C83D3A">
        <w:rPr>
          <w:rFonts w:ascii="David" w:hAnsi="David" w:hint="cs"/>
          <w:sz w:val="22"/>
          <w:rtl/>
        </w:rPr>
        <w:t>לי</w:t>
      </w:r>
      <w:r>
        <w:rPr>
          <w:rFonts w:ascii="David" w:hAnsi="David" w:hint="cs"/>
          <w:sz w:val="22"/>
          <w:rtl/>
        </w:rPr>
        <w:t>ם</w:t>
      </w:r>
      <w:r w:rsidR="00C83D3A">
        <w:rPr>
          <w:rFonts w:ascii="David" w:hAnsi="David" w:hint="cs"/>
          <w:sz w:val="22"/>
          <w:rtl/>
        </w:rPr>
        <w:t xml:space="preserve"> לסד"א) - מי שת</w:t>
      </w:r>
      <w:r w:rsidR="00C36044">
        <w:rPr>
          <w:rFonts w:ascii="David" w:hAnsi="David" w:hint="cs"/>
          <w:sz w:val="22"/>
          <w:rtl/>
        </w:rPr>
        <w:t>י</w:t>
      </w:r>
      <w:r w:rsidR="00C83D3A">
        <w:rPr>
          <w:rFonts w:ascii="David" w:hAnsi="David" w:hint="cs"/>
          <w:sz w:val="22"/>
          <w:rtl/>
        </w:rPr>
        <w:t>קן את התקנות האלו ה</w:t>
      </w:r>
      <w:r w:rsidR="00C36044">
        <w:rPr>
          <w:rFonts w:ascii="David" w:hAnsi="David" w:hint="cs"/>
          <w:sz w:val="22"/>
          <w:rtl/>
        </w:rPr>
        <w:t>יה בית הדין הרבני</w:t>
      </w:r>
      <w:r w:rsidR="00E95BE8">
        <w:rPr>
          <w:rFonts w:ascii="David" w:hAnsi="David" w:hint="cs"/>
          <w:sz w:val="22"/>
          <w:rtl/>
        </w:rPr>
        <w:t xml:space="preserve"> ולא הכנסת. הגישה במשפט הישראל קובעת שאם אין תקנות </w:t>
      </w:r>
      <w:r w:rsidR="00EE0DE0">
        <w:rPr>
          <w:rFonts w:ascii="David" w:hAnsi="David" w:hint="cs"/>
          <w:sz w:val="22"/>
          <w:rtl/>
        </w:rPr>
        <w:t xml:space="preserve">סדר דין </w:t>
      </w:r>
      <w:r w:rsidR="00E95BE8">
        <w:rPr>
          <w:rFonts w:ascii="David" w:hAnsi="David" w:hint="cs"/>
          <w:sz w:val="22"/>
          <w:rtl/>
        </w:rPr>
        <w:t xml:space="preserve">לגוף </w:t>
      </w:r>
      <w:r w:rsidR="00EE0DE0">
        <w:rPr>
          <w:rFonts w:ascii="David" w:hAnsi="David" w:hint="cs"/>
          <w:sz w:val="22"/>
          <w:rtl/>
        </w:rPr>
        <w:t xml:space="preserve">השיפוטי </w:t>
      </w:r>
      <w:r w:rsidR="00E95BE8">
        <w:rPr>
          <w:rFonts w:ascii="David" w:hAnsi="David" w:hint="cs"/>
          <w:sz w:val="22"/>
          <w:rtl/>
        </w:rPr>
        <w:t>הגוף רשאי לתקן תקנות לעצמו</w:t>
      </w:r>
      <w:r w:rsidR="00EE0DE0">
        <w:rPr>
          <w:rFonts w:ascii="David" w:hAnsi="David" w:hint="cs"/>
          <w:sz w:val="22"/>
          <w:rtl/>
        </w:rPr>
        <w:t>.</w:t>
      </w:r>
    </w:p>
    <w:p w14:paraId="4A2CCFEA" w14:textId="0DA384FC" w:rsidR="00EE0DE0" w:rsidRDefault="00EE0DE0" w:rsidP="00465590">
      <w:pPr>
        <w:pStyle w:val="ac"/>
        <w:numPr>
          <w:ilvl w:val="2"/>
          <w:numId w:val="7"/>
        </w:numPr>
        <w:bidi/>
        <w:spacing w:after="0"/>
        <w:rPr>
          <w:rFonts w:ascii="David" w:hAnsi="David"/>
          <w:sz w:val="22"/>
        </w:rPr>
      </w:pPr>
      <w:r w:rsidRPr="001364FC">
        <w:rPr>
          <w:rFonts w:ascii="David" w:hAnsi="David" w:hint="cs"/>
          <w:sz w:val="22"/>
          <w:highlight w:val="cyan"/>
          <w:u w:val="single"/>
          <w:rtl/>
        </w:rPr>
        <w:t>פס"ד פולנית נ' בית הדין הרבני הגדול (9261/16) העגונה מצפת</w:t>
      </w:r>
      <w:r w:rsidR="0055280F" w:rsidRPr="001364FC">
        <w:rPr>
          <w:rFonts w:ascii="David" w:hAnsi="David" w:hint="cs"/>
          <w:sz w:val="22"/>
          <w:highlight w:val="cyan"/>
          <w:u w:val="single"/>
          <w:rtl/>
        </w:rPr>
        <w:t>:</w:t>
      </w:r>
      <w:r>
        <w:rPr>
          <w:rFonts w:ascii="David" w:hAnsi="David" w:hint="cs"/>
          <w:sz w:val="22"/>
          <w:rtl/>
        </w:rPr>
        <w:t xml:space="preserve"> </w:t>
      </w:r>
      <w:r w:rsidR="00F64E65">
        <w:rPr>
          <w:rFonts w:ascii="David" w:hAnsi="David" w:hint="cs"/>
          <w:sz w:val="22"/>
          <w:rtl/>
        </w:rPr>
        <w:t xml:space="preserve">ניתן גט זיכוי והרב הראשי מאוד לא אהב את פס"ד הזה ואי אפשר לקבל את מה שעשה בית הדין הרבני בצפת, הוא בעצם ניסה להקים הרכב מיוחד שיקבל ערעור על פס"ד </w:t>
      </w:r>
      <w:r w:rsidR="000670C6">
        <w:rPr>
          <w:rFonts w:ascii="David" w:hAnsi="David" w:hint="cs"/>
          <w:sz w:val="22"/>
          <w:rtl/>
        </w:rPr>
        <w:t>של ביד"ר בצפת</w:t>
      </w:r>
      <w:r w:rsidR="00C56075">
        <w:rPr>
          <w:rFonts w:ascii="David" w:hAnsi="David" w:hint="cs"/>
          <w:sz w:val="22"/>
          <w:rtl/>
        </w:rPr>
        <w:t xml:space="preserve"> (מעולם לא היה הרכב מיוחד כזה של 11 רבניים)</w:t>
      </w:r>
      <w:r w:rsidR="000670C6">
        <w:rPr>
          <w:rFonts w:ascii="David" w:hAnsi="David" w:hint="cs"/>
          <w:sz w:val="22"/>
          <w:rtl/>
        </w:rPr>
        <w:t xml:space="preserve">. לא היה אף אחד שערער ולכן הרב מצא איש שיערער </w:t>
      </w:r>
      <w:r w:rsidR="00C56075">
        <w:rPr>
          <w:rFonts w:ascii="David" w:hAnsi="David" w:hint="cs"/>
          <w:sz w:val="22"/>
          <w:rtl/>
        </w:rPr>
        <w:t>ב</w:t>
      </w:r>
      <w:r w:rsidR="000670C6">
        <w:rPr>
          <w:rFonts w:ascii="David" w:hAnsi="David" w:hint="cs"/>
          <w:sz w:val="22"/>
          <w:rtl/>
        </w:rPr>
        <w:t xml:space="preserve">שם עם ישראל </w:t>
      </w:r>
      <w:r w:rsidR="0055280F">
        <w:rPr>
          <w:rFonts w:ascii="David" w:hAnsi="David" w:hint="cs"/>
          <w:sz w:val="22"/>
          <w:rtl/>
        </w:rPr>
        <w:t xml:space="preserve">- </w:t>
      </w:r>
      <w:r w:rsidR="00C56075">
        <w:rPr>
          <w:rFonts w:ascii="David" w:hAnsi="David" w:hint="cs"/>
          <w:sz w:val="22"/>
          <w:rtl/>
        </w:rPr>
        <w:t xml:space="preserve">טענת העותר, </w:t>
      </w:r>
      <w:r w:rsidR="0055280F">
        <w:rPr>
          <w:rFonts w:ascii="David" w:hAnsi="David" w:hint="cs"/>
          <w:sz w:val="22"/>
          <w:rtl/>
        </w:rPr>
        <w:t>מגן על עם ישראל מפני ממזרים. הוגש</w:t>
      </w:r>
      <w:r w:rsidR="00C56075">
        <w:rPr>
          <w:rFonts w:ascii="David" w:hAnsi="David" w:hint="cs"/>
          <w:sz w:val="22"/>
          <w:rtl/>
        </w:rPr>
        <w:t>ה עתירה</w:t>
      </w:r>
      <w:r w:rsidR="0055280F">
        <w:rPr>
          <w:rFonts w:ascii="David" w:hAnsi="David" w:hint="cs"/>
          <w:sz w:val="22"/>
          <w:rtl/>
        </w:rPr>
        <w:t xml:space="preserve"> </w:t>
      </w:r>
      <w:r w:rsidR="00C56075">
        <w:rPr>
          <w:rFonts w:ascii="David" w:hAnsi="David" w:hint="cs"/>
          <w:sz w:val="22"/>
          <w:rtl/>
        </w:rPr>
        <w:t>לב</w:t>
      </w:r>
      <w:r w:rsidR="0055280F">
        <w:rPr>
          <w:rFonts w:ascii="David" w:hAnsi="David" w:hint="cs"/>
          <w:sz w:val="22"/>
          <w:rtl/>
        </w:rPr>
        <w:t xml:space="preserve">ג"ץ בטענה שאסור לבית הדין הרבני הגדול לדון </w:t>
      </w:r>
      <w:r w:rsidR="001364FC">
        <w:rPr>
          <w:rFonts w:ascii="David" w:hAnsi="David" w:hint="cs"/>
          <w:sz w:val="22"/>
          <w:rtl/>
        </w:rPr>
        <w:t>מכיוון שזה בניגוד לתקנות הדין, כי רק בעל דין יכול לערער ו</w:t>
      </w:r>
      <w:r w:rsidR="00C56075">
        <w:rPr>
          <w:rFonts w:ascii="David" w:hAnsi="David" w:hint="cs"/>
          <w:sz w:val="22"/>
          <w:rtl/>
        </w:rPr>
        <w:t xml:space="preserve">רק </w:t>
      </w:r>
      <w:r w:rsidR="001364FC">
        <w:rPr>
          <w:rFonts w:ascii="David" w:hAnsi="David" w:hint="cs"/>
          <w:sz w:val="22"/>
          <w:rtl/>
        </w:rPr>
        <w:t xml:space="preserve">תוך שלושים יום. בפועל </w:t>
      </w:r>
      <w:r w:rsidR="0082429B">
        <w:rPr>
          <w:rFonts w:ascii="David" w:hAnsi="David" w:hint="cs"/>
          <w:sz w:val="22"/>
          <w:rtl/>
        </w:rPr>
        <w:t xml:space="preserve">המערער לא היה בעל הדין וערער לאחר שנתיים. </w:t>
      </w:r>
      <w:r w:rsidR="0082429B">
        <w:rPr>
          <w:rFonts w:ascii="David" w:hAnsi="David" w:hint="cs"/>
          <w:b/>
          <w:bCs/>
          <w:sz w:val="22"/>
          <w:rtl/>
        </w:rPr>
        <w:t>השופט רובינשטיין:</w:t>
      </w:r>
      <w:r w:rsidR="0082429B">
        <w:rPr>
          <w:rFonts w:hint="cs"/>
          <w:b/>
          <w:bCs/>
          <w:rtl/>
        </w:rPr>
        <w:t xml:space="preserve"> </w:t>
      </w:r>
      <w:r w:rsidR="00D741FB">
        <w:rPr>
          <w:rFonts w:hint="cs"/>
          <w:rtl/>
        </w:rPr>
        <w:t xml:space="preserve">ברגע שנקבעו סדרי דין הם אלו המחייבים </w:t>
      </w:r>
      <w:r w:rsidR="004D7310">
        <w:rPr>
          <w:rFonts w:hint="cs"/>
          <w:rtl/>
        </w:rPr>
        <w:t>גם אם המחוקק הוא לא זה שכתב אותם.</w:t>
      </w:r>
      <w:r w:rsidR="006B5944">
        <w:rPr>
          <w:rFonts w:ascii="David" w:hAnsi="David" w:hint="cs"/>
          <w:sz w:val="22"/>
          <w:rtl/>
        </w:rPr>
        <w:t xml:space="preserve"> תקנות הדיון של בית הדין הרבני זהות במעמדן לתקנות סדר דין אזרחי.</w:t>
      </w:r>
    </w:p>
    <w:p w14:paraId="0B28AF21" w14:textId="50E9E48B" w:rsidR="00C56075" w:rsidRPr="00C56075" w:rsidRDefault="00C56075" w:rsidP="00C56075">
      <w:pPr>
        <w:pBdr>
          <w:top w:val="single" w:sz="4" w:space="1" w:color="auto"/>
        </w:pBdr>
        <w:rPr>
          <w:rFonts w:ascii="David" w:hAnsi="David"/>
        </w:rPr>
      </w:pPr>
      <w:r>
        <w:rPr>
          <w:rFonts w:ascii="David" w:hAnsi="David" w:hint="cs"/>
          <w:rtl/>
        </w:rPr>
        <w:t>15.03.2022</w:t>
      </w:r>
    </w:p>
    <w:p w14:paraId="1BE4FD6F" w14:textId="77777777" w:rsidR="00511794" w:rsidRPr="00511794" w:rsidRDefault="00C56075" w:rsidP="00741B4C">
      <w:pPr>
        <w:pStyle w:val="21"/>
      </w:pPr>
      <w:bookmarkStart w:id="6" w:name="_Toc107438154"/>
      <w:r w:rsidRPr="00511794">
        <w:rPr>
          <w:rFonts w:hint="cs"/>
          <w:rtl/>
        </w:rPr>
        <w:t>סוגית הערעור על בתי הדין הרבניים:</w:t>
      </w:r>
      <w:bookmarkEnd w:id="6"/>
      <w:r w:rsidRPr="00511794">
        <w:rPr>
          <w:rFonts w:hint="cs"/>
          <w:rtl/>
        </w:rPr>
        <w:t xml:space="preserve"> </w:t>
      </w:r>
    </w:p>
    <w:p w14:paraId="1155ED0B" w14:textId="29E3D575" w:rsidR="009C42C8" w:rsidRPr="00EF17D8" w:rsidRDefault="009C42C8" w:rsidP="00EF17D8">
      <w:pPr>
        <w:shd w:val="clear" w:color="auto" w:fill="FFF4CD" w:themeFill="accent1" w:themeFillTint="33"/>
        <w:rPr>
          <w:rFonts w:ascii="David" w:hAnsi="David"/>
          <w:b/>
          <w:bCs/>
        </w:rPr>
      </w:pPr>
      <w:r w:rsidRPr="00EF17D8">
        <w:rPr>
          <w:rFonts w:ascii="David" w:hAnsi="David" w:hint="cs"/>
          <w:b/>
          <w:bCs/>
          <w:rtl/>
        </w:rPr>
        <w:t xml:space="preserve">המתח בין בית הדין הרבני לבין בית המשפט בהקשר </w:t>
      </w:r>
      <w:r w:rsidR="00EF17D8" w:rsidRPr="00EF17D8">
        <w:rPr>
          <w:rFonts w:ascii="David" w:hAnsi="David" w:hint="cs"/>
          <w:b/>
          <w:bCs/>
          <w:rtl/>
        </w:rPr>
        <w:t>של ערכאת ערעור</w:t>
      </w:r>
    </w:p>
    <w:p w14:paraId="2E22CFE2" w14:textId="64C5BFA4" w:rsidR="00C56075" w:rsidRDefault="00C56075" w:rsidP="00465590">
      <w:pPr>
        <w:pStyle w:val="ac"/>
        <w:numPr>
          <w:ilvl w:val="1"/>
          <w:numId w:val="7"/>
        </w:numPr>
        <w:bidi/>
        <w:spacing w:after="0"/>
        <w:rPr>
          <w:rFonts w:ascii="David" w:hAnsi="David"/>
          <w:sz w:val="22"/>
        </w:rPr>
      </w:pPr>
      <w:r w:rsidRPr="006B5944">
        <w:rPr>
          <w:rFonts w:ascii="David" w:hAnsi="David" w:hint="cs"/>
          <w:sz w:val="22"/>
          <w:highlight w:val="cyan"/>
          <w:u w:val="single"/>
          <w:rtl/>
        </w:rPr>
        <w:t>פס"ד עגונה מצפת</w:t>
      </w:r>
      <w:r w:rsidR="006B5944">
        <w:rPr>
          <w:rFonts w:ascii="David" w:hAnsi="David" w:hint="cs"/>
          <w:sz w:val="22"/>
          <w:rtl/>
        </w:rPr>
        <w:t xml:space="preserve">: </w:t>
      </w:r>
      <w:r w:rsidRPr="006B5944">
        <w:rPr>
          <w:rFonts w:ascii="David" w:hAnsi="David" w:hint="cs"/>
          <w:b/>
          <w:bCs/>
          <w:sz w:val="22"/>
          <w:rtl/>
        </w:rPr>
        <w:t>השופט רובינשטיין</w:t>
      </w:r>
      <w:r>
        <w:rPr>
          <w:rFonts w:ascii="David" w:hAnsi="David" w:hint="cs"/>
          <w:sz w:val="22"/>
          <w:rtl/>
        </w:rPr>
        <w:t>: לדעתו מאוד מוזר שהרב הראשי, הרב יוסף</w:t>
      </w:r>
      <w:r w:rsidR="00511794">
        <w:rPr>
          <w:rFonts w:ascii="David" w:hAnsi="David" w:hint="cs"/>
          <w:sz w:val="22"/>
          <w:rtl/>
        </w:rPr>
        <w:t>,</w:t>
      </w:r>
      <w:r>
        <w:rPr>
          <w:rFonts w:ascii="David" w:hAnsi="David" w:hint="cs"/>
          <w:sz w:val="22"/>
          <w:rtl/>
        </w:rPr>
        <w:t xml:space="preserve"> שכבר הביע את עמדתו נגד הרב</w:t>
      </w:r>
      <w:r w:rsidR="00511794">
        <w:rPr>
          <w:rFonts w:ascii="David" w:hAnsi="David" w:hint="cs"/>
          <w:sz w:val="22"/>
          <w:rtl/>
        </w:rPr>
        <w:t xml:space="preserve"> לוי שיעמוד בראש הערעור כנגד הרב לוי. במקרה כזה היה סביר שהרב יוסף יפסול עצמו.</w:t>
      </w:r>
    </w:p>
    <w:p w14:paraId="75DA37D2" w14:textId="1B0B7376" w:rsidR="006B5944" w:rsidRDefault="00511794" w:rsidP="00465590">
      <w:pPr>
        <w:pStyle w:val="ac"/>
        <w:numPr>
          <w:ilvl w:val="2"/>
          <w:numId w:val="7"/>
        </w:numPr>
        <w:bidi/>
        <w:spacing w:after="0"/>
        <w:rPr>
          <w:rFonts w:ascii="David" w:hAnsi="David"/>
          <w:sz w:val="22"/>
        </w:rPr>
      </w:pPr>
      <w:r>
        <w:rPr>
          <w:rFonts w:ascii="David" w:hAnsi="David" w:hint="cs"/>
          <w:sz w:val="22"/>
          <w:rtl/>
        </w:rPr>
        <w:t xml:space="preserve">מדוע הרב יוסף מפרסם מאמרים ומצהיר בפומבי שהוא כנגד הרב לוי ובנוסף, מדוע חשוב לו כול כך גם לדון בזה בבית הדין הרבני הגדול? ברגע </w:t>
      </w:r>
      <w:r w:rsidR="006B5944">
        <w:rPr>
          <w:rFonts w:ascii="David" w:hAnsi="David" w:hint="cs"/>
          <w:sz w:val="22"/>
          <w:rtl/>
        </w:rPr>
        <w:t xml:space="preserve">שיהיה מדובר בפס"ד של בית הדין הרבני יהיה לה משקל משמעותי יותר על כל עם ישראל ולא רק על </w:t>
      </w:r>
      <w:r w:rsidR="006B5944">
        <w:rPr>
          <w:rFonts w:ascii="David" w:hAnsi="David" w:hint="cs"/>
          <w:sz w:val="22"/>
          <w:rtl/>
        </w:rPr>
        <w:lastRenderedPageBreak/>
        <w:t>הקהילה שמקשיבה למאמרים והפרסומים שלו. לכן, את הרב יוסף לא מעניינת הפרוצדורה והוא מעוניין רק "בהצלת עם ישראל" מפני אשת איש וממזרים.</w:t>
      </w:r>
    </w:p>
    <w:p w14:paraId="7E50E7A6" w14:textId="2054E00F" w:rsidR="0098260E" w:rsidRPr="0098260E" w:rsidRDefault="006B5944" w:rsidP="00465590">
      <w:pPr>
        <w:pStyle w:val="ac"/>
        <w:numPr>
          <w:ilvl w:val="2"/>
          <w:numId w:val="7"/>
        </w:numPr>
        <w:bidi/>
        <w:spacing w:after="0"/>
        <w:rPr>
          <w:rFonts w:ascii="David" w:hAnsi="David"/>
          <w:sz w:val="22"/>
        </w:rPr>
      </w:pPr>
      <w:r>
        <w:rPr>
          <w:rFonts w:ascii="David" w:hAnsi="David" w:hint="cs"/>
          <w:sz w:val="22"/>
          <w:rtl/>
        </w:rPr>
        <w:t xml:space="preserve">רובינשטיין אומר כי הדיינים לא נמצאים רק תחת ההלכה והם לא נמצאים בקהילות אוטונומיות ולכן הם כפופים לחוק הישראלי - החוק הישראלי קובע תקנות דין של בתי הדין הרבניים. בשל כך, הוא פונה לתקנות הדין של בתי הדין הרבניים ובודק האם המהלך שנעשה מסתדר איתם. באמת בתקנות נקבע שרק בעל דין יכול לערער ותוך שלושים יום. במקרה של פס"ד באמת לא מתקיימים </w:t>
      </w:r>
      <w:r w:rsidR="004D517C">
        <w:rPr>
          <w:rFonts w:ascii="David" w:hAnsi="David" w:hint="cs"/>
          <w:sz w:val="22"/>
          <w:rtl/>
        </w:rPr>
        <w:t>התנאים - התובע אינו בעל הדין והוא תבע רק לאחר שנתיים. לכן רובינשטיין מקבל את העתירה ולא מאפשר את הדיון המורכב. כאשר מדובר בערכאה שיפוטית רשמית של מדינת ישראל חייבים להיות כללים ואסור לחרוג מהם. מנגד יטען הרב יוסף, שהצדק דורש חריגה מסדרי הדין.</w:t>
      </w:r>
    </w:p>
    <w:p w14:paraId="64B81503" w14:textId="607A6BDE" w:rsidR="001B7B6E" w:rsidRDefault="001B7B6E" w:rsidP="00465590">
      <w:pPr>
        <w:pStyle w:val="ac"/>
        <w:numPr>
          <w:ilvl w:val="1"/>
          <w:numId w:val="7"/>
        </w:numPr>
        <w:bidi/>
        <w:spacing w:after="0"/>
        <w:rPr>
          <w:rFonts w:ascii="David" w:hAnsi="David"/>
          <w:sz w:val="22"/>
        </w:rPr>
      </w:pPr>
      <w:r w:rsidRPr="0098260E">
        <w:rPr>
          <w:rFonts w:ascii="David" w:hAnsi="David" w:hint="cs"/>
          <w:b/>
          <w:bCs/>
          <w:sz w:val="22"/>
          <w:rtl/>
        </w:rPr>
        <w:t>פס"ד זה מראה על המתח שקיים בין דעתו של הרב הראשי יוסף, שחושב שסדרי הדין זה דבר שניתן לכופף לבין שופטי בית המשפט העליון שרואה בסדרי הדין חשיבות עליונה</w:t>
      </w:r>
      <w:r>
        <w:rPr>
          <w:rFonts w:ascii="David" w:hAnsi="David" w:hint="cs"/>
          <w:sz w:val="22"/>
          <w:rtl/>
        </w:rPr>
        <w:t>. עם זאת, מתח זה היה קיים כבר שנים עוד מתקופת המנדט</w:t>
      </w:r>
      <w:r w:rsidR="007337FB">
        <w:rPr>
          <w:rFonts w:ascii="David" w:hAnsi="David" w:hint="cs"/>
          <w:sz w:val="22"/>
          <w:rtl/>
        </w:rPr>
        <w:t>:</w:t>
      </w:r>
    </w:p>
    <w:p w14:paraId="2C3F912E" w14:textId="1362AA8D" w:rsidR="001B7B6E" w:rsidRDefault="00107B3F" w:rsidP="00465590">
      <w:pPr>
        <w:pStyle w:val="ac"/>
        <w:numPr>
          <w:ilvl w:val="2"/>
          <w:numId w:val="7"/>
        </w:numPr>
        <w:bidi/>
        <w:spacing w:after="0"/>
        <w:rPr>
          <w:rFonts w:ascii="David" w:hAnsi="David"/>
          <w:sz w:val="22"/>
        </w:rPr>
      </w:pPr>
      <w:r>
        <w:rPr>
          <w:rFonts w:ascii="David" w:hAnsi="David" w:hint="cs"/>
          <w:sz w:val="22"/>
          <w:rtl/>
        </w:rPr>
        <w:t xml:space="preserve">כאשר </w:t>
      </w:r>
      <w:r w:rsidR="001B7B6E" w:rsidRPr="001B7B6E">
        <w:rPr>
          <w:rFonts w:ascii="David" w:hAnsi="David" w:hint="cs"/>
          <w:sz w:val="22"/>
          <w:rtl/>
        </w:rPr>
        <w:t xml:space="preserve">הבריטיים </w:t>
      </w:r>
      <w:r w:rsidR="00115C71">
        <w:rPr>
          <w:rFonts w:ascii="David" w:hAnsi="David" w:hint="cs"/>
          <w:sz w:val="22"/>
          <w:rtl/>
        </w:rPr>
        <w:t>החליטו</w:t>
      </w:r>
      <w:r w:rsidR="001B7B6E" w:rsidRPr="001B7B6E">
        <w:rPr>
          <w:rFonts w:ascii="David" w:hAnsi="David" w:hint="cs"/>
          <w:sz w:val="22"/>
          <w:rtl/>
        </w:rPr>
        <w:t xml:space="preserve"> להקים את הרבנות הראשית, הם הציבו כמה תנאים, והתנאים שלהם נגעו כמעט כולם לסדרי הדין. הם כפו את התנאים האלו בדיוק מהסיבות של השופט רובינשטיין - מדובר במערכת מדינית ולא במערכת אוטונומית ולכן צריכה להיות לה פרוצדורה שיפוטית. אחת הדרישות הראשונות הן</w:t>
      </w:r>
      <w:r w:rsidR="001B7B6E">
        <w:rPr>
          <w:rFonts w:ascii="David" w:hAnsi="David" w:hint="cs"/>
          <w:sz w:val="22"/>
          <w:rtl/>
        </w:rPr>
        <w:t xml:space="preserve"> </w:t>
      </w:r>
      <w:r w:rsidR="001B7B6E" w:rsidRPr="001B7B6E">
        <w:rPr>
          <w:rFonts w:ascii="David" w:hAnsi="David" w:hint="cs"/>
          <w:sz w:val="22"/>
          <w:rtl/>
        </w:rPr>
        <w:t>לכונן מערכת של סדרי דין</w:t>
      </w:r>
      <w:r w:rsidR="001B7B6E">
        <w:rPr>
          <w:rFonts w:ascii="David" w:hAnsi="David" w:hint="cs"/>
          <w:sz w:val="22"/>
          <w:rtl/>
        </w:rPr>
        <w:t xml:space="preserve"> - כלומר סדרי הדין הראשונים היו קיימים כבר מאז 1921. מאז היו עוד גרסאות של תקנות.</w:t>
      </w:r>
    </w:p>
    <w:p w14:paraId="54D01149" w14:textId="77C27395" w:rsidR="0098260E" w:rsidRDefault="0098260E" w:rsidP="00465590">
      <w:pPr>
        <w:pStyle w:val="ac"/>
        <w:numPr>
          <w:ilvl w:val="2"/>
          <w:numId w:val="7"/>
        </w:numPr>
        <w:bidi/>
        <w:spacing w:after="0"/>
        <w:rPr>
          <w:rFonts w:ascii="David" w:hAnsi="David"/>
          <w:sz w:val="22"/>
        </w:rPr>
      </w:pPr>
      <w:r w:rsidRPr="00D60EBE">
        <w:rPr>
          <w:rFonts w:ascii="David" w:hAnsi="David" w:hint="cs"/>
          <w:sz w:val="22"/>
          <w:highlight w:val="cyan"/>
          <w:u w:val="single"/>
          <w:rtl/>
        </w:rPr>
        <w:t>פס"ד מתוך חוברת הדין והדיין</w:t>
      </w:r>
      <w:r w:rsidR="00D60EBE" w:rsidRPr="00D60EBE">
        <w:rPr>
          <w:rFonts w:ascii="David" w:hAnsi="David" w:hint="cs"/>
          <w:sz w:val="22"/>
          <w:highlight w:val="cyan"/>
          <w:u w:val="single"/>
          <w:rtl/>
        </w:rPr>
        <w:t xml:space="preserve"> 22</w:t>
      </w:r>
      <w:r>
        <w:rPr>
          <w:rFonts w:ascii="David" w:hAnsi="David" w:hint="cs"/>
          <w:sz w:val="22"/>
          <w:rtl/>
        </w:rPr>
        <w:t xml:space="preserve">: </w:t>
      </w:r>
      <w:r w:rsidRPr="0098260E">
        <w:rPr>
          <w:rFonts w:ascii="David" w:hAnsi="David" w:hint="cs"/>
          <w:sz w:val="22"/>
          <w:u w:val="single"/>
          <w:rtl/>
        </w:rPr>
        <w:t>המקרה</w:t>
      </w:r>
      <w:r>
        <w:rPr>
          <w:rFonts w:ascii="David" w:hAnsi="David" w:hint="cs"/>
          <w:sz w:val="22"/>
          <w:rtl/>
        </w:rPr>
        <w:t xml:space="preserve">: לפני אחת עשרה שנה קבע בית הדין הגדול, שהאישה חייבת בגט וכתוצאה מכך אין מקום לפסיקת מזונות. למרות זאת, בית הדין האזורי פעל בכל דרך אפשרית על מנת שפס"ד לא ימומש. </w:t>
      </w:r>
      <w:r>
        <w:rPr>
          <w:rFonts w:ascii="David" w:hAnsi="David" w:hint="cs"/>
          <w:sz w:val="22"/>
          <w:u w:val="single"/>
          <w:rtl/>
        </w:rPr>
        <w:t>נפסק:</w:t>
      </w:r>
      <w:r>
        <w:rPr>
          <w:rFonts w:ascii="David" w:hAnsi="David" w:hint="cs"/>
          <w:sz w:val="22"/>
          <w:rtl/>
        </w:rPr>
        <w:t xml:space="preserve"> בית הדין הרבני הגדול מבטל את פס"ד </w:t>
      </w:r>
      <w:r w:rsidR="001646E7">
        <w:rPr>
          <w:rFonts w:ascii="David" w:hAnsi="David" w:hint="cs"/>
          <w:sz w:val="22"/>
          <w:rtl/>
        </w:rPr>
        <w:t>של בית הדין האזורי בשל כך וקובע שהאישה חייבת גט.</w:t>
      </w:r>
    </w:p>
    <w:p w14:paraId="612A0369" w14:textId="72D262AB" w:rsidR="001646E7" w:rsidRDefault="00513A34" w:rsidP="00465590">
      <w:pPr>
        <w:pStyle w:val="ac"/>
        <w:numPr>
          <w:ilvl w:val="4"/>
          <w:numId w:val="7"/>
        </w:numPr>
        <w:bidi/>
        <w:spacing w:after="0"/>
        <w:rPr>
          <w:rFonts w:ascii="David" w:hAnsi="David"/>
          <w:sz w:val="22"/>
        </w:rPr>
      </w:pPr>
      <w:r>
        <w:rPr>
          <w:rFonts w:ascii="David" w:hAnsi="David" w:hint="cs"/>
          <w:sz w:val="22"/>
          <w:rtl/>
        </w:rPr>
        <w:t xml:space="preserve">גם כאן ניתן לראות "ציפצוף" על הפרוצדורה - </w:t>
      </w:r>
      <w:r w:rsidR="001646E7">
        <w:rPr>
          <w:rFonts w:ascii="David" w:hAnsi="David" w:hint="cs"/>
          <w:sz w:val="22"/>
          <w:rtl/>
        </w:rPr>
        <w:t xml:space="preserve">בית הדין האזורי פועל בניגוד לבית הדין הגדול משום שלפי הניתוח ההלכתי </w:t>
      </w:r>
      <w:r>
        <w:rPr>
          <w:rFonts w:ascii="David" w:hAnsi="David" w:hint="cs"/>
          <w:sz w:val="22"/>
          <w:rtl/>
        </w:rPr>
        <w:t xml:space="preserve">שלו </w:t>
      </w:r>
      <w:r w:rsidR="001646E7">
        <w:rPr>
          <w:rFonts w:ascii="David" w:hAnsi="David" w:hint="cs"/>
          <w:sz w:val="22"/>
          <w:rtl/>
        </w:rPr>
        <w:t>האישה לא חייבת בגט</w:t>
      </w:r>
      <w:r>
        <w:rPr>
          <w:rFonts w:ascii="David" w:hAnsi="David" w:hint="cs"/>
          <w:sz w:val="22"/>
          <w:rtl/>
        </w:rPr>
        <w:t xml:space="preserve">, </w:t>
      </w:r>
      <w:r w:rsidR="001646E7">
        <w:rPr>
          <w:rFonts w:ascii="David" w:hAnsi="David" w:hint="cs"/>
          <w:sz w:val="22"/>
          <w:rtl/>
        </w:rPr>
        <w:t>לכן מגיע לה מזונות</w:t>
      </w:r>
      <w:r>
        <w:rPr>
          <w:rFonts w:ascii="David" w:hAnsi="David" w:hint="cs"/>
          <w:sz w:val="22"/>
          <w:rtl/>
        </w:rPr>
        <w:t xml:space="preserve">. מבחינתם </w:t>
      </w:r>
      <w:r w:rsidR="001646E7">
        <w:rPr>
          <w:rFonts w:ascii="David" w:hAnsi="David" w:hint="cs"/>
          <w:sz w:val="22"/>
          <w:rtl/>
        </w:rPr>
        <w:t xml:space="preserve">אין להם אפשרות לפסוק אחרת למרות ההחלטה של בית הדין הגדול. כלומר, בית הדין האזורי חושב </w:t>
      </w:r>
      <w:r>
        <w:rPr>
          <w:rFonts w:ascii="David" w:hAnsi="David" w:hint="cs"/>
          <w:sz w:val="22"/>
          <w:rtl/>
        </w:rPr>
        <w:t>שהפרוצדורה של ה</w:t>
      </w:r>
      <w:r w:rsidR="001646E7">
        <w:rPr>
          <w:rFonts w:ascii="David" w:hAnsi="David" w:hint="cs"/>
          <w:sz w:val="22"/>
          <w:rtl/>
        </w:rPr>
        <w:t xml:space="preserve">ערעור </w:t>
      </w:r>
      <w:r>
        <w:rPr>
          <w:rFonts w:ascii="David" w:hAnsi="David" w:hint="cs"/>
          <w:sz w:val="22"/>
          <w:rtl/>
        </w:rPr>
        <w:t>היא מעין המלצה.</w:t>
      </w:r>
    </w:p>
    <w:p w14:paraId="0C2035FB" w14:textId="4E53F61A" w:rsidR="00513A34" w:rsidRDefault="00513A34" w:rsidP="00465590">
      <w:pPr>
        <w:pStyle w:val="ac"/>
        <w:numPr>
          <w:ilvl w:val="2"/>
          <w:numId w:val="7"/>
        </w:numPr>
        <w:bidi/>
        <w:spacing w:after="0"/>
        <w:rPr>
          <w:rFonts w:ascii="David" w:hAnsi="David"/>
          <w:sz w:val="22"/>
        </w:rPr>
      </w:pPr>
      <w:r>
        <w:rPr>
          <w:rFonts w:ascii="David" w:hAnsi="David" w:hint="cs"/>
          <w:sz w:val="22"/>
          <w:rtl/>
        </w:rPr>
        <w:t>הטענה בעצם של הבריטיים והיום של בג"ץ היא שאם יש רצון לקבל סמכות הלכתית מטעם המדינה יש לכך תנאים חיצוניים (סדרי הדין).</w:t>
      </w:r>
    </w:p>
    <w:p w14:paraId="6B315EB7" w14:textId="57AB2E2A" w:rsidR="00D60EBE" w:rsidRPr="000C70AE" w:rsidRDefault="00D60EBE" w:rsidP="000C70AE">
      <w:pPr>
        <w:pStyle w:val="ac"/>
        <w:numPr>
          <w:ilvl w:val="2"/>
          <w:numId w:val="7"/>
        </w:numPr>
        <w:bidi/>
        <w:spacing w:after="0"/>
        <w:rPr>
          <w:rFonts w:ascii="David" w:hAnsi="David"/>
          <w:sz w:val="22"/>
        </w:rPr>
      </w:pPr>
      <w:r w:rsidRPr="00D60EBE">
        <w:rPr>
          <w:rFonts w:ascii="David" w:hAnsi="David" w:hint="cs"/>
          <w:sz w:val="22"/>
          <w:highlight w:val="cyan"/>
          <w:u w:val="single"/>
          <w:rtl/>
        </w:rPr>
        <w:t>פס"ד הדין והדיין 2:</w:t>
      </w:r>
      <w:r>
        <w:rPr>
          <w:rFonts w:ascii="David" w:hAnsi="David" w:hint="cs"/>
          <w:sz w:val="22"/>
          <w:rtl/>
        </w:rPr>
        <w:t xml:space="preserve"> </w:t>
      </w:r>
      <w:r w:rsidRPr="000C70AE">
        <w:rPr>
          <w:rFonts w:ascii="David" w:hAnsi="David" w:hint="cs"/>
          <w:u w:val="single"/>
          <w:rtl/>
        </w:rPr>
        <w:t>המקרה:</w:t>
      </w:r>
      <w:r w:rsidRPr="000C70AE">
        <w:rPr>
          <w:rFonts w:ascii="David" w:hAnsi="David" w:hint="cs"/>
          <w:rtl/>
        </w:rPr>
        <w:t xml:space="preserve"> 21 שנה התנהלו הליכי הגירושין בין בני הזוג, כאשר ביה"ד האזורי הפנה אותם שוב ושוב לעריכת הסכם גירושין ביניהם, מבלי לקבוע החלטה בעניין הרכוש - שכן לדעתו הבקשות של הבעל בעניין הרכוש הן סבירות. האישה לא מסכימה לתנאים של הגבר ורוצה את מה שמגיע לה על פי חוק. </w:t>
      </w:r>
      <w:r w:rsidR="00A5098B" w:rsidRPr="000C70AE">
        <w:rPr>
          <w:rFonts w:ascii="David" w:hAnsi="David" w:hint="cs"/>
          <w:u w:val="single"/>
          <w:rtl/>
        </w:rPr>
        <w:t>הכרעה:</w:t>
      </w:r>
      <w:r w:rsidR="00A5098B" w:rsidRPr="000C70AE">
        <w:rPr>
          <w:rFonts w:ascii="David" w:hAnsi="David" w:hint="cs"/>
          <w:rtl/>
        </w:rPr>
        <w:t xml:space="preserve"> </w:t>
      </w:r>
      <w:r w:rsidRPr="000C70AE">
        <w:rPr>
          <w:rFonts w:ascii="David" w:hAnsi="David" w:hint="cs"/>
          <w:rtl/>
        </w:rPr>
        <w:t xml:space="preserve">האישה ערערה לביה"ד הגדול, אשר </w:t>
      </w:r>
      <w:r w:rsidR="00A5098B" w:rsidRPr="000C70AE">
        <w:rPr>
          <w:rFonts w:ascii="David" w:hAnsi="David" w:hint="cs"/>
          <w:rtl/>
        </w:rPr>
        <w:t>ק</w:t>
      </w:r>
      <w:r w:rsidR="004E0C55" w:rsidRPr="000C70AE">
        <w:rPr>
          <w:rFonts w:ascii="David" w:hAnsi="David" w:hint="cs"/>
          <w:rtl/>
        </w:rPr>
        <w:t xml:space="preserve">בע כי </w:t>
      </w:r>
      <w:r w:rsidRPr="000C70AE">
        <w:rPr>
          <w:rFonts w:ascii="David" w:hAnsi="David" w:hint="cs"/>
          <w:rtl/>
        </w:rPr>
        <w:t>הבעל חייב לגרשה ו</w:t>
      </w:r>
      <w:r w:rsidR="004E0C55" w:rsidRPr="000C70AE">
        <w:rPr>
          <w:rFonts w:ascii="David" w:hAnsi="David" w:hint="cs"/>
          <w:rtl/>
        </w:rPr>
        <w:t>ה</w:t>
      </w:r>
      <w:r w:rsidRPr="000C70AE">
        <w:rPr>
          <w:rFonts w:ascii="David" w:hAnsi="David" w:hint="cs"/>
          <w:rtl/>
        </w:rPr>
        <w:t>פנה את בני הזוג לבית הדין האזורי לסידור הגט. בית הדין האזורי לא</w:t>
      </w:r>
      <w:r w:rsidR="004E0C55" w:rsidRPr="000C70AE">
        <w:rPr>
          <w:rFonts w:ascii="David" w:hAnsi="David" w:hint="cs"/>
          <w:rtl/>
        </w:rPr>
        <w:t xml:space="preserve"> היה</w:t>
      </w:r>
      <w:r w:rsidRPr="000C70AE">
        <w:rPr>
          <w:rFonts w:ascii="David" w:hAnsi="David" w:hint="cs"/>
          <w:rtl/>
        </w:rPr>
        <w:t xml:space="preserve"> מוכן לסדר גט כי לדעתו יהיה מדובר בגט מעושה, כי תביעות הרכוש של הבעל צודקות והוא יכול להתנות תנאים על הגט.</w:t>
      </w:r>
      <w:r w:rsidR="00C61DFD" w:rsidRPr="000C70AE">
        <w:rPr>
          <w:rFonts w:ascii="David" w:hAnsi="David" w:hint="cs"/>
          <w:rtl/>
        </w:rPr>
        <w:t xml:space="preserve"> לכן, לבסוף בית הדין הגדול הוא זה שמסדר את הגט לאישה.</w:t>
      </w:r>
      <w:r w:rsidRPr="000C70AE">
        <w:rPr>
          <w:rFonts w:ascii="David" w:hAnsi="David" w:hint="cs"/>
          <w:u w:val="single"/>
          <w:rtl/>
        </w:rPr>
        <w:t>יש מאבק בין התפיסה ההלכתית</w:t>
      </w:r>
      <w:r w:rsidR="00C61DFD" w:rsidRPr="000C70AE">
        <w:rPr>
          <w:rFonts w:ascii="David" w:hAnsi="David" w:hint="cs"/>
          <w:u w:val="single"/>
          <w:rtl/>
        </w:rPr>
        <w:t xml:space="preserve"> של ביה"ד האזורי בנוגע ל</w:t>
      </w:r>
      <w:r w:rsidRPr="000C70AE">
        <w:rPr>
          <w:rFonts w:ascii="David" w:hAnsi="David" w:hint="cs"/>
          <w:u w:val="single"/>
          <w:rtl/>
        </w:rPr>
        <w:t>דיני הגיטים לבין הפרוצדורה</w:t>
      </w:r>
      <w:r w:rsidR="00C61DFD" w:rsidRPr="000C70AE">
        <w:rPr>
          <w:rFonts w:ascii="David" w:hAnsi="David" w:hint="cs"/>
          <w:u w:val="single"/>
          <w:rtl/>
        </w:rPr>
        <w:t xml:space="preserve"> שקובעת שערכאת הערעור היא העליונה</w:t>
      </w:r>
      <w:r w:rsidRPr="000C70AE">
        <w:rPr>
          <w:rFonts w:ascii="David" w:hAnsi="David" w:hint="cs"/>
          <w:u w:val="single"/>
          <w:rtl/>
        </w:rPr>
        <w:t>.</w:t>
      </w:r>
    </w:p>
    <w:p w14:paraId="13CD16D0" w14:textId="2BAF58B7" w:rsidR="00A12A74" w:rsidRPr="00EF17D8" w:rsidRDefault="00325EAE" w:rsidP="000C70AE">
      <w:pPr>
        <w:pStyle w:val="ac"/>
        <w:numPr>
          <w:ilvl w:val="1"/>
          <w:numId w:val="7"/>
        </w:numPr>
        <w:bidi/>
        <w:spacing w:after="0"/>
        <w:rPr>
          <w:rFonts w:ascii="David" w:hAnsi="David"/>
          <w:sz w:val="22"/>
        </w:rPr>
      </w:pPr>
      <w:r w:rsidRPr="00EF17D8">
        <w:rPr>
          <w:rFonts w:ascii="David" w:hAnsi="David" w:hint="cs"/>
          <w:sz w:val="22"/>
          <w:highlight w:val="cyan"/>
          <w:u w:val="single"/>
          <w:rtl/>
        </w:rPr>
        <w:t>בפס"ד 1236834/5</w:t>
      </w:r>
      <w:r w:rsidRPr="00EF17D8">
        <w:rPr>
          <w:rFonts w:ascii="David" w:hAnsi="David" w:hint="cs"/>
          <w:sz w:val="22"/>
          <w:highlight w:val="cyan"/>
          <w:rtl/>
        </w:rPr>
        <w:t>:</w:t>
      </w:r>
      <w:r w:rsidRPr="00EF17D8">
        <w:rPr>
          <w:rFonts w:ascii="David" w:hAnsi="David" w:hint="cs"/>
          <w:sz w:val="22"/>
          <w:rtl/>
        </w:rPr>
        <w:t xml:space="preserve"> </w:t>
      </w:r>
      <w:r w:rsidR="00FA1473" w:rsidRPr="00EF17D8">
        <w:rPr>
          <w:rFonts w:ascii="David" w:hAnsi="David" w:hint="cs"/>
          <w:sz w:val="22"/>
          <w:rtl/>
        </w:rPr>
        <w:t>באותו מקרה על</w:t>
      </w:r>
      <w:r w:rsidR="00D13303">
        <w:rPr>
          <w:rFonts w:ascii="David" w:hAnsi="David" w:hint="cs"/>
          <w:sz w:val="22"/>
          <w:rtl/>
        </w:rPr>
        <w:t>ת</w:t>
      </w:r>
      <w:r w:rsidR="00FA1473" w:rsidRPr="00EF17D8">
        <w:rPr>
          <w:rFonts w:ascii="David" w:hAnsi="David" w:hint="cs"/>
          <w:sz w:val="22"/>
          <w:rtl/>
        </w:rPr>
        <w:t>ה השאלה הלכתית האם כאשר אישה יה בנפרד מאב ויש משכנתא על הדירה, האב צריך לסייע בתשלום המשכנתא. בית הדין האזורי</w:t>
      </w:r>
      <w:r w:rsidR="002B6613" w:rsidRPr="00EF17D8">
        <w:rPr>
          <w:rFonts w:ascii="David" w:hAnsi="David" w:hint="cs"/>
          <w:sz w:val="22"/>
          <w:rtl/>
        </w:rPr>
        <w:t xml:space="preserve"> קובע ש</w:t>
      </w:r>
      <w:r w:rsidR="00D308B0" w:rsidRPr="00EF17D8">
        <w:rPr>
          <w:rFonts w:ascii="David" w:hAnsi="David" w:hint="cs"/>
          <w:sz w:val="22"/>
          <w:rtl/>
        </w:rPr>
        <w:t xml:space="preserve">אב לא צריך לשלם על המשכנתא. </w:t>
      </w:r>
      <w:r w:rsidR="00D43A98" w:rsidRPr="00EF17D8">
        <w:rPr>
          <w:rFonts w:ascii="David" w:hAnsi="David" w:hint="cs"/>
          <w:sz w:val="22"/>
          <w:rtl/>
        </w:rPr>
        <w:t>האישה מערערת לבית הדין הגדול ובית הדין הגדול קובע</w:t>
      </w:r>
      <w:r w:rsidR="000860EE" w:rsidRPr="00EF17D8">
        <w:rPr>
          <w:rFonts w:ascii="David" w:hAnsi="David" w:hint="cs"/>
          <w:sz w:val="22"/>
          <w:rtl/>
        </w:rPr>
        <w:t xml:space="preserve"> כי האב צריך לעזור ומחזיר את התיק לבית הדין האזורי. בית הדין האזורי לא מוכן לקבוע חיוב לאב שכן זה יהיה גזל</w:t>
      </w:r>
      <w:r w:rsidR="00AC3273" w:rsidRPr="00EF17D8">
        <w:rPr>
          <w:rFonts w:ascii="David" w:hAnsi="David" w:hint="cs"/>
          <w:sz w:val="22"/>
          <w:rtl/>
        </w:rPr>
        <w:t xml:space="preserve"> (כי לדעתו האב לא חייב).</w:t>
      </w:r>
      <w:r w:rsidR="00514C27" w:rsidRPr="00EF17D8">
        <w:rPr>
          <w:rFonts w:ascii="David" w:hAnsi="David" w:hint="cs"/>
          <w:sz w:val="22"/>
          <w:rtl/>
        </w:rPr>
        <w:t xml:space="preserve"> במקרה הזה בית הדין האזורי עושה שימוש בס' 5</w:t>
      </w:r>
      <w:r w:rsidR="000D7D04" w:rsidRPr="00EF17D8">
        <w:rPr>
          <w:rFonts w:ascii="David" w:hAnsi="David" w:hint="cs"/>
          <w:sz w:val="22"/>
          <w:rtl/>
        </w:rPr>
        <w:t>(</w:t>
      </w:r>
      <w:r w:rsidR="000D7D04" w:rsidRPr="00EF17D8">
        <w:rPr>
          <w:rFonts w:ascii="David" w:hAnsi="David" w:hint="cs"/>
          <w:sz w:val="22"/>
        </w:rPr>
        <w:t>D</w:t>
      </w:r>
      <w:r w:rsidR="000D7D04" w:rsidRPr="00EF17D8">
        <w:rPr>
          <w:rFonts w:ascii="David" w:hAnsi="David" w:hint="cs"/>
          <w:sz w:val="22"/>
          <w:rtl/>
        </w:rPr>
        <w:t>) לכללי האתיקה של הדיינים.</w:t>
      </w:r>
    </w:p>
    <w:p w14:paraId="3E9A89AC" w14:textId="3E4C9D41" w:rsidR="00F5423C" w:rsidRPr="000C70AE" w:rsidRDefault="00F5423C" w:rsidP="000C70AE">
      <w:pPr>
        <w:rPr>
          <w:rFonts w:ascii="David" w:hAnsi="David"/>
          <w:b/>
          <w:bCs/>
        </w:rPr>
      </w:pPr>
      <w:r w:rsidRPr="000C70AE">
        <w:rPr>
          <w:rFonts w:ascii="David" w:hAnsi="David" w:hint="cs"/>
          <w:b/>
          <w:bCs/>
          <w:highlight w:val="green"/>
          <w:rtl/>
        </w:rPr>
        <w:t>כללי אתיקה לדיינים</w:t>
      </w:r>
      <w:r w:rsidRPr="000C70AE">
        <w:rPr>
          <w:rFonts w:ascii="David" w:hAnsi="David" w:hint="cs"/>
          <w:b/>
          <w:bCs/>
          <w:rtl/>
        </w:rPr>
        <w:t>:</w:t>
      </w:r>
    </w:p>
    <w:p w14:paraId="21301012" w14:textId="77777777" w:rsidR="00F5423C" w:rsidRPr="000C70AE" w:rsidRDefault="00F5423C" w:rsidP="000C70AE">
      <w:pPr>
        <w:pBdr>
          <w:top w:val="single" w:sz="4" w:space="1" w:color="auto"/>
          <w:left w:val="single" w:sz="4" w:space="4" w:color="auto"/>
          <w:bottom w:val="single" w:sz="4" w:space="1" w:color="auto"/>
          <w:right w:val="single" w:sz="4" w:space="4" w:color="auto"/>
        </w:pBdr>
        <w:spacing w:line="240" w:lineRule="auto"/>
        <w:ind w:right="1134"/>
        <w:jc w:val="left"/>
        <w:rPr>
          <w:rFonts w:ascii="Times New Roman" w:eastAsia="Times New Roman" w:hAnsi="Times New Roman" w:cs="Times New Roman"/>
          <w:color w:val="000000"/>
          <w:sz w:val="16"/>
          <w:szCs w:val="16"/>
        </w:rPr>
      </w:pPr>
      <w:r w:rsidRPr="000C70AE">
        <w:rPr>
          <w:rFonts w:ascii="Time New Roman" w:eastAsia="Times New Roman" w:hAnsi="Time New Roman" w:cs="Times New Roman"/>
          <w:b/>
          <w:bCs/>
          <w:color w:val="008000"/>
          <w:sz w:val="23"/>
          <w:rtl/>
        </w:rPr>
        <w:t>אמונים למדינת ישראל ולהלכה</w:t>
      </w:r>
    </w:p>
    <w:p w14:paraId="4BE533C4" w14:textId="77777777" w:rsidR="00F5423C" w:rsidRPr="000C70AE" w:rsidRDefault="00F5423C" w:rsidP="00F5423C">
      <w:pPr>
        <w:pBdr>
          <w:top w:val="single" w:sz="4" w:space="1" w:color="auto"/>
          <w:left w:val="single" w:sz="4" w:space="4" w:color="auto"/>
          <w:bottom w:val="single" w:sz="4" w:space="1" w:color="auto"/>
          <w:right w:val="single" w:sz="4" w:space="4" w:color="auto"/>
        </w:pBdr>
        <w:spacing w:before="72" w:line="240" w:lineRule="auto"/>
        <w:ind w:right="1134"/>
        <w:rPr>
          <w:rFonts w:ascii="Times New Roman" w:eastAsia="Times New Roman" w:hAnsi="Times New Roman" w:cs="Times New Roman"/>
          <w:color w:val="000000"/>
          <w:sz w:val="16"/>
          <w:szCs w:val="16"/>
          <w:rtl/>
        </w:rPr>
      </w:pPr>
      <w:r w:rsidRPr="000C70AE">
        <w:rPr>
          <w:rFonts w:ascii="Miriam" w:eastAsia="Times New Roman" w:hAnsi="Miriam" w:cs="Miriam"/>
          <w:color w:val="000000"/>
          <w:sz w:val="24"/>
          <w:szCs w:val="24"/>
          <w:rtl/>
        </w:rPr>
        <w:t>4</w:t>
      </w:r>
      <w:r w:rsidRPr="000C70AE">
        <w:rPr>
          <w:rFonts w:ascii="FrankRuehl" w:eastAsia="Times New Roman" w:hAnsi="FrankRuehl" w:cs="FrankRuehl"/>
          <w:color w:val="000000"/>
          <w:rtl/>
        </w:rPr>
        <w:t>.       דיין ישמור אמונים למדינת ישראל, ישפוט משפט צדק, לא יטה משפט ולא יכיר פנים, וינהג כהלכה.</w:t>
      </w:r>
    </w:p>
    <w:p w14:paraId="32FFCD02" w14:textId="77777777" w:rsidR="00F5423C" w:rsidRPr="000C70AE" w:rsidRDefault="00F5423C" w:rsidP="00F5423C">
      <w:pPr>
        <w:pBdr>
          <w:top w:val="single" w:sz="4" w:space="1" w:color="auto"/>
          <w:left w:val="single" w:sz="4" w:space="4" w:color="auto"/>
          <w:bottom w:val="single" w:sz="4" w:space="1" w:color="auto"/>
          <w:right w:val="single" w:sz="4" w:space="4" w:color="auto"/>
        </w:pBdr>
        <w:spacing w:before="72" w:line="240" w:lineRule="auto"/>
        <w:ind w:right="1134"/>
        <w:jc w:val="left"/>
        <w:rPr>
          <w:rFonts w:ascii="Times New Roman" w:eastAsia="Times New Roman" w:hAnsi="Times New Roman" w:cs="Times New Roman"/>
          <w:color w:val="000000"/>
          <w:sz w:val="16"/>
          <w:szCs w:val="16"/>
          <w:rtl/>
        </w:rPr>
      </w:pPr>
      <w:bookmarkStart w:id="7" w:name="Seif5"/>
      <w:bookmarkEnd w:id="7"/>
      <w:r w:rsidRPr="000C70AE">
        <w:rPr>
          <w:rFonts w:ascii="Time New Roman" w:eastAsia="Times New Roman" w:hAnsi="Time New Roman" w:cs="Times New Roman"/>
          <w:b/>
          <w:bCs/>
          <w:color w:val="008000"/>
          <w:sz w:val="23"/>
          <w:rtl/>
        </w:rPr>
        <w:t>אי תלות</w:t>
      </w:r>
    </w:p>
    <w:p w14:paraId="1A68814C" w14:textId="77777777" w:rsidR="00F5423C" w:rsidRPr="000C70AE" w:rsidRDefault="00F5423C" w:rsidP="00F5423C">
      <w:pPr>
        <w:pBdr>
          <w:top w:val="single" w:sz="4" w:space="1" w:color="auto"/>
          <w:left w:val="single" w:sz="4" w:space="4" w:color="auto"/>
          <w:bottom w:val="single" w:sz="4" w:space="1" w:color="auto"/>
          <w:right w:val="single" w:sz="4" w:space="4" w:color="auto"/>
        </w:pBdr>
        <w:spacing w:before="72" w:line="240" w:lineRule="auto"/>
        <w:ind w:right="1134"/>
        <w:rPr>
          <w:rFonts w:ascii="Times New Roman" w:eastAsia="Times New Roman" w:hAnsi="Times New Roman" w:cs="Times New Roman"/>
          <w:color w:val="000000"/>
          <w:sz w:val="16"/>
          <w:szCs w:val="16"/>
          <w:rtl/>
        </w:rPr>
      </w:pPr>
      <w:r w:rsidRPr="000C70AE">
        <w:rPr>
          <w:rFonts w:ascii="Miriam" w:eastAsia="Times New Roman" w:hAnsi="Miriam" w:cs="Miriam"/>
          <w:color w:val="000000"/>
          <w:sz w:val="24"/>
          <w:szCs w:val="24"/>
          <w:rtl/>
        </w:rPr>
        <w:t>5</w:t>
      </w:r>
      <w:r w:rsidRPr="000C70AE">
        <w:rPr>
          <w:rFonts w:ascii="FrankRuehl" w:eastAsia="Times New Roman" w:hAnsi="FrankRuehl" w:cs="FrankRuehl"/>
          <w:color w:val="000000"/>
          <w:rtl/>
        </w:rPr>
        <w:t>.       (א) בענייני שפיטה אין מרות על דיין זולת מרותו של הדין שלפיו הוא דן.</w:t>
      </w:r>
    </w:p>
    <w:p w14:paraId="36350399" w14:textId="77777777" w:rsidR="00F5423C" w:rsidRPr="000C70AE" w:rsidRDefault="00F5423C" w:rsidP="00F5423C">
      <w:pPr>
        <w:pBdr>
          <w:top w:val="single" w:sz="4" w:space="1" w:color="auto"/>
          <w:left w:val="single" w:sz="4" w:space="4" w:color="auto"/>
          <w:bottom w:val="single" w:sz="4" w:space="1" w:color="auto"/>
          <w:right w:val="single" w:sz="4" w:space="4" w:color="auto"/>
        </w:pBdr>
        <w:spacing w:before="72" w:line="240" w:lineRule="auto"/>
        <w:ind w:right="1134"/>
        <w:rPr>
          <w:rFonts w:ascii="Times New Roman" w:eastAsia="Times New Roman" w:hAnsi="Times New Roman" w:cs="Times New Roman"/>
          <w:color w:val="000000"/>
          <w:sz w:val="16"/>
          <w:szCs w:val="16"/>
          <w:rtl/>
        </w:rPr>
      </w:pPr>
      <w:r w:rsidRPr="000C70AE">
        <w:rPr>
          <w:rFonts w:ascii="FrankRuehl" w:eastAsia="Times New Roman" w:hAnsi="FrankRuehl" w:cs="FrankRuehl"/>
          <w:color w:val="000000"/>
          <w:rtl/>
        </w:rPr>
        <w:t>          (ב)  במילוי תפקידו אין דיין תלוי באיש; שומה על הדיין לשקוד על אי-תלותה של מערכת השיפוט, ולהקפיד על קיומה באשר יעשה, בענייני שפיטה ובכל תחום אחר שבו הוא פועל.</w:t>
      </w:r>
    </w:p>
    <w:p w14:paraId="2AD7C6E5" w14:textId="77777777" w:rsidR="00F5423C" w:rsidRPr="000C70AE" w:rsidRDefault="00F5423C" w:rsidP="00F5423C">
      <w:pPr>
        <w:pBdr>
          <w:top w:val="single" w:sz="4" w:space="1" w:color="auto"/>
          <w:left w:val="single" w:sz="4" w:space="4" w:color="auto"/>
          <w:bottom w:val="single" w:sz="4" w:space="1" w:color="auto"/>
          <w:right w:val="single" w:sz="4" w:space="4" w:color="auto"/>
        </w:pBdr>
        <w:spacing w:before="72" w:line="240" w:lineRule="auto"/>
        <w:ind w:right="1134"/>
        <w:rPr>
          <w:rFonts w:ascii="Times New Roman" w:eastAsia="Times New Roman" w:hAnsi="Times New Roman" w:cs="Times New Roman"/>
          <w:color w:val="000000"/>
          <w:sz w:val="16"/>
          <w:szCs w:val="16"/>
          <w:rtl/>
        </w:rPr>
      </w:pPr>
      <w:r w:rsidRPr="000C70AE">
        <w:rPr>
          <w:rFonts w:ascii="FrankRuehl" w:eastAsia="Times New Roman" w:hAnsi="FrankRuehl" w:cs="FrankRuehl"/>
          <w:color w:val="000000"/>
          <w:rtl/>
        </w:rPr>
        <w:t>          (ג)   דיין לא יגור מפני איש, ולא יושפע במילוי תפקידו על ידי דעת קהל, חשש מפני ביקורת או רצון לשאת חן.</w:t>
      </w:r>
    </w:p>
    <w:p w14:paraId="32F60F84" w14:textId="7B79CED8" w:rsidR="00F5423C" w:rsidRPr="000C70AE" w:rsidRDefault="00F5423C" w:rsidP="00F5423C">
      <w:pPr>
        <w:pBdr>
          <w:top w:val="single" w:sz="4" w:space="1" w:color="auto"/>
          <w:left w:val="single" w:sz="4" w:space="4" w:color="auto"/>
          <w:bottom w:val="single" w:sz="4" w:space="1" w:color="auto"/>
          <w:right w:val="single" w:sz="4" w:space="4" w:color="auto"/>
        </w:pBdr>
        <w:spacing w:before="72" w:line="240" w:lineRule="auto"/>
        <w:ind w:right="1134"/>
        <w:rPr>
          <w:rFonts w:ascii="Times New Roman" w:eastAsia="Times New Roman" w:hAnsi="Times New Roman" w:cs="Times New Roman"/>
          <w:color w:val="000000"/>
          <w:sz w:val="16"/>
          <w:szCs w:val="16"/>
          <w:rtl/>
        </w:rPr>
      </w:pPr>
      <w:r w:rsidRPr="000C70AE">
        <w:rPr>
          <w:rFonts w:ascii="FrankRuehl" w:eastAsia="Times New Roman" w:hAnsi="FrankRuehl" w:cs="FrankRuehl"/>
          <w:color w:val="000000"/>
          <w:rtl/>
        </w:rPr>
        <w:t>          (ד)  אי-תלותו של הדיין אין משמעה פטור מלקיים הוראה של בית הדין הרבני הגדול שניתנה במסגרת ערעור על פסק דין או החלטה של הדיין, גם כשזו אינה נראית בעיניו, ועליו</w:t>
      </w:r>
      <w:r w:rsidRPr="000C70AE">
        <w:rPr>
          <w:rFonts w:ascii="FrankRuehl" w:eastAsia="Times New Roman" w:hAnsi="FrankRuehl" w:cs="FrankRuehl" w:hint="cs"/>
          <w:color w:val="000000"/>
          <w:rtl/>
        </w:rPr>
        <w:t xml:space="preserve"> </w:t>
      </w:r>
      <w:r w:rsidRPr="000C70AE">
        <w:rPr>
          <w:rFonts w:ascii="FrankRuehl" w:eastAsia="Times New Roman" w:hAnsi="FrankRuehl" w:cs="FrankRuehl"/>
          <w:color w:val="000000"/>
          <w:rtl/>
        </w:rPr>
        <w:t>לבצע את הוראת בית הדין הגדול; סבר דיין כי קיימת לפניו מניעה הלכתית לפעול בהתאם להוראה כאמור של בית הדין הרבני הגדול, יכתוב את נימוקיו לכך ויעביר את התיק נושא העניין לבית הדין הרבני הגדול, יכתוב את נימוקיו לכך ויעביר את התיק נושא העניין לבית הדין הרבני הגדול כדי שיחליט בדבר המשך הטיפול בתיק.</w:t>
      </w:r>
    </w:p>
    <w:p w14:paraId="251661D6" w14:textId="77777777" w:rsidR="00F5423C" w:rsidRDefault="00F5423C" w:rsidP="00F5423C">
      <w:pPr>
        <w:pStyle w:val="ac"/>
        <w:bidi/>
        <w:spacing w:after="0"/>
        <w:ind w:left="405"/>
        <w:rPr>
          <w:rFonts w:ascii="David" w:hAnsi="David"/>
          <w:sz w:val="22"/>
        </w:rPr>
      </w:pPr>
    </w:p>
    <w:p w14:paraId="582C95B5" w14:textId="35DE27E4" w:rsidR="00F5423C" w:rsidRPr="000C70AE" w:rsidRDefault="00F5423C" w:rsidP="000C70AE">
      <w:pPr>
        <w:rPr>
          <w:rFonts w:ascii="David" w:hAnsi="David"/>
        </w:rPr>
      </w:pPr>
      <w:r w:rsidRPr="000C70AE">
        <w:rPr>
          <w:rFonts w:ascii="David" w:hAnsi="David" w:hint="cs"/>
          <w:rtl/>
        </w:rPr>
        <w:t xml:space="preserve">ס' 4 כותב שמירת אמונים שזו אמירה כללית ולא ברורה. </w:t>
      </w:r>
    </w:p>
    <w:p w14:paraId="26AD2BFF" w14:textId="5C9D427C" w:rsidR="00F5423C" w:rsidRPr="000C70AE" w:rsidRDefault="00F5423C" w:rsidP="000C70AE">
      <w:pPr>
        <w:rPr>
          <w:rFonts w:ascii="David" w:hAnsi="David"/>
        </w:rPr>
      </w:pPr>
      <w:r w:rsidRPr="000C70AE">
        <w:rPr>
          <w:rFonts w:ascii="David" w:hAnsi="David" w:hint="cs"/>
          <w:rtl/>
        </w:rPr>
        <w:t xml:space="preserve">ס' 5(א) - כפוף רק למורת הדין שלא ולא כתוב איזה דין. </w:t>
      </w:r>
    </w:p>
    <w:p w14:paraId="180C7062" w14:textId="4A1938E1" w:rsidR="00F5423C" w:rsidRPr="000C70AE" w:rsidRDefault="00F5423C" w:rsidP="000C70AE">
      <w:pPr>
        <w:rPr>
          <w:rFonts w:ascii="David" w:hAnsi="David"/>
        </w:rPr>
      </w:pPr>
      <w:r w:rsidRPr="000C70AE">
        <w:rPr>
          <w:rFonts w:ascii="David" w:hAnsi="David" w:hint="cs"/>
          <w:rtl/>
        </w:rPr>
        <w:t xml:space="preserve">ס' 5(ד) אם דיין סבר שקיימת מניעה הלכתית לפעול בהתאם לבין הדין הגדול - הוא לא חייב לקיים אותו! אך הוא צריך להעביר את הטיפול </w:t>
      </w:r>
      <w:r w:rsidR="00705E82" w:rsidRPr="000C70AE">
        <w:rPr>
          <w:rFonts w:ascii="David" w:hAnsi="David" w:hint="cs"/>
          <w:rtl/>
        </w:rPr>
        <w:t>לבין הדין הרבני גדול שיחליט מה לעשות. לעיתים בית הדין הרבני הגדול פשוט מעביר להרכב דיינים אחר - דבר מאוד בעייתי שכן מי משכיר את התיק בצורה הטובה ביותר זה בית הדין דן בתיק עד אז. בית הדין הגדול בוחר לעביר להרכבים אחרים ולא להילחם ראש בראש בהרכב שמסר לקבל את מרותם שכן יש פחד שלבסוף תהיה עתירה לבג"ץ והוא זה שיחליט.</w:t>
      </w:r>
    </w:p>
    <w:p w14:paraId="44A7EE13" w14:textId="1074B5E3" w:rsidR="00F46B07" w:rsidRDefault="00F46B07" w:rsidP="000C70AE">
      <w:pPr>
        <w:pStyle w:val="ac"/>
        <w:numPr>
          <w:ilvl w:val="1"/>
          <w:numId w:val="7"/>
        </w:numPr>
        <w:bidi/>
        <w:spacing w:after="0"/>
        <w:rPr>
          <w:rFonts w:ascii="David" w:hAnsi="David"/>
          <w:sz w:val="22"/>
        </w:rPr>
      </w:pPr>
      <w:r>
        <w:rPr>
          <w:rFonts w:ascii="David" w:hAnsi="David" w:hint="cs"/>
          <w:sz w:val="22"/>
          <w:rtl/>
        </w:rPr>
        <w:t>אין אפשרות מעשית להדיח דיין ומעולם לא הדיחו דיין - למה אין אפשרות מעשית? מכיוון שהוועדה למינוי דיינים היא זו שקובעת אפשרות הדחה וזו וועדה פוליטית שלרוב יש בה חברי כנסת חרדים שהרבה פעמים מסכימים עם עמדות הרבנים.</w:t>
      </w:r>
    </w:p>
    <w:p w14:paraId="6F9B1467" w14:textId="59650771" w:rsidR="002836B2" w:rsidRPr="002836B2" w:rsidRDefault="002D0FAB" w:rsidP="00465590">
      <w:pPr>
        <w:pStyle w:val="ac"/>
        <w:numPr>
          <w:ilvl w:val="1"/>
          <w:numId w:val="7"/>
        </w:numPr>
        <w:bidi/>
        <w:spacing w:after="0"/>
        <w:rPr>
          <w:rFonts w:ascii="David" w:hAnsi="David"/>
          <w:sz w:val="22"/>
        </w:rPr>
      </w:pPr>
      <w:r w:rsidRPr="002836B2">
        <w:rPr>
          <w:rFonts w:ascii="David" w:hAnsi="David" w:hint="cs"/>
          <w:b/>
          <w:bCs/>
          <w:sz w:val="22"/>
          <w:rtl/>
        </w:rPr>
        <w:t>מה המעמד של</w:t>
      </w:r>
      <w:r w:rsidR="002836B2" w:rsidRPr="002836B2">
        <w:rPr>
          <w:rFonts w:ascii="David" w:hAnsi="David" w:hint="cs"/>
          <w:b/>
          <w:bCs/>
          <w:sz w:val="22"/>
          <w:rtl/>
        </w:rPr>
        <w:t xml:space="preserve"> פסיקותיו של</w:t>
      </w:r>
      <w:r w:rsidRPr="002836B2">
        <w:rPr>
          <w:rFonts w:ascii="David" w:hAnsi="David" w:hint="cs"/>
          <w:b/>
          <w:bCs/>
          <w:sz w:val="22"/>
          <w:rtl/>
        </w:rPr>
        <w:t xml:space="preserve"> בית הדין הרבני הגדול:</w:t>
      </w:r>
      <w:r w:rsidR="002836B2" w:rsidRPr="002836B2">
        <w:rPr>
          <w:rFonts w:ascii="David" w:hAnsi="David" w:hint="cs"/>
          <w:b/>
          <w:bCs/>
          <w:sz w:val="22"/>
          <w:rtl/>
        </w:rPr>
        <w:t xml:space="preserve"> </w:t>
      </w:r>
      <w:r w:rsidRPr="002836B2">
        <w:rPr>
          <w:rFonts w:ascii="David" w:hAnsi="David" w:hint="cs"/>
          <w:rtl/>
        </w:rPr>
        <w:t>בית הדין הרבני הגדול הוא ערכאת ערעור אך פסיקותיו לא מהוות תקדים מחייב. בניגוד לבית המשפט העליון שהוא גם ערכאת ערעור וגם פסיקתו תקדים מחייב, בבתי הדין הרבניים זה לא עובד ככה.</w:t>
      </w:r>
      <w:r w:rsidR="002836B2" w:rsidRPr="002836B2">
        <w:rPr>
          <w:rFonts w:ascii="David" w:hAnsi="David" w:hint="cs"/>
          <w:rtl/>
        </w:rPr>
        <w:t xml:space="preserve"> </w:t>
      </w:r>
      <w:r w:rsidR="002836B2" w:rsidRPr="002836B2">
        <w:rPr>
          <w:rFonts w:ascii="David" w:hAnsi="David" w:hint="cs"/>
          <w:sz w:val="22"/>
          <w:rtl/>
        </w:rPr>
        <w:t>הפער בין פסיקותיהם של הרבנים השונים הוא עצום - זה לא שאלה של כמות אלא שאלה של איכות. לדוג' זה לא שאלה של כמה כסף תקבל האישה על עוולה מסוימת אלא יכול להיות וויכוח האם בכלל הייתה עוולה!</w:t>
      </w:r>
    </w:p>
    <w:p w14:paraId="79827812" w14:textId="0701B140" w:rsidR="002836B2" w:rsidRPr="002836B2" w:rsidRDefault="008E4956" w:rsidP="00465590">
      <w:pPr>
        <w:pStyle w:val="ac"/>
        <w:numPr>
          <w:ilvl w:val="1"/>
          <w:numId w:val="7"/>
        </w:numPr>
        <w:bidi/>
        <w:spacing w:after="0"/>
        <w:rPr>
          <w:rFonts w:ascii="David" w:hAnsi="David"/>
          <w:b/>
          <w:bCs/>
          <w:sz w:val="22"/>
          <w:u w:val="single"/>
        </w:rPr>
      </w:pPr>
      <w:r>
        <w:rPr>
          <w:rFonts w:ascii="David" w:hAnsi="David" w:hint="cs"/>
          <w:b/>
          <w:bCs/>
          <w:sz w:val="22"/>
          <w:u w:val="single"/>
          <w:rtl/>
        </w:rPr>
        <w:t>הנימוקים ליחס השלילי</w:t>
      </w:r>
      <w:r w:rsidR="002836B2" w:rsidRPr="002836B2">
        <w:rPr>
          <w:rFonts w:ascii="David" w:hAnsi="David" w:hint="cs"/>
          <w:b/>
          <w:bCs/>
          <w:sz w:val="22"/>
          <w:u w:val="single"/>
          <w:rtl/>
        </w:rPr>
        <w:t xml:space="preserve"> לערכאת הערעור:</w:t>
      </w:r>
    </w:p>
    <w:p w14:paraId="2EAB559D" w14:textId="1D453E4E" w:rsidR="002D0FAB" w:rsidRDefault="002836B2" w:rsidP="00465590">
      <w:pPr>
        <w:pStyle w:val="ac"/>
        <w:numPr>
          <w:ilvl w:val="2"/>
          <w:numId w:val="7"/>
        </w:numPr>
        <w:bidi/>
        <w:spacing w:after="0"/>
        <w:rPr>
          <w:rFonts w:ascii="David" w:hAnsi="David"/>
          <w:sz w:val="22"/>
        </w:rPr>
      </w:pPr>
      <w:r>
        <w:rPr>
          <w:rFonts w:ascii="David" w:hAnsi="David" w:hint="cs"/>
          <w:sz w:val="22"/>
          <w:rtl/>
        </w:rPr>
        <w:t>נימוק ראשון: מדובר בחידוש הלכתי שנכפה עלינו בעקבות הבריטים ואין לקבל אותו. לכן, אם הניתוח ההלכתי מוביל למסקנה שונה מבית הדין הגדול אין לקיים את פסיקתם.</w:t>
      </w:r>
    </w:p>
    <w:p w14:paraId="0474023E" w14:textId="368508D7" w:rsidR="002836B2" w:rsidRDefault="002836B2" w:rsidP="00465590">
      <w:pPr>
        <w:pStyle w:val="ac"/>
        <w:numPr>
          <w:ilvl w:val="2"/>
          <w:numId w:val="7"/>
        </w:numPr>
        <w:bidi/>
        <w:spacing w:after="0"/>
        <w:rPr>
          <w:rFonts w:ascii="David" w:hAnsi="David"/>
          <w:sz w:val="22"/>
        </w:rPr>
      </w:pPr>
      <w:r>
        <w:rPr>
          <w:rFonts w:ascii="David" w:hAnsi="David" w:hint="cs"/>
          <w:sz w:val="22"/>
          <w:rtl/>
        </w:rPr>
        <w:t xml:space="preserve">נימוק שני: </w:t>
      </w:r>
      <w:r w:rsidR="008E4956">
        <w:rPr>
          <w:rFonts w:ascii="David" w:hAnsi="David" w:hint="cs"/>
          <w:sz w:val="22"/>
          <w:rtl/>
        </w:rPr>
        <w:t>לא ניתן לקבל את ערכאת הערעור שכן אין הכרה בגדול ההלכתית של הדיינים שיושבים שם. מי החליט שדווקא הדיינים בערכאת הערעור דעתם ההלכתית נכונה יותר, זה לא שהם בהכרח גדולי דור.</w:t>
      </w:r>
    </w:p>
    <w:p w14:paraId="433793F1" w14:textId="45C39118" w:rsidR="00CE769B" w:rsidRPr="00CE769B" w:rsidRDefault="00CE769B" w:rsidP="00CE769B">
      <w:pPr>
        <w:pBdr>
          <w:top w:val="single" w:sz="4" w:space="1" w:color="auto"/>
        </w:pBdr>
        <w:rPr>
          <w:rFonts w:ascii="David" w:hAnsi="David"/>
          <w:b/>
          <w:bCs/>
        </w:rPr>
      </w:pPr>
      <w:r>
        <w:rPr>
          <w:rFonts w:ascii="David" w:hAnsi="David" w:hint="cs"/>
          <w:b/>
          <w:bCs/>
          <w:rtl/>
        </w:rPr>
        <w:t>20.03.2022</w:t>
      </w:r>
    </w:p>
    <w:p w14:paraId="29CD7213" w14:textId="25F7EE0C" w:rsidR="00C8730B" w:rsidRPr="009C42C8" w:rsidRDefault="0025193E" w:rsidP="009C42C8">
      <w:pPr>
        <w:shd w:val="clear" w:color="auto" w:fill="FFF4CD" w:themeFill="accent1" w:themeFillTint="33"/>
        <w:rPr>
          <w:rFonts w:ascii="David" w:hAnsi="David"/>
          <w:b/>
          <w:bCs/>
        </w:rPr>
      </w:pPr>
      <w:r>
        <w:rPr>
          <w:rFonts w:ascii="David" w:hAnsi="David" w:hint="cs"/>
          <w:b/>
          <w:bCs/>
          <w:rtl/>
        </w:rPr>
        <w:t xml:space="preserve">הליך הערעור על פי ההלכה </w:t>
      </w:r>
    </w:p>
    <w:p w14:paraId="31D7DCBB" w14:textId="1A577FC5" w:rsidR="008E4956" w:rsidRDefault="00115C71" w:rsidP="00465590">
      <w:pPr>
        <w:pStyle w:val="ac"/>
        <w:numPr>
          <w:ilvl w:val="1"/>
          <w:numId w:val="7"/>
        </w:numPr>
        <w:bidi/>
        <w:spacing w:after="0"/>
        <w:rPr>
          <w:rFonts w:ascii="David" w:hAnsi="David"/>
          <w:sz w:val="22"/>
        </w:rPr>
      </w:pPr>
      <w:r w:rsidRPr="00EF5AD4">
        <w:rPr>
          <w:rFonts w:ascii="David" w:hAnsi="David" w:hint="cs"/>
          <w:sz w:val="22"/>
          <w:u w:val="single"/>
          <w:rtl/>
        </w:rPr>
        <w:t>י"ל מימון, לדעה ולדור</w:t>
      </w:r>
      <w:r w:rsidR="00E175B4" w:rsidRPr="00EF5AD4">
        <w:rPr>
          <w:rFonts w:ascii="David" w:hAnsi="David" w:hint="cs"/>
          <w:sz w:val="22"/>
          <w:u w:val="single"/>
          <w:rtl/>
        </w:rPr>
        <w:t xml:space="preserve"> (דף מקורות עמ' 6):</w:t>
      </w:r>
      <w:r w:rsidR="00E175B4">
        <w:rPr>
          <w:rFonts w:ascii="David" w:hAnsi="David" w:hint="cs"/>
          <w:sz w:val="22"/>
          <w:rtl/>
        </w:rPr>
        <w:t xml:space="preserve"> </w:t>
      </w:r>
      <w:r>
        <w:rPr>
          <w:rFonts w:ascii="David" w:hAnsi="David" w:hint="cs"/>
          <w:sz w:val="22"/>
          <w:rtl/>
        </w:rPr>
        <w:t>לפי ההלכה היהודית אין ערכאת ערעור</w:t>
      </w:r>
      <w:r w:rsidR="00EF5AD4">
        <w:rPr>
          <w:rFonts w:ascii="David" w:hAnsi="David" w:hint="cs"/>
          <w:sz w:val="22"/>
          <w:rtl/>
        </w:rPr>
        <w:t xml:space="preserve">. </w:t>
      </w:r>
      <w:r w:rsidR="00385EE6">
        <w:rPr>
          <w:rFonts w:ascii="David" w:hAnsi="David" w:hint="cs"/>
          <w:sz w:val="22"/>
          <w:rtl/>
        </w:rPr>
        <w:t>ערכאת הערעור היא תנאי שלא כדת משה וישראל</w:t>
      </w:r>
      <w:r w:rsidR="00F80A4F">
        <w:rPr>
          <w:rFonts w:ascii="David" w:hAnsi="David" w:hint="cs"/>
          <w:sz w:val="22"/>
          <w:rtl/>
        </w:rPr>
        <w:t xml:space="preserve"> ו</w:t>
      </w:r>
      <w:r w:rsidR="00DF1EAF">
        <w:rPr>
          <w:rFonts w:ascii="David" w:hAnsi="David" w:hint="cs"/>
          <w:sz w:val="22"/>
          <w:rtl/>
        </w:rPr>
        <w:t xml:space="preserve">הרבנים בתקופת המנדט </w:t>
      </w:r>
      <w:r w:rsidR="00F80A4F">
        <w:rPr>
          <w:rFonts w:ascii="David" w:hAnsi="David" w:hint="cs"/>
          <w:sz w:val="22"/>
          <w:rtl/>
        </w:rPr>
        <w:t>קיבלו תנאי זה בעל כורחם.</w:t>
      </w:r>
    </w:p>
    <w:p w14:paraId="0F83BFD1" w14:textId="223044BE" w:rsidR="00263CD8" w:rsidRDefault="003A11A9" w:rsidP="00465590">
      <w:pPr>
        <w:pStyle w:val="ac"/>
        <w:numPr>
          <w:ilvl w:val="1"/>
          <w:numId w:val="7"/>
        </w:numPr>
        <w:bidi/>
        <w:spacing w:after="0"/>
        <w:rPr>
          <w:rFonts w:ascii="David" w:hAnsi="David"/>
          <w:sz w:val="22"/>
        </w:rPr>
      </w:pPr>
      <w:r w:rsidRPr="00263CD8">
        <w:rPr>
          <w:rFonts w:ascii="David" w:hAnsi="David"/>
          <w:noProof/>
          <w:sz w:val="22"/>
          <w:rtl/>
        </w:rPr>
        <w:drawing>
          <wp:anchor distT="0" distB="0" distL="114300" distR="114300" simplePos="0" relativeHeight="251658240" behindDoc="0" locked="0" layoutInCell="1" allowOverlap="1" wp14:anchorId="1397914A" wp14:editId="40BC6586">
            <wp:simplePos x="0" y="0"/>
            <wp:positionH relativeFrom="column">
              <wp:posOffset>734695</wp:posOffset>
            </wp:positionH>
            <wp:positionV relativeFrom="paragraph">
              <wp:posOffset>286625</wp:posOffset>
            </wp:positionV>
            <wp:extent cx="5311140" cy="1630680"/>
            <wp:effectExtent l="0" t="0" r="0" b="0"/>
            <wp:wrapTopAndBottom/>
            <wp:docPr id="1" name="תמונה 1" descr="תמונה שמכילה טקסט, אדם, מסמך, קה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 אדם, מסמך, קהל&#10;&#10;התיאור נוצר באופן אוטומטי"/>
                    <pic:cNvPicPr/>
                  </pic:nvPicPr>
                  <pic:blipFill>
                    <a:blip r:embed="rId8">
                      <a:extLst>
                        <a:ext uri="{28A0092B-C50C-407E-A947-70E740481C1C}">
                          <a14:useLocalDpi xmlns:a14="http://schemas.microsoft.com/office/drawing/2010/main" val="0"/>
                        </a:ext>
                      </a:extLst>
                    </a:blip>
                    <a:stretch>
                      <a:fillRect/>
                    </a:stretch>
                  </pic:blipFill>
                  <pic:spPr>
                    <a:xfrm>
                      <a:off x="0" y="0"/>
                      <a:ext cx="5311140" cy="1630680"/>
                    </a:xfrm>
                    <a:prstGeom prst="rect">
                      <a:avLst/>
                    </a:prstGeom>
                  </pic:spPr>
                </pic:pic>
              </a:graphicData>
            </a:graphic>
          </wp:anchor>
        </w:drawing>
      </w:r>
      <w:r w:rsidR="00303088">
        <w:rPr>
          <w:rFonts w:ascii="David" w:hAnsi="David" w:hint="cs"/>
          <w:sz w:val="22"/>
          <w:u w:val="single"/>
          <w:rtl/>
        </w:rPr>
        <w:t xml:space="preserve">הודעה שהתפרסמה בירושלים בתקופה שהייתה אמורה לקום </w:t>
      </w:r>
      <w:r w:rsidR="0025193E">
        <w:rPr>
          <w:rFonts w:ascii="David" w:hAnsi="David" w:hint="cs"/>
          <w:sz w:val="22"/>
          <w:u w:val="single"/>
          <w:rtl/>
        </w:rPr>
        <w:t xml:space="preserve">הרבנות </w:t>
      </w:r>
      <w:r w:rsidR="00303088">
        <w:rPr>
          <w:rFonts w:ascii="David" w:hAnsi="David" w:hint="cs"/>
          <w:sz w:val="22"/>
          <w:u w:val="single"/>
          <w:rtl/>
        </w:rPr>
        <w:t>בירושלים:</w:t>
      </w:r>
      <w:r w:rsidR="001D5F90">
        <w:rPr>
          <w:rFonts w:ascii="David" w:hAnsi="David" w:hint="cs"/>
          <w:sz w:val="22"/>
          <w:rtl/>
        </w:rPr>
        <w:t xml:space="preserve"> </w:t>
      </w:r>
    </w:p>
    <w:p w14:paraId="5401AA46" w14:textId="77777777" w:rsidR="003B132C" w:rsidRPr="007932FF" w:rsidRDefault="003B132C" w:rsidP="00465590">
      <w:pPr>
        <w:pStyle w:val="ac"/>
        <w:numPr>
          <w:ilvl w:val="1"/>
          <w:numId w:val="7"/>
        </w:numPr>
        <w:bidi/>
        <w:spacing w:after="0"/>
        <w:rPr>
          <w:rFonts w:ascii="David" w:hAnsi="David"/>
          <w:sz w:val="22"/>
        </w:rPr>
      </w:pPr>
      <w:r w:rsidRPr="007932FF">
        <w:rPr>
          <w:rFonts w:ascii="David" w:hAnsi="David" w:hint="cs"/>
          <w:b/>
          <w:bCs/>
          <w:sz w:val="22"/>
          <w:shd w:val="clear" w:color="auto" w:fill="FFF4CD" w:themeFill="accent1" w:themeFillTint="33"/>
          <w:rtl/>
        </w:rPr>
        <w:t>הליך סתירת הדין</w:t>
      </w:r>
      <w:r w:rsidRPr="007932FF">
        <w:rPr>
          <w:rFonts w:ascii="David" w:hAnsi="David" w:hint="cs"/>
          <w:b/>
          <w:bCs/>
          <w:sz w:val="22"/>
          <w:rtl/>
        </w:rPr>
        <w:t xml:space="preserve"> : </w:t>
      </w:r>
    </w:p>
    <w:p w14:paraId="61CC0938" w14:textId="5061D3A8" w:rsidR="00705E82" w:rsidRDefault="003A11A9" w:rsidP="00465590">
      <w:pPr>
        <w:pStyle w:val="ac"/>
        <w:numPr>
          <w:ilvl w:val="2"/>
          <w:numId w:val="7"/>
        </w:numPr>
        <w:bidi/>
        <w:spacing w:after="0"/>
        <w:rPr>
          <w:rFonts w:ascii="David" w:hAnsi="David"/>
          <w:sz w:val="22"/>
        </w:rPr>
      </w:pPr>
      <w:r w:rsidRPr="004A55AA">
        <w:rPr>
          <w:rFonts w:ascii="David" w:hAnsi="David" w:hint="cs"/>
          <w:b/>
          <w:bCs/>
          <w:sz w:val="22"/>
          <w:u w:val="single"/>
          <w:rtl/>
        </w:rPr>
        <w:t>שולחן ערוך חושן משפט סימן כ סעיף א:</w:t>
      </w:r>
      <w:r>
        <w:rPr>
          <w:rFonts w:ascii="David" w:hAnsi="David" w:hint="cs"/>
          <w:b/>
          <w:bCs/>
          <w:sz w:val="22"/>
          <w:rtl/>
        </w:rPr>
        <w:t xml:space="preserve"> </w:t>
      </w:r>
      <w:r>
        <w:rPr>
          <w:rFonts w:ascii="David" w:hAnsi="David" w:hint="cs"/>
          <w:sz w:val="22"/>
          <w:rtl/>
        </w:rPr>
        <w:t>מי שיצא פסק דין כנגדו ו</w:t>
      </w:r>
      <w:r w:rsidR="00DB7C33">
        <w:rPr>
          <w:rFonts w:ascii="David" w:hAnsi="David" w:hint="cs"/>
          <w:sz w:val="22"/>
          <w:rtl/>
        </w:rPr>
        <w:t xml:space="preserve">מצא ראיה לזכותו, צריך לחזור לבית הדין ולפתוח </w:t>
      </w:r>
      <w:r w:rsidR="00221802">
        <w:rPr>
          <w:rFonts w:ascii="David" w:hAnsi="David" w:hint="cs"/>
          <w:sz w:val="22"/>
          <w:rtl/>
        </w:rPr>
        <w:t xml:space="preserve">את התיק מחדש, גם אם כבר פרע כבר את החוב </w:t>
      </w:r>
      <w:r w:rsidR="00BB7A4F">
        <w:rPr>
          <w:rFonts w:ascii="David" w:hAnsi="David" w:hint="cs"/>
          <w:sz w:val="22"/>
          <w:rtl/>
        </w:rPr>
        <w:t>וגם אם</w:t>
      </w:r>
      <w:r w:rsidR="00221802">
        <w:rPr>
          <w:rFonts w:ascii="David" w:hAnsi="David" w:hint="cs"/>
          <w:sz w:val="22"/>
          <w:rtl/>
        </w:rPr>
        <w:t xml:space="preserve"> עבר הזמן </w:t>
      </w:r>
      <w:r w:rsidR="00BB7A4F">
        <w:rPr>
          <w:rFonts w:ascii="David" w:hAnsi="David" w:hint="cs"/>
          <w:sz w:val="22"/>
          <w:rtl/>
        </w:rPr>
        <w:t xml:space="preserve">שהתנו הדיינים למתן </w:t>
      </w:r>
      <w:r w:rsidR="00221802">
        <w:rPr>
          <w:rFonts w:ascii="David" w:hAnsi="David" w:hint="cs"/>
          <w:sz w:val="22"/>
          <w:rtl/>
        </w:rPr>
        <w:t>ראיות.</w:t>
      </w:r>
      <w:r w:rsidR="00BB7A4F">
        <w:rPr>
          <w:rFonts w:ascii="David" w:hAnsi="David" w:hint="cs"/>
          <w:sz w:val="22"/>
          <w:rtl/>
        </w:rPr>
        <w:t xml:space="preserve"> כלומר, אפשר לומר שסופיות הדיון לא קיימת בהלכה. בנוסף, את לא אמור</w:t>
      </w:r>
      <w:r w:rsidR="00006D77">
        <w:rPr>
          <w:rFonts w:ascii="David" w:hAnsi="David" w:hint="cs"/>
          <w:sz w:val="22"/>
          <w:rtl/>
        </w:rPr>
        <w:t>ה</w:t>
      </w:r>
      <w:r w:rsidR="00BB7A4F">
        <w:rPr>
          <w:rFonts w:ascii="David" w:hAnsi="David" w:hint="cs"/>
          <w:sz w:val="22"/>
          <w:rtl/>
        </w:rPr>
        <w:t xml:space="preserve"> לפנות לגורם אחר</w:t>
      </w:r>
      <w:r w:rsidR="00AA72EA">
        <w:rPr>
          <w:rFonts w:ascii="David" w:hAnsi="David" w:hint="cs"/>
          <w:sz w:val="22"/>
          <w:rtl/>
        </w:rPr>
        <w:t xml:space="preserve"> אלא לפנות לאותו בית דין </w:t>
      </w:r>
      <w:r w:rsidR="00006D77">
        <w:rPr>
          <w:rFonts w:ascii="David" w:hAnsi="David" w:hint="cs"/>
          <w:sz w:val="22"/>
          <w:rtl/>
        </w:rPr>
        <w:t xml:space="preserve">שפסק בפעם הראשונה </w:t>
      </w:r>
      <w:r w:rsidR="00AA72EA">
        <w:rPr>
          <w:rFonts w:ascii="David" w:hAnsi="David" w:hint="cs"/>
          <w:sz w:val="22"/>
          <w:rtl/>
        </w:rPr>
        <w:t>(בשונה ובמסגרת האזרחית ב</w:t>
      </w:r>
      <w:r w:rsidR="00006D77">
        <w:rPr>
          <w:rFonts w:ascii="David" w:hAnsi="David" w:hint="cs"/>
          <w:sz w:val="22"/>
          <w:rtl/>
        </w:rPr>
        <w:t>ה</w:t>
      </w:r>
      <w:r w:rsidR="00AA72EA">
        <w:rPr>
          <w:rFonts w:ascii="David" w:hAnsi="David" w:hint="cs"/>
          <w:sz w:val="22"/>
          <w:rtl/>
        </w:rPr>
        <w:t xml:space="preserve"> הערעור הוא לבית משפט גבוה יותר). </w:t>
      </w:r>
      <w:r w:rsidR="00901F9C">
        <w:rPr>
          <w:rFonts w:ascii="David" w:hAnsi="David" w:hint="cs"/>
          <w:sz w:val="22"/>
          <w:rtl/>
        </w:rPr>
        <w:t xml:space="preserve">בהתאם לכך, </w:t>
      </w:r>
      <w:r w:rsidR="00D23637">
        <w:rPr>
          <w:rFonts w:ascii="David" w:hAnsi="David" w:hint="cs"/>
          <w:sz w:val="22"/>
          <w:rtl/>
        </w:rPr>
        <w:t xml:space="preserve">על פי תקנות הדיון של בתי הדין הרבניים </w:t>
      </w:r>
      <w:r w:rsidR="00620454">
        <w:rPr>
          <w:rFonts w:ascii="David" w:hAnsi="David" w:hint="cs"/>
          <w:sz w:val="22"/>
          <w:rtl/>
        </w:rPr>
        <w:t xml:space="preserve">בפרק יד - </w:t>
      </w:r>
      <w:r w:rsidR="00D23637">
        <w:rPr>
          <w:rFonts w:ascii="David" w:hAnsi="David" w:hint="cs"/>
          <w:sz w:val="22"/>
          <w:rtl/>
        </w:rPr>
        <w:t>יש אפשרות לבקש דיון מחדש באותו בית דין</w:t>
      </w:r>
      <w:r w:rsidR="00FF0DC9">
        <w:rPr>
          <w:rFonts w:ascii="David" w:hAnsi="David" w:hint="cs"/>
          <w:sz w:val="22"/>
          <w:rtl/>
        </w:rPr>
        <w:t xml:space="preserve">. הליך זה נקרא </w:t>
      </w:r>
      <w:r w:rsidR="00FF0DC9" w:rsidRPr="00FF0DC9">
        <w:rPr>
          <w:rFonts w:ascii="David" w:hAnsi="David" w:hint="cs"/>
          <w:b/>
          <w:bCs/>
          <w:sz w:val="22"/>
          <w:rtl/>
        </w:rPr>
        <w:t>הליך סתירת דין</w:t>
      </w:r>
      <w:r w:rsidR="00620454">
        <w:rPr>
          <w:rFonts w:ascii="David" w:hAnsi="David" w:hint="cs"/>
          <w:sz w:val="22"/>
          <w:rtl/>
        </w:rPr>
        <w:t>.</w:t>
      </w:r>
      <w:r w:rsidR="00AA72EA">
        <w:rPr>
          <w:rFonts w:ascii="David" w:hAnsi="David" w:hint="cs"/>
          <w:sz w:val="22"/>
          <w:rtl/>
        </w:rPr>
        <w:t xml:space="preserve"> </w:t>
      </w:r>
      <w:r w:rsidR="00620454">
        <w:rPr>
          <w:rFonts w:ascii="David" w:hAnsi="David" w:hint="cs"/>
          <w:sz w:val="22"/>
          <w:rtl/>
        </w:rPr>
        <w:t xml:space="preserve">הוגשו מספר לא קטן של פעמים עתירות של בג"ץ כנגד </w:t>
      </w:r>
      <w:r w:rsidR="00006D77">
        <w:rPr>
          <w:rFonts w:ascii="David" w:hAnsi="David" w:hint="cs"/>
          <w:sz w:val="22"/>
          <w:rtl/>
        </w:rPr>
        <w:t>תקנה זו שבעצם קובעת שאין סופיות דיון בבתי הדין הרבניים.</w:t>
      </w:r>
    </w:p>
    <w:p w14:paraId="07B0888D" w14:textId="516E0A1F" w:rsidR="00263CD8" w:rsidRDefault="00901F9C" w:rsidP="00465590">
      <w:pPr>
        <w:pStyle w:val="ac"/>
        <w:numPr>
          <w:ilvl w:val="2"/>
          <w:numId w:val="7"/>
        </w:numPr>
        <w:bidi/>
        <w:spacing w:after="0"/>
        <w:rPr>
          <w:rFonts w:ascii="David" w:hAnsi="David"/>
          <w:sz w:val="22"/>
        </w:rPr>
      </w:pPr>
      <w:r>
        <w:rPr>
          <w:rFonts w:ascii="David" w:hAnsi="David" w:hint="cs"/>
          <w:sz w:val="22"/>
          <w:rtl/>
        </w:rPr>
        <w:t>אם יש אפשרות לעשות שימוש בפרק יד</w:t>
      </w:r>
      <w:r w:rsidR="00882595">
        <w:rPr>
          <w:rFonts w:ascii="David" w:hAnsi="David" w:hint="cs"/>
          <w:sz w:val="22"/>
          <w:rtl/>
        </w:rPr>
        <w:t xml:space="preserve"> מדוע רוב הערעורים הולכים לבית הדין הגדול? כי לרוב לא מדובר בראיות חדשות אלא טענה לשיקול דעת שגוי</w:t>
      </w:r>
      <w:r w:rsidR="00990F3F">
        <w:rPr>
          <w:rFonts w:ascii="David" w:hAnsi="David" w:hint="cs"/>
          <w:sz w:val="22"/>
          <w:rtl/>
        </w:rPr>
        <w:t xml:space="preserve"> של בית הדין האזורי. בנוסף, גם אם יש ראיות חדשות ההנחה היא שרוב האנשים יחשבו שהדיינים לא ישנו את עמדותיהם ולכן מגישים לבית הדין הגדול.</w:t>
      </w:r>
    </w:p>
    <w:p w14:paraId="74F9188A" w14:textId="77777777" w:rsidR="00DA4823" w:rsidRPr="00EA4E76" w:rsidRDefault="00906C22" w:rsidP="00465590">
      <w:pPr>
        <w:pStyle w:val="ac"/>
        <w:numPr>
          <w:ilvl w:val="1"/>
          <w:numId w:val="7"/>
        </w:numPr>
        <w:bidi/>
        <w:spacing w:after="0"/>
        <w:rPr>
          <w:rFonts w:ascii="David" w:hAnsi="David"/>
          <w:b/>
          <w:bCs/>
          <w:sz w:val="22"/>
          <w:u w:val="single"/>
        </w:rPr>
      </w:pPr>
      <w:r w:rsidRPr="00EA4E76">
        <w:rPr>
          <w:rFonts w:ascii="David" w:hAnsi="David" w:hint="cs"/>
          <w:b/>
          <w:bCs/>
          <w:sz w:val="22"/>
          <w:u w:val="single"/>
          <w:rtl/>
        </w:rPr>
        <w:t xml:space="preserve">שולחן ערוך </w:t>
      </w:r>
      <w:r w:rsidR="009C42C8" w:rsidRPr="00EA4E76">
        <w:rPr>
          <w:rFonts w:ascii="David" w:hAnsi="David" w:hint="cs"/>
          <w:b/>
          <w:bCs/>
          <w:sz w:val="22"/>
          <w:u w:val="single"/>
          <w:rtl/>
        </w:rPr>
        <w:t>ח</w:t>
      </w:r>
      <w:r w:rsidR="0025193E" w:rsidRPr="00EA4E76">
        <w:rPr>
          <w:rFonts w:ascii="David" w:hAnsi="David" w:hint="cs"/>
          <w:b/>
          <w:bCs/>
          <w:sz w:val="22"/>
          <w:u w:val="single"/>
          <w:rtl/>
        </w:rPr>
        <w:t>ו</w:t>
      </w:r>
      <w:r w:rsidR="009C42C8" w:rsidRPr="00EA4E76">
        <w:rPr>
          <w:rFonts w:ascii="David" w:hAnsi="David" w:hint="cs"/>
          <w:b/>
          <w:bCs/>
          <w:sz w:val="22"/>
          <w:u w:val="single"/>
          <w:rtl/>
        </w:rPr>
        <w:t xml:space="preserve">שן </w:t>
      </w:r>
      <w:r w:rsidR="0025193E" w:rsidRPr="00EA4E76">
        <w:rPr>
          <w:rFonts w:ascii="David" w:hAnsi="David" w:hint="cs"/>
          <w:b/>
          <w:bCs/>
          <w:sz w:val="22"/>
          <w:u w:val="single"/>
          <w:rtl/>
        </w:rPr>
        <w:t>משפט</w:t>
      </w:r>
      <w:r w:rsidR="009C42C8" w:rsidRPr="00EA4E76">
        <w:rPr>
          <w:rFonts w:ascii="David" w:hAnsi="David" w:hint="cs"/>
          <w:b/>
          <w:bCs/>
          <w:sz w:val="22"/>
          <w:u w:val="single"/>
          <w:rtl/>
        </w:rPr>
        <w:t xml:space="preserve"> סימן יד סעיף א:</w:t>
      </w:r>
      <w:r w:rsidR="004A55AA" w:rsidRPr="00EA4E76">
        <w:rPr>
          <w:rFonts w:ascii="David" w:hAnsi="David" w:hint="cs"/>
          <w:b/>
          <w:bCs/>
          <w:sz w:val="22"/>
          <w:u w:val="single"/>
          <w:rtl/>
        </w:rPr>
        <w:t xml:space="preserve"> </w:t>
      </w:r>
      <w:r w:rsidR="00686897" w:rsidRPr="00EA4E76">
        <w:rPr>
          <w:rFonts w:ascii="David" w:hAnsi="David" w:hint="cs"/>
          <w:sz w:val="22"/>
          <w:rtl/>
        </w:rPr>
        <w:t xml:space="preserve"> מקריאה ראשונה של סימן זה בשולחן ערוך היינו יכולים להתבלבל ולחשוב כי ישנו מוסד ערעור בהלכה היהודית</w:t>
      </w:r>
      <w:r w:rsidR="005E74B8" w:rsidRPr="00EA4E76">
        <w:rPr>
          <w:rFonts w:ascii="David" w:hAnsi="David" w:hint="cs"/>
          <w:sz w:val="22"/>
          <w:rtl/>
        </w:rPr>
        <w:t xml:space="preserve">, שכן מצוין שאדם יכול </w:t>
      </w:r>
      <w:r w:rsidR="004D3CDA" w:rsidRPr="00EA4E76">
        <w:rPr>
          <w:rFonts w:ascii="David" w:hAnsi="David" w:hint="cs"/>
          <w:sz w:val="22"/>
          <w:rtl/>
        </w:rPr>
        <w:t xml:space="preserve">לבקש כי הבית דין בעירו </w:t>
      </w:r>
      <w:r w:rsidR="008A7E00" w:rsidRPr="00EA4E76">
        <w:rPr>
          <w:rFonts w:ascii="David" w:hAnsi="David" w:hint="cs"/>
          <w:sz w:val="22"/>
          <w:rtl/>
        </w:rPr>
        <w:t>יית</w:t>
      </w:r>
      <w:r w:rsidR="008A7E00" w:rsidRPr="00EA4E76">
        <w:rPr>
          <w:rFonts w:ascii="David" w:hAnsi="David" w:hint="eastAsia"/>
          <w:sz w:val="22"/>
          <w:rtl/>
        </w:rPr>
        <w:t>ן</w:t>
      </w:r>
      <w:r w:rsidR="004D3CDA" w:rsidRPr="00EA4E76">
        <w:rPr>
          <w:rFonts w:ascii="David" w:hAnsi="David" w:hint="cs"/>
          <w:sz w:val="22"/>
          <w:rtl/>
        </w:rPr>
        <w:t xml:space="preserve"> לנו נימוקים לפס"ד והוא ילך לבי"ד </w:t>
      </w:r>
      <w:r w:rsidR="004D3CDA" w:rsidRPr="00EA4E76">
        <w:rPr>
          <w:rFonts w:ascii="David" w:hAnsi="David" w:hint="cs"/>
          <w:sz w:val="22"/>
          <w:rtl/>
        </w:rPr>
        <w:lastRenderedPageBreak/>
        <w:t>גדול שיבדוק אם הם טעו.</w:t>
      </w:r>
      <w:r w:rsidR="00531016" w:rsidRPr="00EA4E76">
        <w:rPr>
          <w:rFonts w:ascii="David" w:hAnsi="David" w:hint="cs"/>
          <w:sz w:val="22"/>
          <w:rtl/>
        </w:rPr>
        <w:t xml:space="preserve"> בנוסף, ההלכה מאפשרת לדיינים בבי"ד המקומי ולפנות לדיינים בבי"ד הגדול במידה והם לא בטוחים כיצד לפסוק. </w:t>
      </w:r>
      <w:r w:rsidR="007314C7" w:rsidRPr="00EA4E76">
        <w:rPr>
          <w:rFonts w:ascii="David" w:hAnsi="David" w:hint="cs"/>
          <w:sz w:val="22"/>
          <w:rtl/>
        </w:rPr>
        <w:t xml:space="preserve">עם זאת, </w:t>
      </w:r>
      <w:r w:rsidR="007314C7" w:rsidRPr="00EA4E76">
        <w:rPr>
          <w:rFonts w:ascii="David" w:hAnsi="David" w:hint="cs"/>
          <w:sz w:val="22"/>
          <w:u w:val="single"/>
          <w:rtl/>
        </w:rPr>
        <w:t xml:space="preserve">בפועל </w:t>
      </w:r>
      <w:r w:rsidR="00205749" w:rsidRPr="00EA4E76">
        <w:rPr>
          <w:rFonts w:ascii="David" w:hAnsi="David" w:hint="cs"/>
          <w:sz w:val="22"/>
          <w:u w:val="single"/>
          <w:rtl/>
        </w:rPr>
        <w:t>בי"ד כפי שמציין אותו השולחן ערוך הוא לא באמת ערכאת ערעור כפי שאנחנו מכירים היום</w:t>
      </w:r>
      <w:r w:rsidR="00DA4823" w:rsidRPr="00EA4E76">
        <w:rPr>
          <w:rFonts w:ascii="David" w:hAnsi="David" w:hint="cs"/>
          <w:sz w:val="22"/>
          <w:u w:val="single"/>
          <w:rtl/>
        </w:rPr>
        <w:t>:</w:t>
      </w:r>
    </w:p>
    <w:p w14:paraId="6D933626" w14:textId="207B89DB" w:rsidR="00DA4823" w:rsidRPr="00DA4823" w:rsidRDefault="00205749" w:rsidP="00465590">
      <w:pPr>
        <w:pStyle w:val="ac"/>
        <w:numPr>
          <w:ilvl w:val="2"/>
          <w:numId w:val="7"/>
        </w:numPr>
        <w:bidi/>
        <w:spacing w:after="0"/>
        <w:rPr>
          <w:rFonts w:ascii="David" w:hAnsi="David"/>
          <w:b/>
          <w:bCs/>
          <w:sz w:val="22"/>
          <w:u w:val="single"/>
        </w:rPr>
      </w:pPr>
      <w:r>
        <w:rPr>
          <w:rFonts w:ascii="David" w:hAnsi="David" w:hint="cs"/>
          <w:sz w:val="22"/>
          <w:rtl/>
        </w:rPr>
        <w:t xml:space="preserve">אפשר </w:t>
      </w:r>
      <w:r w:rsidR="00EF5D40">
        <w:rPr>
          <w:rFonts w:ascii="David" w:hAnsi="David" w:hint="cs"/>
          <w:sz w:val="22"/>
          <w:rtl/>
        </w:rPr>
        <w:t xml:space="preserve">מלכתחילה לגשת לבי"ד הגדול, והוא יכול לשמש כערכאה ראשונה עם מעמד הלכתי גבוה יותר. </w:t>
      </w:r>
    </w:p>
    <w:p w14:paraId="4DC29975" w14:textId="34F60113" w:rsidR="00906C22" w:rsidRDefault="00E26E47" w:rsidP="00465590">
      <w:pPr>
        <w:pStyle w:val="ac"/>
        <w:numPr>
          <w:ilvl w:val="2"/>
          <w:numId w:val="7"/>
        </w:numPr>
        <w:bidi/>
        <w:spacing w:after="0"/>
        <w:rPr>
          <w:rFonts w:ascii="David" w:hAnsi="David"/>
          <w:b/>
          <w:bCs/>
          <w:sz w:val="22"/>
          <w:u w:val="single"/>
        </w:rPr>
      </w:pPr>
      <w:r>
        <w:rPr>
          <w:rFonts w:ascii="David" w:hAnsi="David" w:hint="cs"/>
          <w:sz w:val="22"/>
          <w:rtl/>
        </w:rPr>
        <w:t xml:space="preserve"> מדובר בבי"ד גדול במובן של ה</w:t>
      </w:r>
      <w:r w:rsidRPr="00470F34">
        <w:rPr>
          <w:rFonts w:ascii="David" w:hAnsi="David" w:hint="cs"/>
          <w:sz w:val="22"/>
          <w:u w:val="single"/>
          <w:rtl/>
        </w:rPr>
        <w:t>דיינים הגדולים באותה התקופה</w:t>
      </w:r>
      <w:r>
        <w:rPr>
          <w:rFonts w:ascii="David" w:hAnsi="David" w:hint="cs"/>
          <w:sz w:val="22"/>
          <w:rtl/>
        </w:rPr>
        <w:t xml:space="preserve">. הדיינים בבי"ד המקומיים </w:t>
      </w:r>
      <w:r w:rsidR="00484C3F">
        <w:rPr>
          <w:rFonts w:ascii="David" w:hAnsi="David" w:hint="cs"/>
          <w:sz w:val="22"/>
          <w:rtl/>
        </w:rPr>
        <w:t xml:space="preserve">מאמינים שבבי"ד הגדול יושבים הדיינים הגדולים ולכן, כאשר בי"ד הגדול קבוע פסיקה אחרת בי"ד המקומי מקבל את פסיקתם. </w:t>
      </w:r>
      <w:r w:rsidR="00FC3C17">
        <w:rPr>
          <w:rFonts w:ascii="David" w:hAnsi="David" w:hint="cs"/>
          <w:sz w:val="22"/>
          <w:rtl/>
        </w:rPr>
        <w:t>בשונה מבישראל שבה הדיינים בבי"ד לא נחשבים בהכרח לגדולי הדור או לגדולים יותר בחוכמה מאלו בבי"ד האזורים.</w:t>
      </w:r>
    </w:p>
    <w:p w14:paraId="0F53A6F4" w14:textId="594A8116" w:rsidR="00470F34" w:rsidRDefault="00F14EC2" w:rsidP="00465590">
      <w:pPr>
        <w:pStyle w:val="ac"/>
        <w:numPr>
          <w:ilvl w:val="2"/>
          <w:numId w:val="7"/>
        </w:numPr>
        <w:bidi/>
        <w:spacing w:after="0"/>
        <w:rPr>
          <w:rFonts w:ascii="David" w:hAnsi="David"/>
          <w:b/>
          <w:bCs/>
          <w:sz w:val="22"/>
          <w:u w:val="single"/>
        </w:rPr>
      </w:pPr>
      <w:r>
        <w:rPr>
          <w:rFonts w:ascii="David" w:hAnsi="David" w:hint="cs"/>
          <w:sz w:val="22"/>
          <w:rtl/>
        </w:rPr>
        <w:t>אחת הפרשנויות לסימן זה אומרת שררק אדם שלא סומך על בי"ד המקומי יכול לערער, זאת בשונה מערכאת ערעור בה כל אח יכול לערער.</w:t>
      </w:r>
    </w:p>
    <w:p w14:paraId="1A47029C" w14:textId="0267E3DE" w:rsidR="0079451E" w:rsidRPr="0004729C" w:rsidRDefault="0079451E" w:rsidP="003E2D2F">
      <w:pPr>
        <w:pStyle w:val="ac"/>
        <w:bidi/>
        <w:spacing w:after="0"/>
        <w:ind w:left="369"/>
        <w:rPr>
          <w:rFonts w:ascii="David" w:hAnsi="David"/>
          <w:b/>
          <w:bCs/>
          <w:sz w:val="22"/>
          <w:u w:val="single"/>
        </w:rPr>
      </w:pPr>
      <w:r>
        <w:rPr>
          <w:rFonts w:ascii="David" w:hAnsi="David" w:hint="cs"/>
          <w:b/>
          <w:bCs/>
          <w:sz w:val="22"/>
          <w:u w:val="single"/>
          <w:rtl/>
        </w:rPr>
        <w:t>כלומר המקור בשולחן ערוך לא מתייחס לערכאת ערעור, אלא רק לבי"ד גדול</w:t>
      </w:r>
      <w:r w:rsidR="003E2D2F">
        <w:rPr>
          <w:rFonts w:ascii="David" w:hAnsi="David" w:hint="cs"/>
          <w:b/>
          <w:bCs/>
          <w:sz w:val="22"/>
          <w:u w:val="single"/>
          <w:rtl/>
        </w:rPr>
        <w:t xml:space="preserve"> במובן של דיינים שהם גדולים הדור.</w:t>
      </w:r>
    </w:p>
    <w:p w14:paraId="5B6BD76F" w14:textId="7297B022" w:rsidR="00C51143" w:rsidRDefault="00025B65" w:rsidP="00465590">
      <w:pPr>
        <w:pStyle w:val="ac"/>
        <w:numPr>
          <w:ilvl w:val="1"/>
          <w:numId w:val="7"/>
        </w:numPr>
        <w:bidi/>
        <w:spacing w:after="0"/>
        <w:rPr>
          <w:rFonts w:ascii="David" w:hAnsi="David"/>
          <w:sz w:val="22"/>
        </w:rPr>
      </w:pPr>
      <w:r>
        <w:rPr>
          <w:rFonts w:ascii="David" w:hAnsi="David" w:hint="cs"/>
          <w:sz w:val="22"/>
          <w:rtl/>
        </w:rPr>
        <w:t xml:space="preserve">על פי </w:t>
      </w:r>
      <w:r w:rsidR="00C51143" w:rsidRPr="00D00048">
        <w:rPr>
          <w:rFonts w:ascii="David" w:hAnsi="David" w:hint="cs"/>
          <w:sz w:val="22"/>
          <w:rtl/>
        </w:rPr>
        <w:t>ההלכה האשכנזית</w:t>
      </w:r>
      <w:r>
        <w:rPr>
          <w:rFonts w:ascii="David" w:hAnsi="David" w:hint="cs"/>
          <w:sz w:val="22"/>
          <w:rtl/>
        </w:rPr>
        <w:t xml:space="preserve"> </w:t>
      </w:r>
      <w:r w:rsidR="00C51143" w:rsidRPr="00D00048">
        <w:rPr>
          <w:rFonts w:ascii="David" w:hAnsi="David" w:hint="cs"/>
          <w:sz w:val="22"/>
          <w:rtl/>
        </w:rPr>
        <w:t xml:space="preserve"> קובעת כי </w:t>
      </w:r>
      <w:r w:rsidR="00D00048" w:rsidRPr="00351425">
        <w:rPr>
          <w:rFonts w:ascii="David" w:hAnsi="David" w:hint="cs"/>
          <w:sz w:val="22"/>
          <w:u w:val="single"/>
          <w:rtl/>
        </w:rPr>
        <w:t>כל</w:t>
      </w:r>
      <w:r w:rsidR="00D00048">
        <w:rPr>
          <w:rFonts w:ascii="David" w:hAnsi="David" w:hint="cs"/>
          <w:sz w:val="22"/>
          <w:rtl/>
        </w:rPr>
        <w:t xml:space="preserve"> בית דין חשוב </w:t>
      </w:r>
      <w:r>
        <w:rPr>
          <w:rFonts w:ascii="David" w:hAnsi="David" w:hint="cs"/>
          <w:sz w:val="22"/>
          <w:rtl/>
        </w:rPr>
        <w:t xml:space="preserve">באזור יכול להיות </w:t>
      </w:r>
      <w:r w:rsidR="00D00048">
        <w:rPr>
          <w:rFonts w:ascii="David" w:hAnsi="David" w:hint="cs"/>
          <w:sz w:val="22"/>
          <w:rtl/>
        </w:rPr>
        <w:t>בית דין גדול</w:t>
      </w:r>
      <w:r w:rsidR="00C62B63">
        <w:rPr>
          <w:rFonts w:ascii="David" w:hAnsi="David" w:hint="cs"/>
          <w:sz w:val="22"/>
          <w:rtl/>
        </w:rPr>
        <w:t xml:space="preserve"> - כלומר אין היררכיה כי כל בית דין נחשב בית דין גדול ואין אחד שגדול על משנהו.</w:t>
      </w:r>
    </w:p>
    <w:p w14:paraId="3F58A8BA" w14:textId="35A85AED" w:rsidR="00781293" w:rsidRPr="00C31242" w:rsidRDefault="00781293" w:rsidP="00C31242">
      <w:pPr>
        <w:shd w:val="clear" w:color="auto" w:fill="FFF4CD" w:themeFill="accent1" w:themeFillTint="33"/>
        <w:rPr>
          <w:rFonts w:ascii="David" w:hAnsi="David"/>
        </w:rPr>
      </w:pPr>
      <w:r w:rsidRPr="00C31242">
        <w:rPr>
          <w:rFonts w:ascii="David" w:hAnsi="David" w:hint="cs"/>
          <w:b/>
          <w:bCs/>
          <w:shd w:val="clear" w:color="auto" w:fill="FFF4CD" w:themeFill="accent1" w:themeFillTint="33"/>
          <w:rtl/>
        </w:rPr>
        <w:t xml:space="preserve">ארבע כיוונים </w:t>
      </w:r>
      <w:r w:rsidR="00C31242">
        <w:rPr>
          <w:rFonts w:ascii="David" w:hAnsi="David" w:hint="cs"/>
          <w:b/>
          <w:bCs/>
          <w:shd w:val="clear" w:color="auto" w:fill="FFF4CD" w:themeFill="accent1" w:themeFillTint="33"/>
          <w:rtl/>
        </w:rPr>
        <w:t xml:space="preserve">הלכתיים </w:t>
      </w:r>
      <w:r w:rsidRPr="00C31242">
        <w:rPr>
          <w:rFonts w:ascii="David" w:hAnsi="David" w:hint="cs"/>
          <w:b/>
          <w:bCs/>
          <w:shd w:val="clear" w:color="auto" w:fill="FFF4CD" w:themeFill="accent1" w:themeFillTint="33"/>
          <w:rtl/>
        </w:rPr>
        <w:t xml:space="preserve">להתמודדות עם הדרישה של </w:t>
      </w:r>
      <w:r w:rsidR="003B132C" w:rsidRPr="00C31242">
        <w:rPr>
          <w:rFonts w:ascii="David" w:hAnsi="David" w:hint="cs"/>
          <w:b/>
          <w:bCs/>
          <w:shd w:val="clear" w:color="auto" w:fill="FFF4CD" w:themeFill="accent1" w:themeFillTint="33"/>
          <w:rtl/>
        </w:rPr>
        <w:t>ערכאת ערעור</w:t>
      </w:r>
      <w:r w:rsidR="003B132C" w:rsidRPr="00C31242">
        <w:rPr>
          <w:rFonts w:ascii="David" w:hAnsi="David" w:hint="cs"/>
          <w:rtl/>
        </w:rPr>
        <w:t>:</w:t>
      </w:r>
    </w:p>
    <w:p w14:paraId="1BA4AE66" w14:textId="0EAA48F3" w:rsidR="007932FF" w:rsidRDefault="00542E84" w:rsidP="00465590">
      <w:pPr>
        <w:pStyle w:val="ac"/>
        <w:numPr>
          <w:ilvl w:val="2"/>
          <w:numId w:val="8"/>
        </w:numPr>
        <w:bidi/>
        <w:spacing w:after="0"/>
        <w:rPr>
          <w:rFonts w:ascii="David" w:hAnsi="David"/>
          <w:sz w:val="22"/>
        </w:rPr>
      </w:pPr>
      <w:r w:rsidRPr="00C31242">
        <w:rPr>
          <w:rFonts w:ascii="David" w:hAnsi="David" w:hint="cs"/>
          <w:b/>
          <w:bCs/>
          <w:sz w:val="22"/>
          <w:shd w:val="clear" w:color="auto" w:fill="FFF4CD" w:themeFill="accent1" w:themeFillTint="33"/>
          <w:rtl/>
        </w:rPr>
        <w:t xml:space="preserve">בית בין גדול </w:t>
      </w:r>
      <w:r w:rsidR="00B44166">
        <w:rPr>
          <w:rFonts w:ascii="David" w:hAnsi="David" w:hint="cs"/>
          <w:b/>
          <w:bCs/>
          <w:sz w:val="22"/>
          <w:shd w:val="clear" w:color="auto" w:fill="FFF4CD" w:themeFill="accent1" w:themeFillTint="33"/>
          <w:rtl/>
        </w:rPr>
        <w:t>במובן הקלאסי</w:t>
      </w:r>
      <w:r w:rsidRPr="00C31242">
        <w:rPr>
          <w:rFonts w:ascii="David" w:hAnsi="David" w:hint="cs"/>
          <w:b/>
          <w:bCs/>
          <w:sz w:val="22"/>
          <w:shd w:val="clear" w:color="auto" w:fill="FFF4CD" w:themeFill="accent1" w:themeFillTint="33"/>
          <w:rtl/>
        </w:rPr>
        <w:t>:</w:t>
      </w:r>
      <w:r>
        <w:rPr>
          <w:rFonts w:ascii="David" w:hAnsi="David" w:hint="cs"/>
          <w:sz w:val="22"/>
          <w:rtl/>
        </w:rPr>
        <w:t xml:space="preserve"> </w:t>
      </w:r>
      <w:r w:rsidR="00797669">
        <w:rPr>
          <w:rFonts w:ascii="David" w:hAnsi="David" w:hint="cs"/>
          <w:sz w:val="22"/>
          <w:rtl/>
        </w:rPr>
        <w:t>אין מקום למוסד ערעורים בהלכה אלא אם כן יוקם בית דין גדול - לא בית דין גדול לערעורים, אלא בית דין גדול באמת</w:t>
      </w:r>
      <w:r w:rsidR="00B44166">
        <w:rPr>
          <w:rFonts w:ascii="David" w:hAnsi="David" w:hint="cs"/>
          <w:sz w:val="22"/>
          <w:rtl/>
        </w:rPr>
        <w:t xml:space="preserve"> שמורכב מדיינים שהם גדולי הדור</w:t>
      </w:r>
      <w:r w:rsidR="00797669">
        <w:rPr>
          <w:rFonts w:ascii="David" w:hAnsi="David" w:hint="cs"/>
          <w:sz w:val="22"/>
          <w:rtl/>
        </w:rPr>
        <w:t xml:space="preserve"> </w:t>
      </w:r>
      <w:r w:rsidR="00B44166">
        <w:rPr>
          <w:rFonts w:ascii="David" w:hAnsi="David" w:hint="cs"/>
          <w:sz w:val="22"/>
          <w:rtl/>
        </w:rPr>
        <w:t>(</w:t>
      </w:r>
      <w:r w:rsidR="00797669">
        <w:rPr>
          <w:rFonts w:ascii="David" w:hAnsi="David" w:hint="cs"/>
          <w:sz w:val="22"/>
          <w:rtl/>
        </w:rPr>
        <w:t>כמו שהשולחן ערוך מ</w:t>
      </w:r>
      <w:r w:rsidR="00365701">
        <w:rPr>
          <w:rFonts w:ascii="David" w:hAnsi="David" w:hint="cs"/>
          <w:sz w:val="22"/>
          <w:rtl/>
        </w:rPr>
        <w:t>דבר עליו</w:t>
      </w:r>
      <w:r w:rsidR="00B44166">
        <w:rPr>
          <w:rFonts w:ascii="David" w:hAnsi="David" w:hint="cs"/>
          <w:sz w:val="22"/>
          <w:rtl/>
        </w:rPr>
        <w:t>)</w:t>
      </w:r>
      <w:r w:rsidR="00FE1A03">
        <w:rPr>
          <w:rFonts w:ascii="David" w:hAnsi="David" w:hint="cs"/>
          <w:sz w:val="22"/>
          <w:rtl/>
        </w:rPr>
        <w:t>.</w:t>
      </w:r>
      <w:r w:rsidR="00CE7C0A">
        <w:rPr>
          <w:rFonts w:ascii="David" w:hAnsi="David" w:hint="cs"/>
          <w:sz w:val="22"/>
          <w:rtl/>
        </w:rPr>
        <w:t xml:space="preserve"> </w:t>
      </w:r>
    </w:p>
    <w:p w14:paraId="5CA7D67E" w14:textId="114E95BC" w:rsidR="004561C6" w:rsidRDefault="005147D2" w:rsidP="00465590">
      <w:pPr>
        <w:pStyle w:val="ac"/>
        <w:numPr>
          <w:ilvl w:val="2"/>
          <w:numId w:val="8"/>
        </w:numPr>
        <w:bidi/>
        <w:spacing w:after="0"/>
        <w:ind w:left="360"/>
        <w:rPr>
          <w:rFonts w:ascii="David" w:hAnsi="David"/>
          <w:sz w:val="22"/>
        </w:rPr>
      </w:pPr>
      <w:r w:rsidRPr="00C31242">
        <w:rPr>
          <w:rFonts w:ascii="David" w:hAnsi="David" w:hint="cs"/>
          <w:b/>
          <w:bCs/>
          <w:sz w:val="22"/>
          <w:shd w:val="clear" w:color="auto" w:fill="FFF4CD" w:themeFill="accent1" w:themeFillTint="33"/>
          <w:rtl/>
        </w:rPr>
        <w:t>בדרך של תקנה</w:t>
      </w:r>
      <w:r w:rsidR="00542E84" w:rsidRPr="00C31242">
        <w:rPr>
          <w:rFonts w:ascii="David" w:hAnsi="David" w:hint="cs"/>
          <w:sz w:val="22"/>
          <w:shd w:val="clear" w:color="auto" w:fill="FFF4CD" w:themeFill="accent1" w:themeFillTint="33"/>
          <w:rtl/>
        </w:rPr>
        <w:t>:</w:t>
      </w:r>
      <w:r>
        <w:rPr>
          <w:rFonts w:ascii="David" w:hAnsi="David" w:hint="cs"/>
          <w:sz w:val="22"/>
          <w:rtl/>
        </w:rPr>
        <w:t xml:space="preserve"> </w:t>
      </w:r>
      <w:r w:rsidR="00901619" w:rsidRPr="00940340">
        <w:rPr>
          <w:rFonts w:ascii="David" w:hAnsi="David" w:hint="cs"/>
          <w:sz w:val="22"/>
          <w:u w:val="single"/>
          <w:rtl/>
        </w:rPr>
        <w:t>הרב קוק</w:t>
      </w:r>
      <w:r w:rsidR="00EC150B" w:rsidRPr="00E2688B">
        <w:rPr>
          <w:rFonts w:ascii="David" w:hAnsi="David" w:hint="cs"/>
          <w:sz w:val="22"/>
          <w:rtl/>
        </w:rPr>
        <w:t xml:space="preserve">: כאשר אנחנו מסתכלים על ההלכה היהודית היא בנויה מדינים ותקנות. את הדינים לא ניתן לשנות בעוד תקנות כן יכולות. </w:t>
      </w:r>
      <w:r w:rsidR="005700A7" w:rsidRPr="00E2688B">
        <w:rPr>
          <w:rFonts w:ascii="David" w:hAnsi="David" w:hint="cs"/>
          <w:sz w:val="22"/>
          <w:rtl/>
        </w:rPr>
        <w:t>תקנות לדוג': חרם דרבנו גרשום שאוסר על גבר להינשא לאישה נוספת.</w:t>
      </w:r>
      <w:r w:rsidR="0072709A" w:rsidRPr="00E2688B">
        <w:rPr>
          <w:rFonts w:ascii="David" w:hAnsi="David" w:hint="cs"/>
          <w:sz w:val="22"/>
          <w:rtl/>
        </w:rPr>
        <w:t xml:space="preserve"> הרב קוק אומר שברמת התקנות יש אפשרות להתאים את ההלכה לימנו (יש דעות שאומרים שאי אפשר לתקן תקנות בימנו).</w:t>
      </w:r>
      <w:r w:rsidR="00E60B30" w:rsidRPr="00E2688B">
        <w:rPr>
          <w:rFonts w:ascii="David" w:hAnsi="David" w:hint="cs"/>
          <w:sz w:val="22"/>
          <w:rtl/>
        </w:rPr>
        <w:t xml:space="preserve"> </w:t>
      </w:r>
      <w:r w:rsidR="00E2688B">
        <w:rPr>
          <w:rFonts w:ascii="David" w:hAnsi="David" w:hint="cs"/>
          <w:sz w:val="22"/>
          <w:rtl/>
        </w:rPr>
        <w:t>אם התקנות יוסכמו על רוב חכמי ישראל הגדולים בארץ התקנות יהיו בעלות תו</w:t>
      </w:r>
      <w:r w:rsidR="00C063B2">
        <w:rPr>
          <w:rFonts w:ascii="David" w:hAnsi="David" w:hint="cs"/>
          <w:sz w:val="22"/>
          <w:rtl/>
        </w:rPr>
        <w:t>ק</w:t>
      </w:r>
      <w:r w:rsidR="00E2688B">
        <w:rPr>
          <w:rFonts w:ascii="David" w:hAnsi="David" w:hint="cs"/>
          <w:sz w:val="22"/>
          <w:rtl/>
        </w:rPr>
        <w:t>ף הלכתי.</w:t>
      </w:r>
      <w:r w:rsidR="00C063B2">
        <w:rPr>
          <w:rFonts w:ascii="David" w:hAnsi="David" w:hint="cs"/>
          <w:b/>
          <w:bCs/>
          <w:sz w:val="22"/>
          <w:rtl/>
        </w:rPr>
        <w:t xml:space="preserve"> </w:t>
      </w:r>
      <w:r w:rsidR="00C063B2" w:rsidRPr="00C31242">
        <w:rPr>
          <w:rFonts w:ascii="David" w:hAnsi="David" w:hint="cs"/>
          <w:sz w:val="22"/>
          <w:u w:val="single"/>
          <w:rtl/>
        </w:rPr>
        <w:t>מבחינתו מוסר הערעור צריך להיות תקנה</w:t>
      </w:r>
      <w:r w:rsidRPr="00C31242">
        <w:rPr>
          <w:rFonts w:ascii="David" w:hAnsi="David" w:hint="cs"/>
          <w:sz w:val="22"/>
          <w:u w:val="single"/>
          <w:rtl/>
        </w:rPr>
        <w:t xml:space="preserve"> חדשה -</w:t>
      </w:r>
      <w:r>
        <w:rPr>
          <w:rFonts w:ascii="David" w:hAnsi="David" w:hint="cs"/>
          <w:b/>
          <w:bCs/>
          <w:sz w:val="22"/>
          <w:rtl/>
        </w:rPr>
        <w:t xml:space="preserve"> </w:t>
      </w:r>
      <w:r w:rsidRPr="005147D2">
        <w:rPr>
          <w:rFonts w:ascii="David" w:hAnsi="David" w:hint="cs"/>
          <w:sz w:val="22"/>
          <w:rtl/>
        </w:rPr>
        <w:t>תקנה היא הודעה בכך שמוסד הערעור לא היה קיים לפני כן. המבנה שהרב קוק מציע אמור להיות בנוי משלוש קומות ומבנה זה לא התקיים.</w:t>
      </w:r>
      <w:r>
        <w:rPr>
          <w:rFonts w:ascii="David" w:hAnsi="David" w:hint="cs"/>
          <w:sz w:val="22"/>
          <w:rtl/>
        </w:rPr>
        <w:t xml:space="preserve"> הוא לא משתמש במנוח בית הדין הגדול וקורא לזה בית הדין </w:t>
      </w:r>
      <w:r w:rsidR="00E62C7F">
        <w:rPr>
          <w:rFonts w:ascii="David" w:hAnsi="David" w:hint="cs"/>
          <w:sz w:val="22"/>
          <w:rtl/>
        </w:rPr>
        <w:t>המרכזי, מדוע?</w:t>
      </w:r>
      <w:r w:rsidR="00DE4599">
        <w:rPr>
          <w:rFonts w:ascii="David" w:hAnsi="David" w:hint="cs"/>
          <w:sz w:val="22"/>
          <w:rtl/>
        </w:rPr>
        <w:t xml:space="preserve"> כי המונח של בית הדין הגדול קיים בהלכה (כמו </w:t>
      </w:r>
      <w:r w:rsidR="004C3C49">
        <w:rPr>
          <w:rFonts w:ascii="David" w:hAnsi="David" w:hint="cs"/>
          <w:sz w:val="22"/>
          <w:rtl/>
        </w:rPr>
        <w:t>שמדבר עליו השו"ע)</w:t>
      </w:r>
      <w:r w:rsidR="00DE4599">
        <w:rPr>
          <w:rFonts w:ascii="David" w:hAnsi="David" w:hint="cs"/>
          <w:sz w:val="22"/>
          <w:rtl/>
        </w:rPr>
        <w:t xml:space="preserve"> והוא לא רוצה שייוצר בלבול עם מוסד הערעור שאינו זהה לא.</w:t>
      </w:r>
      <w:r w:rsidR="00E62C7F">
        <w:rPr>
          <w:rFonts w:ascii="David" w:hAnsi="David" w:hint="cs"/>
          <w:sz w:val="22"/>
          <w:rtl/>
        </w:rPr>
        <w:t xml:space="preserve"> </w:t>
      </w:r>
    </w:p>
    <w:p w14:paraId="044DB14E" w14:textId="5FBD7E6B" w:rsidR="0035519F" w:rsidRDefault="00C31242" w:rsidP="00465590">
      <w:pPr>
        <w:pStyle w:val="ac"/>
        <w:numPr>
          <w:ilvl w:val="2"/>
          <w:numId w:val="8"/>
        </w:numPr>
        <w:bidi/>
        <w:spacing w:after="0"/>
        <w:ind w:left="360"/>
        <w:rPr>
          <w:rFonts w:ascii="David" w:hAnsi="David"/>
          <w:sz w:val="22"/>
        </w:rPr>
      </w:pPr>
      <w:r w:rsidRPr="00C31242">
        <w:rPr>
          <w:rFonts w:ascii="David" w:hAnsi="David" w:hint="cs"/>
          <w:b/>
          <w:bCs/>
          <w:shd w:val="clear" w:color="auto" w:fill="FFF4CD" w:themeFill="accent1" w:themeFillTint="33"/>
          <w:rtl/>
        </w:rPr>
        <w:t>קבלה מראש של מוסד הערעור על ידי בעלי הדין והדיינים</w:t>
      </w:r>
      <w:r>
        <w:rPr>
          <w:rFonts w:ascii="David" w:hAnsi="David" w:hint="cs"/>
          <w:rtl/>
        </w:rPr>
        <w:t xml:space="preserve">: </w:t>
      </w:r>
      <w:r w:rsidRPr="002C180F">
        <w:rPr>
          <w:rFonts w:ascii="David" w:hAnsi="David" w:hint="cs"/>
          <w:rtl/>
        </w:rPr>
        <w:t xml:space="preserve"> </w:t>
      </w:r>
      <w:r w:rsidR="009530B3" w:rsidRPr="009530B3">
        <w:rPr>
          <w:rFonts w:ascii="David" w:hAnsi="David" w:hint="cs"/>
          <w:sz w:val="22"/>
          <w:rtl/>
        </w:rPr>
        <w:t>הרבניים עם הזמן חיפשו צידוקים אחרים</w:t>
      </w:r>
      <w:r w:rsidR="009530B3">
        <w:rPr>
          <w:rFonts w:ascii="David" w:hAnsi="David" w:hint="cs"/>
          <w:sz w:val="22"/>
          <w:rtl/>
        </w:rPr>
        <w:t xml:space="preserve"> ולא על ידי תקנה, שכן התפיסה הרווחת היא </w:t>
      </w:r>
      <w:r w:rsidR="0041547E">
        <w:rPr>
          <w:rFonts w:ascii="David" w:hAnsi="David" w:hint="cs"/>
          <w:sz w:val="22"/>
          <w:rtl/>
        </w:rPr>
        <w:t>שהיום לא מתקנים תקנות.</w:t>
      </w:r>
      <w:r w:rsidR="00352CD7">
        <w:rPr>
          <w:rFonts w:ascii="David" w:hAnsi="David" w:hint="cs"/>
          <w:sz w:val="22"/>
          <w:rtl/>
        </w:rPr>
        <w:t xml:space="preserve"> </w:t>
      </w:r>
      <w:r w:rsidR="00B15DCA" w:rsidRPr="00101734">
        <w:rPr>
          <w:rFonts w:ascii="David" w:hAnsi="David" w:hint="cs"/>
          <w:b/>
          <w:bCs/>
          <w:sz w:val="22"/>
          <w:u w:val="single"/>
          <w:rtl/>
        </w:rPr>
        <w:t>פסקי דין רבניים חלק י' עמוד קסח ואילך</w:t>
      </w:r>
      <w:r w:rsidR="00101734" w:rsidRPr="00101734">
        <w:rPr>
          <w:rFonts w:ascii="David" w:hAnsi="David" w:hint="cs"/>
          <w:b/>
          <w:bCs/>
          <w:sz w:val="22"/>
          <w:u w:val="single"/>
          <w:rtl/>
        </w:rPr>
        <w:t xml:space="preserve"> (עמוד 7 בדף המקורות)</w:t>
      </w:r>
      <w:r w:rsidR="00B15DCA" w:rsidRPr="00101734">
        <w:rPr>
          <w:rFonts w:ascii="David" w:hAnsi="David" w:hint="cs"/>
          <w:b/>
          <w:bCs/>
          <w:sz w:val="22"/>
          <w:u w:val="single"/>
          <w:rtl/>
        </w:rPr>
        <w:t>:</w:t>
      </w:r>
      <w:r w:rsidR="009530B3" w:rsidRPr="00101734">
        <w:rPr>
          <w:rFonts w:ascii="David" w:hAnsi="David" w:hint="cs"/>
          <w:b/>
          <w:bCs/>
          <w:sz w:val="22"/>
          <w:u w:val="single"/>
          <w:rtl/>
        </w:rPr>
        <w:t xml:space="preserve"> </w:t>
      </w:r>
      <w:r w:rsidR="002303A0" w:rsidRPr="002303A0">
        <w:rPr>
          <w:rFonts w:ascii="David" w:hAnsi="David" w:hint="cs"/>
          <w:sz w:val="22"/>
          <w:rtl/>
        </w:rPr>
        <w:t xml:space="preserve">הרב שפירא </w:t>
      </w:r>
      <w:r w:rsidR="0035519F">
        <w:rPr>
          <w:rFonts w:ascii="David" w:hAnsi="David" w:hint="cs"/>
          <w:sz w:val="22"/>
          <w:rtl/>
        </w:rPr>
        <w:t>כותב</w:t>
      </w:r>
      <w:r w:rsidR="002303A0" w:rsidRPr="002303A0">
        <w:rPr>
          <w:rFonts w:ascii="David" w:hAnsi="David" w:hint="cs"/>
          <w:sz w:val="22"/>
          <w:rtl/>
        </w:rPr>
        <w:t xml:space="preserve"> מאיפה הסמכות </w:t>
      </w:r>
      <w:r w:rsidR="0035519F">
        <w:rPr>
          <w:rFonts w:ascii="David" w:hAnsi="David" w:hint="cs"/>
          <w:sz w:val="22"/>
          <w:rtl/>
        </w:rPr>
        <w:t xml:space="preserve">של </w:t>
      </w:r>
      <w:r w:rsidR="002303A0" w:rsidRPr="002303A0">
        <w:rPr>
          <w:rFonts w:ascii="David" w:hAnsi="David" w:hint="cs"/>
          <w:sz w:val="22"/>
          <w:rtl/>
        </w:rPr>
        <w:t>בית הדין הגדול לשנות פס"ד של בית הדין האזורי</w:t>
      </w:r>
      <w:r w:rsidR="001A3D36">
        <w:rPr>
          <w:rFonts w:ascii="David" w:hAnsi="David" w:hint="cs"/>
          <w:sz w:val="22"/>
          <w:rtl/>
        </w:rPr>
        <w:t xml:space="preserve"> - </w:t>
      </w:r>
      <w:r w:rsidR="00AB3801" w:rsidRPr="00C31242">
        <w:rPr>
          <w:rFonts w:ascii="David" w:hAnsi="David" w:hint="cs"/>
          <w:u w:val="single"/>
          <w:rtl/>
        </w:rPr>
        <w:t xml:space="preserve">קבלה מראש </w:t>
      </w:r>
      <w:r w:rsidR="007523EC" w:rsidRPr="00C31242">
        <w:rPr>
          <w:rFonts w:ascii="David" w:hAnsi="David" w:hint="cs"/>
          <w:u w:val="single"/>
          <w:rtl/>
        </w:rPr>
        <w:t>ש</w:t>
      </w:r>
      <w:r w:rsidR="00AB3801" w:rsidRPr="00C31242">
        <w:rPr>
          <w:rFonts w:ascii="David" w:hAnsi="David" w:hint="cs"/>
          <w:u w:val="single"/>
          <w:rtl/>
        </w:rPr>
        <w:t>ל מוסד הערעור על ידי בעלי הדין והדיינים</w:t>
      </w:r>
      <w:r w:rsidR="00AB3801" w:rsidRPr="002C180F">
        <w:rPr>
          <w:rFonts w:ascii="David" w:hAnsi="David" w:hint="cs"/>
          <w:rtl/>
        </w:rPr>
        <w:t xml:space="preserve"> - </w:t>
      </w:r>
      <w:r w:rsidR="004E2622" w:rsidRPr="002C180F">
        <w:rPr>
          <w:rFonts w:ascii="David" w:hAnsi="David" w:hint="cs"/>
          <w:rtl/>
        </w:rPr>
        <w:t xml:space="preserve">התלמוד קבע שאסור לבית דין אחד לבטל פס"ד של בית דין אחר, אך זה לא רלוונטי היום כי יש לנו תקנות דיון. </w:t>
      </w:r>
      <w:r w:rsidR="00AB3801" w:rsidRPr="002C180F">
        <w:rPr>
          <w:rFonts w:ascii="David" w:hAnsi="David" w:hint="cs"/>
          <w:rtl/>
        </w:rPr>
        <w:t>כיום יש מוסד ערעור וזה אומר שכל מי שמגיע לבית הדין האזורי יודע שאפשר לערער</w:t>
      </w:r>
      <w:r w:rsidR="007523EC" w:rsidRPr="002C180F">
        <w:rPr>
          <w:rFonts w:ascii="David" w:hAnsi="David" w:hint="cs"/>
          <w:rtl/>
        </w:rPr>
        <w:t>,</w:t>
      </w:r>
      <w:r w:rsidR="00AB3801" w:rsidRPr="002C180F">
        <w:rPr>
          <w:rFonts w:ascii="David" w:hAnsi="David" w:hint="cs"/>
          <w:rtl/>
        </w:rPr>
        <w:t xml:space="preserve"> </w:t>
      </w:r>
      <w:r w:rsidR="007523EC" w:rsidRPr="002C180F">
        <w:rPr>
          <w:rFonts w:ascii="David" w:hAnsi="David" w:hint="cs"/>
          <w:rtl/>
        </w:rPr>
        <w:t>ו</w:t>
      </w:r>
      <w:r w:rsidR="00AB3801" w:rsidRPr="002C180F">
        <w:rPr>
          <w:rFonts w:ascii="David" w:hAnsi="David" w:hint="cs"/>
          <w:rtl/>
        </w:rPr>
        <w:t xml:space="preserve">גם הדינים יודעים </w:t>
      </w:r>
      <w:r w:rsidR="003D176F" w:rsidRPr="002C180F">
        <w:rPr>
          <w:rFonts w:ascii="David" w:hAnsi="David" w:hint="cs"/>
          <w:rtl/>
        </w:rPr>
        <w:t>שיש מוסד ערעור ושפסק הדין שלהם מותנה.</w:t>
      </w:r>
      <w:r w:rsidR="007523EC" w:rsidRPr="002C180F">
        <w:rPr>
          <w:rFonts w:ascii="David" w:hAnsi="David" w:hint="cs"/>
          <w:rtl/>
        </w:rPr>
        <w:t xml:space="preserve"> לדעת פרופ' רדזינר זוהי טענה מאוד בעייתית </w:t>
      </w:r>
      <w:r w:rsidR="00BE729D" w:rsidRPr="002C180F">
        <w:rPr>
          <w:rFonts w:ascii="David" w:hAnsi="David" w:hint="cs"/>
          <w:rtl/>
        </w:rPr>
        <w:t>מכמה</w:t>
      </w:r>
      <w:r w:rsidR="00367337" w:rsidRPr="002C180F">
        <w:rPr>
          <w:rFonts w:ascii="David" w:hAnsi="David" w:hint="cs"/>
          <w:rtl/>
        </w:rPr>
        <w:t xml:space="preserve"> סיבות: 1) </w:t>
      </w:r>
      <w:r w:rsidR="00840202" w:rsidRPr="002C180F">
        <w:rPr>
          <w:rFonts w:ascii="David" w:hAnsi="David" w:hint="cs"/>
          <w:rtl/>
        </w:rPr>
        <w:t xml:space="preserve">מדובר </w:t>
      </w:r>
      <w:r w:rsidR="00274B19" w:rsidRPr="002C180F">
        <w:rPr>
          <w:rFonts w:ascii="David" w:hAnsi="David" w:hint="cs"/>
          <w:rtl/>
        </w:rPr>
        <w:t xml:space="preserve">בהיתר ואיסור ושם תניות אינם מקובלות (בשונה </w:t>
      </w:r>
      <w:r w:rsidR="00F35CBD" w:rsidRPr="002C180F">
        <w:rPr>
          <w:rFonts w:ascii="David" w:hAnsi="David" w:hint="cs"/>
          <w:rtl/>
        </w:rPr>
        <w:t>מדיני ממונות)</w:t>
      </w:r>
      <w:r w:rsidR="00274B19" w:rsidRPr="002C180F">
        <w:rPr>
          <w:rFonts w:ascii="David" w:hAnsi="David" w:hint="cs"/>
          <w:rtl/>
        </w:rPr>
        <w:t>.</w:t>
      </w:r>
      <w:r w:rsidR="00F35CBD" w:rsidRPr="002C180F">
        <w:rPr>
          <w:rFonts w:ascii="David" w:hAnsi="David" w:hint="cs"/>
          <w:rtl/>
        </w:rPr>
        <w:t xml:space="preserve"> ההלכה לא מאפשרת לעשות הסכמות בנוגע לדיני היתר ואיסור.</w:t>
      </w:r>
      <w:r w:rsidR="00274B19" w:rsidRPr="002C180F">
        <w:rPr>
          <w:rFonts w:ascii="David" w:hAnsi="David" w:hint="cs"/>
          <w:rtl/>
        </w:rPr>
        <w:t xml:space="preserve"> </w:t>
      </w:r>
      <w:r w:rsidR="00367337" w:rsidRPr="002C180F">
        <w:rPr>
          <w:rFonts w:ascii="David" w:hAnsi="David" w:hint="cs"/>
          <w:rtl/>
        </w:rPr>
        <w:t xml:space="preserve">2) קשה לומר שיש פה באמת בחירה של בעלי הדין, שכן בעלי הדין חייבים להגיע לבית הדין הרבני </w:t>
      </w:r>
      <w:r w:rsidR="007B7287" w:rsidRPr="002C180F">
        <w:rPr>
          <w:rFonts w:ascii="David" w:hAnsi="David" w:hint="cs"/>
          <w:rtl/>
        </w:rPr>
        <w:t>של מדינת ישראל ולא מדובר במוסד בוררות אותו בעלי הדין בוחרים.</w:t>
      </w:r>
      <w:r w:rsidR="00BE729D" w:rsidRPr="002C180F">
        <w:rPr>
          <w:rFonts w:ascii="David" w:hAnsi="David" w:hint="cs"/>
          <w:rtl/>
        </w:rPr>
        <w:t xml:space="preserve"> 3) ספק בכלל אם הרב שפירא קיבל את הטיעון הזה - </w:t>
      </w:r>
      <w:r w:rsidR="009942ED" w:rsidRPr="002C180F">
        <w:rPr>
          <w:rFonts w:ascii="David" w:hAnsi="David" w:hint="cs"/>
          <w:rtl/>
        </w:rPr>
        <w:t xml:space="preserve">במאמרו של הרב דיכובסקי (שניתן לקריאה) הוא מציג ציטוטים של הרב שפירא </w:t>
      </w:r>
      <w:r w:rsidR="00F211BD" w:rsidRPr="002C180F">
        <w:rPr>
          <w:rFonts w:ascii="David" w:hAnsi="David" w:hint="cs"/>
          <w:rtl/>
        </w:rPr>
        <w:t>שאומרים שאי אפשר לחייב את בית הדין האזורי לציית ויש להעביר את זה להרכב אחר.</w:t>
      </w:r>
      <w:r w:rsidR="008F3890" w:rsidRPr="002C180F">
        <w:rPr>
          <w:rFonts w:ascii="David" w:hAnsi="David" w:hint="cs"/>
          <w:rtl/>
        </w:rPr>
        <w:t xml:space="preserve"> כלומר, הרב שפירא בעצמו לא פועל על פי הטיעון הזה</w:t>
      </w:r>
      <w:r w:rsidR="00CB0048" w:rsidRPr="002C180F">
        <w:rPr>
          <w:rFonts w:ascii="David" w:hAnsi="David" w:hint="cs"/>
          <w:rtl/>
        </w:rPr>
        <w:t>.</w:t>
      </w:r>
    </w:p>
    <w:p w14:paraId="59F5B432" w14:textId="08C3AC29" w:rsidR="001A3D36" w:rsidRDefault="00CE7C0A" w:rsidP="00465590">
      <w:pPr>
        <w:pStyle w:val="ac"/>
        <w:numPr>
          <w:ilvl w:val="2"/>
          <w:numId w:val="8"/>
        </w:numPr>
        <w:bidi/>
        <w:spacing w:after="0"/>
        <w:ind w:left="360"/>
        <w:rPr>
          <w:rFonts w:ascii="David" w:hAnsi="David"/>
          <w:sz w:val="22"/>
        </w:rPr>
      </w:pPr>
      <w:r w:rsidRPr="00CE7C0A">
        <w:rPr>
          <w:rFonts w:ascii="David" w:hAnsi="David" w:hint="cs"/>
          <w:b/>
          <w:bCs/>
          <w:sz w:val="22"/>
          <w:shd w:val="clear" w:color="auto" w:fill="FFF4CD" w:themeFill="accent1" w:themeFillTint="33"/>
          <w:rtl/>
        </w:rPr>
        <w:t>תקדים הלכתי:</w:t>
      </w:r>
      <w:r>
        <w:rPr>
          <w:rFonts w:ascii="David" w:hAnsi="David" w:hint="cs"/>
          <w:b/>
          <w:bCs/>
          <w:sz w:val="22"/>
          <w:u w:val="single"/>
          <w:rtl/>
        </w:rPr>
        <w:t xml:space="preserve"> </w:t>
      </w:r>
      <w:r w:rsidR="00C31242" w:rsidRPr="00C31242">
        <w:rPr>
          <w:rFonts w:ascii="David" w:hAnsi="David" w:hint="cs"/>
          <w:b/>
          <w:bCs/>
          <w:sz w:val="22"/>
          <w:u w:val="single"/>
          <w:rtl/>
        </w:rPr>
        <w:t>הרב אברהם שרמן</w:t>
      </w:r>
      <w:r w:rsidR="00A41958">
        <w:rPr>
          <w:rFonts w:ascii="David" w:hAnsi="David" w:hint="cs"/>
          <w:b/>
          <w:bCs/>
          <w:sz w:val="22"/>
          <w:u w:val="single"/>
          <w:rtl/>
        </w:rPr>
        <w:t>, מאמר</w:t>
      </w:r>
      <w:r w:rsidR="00C31242" w:rsidRPr="00C31242">
        <w:rPr>
          <w:rFonts w:ascii="David" w:hAnsi="David" w:hint="cs"/>
          <w:b/>
          <w:bCs/>
          <w:sz w:val="22"/>
          <w:u w:val="single"/>
          <w:rtl/>
        </w:rPr>
        <w:t xml:space="preserve"> מקור הסמכות של בית הדין הגדול ומסגרת סמכותו:</w:t>
      </w:r>
      <w:r w:rsidR="00C31242">
        <w:rPr>
          <w:rFonts w:ascii="David" w:hAnsi="David" w:hint="cs"/>
          <w:b/>
          <w:bCs/>
          <w:sz w:val="22"/>
          <w:u w:val="single"/>
          <w:rtl/>
        </w:rPr>
        <w:t xml:space="preserve"> </w:t>
      </w:r>
      <w:r w:rsidR="00C31242">
        <w:rPr>
          <w:rFonts w:ascii="David" w:hAnsi="David" w:hint="cs"/>
          <w:sz w:val="22"/>
          <w:rtl/>
        </w:rPr>
        <w:t>לא אפשרי לקבל את דעתו של הרב שפירא שכן הסכמת הצדדים אינה רלוונטית בדיני היתר ואיסו</w:t>
      </w:r>
      <w:r w:rsidR="004B7E51">
        <w:rPr>
          <w:rFonts w:ascii="David" w:hAnsi="David" w:hint="cs"/>
          <w:sz w:val="22"/>
          <w:rtl/>
        </w:rPr>
        <w:t xml:space="preserve">ר. לדעת הרב </w:t>
      </w:r>
      <w:r w:rsidR="004B7E51" w:rsidRPr="00A41958">
        <w:rPr>
          <w:rFonts w:ascii="David" w:hAnsi="David" w:hint="cs"/>
          <w:sz w:val="22"/>
          <w:rtl/>
        </w:rPr>
        <w:t>שרמן</w:t>
      </w:r>
      <w:r w:rsidR="00A41958" w:rsidRPr="00A41958">
        <w:rPr>
          <w:rFonts w:ascii="David" w:hAnsi="David" w:hint="cs"/>
          <w:sz w:val="22"/>
          <w:rtl/>
        </w:rPr>
        <w:t>, כפוסק הלכה שמרן מחפש תקדים- הוא מוצא תקדים אך תקדים זה מרגיש מעט מאולץ.</w:t>
      </w:r>
      <w:r w:rsidR="008002AD">
        <w:rPr>
          <w:rFonts w:ascii="David" w:hAnsi="David" w:hint="cs"/>
          <w:sz w:val="22"/>
          <w:rtl/>
        </w:rPr>
        <w:t xml:space="preserve"> הרב שרמן</w:t>
      </w:r>
      <w:r w:rsidR="00A41958" w:rsidRPr="00A41958">
        <w:rPr>
          <w:rFonts w:ascii="David" w:hAnsi="David" w:hint="cs"/>
          <w:sz w:val="22"/>
          <w:rtl/>
        </w:rPr>
        <w:t xml:space="preserve"> מוצא תשובה מתחילת המאה ה</w:t>
      </w:r>
      <w:r w:rsidR="008A4805">
        <w:rPr>
          <w:rFonts w:ascii="David" w:hAnsi="David" w:hint="cs"/>
          <w:sz w:val="22"/>
          <w:rtl/>
        </w:rPr>
        <w:t>-</w:t>
      </w:r>
      <w:r w:rsidR="00A41958" w:rsidRPr="00A41958">
        <w:rPr>
          <w:rFonts w:ascii="David" w:hAnsi="David" w:hint="cs"/>
          <w:sz w:val="22"/>
          <w:rtl/>
        </w:rPr>
        <w:t>19 של החתם סופר</w:t>
      </w:r>
      <w:r w:rsidR="008A4805">
        <w:rPr>
          <w:rFonts w:ascii="David" w:hAnsi="David" w:hint="cs"/>
          <w:sz w:val="22"/>
          <w:rtl/>
        </w:rPr>
        <w:t xml:space="preserve">. בתשובתו החת"ס דן בשאלה הבאה: אתה מקבל כבית דין פסק דין של בית דין אחר ומגלה כי הם טעו לחלוטין בפסיקתם. מותר </w:t>
      </w:r>
      <w:r w:rsidR="006C114C">
        <w:rPr>
          <w:rFonts w:ascii="David" w:hAnsi="David" w:hint="cs"/>
          <w:sz w:val="22"/>
          <w:rtl/>
        </w:rPr>
        <w:t>לו</w:t>
      </w:r>
      <w:r w:rsidR="008A4805">
        <w:rPr>
          <w:rFonts w:ascii="David" w:hAnsi="David" w:hint="cs"/>
          <w:sz w:val="22"/>
          <w:rtl/>
        </w:rPr>
        <w:t xml:space="preserve"> להתערב על אף האיסור לסתור בית הדין אחר</w:t>
      </w:r>
      <w:r w:rsidR="006C114C">
        <w:rPr>
          <w:rFonts w:ascii="David" w:hAnsi="David" w:hint="cs"/>
          <w:sz w:val="22"/>
          <w:rtl/>
        </w:rPr>
        <w:t xml:space="preserve">. כך עושה הרב שרמן עושה היקש לאפשרות של בית הדין הגדול </w:t>
      </w:r>
      <w:r w:rsidR="00047A75">
        <w:rPr>
          <w:rFonts w:ascii="David" w:hAnsi="David" w:hint="cs"/>
          <w:sz w:val="22"/>
          <w:rtl/>
        </w:rPr>
        <w:t>לסתור את בית הדין האזורי כאשר הטעות כול כך חמורה</w:t>
      </w:r>
      <w:r w:rsidR="00A23995">
        <w:rPr>
          <w:rFonts w:ascii="David" w:hAnsi="David" w:hint="cs"/>
          <w:sz w:val="22"/>
          <w:rtl/>
        </w:rPr>
        <w:t xml:space="preserve"> - חשוב להדגיש </w:t>
      </w:r>
      <w:r w:rsidR="00C91B33">
        <w:rPr>
          <w:rFonts w:ascii="David" w:hAnsi="David" w:hint="cs"/>
          <w:sz w:val="22"/>
          <w:rtl/>
        </w:rPr>
        <w:t>שלדעתו יש</w:t>
      </w:r>
      <w:r w:rsidR="00A23995">
        <w:rPr>
          <w:rFonts w:ascii="David" w:hAnsi="David" w:hint="cs"/>
          <w:sz w:val="22"/>
          <w:rtl/>
        </w:rPr>
        <w:t xml:space="preserve"> אפשרות </w:t>
      </w:r>
      <w:r w:rsidR="00C91B33">
        <w:rPr>
          <w:rFonts w:ascii="David" w:hAnsi="David" w:hint="cs"/>
          <w:sz w:val="22"/>
          <w:rtl/>
        </w:rPr>
        <w:t>ערעור</w:t>
      </w:r>
      <w:r w:rsidR="00A23995">
        <w:rPr>
          <w:rFonts w:ascii="David" w:hAnsi="David" w:hint="cs"/>
          <w:sz w:val="22"/>
          <w:rtl/>
        </w:rPr>
        <w:t xml:space="preserve"> רק כאשר יש נימוקים לפס"ד</w:t>
      </w:r>
      <w:r w:rsidR="00C91B33">
        <w:rPr>
          <w:rFonts w:ascii="David" w:hAnsi="David" w:hint="cs"/>
          <w:sz w:val="22"/>
          <w:rtl/>
        </w:rPr>
        <w:t xml:space="preserve"> ולכן חשוב שיהיו פסקי דין מנומקים בבתי הדין האזוריים</w:t>
      </w:r>
      <w:r w:rsidR="00047A75">
        <w:rPr>
          <w:rFonts w:ascii="David" w:hAnsi="David" w:hint="cs"/>
          <w:sz w:val="22"/>
          <w:rtl/>
        </w:rPr>
        <w:t>.</w:t>
      </w:r>
      <w:r w:rsidR="00BF3A95">
        <w:rPr>
          <w:rFonts w:ascii="David" w:hAnsi="David" w:hint="cs"/>
          <w:sz w:val="22"/>
          <w:rtl/>
        </w:rPr>
        <w:t xml:space="preserve"> </w:t>
      </w:r>
      <w:r w:rsidR="00A23995">
        <w:rPr>
          <w:rFonts w:ascii="David" w:hAnsi="David" w:hint="cs"/>
          <w:sz w:val="22"/>
          <w:rtl/>
        </w:rPr>
        <w:t>ההיקש הזה הוא בעייתי שכן החתם סופר דיבר על מציאות מקרית בה מגיע פס</w:t>
      </w:r>
      <w:r w:rsidR="00E47BD3">
        <w:rPr>
          <w:rFonts w:ascii="David" w:hAnsi="David" w:hint="cs"/>
          <w:sz w:val="22"/>
          <w:rtl/>
        </w:rPr>
        <w:t>"</w:t>
      </w:r>
      <w:r w:rsidR="00A23995">
        <w:rPr>
          <w:rFonts w:ascii="David" w:hAnsi="David" w:hint="cs"/>
          <w:sz w:val="22"/>
          <w:rtl/>
        </w:rPr>
        <w:t xml:space="preserve">ד בין לפתחו בשונה ממציאות קבועה </w:t>
      </w:r>
      <w:r w:rsidR="00E47BD3">
        <w:rPr>
          <w:rFonts w:ascii="David" w:hAnsi="David" w:hint="cs"/>
          <w:sz w:val="22"/>
          <w:rtl/>
        </w:rPr>
        <w:t>של אפשרות ערעור</w:t>
      </w:r>
      <w:r w:rsidR="006E535F">
        <w:rPr>
          <w:rFonts w:ascii="David" w:hAnsi="David" w:hint="cs"/>
          <w:sz w:val="22"/>
          <w:rtl/>
        </w:rPr>
        <w:t>.</w:t>
      </w:r>
    </w:p>
    <w:p w14:paraId="5AA32B1B" w14:textId="6FF51E4C" w:rsidR="00CE7C0A" w:rsidRPr="00CE7C0A" w:rsidRDefault="00CE7C0A" w:rsidP="00D50B93">
      <w:pPr>
        <w:pStyle w:val="ac"/>
        <w:pBdr>
          <w:top w:val="single" w:sz="4" w:space="1" w:color="auto"/>
        </w:pBdr>
        <w:bidi/>
        <w:spacing w:after="0"/>
        <w:ind w:left="199"/>
        <w:rPr>
          <w:rFonts w:ascii="David" w:hAnsi="David"/>
          <w:sz w:val="22"/>
          <w:rtl/>
        </w:rPr>
      </w:pPr>
      <w:r w:rsidRPr="00CE7C0A">
        <w:rPr>
          <w:rFonts w:ascii="David" w:hAnsi="David" w:hint="cs"/>
          <w:sz w:val="22"/>
          <w:rtl/>
        </w:rPr>
        <w:t xml:space="preserve">22.03.2022 </w:t>
      </w:r>
    </w:p>
    <w:p w14:paraId="7DCD92C2" w14:textId="400DBA35" w:rsidR="00A41958" w:rsidRDefault="00D50B93" w:rsidP="00465590">
      <w:pPr>
        <w:pStyle w:val="ac"/>
        <w:numPr>
          <w:ilvl w:val="1"/>
          <w:numId w:val="8"/>
        </w:numPr>
        <w:bidi/>
        <w:spacing w:after="0"/>
        <w:rPr>
          <w:rFonts w:ascii="David" w:hAnsi="David"/>
          <w:sz w:val="22"/>
        </w:rPr>
      </w:pPr>
      <w:r w:rsidRPr="00D50B93">
        <w:rPr>
          <w:rFonts w:ascii="David" w:hAnsi="David" w:hint="cs"/>
          <w:b/>
          <w:bCs/>
          <w:sz w:val="22"/>
          <w:shd w:val="clear" w:color="auto" w:fill="FFF4CD" w:themeFill="accent1" w:themeFillTint="33"/>
          <w:rtl/>
        </w:rPr>
        <w:t>נימוק מערכתי ולא הלכתי</w:t>
      </w:r>
      <w:r>
        <w:rPr>
          <w:rFonts w:ascii="David" w:hAnsi="David" w:hint="cs"/>
          <w:sz w:val="22"/>
          <w:rtl/>
        </w:rPr>
        <w:t xml:space="preserve">: </w:t>
      </w:r>
      <w:r w:rsidR="00CE7C0A">
        <w:rPr>
          <w:rFonts w:ascii="David" w:hAnsi="David" w:hint="cs"/>
          <w:sz w:val="22"/>
          <w:rtl/>
        </w:rPr>
        <w:t>דעתו של הרב דיכובסקי</w:t>
      </w:r>
      <w:r w:rsidR="00B44166">
        <w:rPr>
          <w:rFonts w:ascii="David" w:hAnsi="David" w:hint="cs"/>
          <w:sz w:val="22"/>
          <w:rtl/>
        </w:rPr>
        <w:t xml:space="preserve"> (</w:t>
      </w:r>
      <w:r w:rsidR="00B44166" w:rsidRPr="00B44166">
        <w:rPr>
          <w:rFonts w:ascii="David" w:hAnsi="David" w:hint="cs"/>
          <w:sz w:val="22"/>
          <w:rtl/>
        </w:rPr>
        <w:t>כפיפות בית הדין האזורי לבית הדין הגדול - תחומין לה</w:t>
      </w:r>
      <w:r w:rsidR="00B44166">
        <w:rPr>
          <w:rFonts w:ascii="David" w:hAnsi="David" w:hint="cs"/>
          <w:sz w:val="22"/>
          <w:rtl/>
        </w:rPr>
        <w:t>)</w:t>
      </w:r>
      <w:r w:rsidR="00CE7C0A">
        <w:rPr>
          <w:rFonts w:ascii="David" w:hAnsi="David" w:hint="cs"/>
          <w:sz w:val="22"/>
          <w:rtl/>
        </w:rPr>
        <w:t>:</w:t>
      </w:r>
      <w:r w:rsidR="00B44166">
        <w:rPr>
          <w:rFonts w:ascii="David" w:hAnsi="David" w:hint="cs"/>
          <w:sz w:val="22"/>
          <w:rtl/>
        </w:rPr>
        <w:t xml:space="preserve"> </w:t>
      </w:r>
      <w:r w:rsidR="00CE7C0A">
        <w:rPr>
          <w:rFonts w:ascii="David" w:hAnsi="David" w:hint="cs"/>
          <w:sz w:val="22"/>
          <w:rtl/>
        </w:rPr>
        <w:t xml:space="preserve"> </w:t>
      </w:r>
      <w:r w:rsidR="00351F7A">
        <w:rPr>
          <w:rFonts w:ascii="David" w:hAnsi="David" w:hint="cs"/>
          <w:sz w:val="22"/>
          <w:rtl/>
        </w:rPr>
        <w:t xml:space="preserve">דיכובסקי </w:t>
      </w:r>
      <w:r w:rsidR="00B44166">
        <w:rPr>
          <w:rFonts w:ascii="David" w:hAnsi="David" w:hint="cs"/>
          <w:sz w:val="22"/>
          <w:rtl/>
        </w:rPr>
        <w:t xml:space="preserve"> מסוגל להבין את הרציונל של הדיינים</w:t>
      </w:r>
      <w:r w:rsidR="00351F7A">
        <w:rPr>
          <w:rFonts w:ascii="David" w:hAnsi="David" w:hint="cs"/>
          <w:sz w:val="22"/>
          <w:rtl/>
        </w:rPr>
        <w:t xml:space="preserve"> שאינם רוצים לפסוק בניגוד לדעתם ההלכתית</w:t>
      </w:r>
      <w:r w:rsidR="00B44166">
        <w:rPr>
          <w:rFonts w:ascii="David" w:hAnsi="David" w:hint="cs"/>
          <w:sz w:val="22"/>
          <w:rtl/>
        </w:rPr>
        <w:t xml:space="preserve">, אבל </w:t>
      </w:r>
      <w:r w:rsidR="00351F7A">
        <w:rPr>
          <w:rFonts w:ascii="David" w:hAnsi="David" w:hint="cs"/>
          <w:sz w:val="22"/>
          <w:rtl/>
        </w:rPr>
        <w:t>הוא</w:t>
      </w:r>
      <w:r w:rsidR="00B44166">
        <w:rPr>
          <w:rFonts w:ascii="David" w:hAnsi="David" w:hint="cs"/>
          <w:sz w:val="22"/>
          <w:rtl/>
        </w:rPr>
        <w:t xml:space="preserve"> לא יכול להסכים עם זה, כיוון </w:t>
      </w:r>
      <w:r w:rsidR="00B44166">
        <w:rPr>
          <w:rFonts w:ascii="David" w:hAnsi="David" w:hint="cs"/>
          <w:sz w:val="22"/>
          <w:rtl/>
        </w:rPr>
        <w:lastRenderedPageBreak/>
        <w:t>שזה יוצר כאוס. הוא מודה שמדובר בלחץ חיצוני ולא נובע מההלכה, אך זה קיים כבר מאה שנה וחייב לקיימו כדי לא להחריב את המערכת מבפנים.</w:t>
      </w:r>
      <w:r w:rsidR="00351F7A">
        <w:rPr>
          <w:rFonts w:ascii="David" w:hAnsi="David" w:hint="cs"/>
          <w:sz w:val="22"/>
          <w:rtl/>
        </w:rPr>
        <w:t xml:space="preserve"> חוסר ציות של בתי הדין האזוריים היא כריתה של ענף עליו הם יושבים. ההצדקה של הרב דיכובסקי היא </w:t>
      </w:r>
      <w:r w:rsidR="00351F7A" w:rsidRPr="00D50B93">
        <w:rPr>
          <w:rFonts w:ascii="David" w:hAnsi="David" w:hint="cs"/>
          <w:b/>
          <w:bCs/>
          <w:sz w:val="22"/>
          <w:rtl/>
        </w:rPr>
        <w:t>הצדקה מערכתית</w:t>
      </w:r>
      <w:r w:rsidR="00351F7A">
        <w:rPr>
          <w:rFonts w:ascii="David" w:hAnsi="David" w:hint="cs"/>
          <w:sz w:val="22"/>
          <w:rtl/>
        </w:rPr>
        <w:t xml:space="preserve"> - הוא לא מדבר על הסכמה ספציפית בכל תיק ותיק כמו הרב שפירא, אלא על הסכמה כללית בנוגע למערכת. בית הדין האזורי תלוי בקיומה של ערכאת ערעור </w:t>
      </w:r>
      <w:r>
        <w:rPr>
          <w:rFonts w:ascii="David" w:hAnsi="David" w:hint="cs"/>
          <w:sz w:val="22"/>
          <w:rtl/>
        </w:rPr>
        <w:t>ולכן קבלה של המערכת היא גם קבלה של ערכאת הערעור. בנוסף, אם אנחנו לא נדאג לקיים את תקנות הדיון שלנו</w:t>
      </w:r>
      <w:r w:rsidR="00351F7A">
        <w:rPr>
          <w:rFonts w:ascii="David" w:hAnsi="David" w:hint="cs"/>
          <w:sz w:val="22"/>
          <w:rtl/>
        </w:rPr>
        <w:t xml:space="preserve"> </w:t>
      </w:r>
      <w:r>
        <w:rPr>
          <w:rFonts w:ascii="David" w:hAnsi="David" w:hint="cs"/>
          <w:sz w:val="22"/>
          <w:rtl/>
        </w:rPr>
        <w:t>מישהו מבחוץ יתערב ותיפגע הסמכות של הדיינים. אם יש רצון שתהיה מערכת רבנית רשמית במדינת ישראל יש צורך להקשיב לכללים.</w:t>
      </w:r>
    </w:p>
    <w:p w14:paraId="064961FE" w14:textId="7618A01D" w:rsidR="00D50B93" w:rsidRPr="00D50B93" w:rsidRDefault="00AD3808" w:rsidP="00AD3808">
      <w:pPr>
        <w:pStyle w:val="21"/>
        <w:rPr>
          <w:sz w:val="22"/>
        </w:rPr>
      </w:pPr>
      <w:bookmarkStart w:id="8" w:name="_Toc107438155"/>
      <w:r>
        <w:rPr>
          <w:rFonts w:hint="cs"/>
          <w:rtl/>
        </w:rPr>
        <w:t>מוסד הנימוק</w:t>
      </w:r>
      <w:bookmarkEnd w:id="8"/>
      <w:r>
        <w:rPr>
          <w:rFonts w:hint="cs"/>
          <w:rtl/>
        </w:rPr>
        <w:t xml:space="preserve"> </w:t>
      </w:r>
      <w:r w:rsidR="00B54E07">
        <w:rPr>
          <w:rFonts w:hint="cs"/>
          <w:sz w:val="22"/>
          <w:rtl/>
        </w:rPr>
        <w:t xml:space="preserve"> </w:t>
      </w:r>
    </w:p>
    <w:p w14:paraId="6CE8C70F" w14:textId="3B38850C" w:rsidR="00D50B93" w:rsidRPr="00A94619" w:rsidRDefault="00AD3808" w:rsidP="00A94619">
      <w:pPr>
        <w:rPr>
          <w:rFonts w:ascii="David" w:hAnsi="David"/>
        </w:rPr>
      </w:pPr>
      <w:r w:rsidRPr="00A94619">
        <w:rPr>
          <w:rFonts w:ascii="David" w:hAnsi="David" w:hint="cs"/>
          <w:rtl/>
        </w:rPr>
        <w:t>מוסד חדש שנוצר עקב מוסד הערעור, הרי ללא נימוק לא ניתן לערער על פסקי הדין</w:t>
      </w:r>
      <w:r w:rsidR="00A94619">
        <w:rPr>
          <w:rFonts w:ascii="David" w:hAnsi="David" w:hint="cs"/>
          <w:rtl/>
        </w:rPr>
        <w:t xml:space="preserve"> [ע</w:t>
      </w:r>
      <w:r w:rsidR="00A94619" w:rsidRPr="00EF3F02">
        <w:rPr>
          <w:rFonts w:ascii="David" w:hAnsi="David" w:hint="cs"/>
          <w:rtl/>
        </w:rPr>
        <w:t>מוד 5 בדף המקורות</w:t>
      </w:r>
      <w:r w:rsidR="00A94619">
        <w:rPr>
          <w:rFonts w:ascii="David" w:hAnsi="David" w:hint="cs"/>
          <w:rtl/>
        </w:rPr>
        <w:t>]</w:t>
      </w:r>
      <w:r w:rsidRPr="00A94619">
        <w:rPr>
          <w:rFonts w:ascii="David" w:hAnsi="David" w:hint="cs"/>
          <w:rtl/>
        </w:rPr>
        <w:t xml:space="preserve">. </w:t>
      </w:r>
    </w:p>
    <w:p w14:paraId="404348C4" w14:textId="37257A2A" w:rsidR="00AD3808" w:rsidRPr="001C6F37" w:rsidRDefault="00AD3808" w:rsidP="001C6F37">
      <w:pPr>
        <w:shd w:val="clear" w:color="auto" w:fill="FFF4CD" w:themeFill="accent1" w:themeFillTint="33"/>
        <w:rPr>
          <w:rFonts w:ascii="David" w:hAnsi="David"/>
          <w:b/>
          <w:bCs/>
        </w:rPr>
      </w:pPr>
      <w:r w:rsidRPr="001C6F37">
        <w:rPr>
          <w:rFonts w:ascii="David" w:hAnsi="David" w:hint="cs"/>
          <w:b/>
          <w:bCs/>
          <w:rtl/>
        </w:rPr>
        <w:t xml:space="preserve">המצב בהלכה הקלאסית </w:t>
      </w:r>
      <w:r w:rsidR="00EF3F02" w:rsidRPr="001C6F37">
        <w:rPr>
          <w:rFonts w:ascii="David" w:hAnsi="David" w:hint="cs"/>
          <w:b/>
          <w:bCs/>
          <w:rtl/>
        </w:rPr>
        <w:t>של מוסד הנימוק</w:t>
      </w:r>
    </w:p>
    <w:p w14:paraId="017A9607" w14:textId="31DC93A3" w:rsidR="00EC53BA" w:rsidRPr="00EC53BA" w:rsidRDefault="00EF3F02" w:rsidP="00465590">
      <w:pPr>
        <w:pStyle w:val="ac"/>
        <w:numPr>
          <w:ilvl w:val="1"/>
          <w:numId w:val="8"/>
        </w:numPr>
        <w:bidi/>
        <w:spacing w:after="0"/>
        <w:rPr>
          <w:rFonts w:ascii="David" w:hAnsi="David"/>
          <w:sz w:val="22"/>
        </w:rPr>
      </w:pPr>
      <w:r w:rsidRPr="00EF3F02">
        <w:rPr>
          <w:rFonts w:ascii="David" w:hAnsi="David" w:hint="cs"/>
          <w:b/>
          <w:bCs/>
          <w:sz w:val="22"/>
          <w:u w:val="single"/>
          <w:rtl/>
        </w:rPr>
        <w:t>הרמב"ם הלכות סנהדרי</w:t>
      </w:r>
      <w:r w:rsidRPr="00EF3F02">
        <w:rPr>
          <w:rFonts w:ascii="David" w:hAnsi="David" w:hint="eastAsia"/>
          <w:b/>
          <w:bCs/>
          <w:sz w:val="22"/>
          <w:u w:val="single"/>
          <w:rtl/>
        </w:rPr>
        <w:t>ן</w:t>
      </w:r>
      <w:r w:rsidRPr="00EF3F02">
        <w:rPr>
          <w:rFonts w:ascii="David" w:hAnsi="David" w:hint="cs"/>
          <w:b/>
          <w:bCs/>
          <w:sz w:val="22"/>
          <w:u w:val="single"/>
          <w:rtl/>
        </w:rPr>
        <w:t xml:space="preserve"> פרק כב הלכה ח</w:t>
      </w:r>
      <w:r>
        <w:rPr>
          <w:rFonts w:ascii="David" w:hAnsi="David" w:hint="cs"/>
          <w:b/>
          <w:bCs/>
          <w:sz w:val="22"/>
          <w:u w:val="single"/>
          <w:rtl/>
        </w:rPr>
        <w:t>:</w:t>
      </w:r>
      <w:r>
        <w:rPr>
          <w:rFonts w:ascii="David" w:hAnsi="David" w:hint="cs"/>
          <w:sz w:val="22"/>
          <w:rtl/>
        </w:rPr>
        <w:t xml:space="preserve"> </w:t>
      </w:r>
      <w:r w:rsidR="001C6F37">
        <w:rPr>
          <w:rFonts w:ascii="David" w:hAnsi="David" w:hint="cs"/>
          <w:sz w:val="22"/>
          <w:rtl/>
        </w:rPr>
        <w:t xml:space="preserve"> </w:t>
      </w:r>
      <w:r w:rsidRPr="001C6F37">
        <w:rPr>
          <w:rFonts w:ascii="David" w:hAnsi="David" w:hint="cs"/>
          <w:sz w:val="22"/>
          <w:u w:val="single"/>
          <w:rtl/>
        </w:rPr>
        <w:t>רק כאשר אחד הצדדים מבקש כותבים את פסק הדין</w:t>
      </w:r>
      <w:r>
        <w:rPr>
          <w:rFonts w:ascii="David" w:hAnsi="David" w:hint="cs"/>
          <w:sz w:val="22"/>
          <w:rtl/>
        </w:rPr>
        <w:t xml:space="preserve">, ברירת המחדל היא לא לכתוב. </w:t>
      </w:r>
      <w:r w:rsidRPr="001C6F37">
        <w:rPr>
          <w:rFonts w:ascii="David" w:hAnsi="David" w:hint="cs"/>
          <w:sz w:val="22"/>
          <w:u w:val="single"/>
          <w:rtl/>
        </w:rPr>
        <w:t>גם כאשר כותבים פס"ד הוא קצר ללא נימוקים</w:t>
      </w:r>
      <w:r>
        <w:rPr>
          <w:rFonts w:ascii="David" w:hAnsi="David" w:hint="cs"/>
          <w:sz w:val="22"/>
          <w:rtl/>
        </w:rPr>
        <w:t xml:space="preserve">. </w:t>
      </w:r>
      <w:r w:rsidR="001C6F37">
        <w:rPr>
          <w:rFonts w:ascii="David" w:hAnsi="David" w:hint="cs"/>
          <w:sz w:val="22"/>
          <w:rtl/>
        </w:rPr>
        <w:t>לא מציינים בנימוק שהדיינים נחלקו עליהם בפס"ד ומציגים עמדה אחת</w:t>
      </w:r>
      <w:r w:rsidR="00EC53BA">
        <w:rPr>
          <w:rFonts w:ascii="David" w:hAnsi="David" w:hint="cs"/>
          <w:sz w:val="22"/>
          <w:rtl/>
        </w:rPr>
        <w:t xml:space="preserve">. </w:t>
      </w:r>
      <w:r w:rsidRPr="00EC53BA">
        <w:rPr>
          <w:rFonts w:ascii="David" w:hAnsi="David" w:hint="cs"/>
          <w:rtl/>
        </w:rPr>
        <w:t>מדוע אין נימוקים על פס"ד הלכתיים? כיוון שאין מוסד ערעור.</w:t>
      </w:r>
    </w:p>
    <w:p w14:paraId="2B472785" w14:textId="09E3C1AB" w:rsidR="001C6F37" w:rsidRPr="00EC53BA" w:rsidRDefault="00EC53BA" w:rsidP="00465590">
      <w:pPr>
        <w:pStyle w:val="ac"/>
        <w:numPr>
          <w:ilvl w:val="1"/>
          <w:numId w:val="8"/>
        </w:numPr>
        <w:bidi/>
        <w:spacing w:after="0"/>
        <w:rPr>
          <w:rFonts w:ascii="David" w:hAnsi="David"/>
          <w:sz w:val="22"/>
        </w:rPr>
      </w:pPr>
      <w:r w:rsidRPr="00EC53BA">
        <w:rPr>
          <w:rFonts w:ascii="David" w:hAnsi="David" w:hint="cs"/>
          <w:b/>
          <w:bCs/>
          <w:sz w:val="22"/>
          <w:u w:val="single"/>
          <w:rtl/>
        </w:rPr>
        <w:t>שולחן ערוך חשון משפט סימן יד סעיף א:</w:t>
      </w:r>
      <w:r w:rsidR="00EF3F02" w:rsidRPr="00EC53BA">
        <w:rPr>
          <w:rFonts w:ascii="David" w:hAnsi="David" w:hint="cs"/>
          <w:rtl/>
        </w:rPr>
        <w:t xml:space="preserve"> </w:t>
      </w:r>
      <w:r w:rsidR="001C6F37" w:rsidRPr="00EC53BA">
        <w:rPr>
          <w:rFonts w:ascii="David" w:hAnsi="David" w:hint="cs"/>
          <w:sz w:val="22"/>
          <w:rtl/>
        </w:rPr>
        <w:t xml:space="preserve">החריג לכתיבת נימוקים: כאשר בעל הדין מפקפק </w:t>
      </w:r>
      <w:r>
        <w:rPr>
          <w:rFonts w:ascii="David" w:hAnsi="David" w:hint="cs"/>
          <w:sz w:val="22"/>
          <w:rtl/>
        </w:rPr>
        <w:t xml:space="preserve"> על </w:t>
      </w:r>
      <w:r w:rsidR="001C6F37" w:rsidRPr="00EC53BA">
        <w:rPr>
          <w:rFonts w:ascii="David" w:hAnsi="David" w:hint="cs"/>
          <w:sz w:val="22"/>
          <w:rtl/>
        </w:rPr>
        <w:t>בית הדין וככול הנראה הוא צריך להגיד זאת מראש</w:t>
      </w:r>
      <w:r>
        <w:rPr>
          <w:rFonts w:ascii="David" w:hAnsi="David" w:hint="cs"/>
          <w:sz w:val="22"/>
          <w:rtl/>
        </w:rPr>
        <w:t>, יש לכתוב נימוק</w:t>
      </w:r>
      <w:r w:rsidR="001C6F37" w:rsidRPr="00EC53BA">
        <w:rPr>
          <w:rFonts w:ascii="David" w:hAnsi="David" w:hint="cs"/>
          <w:sz w:val="22"/>
          <w:rtl/>
        </w:rPr>
        <w:t>.</w:t>
      </w:r>
      <w:r>
        <w:rPr>
          <w:rFonts w:ascii="David" w:hAnsi="David" w:hint="cs"/>
          <w:sz w:val="22"/>
          <w:rtl/>
        </w:rPr>
        <w:t xml:space="preserve"> חשוב לציין שלרוב זה לא קרה שכן סמכו על בתי הדין.</w:t>
      </w:r>
      <w:r w:rsidR="001C6F37" w:rsidRPr="00EC53BA">
        <w:rPr>
          <w:rFonts w:ascii="David" w:hAnsi="David" w:hint="cs"/>
          <w:sz w:val="22"/>
          <w:rtl/>
        </w:rPr>
        <w:t xml:space="preserve"> כלומר, </w:t>
      </w:r>
      <w:r>
        <w:rPr>
          <w:rFonts w:ascii="David" w:hAnsi="David" w:hint="cs"/>
          <w:sz w:val="22"/>
          <w:rtl/>
        </w:rPr>
        <w:t>אם</w:t>
      </w:r>
      <w:r w:rsidR="001C6F37" w:rsidRPr="00EC53BA">
        <w:rPr>
          <w:rFonts w:ascii="David" w:hAnsi="David" w:hint="cs"/>
          <w:sz w:val="22"/>
          <w:rtl/>
        </w:rPr>
        <w:t xml:space="preserve"> קיימת ערכאת ערעור קבועה והתקנות קובעות שניתן לערער על כל פס"ד אז עכשיו ברירת המחדל מתהפכת</w:t>
      </w:r>
      <w:r w:rsidRPr="00EC53BA">
        <w:rPr>
          <w:rFonts w:ascii="David" w:hAnsi="David" w:hint="cs"/>
          <w:sz w:val="22"/>
          <w:rtl/>
        </w:rPr>
        <w:t>. הדיין צריך להניח תמיד שיהיה ערעור.</w:t>
      </w:r>
    </w:p>
    <w:p w14:paraId="4A58243C" w14:textId="7B014E40" w:rsidR="00EF3F02" w:rsidRPr="001C6F37" w:rsidRDefault="001C6F37" w:rsidP="001C6F37">
      <w:pPr>
        <w:shd w:val="clear" w:color="auto" w:fill="FFF4CD" w:themeFill="accent1" w:themeFillTint="33"/>
        <w:rPr>
          <w:rFonts w:ascii="David" w:hAnsi="David"/>
          <w:b/>
          <w:bCs/>
        </w:rPr>
      </w:pPr>
      <w:r w:rsidRPr="001C6F37">
        <w:rPr>
          <w:rFonts w:ascii="David" w:hAnsi="David" w:hint="cs"/>
          <w:b/>
          <w:bCs/>
          <w:rtl/>
        </w:rPr>
        <w:t>כיצד מוסד הנימוק השתנה במדינת ישראל:</w:t>
      </w:r>
    </w:p>
    <w:p w14:paraId="44B291C1" w14:textId="4B34A047" w:rsidR="001C6F37" w:rsidRDefault="00EC53BA" w:rsidP="00465590">
      <w:pPr>
        <w:pStyle w:val="ac"/>
        <w:numPr>
          <w:ilvl w:val="1"/>
          <w:numId w:val="8"/>
        </w:numPr>
        <w:bidi/>
        <w:spacing w:after="0"/>
        <w:rPr>
          <w:rFonts w:ascii="David" w:hAnsi="David"/>
          <w:sz w:val="22"/>
        </w:rPr>
      </w:pPr>
      <w:r w:rsidRPr="00B54E07">
        <w:rPr>
          <w:rFonts w:ascii="David" w:hAnsi="David" w:hint="cs"/>
          <w:b/>
          <w:bCs/>
          <w:sz w:val="22"/>
          <w:u w:val="single"/>
          <w:rtl/>
        </w:rPr>
        <w:t>תקנות הדיון בבתי הדין הרבניים</w:t>
      </w:r>
      <w:r w:rsidR="00B54E07" w:rsidRPr="00B54E07">
        <w:rPr>
          <w:rFonts w:ascii="David" w:hAnsi="David" w:hint="cs"/>
          <w:b/>
          <w:bCs/>
          <w:sz w:val="22"/>
          <w:u w:val="single"/>
          <w:rtl/>
        </w:rPr>
        <w:t>:</w:t>
      </w:r>
      <w:r>
        <w:rPr>
          <w:rFonts w:ascii="David" w:hAnsi="David" w:hint="cs"/>
          <w:sz w:val="22"/>
          <w:rtl/>
        </w:rPr>
        <w:t xml:space="preserve"> ברירת המחדל היא לכתוב נימוק. אם שני הצדדים וויתרו על זכות ערעור, ראשי בית הדין להוציא פסד, מבלי לפרש מאיזה טעם דן.</w:t>
      </w:r>
    </w:p>
    <w:p w14:paraId="6EE91E62" w14:textId="77777777" w:rsidR="00637F2E" w:rsidRPr="00637F2E" w:rsidRDefault="00EC53BA" w:rsidP="00465590">
      <w:pPr>
        <w:pStyle w:val="ac"/>
        <w:numPr>
          <w:ilvl w:val="1"/>
          <w:numId w:val="8"/>
        </w:numPr>
        <w:bidi/>
        <w:spacing w:after="0"/>
        <w:rPr>
          <w:rFonts w:ascii="David" w:hAnsi="David"/>
          <w:b/>
          <w:bCs/>
          <w:sz w:val="22"/>
        </w:rPr>
      </w:pPr>
      <w:r w:rsidRPr="00637F2E">
        <w:rPr>
          <w:rFonts w:ascii="David" w:hAnsi="David" w:hint="cs"/>
          <w:b/>
          <w:bCs/>
          <w:sz w:val="22"/>
          <w:rtl/>
        </w:rPr>
        <w:t xml:space="preserve">אם כך, מדוע בית הדין הגדול כותב נימוקים? </w:t>
      </w:r>
    </w:p>
    <w:p w14:paraId="5D00260A" w14:textId="2E671665" w:rsidR="00EC53BA" w:rsidRDefault="00EC53BA" w:rsidP="00465590">
      <w:pPr>
        <w:pStyle w:val="ac"/>
        <w:numPr>
          <w:ilvl w:val="2"/>
          <w:numId w:val="8"/>
        </w:numPr>
        <w:bidi/>
        <w:spacing w:after="0"/>
        <w:rPr>
          <w:rFonts w:ascii="David" w:hAnsi="David"/>
          <w:sz w:val="22"/>
        </w:rPr>
      </w:pPr>
      <w:r>
        <w:rPr>
          <w:rFonts w:ascii="David" w:hAnsi="David" w:hint="cs"/>
          <w:sz w:val="22"/>
          <w:rtl/>
        </w:rPr>
        <w:t>ככול הנראה כי הם רוצים להראות כי לבתי הדין האזורים שיש טעם במעשיהם</w:t>
      </w:r>
      <w:r w:rsidR="00637F2E">
        <w:rPr>
          <w:rFonts w:ascii="David" w:hAnsi="David" w:hint="cs"/>
          <w:sz w:val="22"/>
          <w:rtl/>
        </w:rPr>
        <w:t>. כאשר הם חולקים עליהם הם רוצים להראות מהיכן זה הגיע.</w:t>
      </w:r>
    </w:p>
    <w:p w14:paraId="21829BAC" w14:textId="1945A38F" w:rsidR="00637F2E" w:rsidRDefault="00637F2E" w:rsidP="00465590">
      <w:pPr>
        <w:pStyle w:val="ac"/>
        <w:numPr>
          <w:ilvl w:val="2"/>
          <w:numId w:val="8"/>
        </w:numPr>
        <w:bidi/>
        <w:spacing w:after="0"/>
        <w:rPr>
          <w:rFonts w:ascii="David" w:hAnsi="David"/>
          <w:sz w:val="22"/>
        </w:rPr>
      </w:pPr>
      <w:r>
        <w:rPr>
          <w:rFonts w:ascii="David" w:hAnsi="David" w:hint="cs"/>
          <w:sz w:val="22"/>
          <w:rtl/>
        </w:rPr>
        <w:t>הם בית הדין הגדול והם מכווני הדרך וראוי שיראו על סמך מה הם פוסקים.</w:t>
      </w:r>
    </w:p>
    <w:p w14:paraId="1FA076FF" w14:textId="4BE95BEB" w:rsidR="00637F2E" w:rsidRDefault="00637F2E" w:rsidP="00465590">
      <w:pPr>
        <w:pStyle w:val="ac"/>
        <w:numPr>
          <w:ilvl w:val="2"/>
          <w:numId w:val="8"/>
        </w:numPr>
        <w:bidi/>
        <w:spacing w:after="0"/>
        <w:rPr>
          <w:rFonts w:ascii="David" w:hAnsi="David"/>
          <w:sz w:val="22"/>
        </w:rPr>
      </w:pPr>
      <w:r>
        <w:rPr>
          <w:rFonts w:ascii="David" w:hAnsi="David" w:hint="cs"/>
          <w:sz w:val="22"/>
          <w:rtl/>
        </w:rPr>
        <w:t xml:space="preserve">שיקול חוץ הלכתי - אי אפשר ללמוד ולהכיר את המערכת מבלי לקרוא את פסקי הדין שלה. זו היא גם דעתו של הרב עוזיאל. </w:t>
      </w:r>
      <w:r w:rsidRPr="00637F2E">
        <w:rPr>
          <w:rFonts w:ascii="David" w:hAnsi="David" w:hint="cs"/>
          <w:b/>
          <w:bCs/>
          <w:sz w:val="22"/>
          <w:u w:val="single"/>
          <w:rtl/>
        </w:rPr>
        <w:t>שו"ת משפטי עוזיאל ח"ג חו"מ א:</w:t>
      </w:r>
      <w:r>
        <w:rPr>
          <w:rFonts w:ascii="David" w:hAnsi="David" w:hint="cs"/>
          <w:sz w:val="22"/>
          <w:rtl/>
        </w:rPr>
        <w:t xml:space="preserve"> תפקיד הדיינים הוא לא רק לפסוק את הדין, תפקידו הוא: 1) גם להאיר (לשכנע) את עיניהם של בעלי הדין. 2) ללמד את העם משפט. בכתיבת פסד דין מנומק אנחנו מראים לעם כיצד הדיין מגיע על הצדק.</w:t>
      </w:r>
      <w:r w:rsidR="00F365D2">
        <w:rPr>
          <w:rFonts w:ascii="David" w:hAnsi="David" w:hint="cs"/>
          <w:sz w:val="22"/>
          <w:rtl/>
        </w:rPr>
        <w:t xml:space="preserve"> </w:t>
      </w:r>
      <w:r w:rsidR="00F365D2" w:rsidRPr="00F365D2">
        <w:rPr>
          <w:rFonts w:ascii="David" w:hAnsi="David" w:hint="cs"/>
          <w:sz w:val="22"/>
          <w:rtl/>
        </w:rPr>
        <w:t xml:space="preserve">3) </w:t>
      </w:r>
      <w:r w:rsidR="00F365D2" w:rsidRPr="00F365D2">
        <w:rPr>
          <w:rFonts w:ascii="David" w:hAnsi="David" w:hint="cs"/>
          <w:sz w:val="22"/>
          <w:u w:val="single"/>
          <w:rtl/>
        </w:rPr>
        <w:t>לדעתו חובת הנימוק עוד יותר גדולה בזמן הזה</w:t>
      </w:r>
      <w:r w:rsidR="00F365D2">
        <w:rPr>
          <w:rFonts w:ascii="David" w:hAnsi="David" w:hint="cs"/>
          <w:sz w:val="22"/>
          <w:rtl/>
        </w:rPr>
        <w:t xml:space="preserve"> - שכן במציאות היום מערכות המשפט האזרחיות מנמקות את פסקי הדין שלהם וזה מחבב את המערכת על בעלי הדין ולכן ראוי שנעשה זאת גם. </w:t>
      </w:r>
    </w:p>
    <w:p w14:paraId="52782E98" w14:textId="08F1E58D" w:rsidR="00F365D2" w:rsidRDefault="00F365D2" w:rsidP="00A94619">
      <w:pPr>
        <w:pStyle w:val="ac"/>
        <w:bidi/>
        <w:spacing w:after="0"/>
        <w:ind w:left="369"/>
        <w:rPr>
          <w:rFonts w:ascii="David" w:hAnsi="David"/>
          <w:sz w:val="22"/>
        </w:rPr>
      </w:pPr>
      <w:r>
        <w:rPr>
          <w:rFonts w:ascii="David" w:hAnsi="David" w:hint="cs"/>
          <w:sz w:val="22"/>
          <w:rtl/>
        </w:rPr>
        <w:t>בתקופתו של הרב עוזיאל היה עוד אפשר לפנות בדיני ממונות לבתי דין רבניים. כאשר בעל דין מתלבט לאן ללכת מה ישפיע על החלטתו של עו"ד? הכרה של המערכת. לכן, אם אין נימוקים הם לא יכירו את המערכת ולא ירצו ללכת לבתי הדין הרבניים.</w:t>
      </w:r>
    </w:p>
    <w:p w14:paraId="430009E5" w14:textId="44EC65D0" w:rsidR="00F365D2" w:rsidRPr="00EC3BEF" w:rsidRDefault="00F365D2" w:rsidP="00465590">
      <w:pPr>
        <w:pStyle w:val="ac"/>
        <w:numPr>
          <w:ilvl w:val="1"/>
          <w:numId w:val="8"/>
        </w:numPr>
        <w:bidi/>
        <w:spacing w:after="0"/>
        <w:rPr>
          <w:rFonts w:ascii="David" w:hAnsi="David"/>
          <w:b/>
          <w:bCs/>
          <w:sz w:val="22"/>
        </w:rPr>
      </w:pPr>
      <w:r w:rsidRPr="00EC3BEF">
        <w:rPr>
          <w:rFonts w:ascii="David" w:hAnsi="David" w:hint="cs"/>
          <w:b/>
          <w:bCs/>
          <w:sz w:val="22"/>
          <w:rtl/>
        </w:rPr>
        <w:t>כמו שמוסד הערעור לא היה קם ללא לחץ חיצוני, כך גם ככול הנראה לא היה קם מוסד הנימוק</w:t>
      </w:r>
      <w:r w:rsidR="00B54E07" w:rsidRPr="00EC3BEF">
        <w:rPr>
          <w:rFonts w:ascii="David" w:hAnsi="David" w:hint="cs"/>
          <w:b/>
          <w:bCs/>
          <w:sz w:val="22"/>
          <w:rtl/>
        </w:rPr>
        <w:t xml:space="preserve"> ללא לחץ חיצוני</w:t>
      </w:r>
      <w:r w:rsidRPr="00EC3BEF">
        <w:rPr>
          <w:rFonts w:ascii="David" w:hAnsi="David" w:hint="cs"/>
          <w:b/>
          <w:bCs/>
          <w:sz w:val="22"/>
          <w:rtl/>
        </w:rPr>
        <w:t>.</w:t>
      </w:r>
    </w:p>
    <w:p w14:paraId="3C0AB9B3" w14:textId="06984E39" w:rsidR="008B79F2" w:rsidRDefault="008B79F2" w:rsidP="00465590">
      <w:pPr>
        <w:pStyle w:val="ac"/>
        <w:numPr>
          <w:ilvl w:val="1"/>
          <w:numId w:val="8"/>
        </w:numPr>
        <w:bidi/>
        <w:spacing w:after="0"/>
        <w:rPr>
          <w:rFonts w:ascii="David" w:hAnsi="David"/>
          <w:sz w:val="22"/>
        </w:rPr>
      </w:pPr>
      <w:r w:rsidRPr="00A6078C">
        <w:rPr>
          <w:rFonts w:ascii="David" w:hAnsi="David" w:hint="cs"/>
          <w:sz w:val="22"/>
          <w:u w:val="single"/>
          <w:rtl/>
        </w:rPr>
        <w:t>ערעור של אבא לגבי מזונות ילדים שהוא חייב בהם</w:t>
      </w:r>
      <w:r w:rsidR="00A6078C" w:rsidRPr="00A6078C">
        <w:rPr>
          <w:rFonts w:ascii="David" w:hAnsi="David" w:hint="cs"/>
          <w:sz w:val="22"/>
          <w:u w:val="single"/>
          <w:rtl/>
        </w:rPr>
        <w:t xml:space="preserve"> שהוגש עליו ערעור:</w:t>
      </w:r>
      <w:r w:rsidRPr="00A6078C">
        <w:rPr>
          <w:rFonts w:ascii="David" w:hAnsi="David" w:hint="cs"/>
          <w:sz w:val="22"/>
          <w:u w:val="single"/>
          <w:rtl/>
        </w:rPr>
        <w:t xml:space="preserve"> </w:t>
      </w:r>
      <w:r>
        <w:rPr>
          <w:rFonts w:ascii="David" w:hAnsi="David" w:hint="cs"/>
          <w:sz w:val="22"/>
          <w:rtl/>
        </w:rPr>
        <w:t>בית הדין הרבני הגדול אומר שהוא לא צריך לבדוק את העובדות</w:t>
      </w:r>
      <w:r w:rsidR="009D5F35">
        <w:rPr>
          <w:rFonts w:ascii="David" w:hAnsi="David" w:hint="cs"/>
          <w:sz w:val="22"/>
          <w:rtl/>
        </w:rPr>
        <w:t>, אלא רק את הנימוק, הבעיה במקרה הזה שהוא לא קיבל נימוקים.</w:t>
      </w:r>
      <w:r w:rsidR="00A6078C">
        <w:rPr>
          <w:rFonts w:ascii="David" w:hAnsi="David" w:hint="cs"/>
          <w:sz w:val="22"/>
          <w:rtl/>
        </w:rPr>
        <w:t xml:space="preserve"> בית הדין הגדול אומר שבית הדין האזורי פעל על פי ההלכה הקלאסית שבה נקבע שלא צריך לכתוב נימוקים, אולם על פי </w:t>
      </w:r>
      <w:r w:rsidR="003C278F">
        <w:rPr>
          <w:rFonts w:ascii="David" w:hAnsi="David" w:hint="cs"/>
          <w:sz w:val="22"/>
          <w:rtl/>
        </w:rPr>
        <w:t>תקנות הדיון של בתי הדין הרבניים נקבע כי חובה לכתוב נימוקים.</w:t>
      </w:r>
      <w:r w:rsidR="001D10B3">
        <w:rPr>
          <w:rFonts w:ascii="David" w:hAnsi="David" w:hint="cs"/>
          <w:sz w:val="22"/>
          <w:rtl/>
        </w:rPr>
        <w:t xml:space="preserve"> במקר</w:t>
      </w:r>
      <w:r w:rsidR="002C41FB">
        <w:rPr>
          <w:rFonts w:ascii="David" w:hAnsi="David" w:hint="cs"/>
          <w:sz w:val="22"/>
          <w:rtl/>
        </w:rPr>
        <w:t>ה הזה</w:t>
      </w:r>
      <w:r w:rsidR="001D10B3">
        <w:rPr>
          <w:rFonts w:ascii="David" w:hAnsi="David" w:hint="cs"/>
          <w:sz w:val="22"/>
          <w:rtl/>
        </w:rPr>
        <w:t xml:space="preserve"> משורת הדין היה צריך להחזיר את </w:t>
      </w:r>
      <w:r w:rsidR="003C278F">
        <w:rPr>
          <w:rFonts w:ascii="David" w:hAnsi="David" w:hint="cs"/>
          <w:sz w:val="22"/>
          <w:rtl/>
        </w:rPr>
        <w:t xml:space="preserve"> </w:t>
      </w:r>
      <w:r w:rsidR="002C41FB">
        <w:rPr>
          <w:rFonts w:ascii="David" w:hAnsi="David" w:hint="cs"/>
          <w:sz w:val="22"/>
          <w:rtl/>
        </w:rPr>
        <w:t xml:space="preserve">התיק לבית הדין האזורי, אך הם לא עשו זאת </w:t>
      </w:r>
      <w:r w:rsidR="009B71D7">
        <w:rPr>
          <w:rFonts w:ascii="David" w:hAnsi="David" w:hint="cs"/>
          <w:sz w:val="22"/>
          <w:rtl/>
        </w:rPr>
        <w:t>וקבעו בעצמם.</w:t>
      </w:r>
    </w:p>
    <w:p w14:paraId="1BFDA319" w14:textId="03B87341" w:rsidR="005C5AA4" w:rsidRDefault="005C5AA4" w:rsidP="00465590">
      <w:pPr>
        <w:pStyle w:val="ac"/>
        <w:numPr>
          <w:ilvl w:val="1"/>
          <w:numId w:val="8"/>
        </w:numPr>
        <w:bidi/>
        <w:spacing w:after="0"/>
        <w:rPr>
          <w:rFonts w:ascii="David" w:hAnsi="David"/>
          <w:sz w:val="22"/>
        </w:rPr>
      </w:pPr>
      <w:r>
        <w:rPr>
          <w:rFonts w:ascii="David" w:hAnsi="David" w:hint="cs"/>
          <w:sz w:val="22"/>
          <w:u w:val="single"/>
          <w:rtl/>
        </w:rPr>
        <w:t>הלכת אקנין:</w:t>
      </w:r>
      <w:r>
        <w:rPr>
          <w:rFonts w:ascii="David" w:hAnsi="David" w:hint="cs"/>
          <w:sz w:val="22"/>
          <w:rtl/>
        </w:rPr>
        <w:t xml:space="preserve"> בפרשנות </w:t>
      </w:r>
      <w:r w:rsidR="00706A60">
        <w:rPr>
          <w:rFonts w:ascii="David" w:hAnsi="David" w:hint="cs"/>
          <w:sz w:val="22"/>
          <w:rtl/>
        </w:rPr>
        <w:t>די</w:t>
      </w:r>
      <w:r>
        <w:rPr>
          <w:rFonts w:ascii="David" w:hAnsi="David" w:hint="cs"/>
          <w:sz w:val="22"/>
          <w:rtl/>
        </w:rPr>
        <w:t>ן דתי, בית הדין הרבני אינו מחויב לפרשנות של בית המשפט העליון. לכן</w:t>
      </w:r>
      <w:r w:rsidR="00706A60">
        <w:rPr>
          <w:rFonts w:ascii="David" w:hAnsi="David" w:hint="cs"/>
          <w:sz w:val="22"/>
          <w:rtl/>
        </w:rPr>
        <w:t>, בתי הדין אינם מחויבים להלכת 919/15.</w:t>
      </w:r>
    </w:p>
    <w:p w14:paraId="562A2AC0" w14:textId="19A8B88D" w:rsidR="00E635A4" w:rsidRPr="005774FA" w:rsidRDefault="006C327B" w:rsidP="005774FA">
      <w:pPr>
        <w:shd w:val="clear" w:color="auto" w:fill="FFF4CD" w:themeFill="accent1" w:themeFillTint="33"/>
        <w:rPr>
          <w:rFonts w:ascii="David" w:hAnsi="David"/>
          <w:b/>
          <w:bCs/>
        </w:rPr>
      </w:pPr>
      <w:r w:rsidRPr="005774FA">
        <w:rPr>
          <w:rFonts w:ascii="David" w:hAnsi="David" w:hint="cs"/>
          <w:b/>
          <w:bCs/>
          <w:rtl/>
        </w:rPr>
        <w:t>המהלך הזה שערעור מוביל לנימוק יוצר עוד השלכות</w:t>
      </w:r>
      <w:r w:rsidR="005774FA" w:rsidRPr="005774FA">
        <w:rPr>
          <w:rFonts w:ascii="David" w:hAnsi="David" w:hint="cs"/>
          <w:b/>
          <w:bCs/>
          <w:rtl/>
        </w:rPr>
        <w:t>:</w:t>
      </w:r>
    </w:p>
    <w:p w14:paraId="4253893C" w14:textId="578FE730" w:rsidR="00FC6B65" w:rsidRDefault="006C327B" w:rsidP="00465590">
      <w:pPr>
        <w:pStyle w:val="ac"/>
        <w:numPr>
          <w:ilvl w:val="1"/>
          <w:numId w:val="8"/>
        </w:numPr>
        <w:bidi/>
        <w:spacing w:after="0"/>
        <w:rPr>
          <w:rFonts w:ascii="David" w:hAnsi="David"/>
          <w:sz w:val="22"/>
        </w:rPr>
      </w:pPr>
      <w:r w:rsidRPr="00B5718C">
        <w:rPr>
          <w:rFonts w:ascii="David" w:hAnsi="David" w:hint="cs"/>
          <w:b/>
          <w:bCs/>
          <w:sz w:val="22"/>
          <w:rtl/>
        </w:rPr>
        <w:t>פרסום</w:t>
      </w:r>
      <w:r>
        <w:rPr>
          <w:rFonts w:ascii="David" w:hAnsi="David" w:hint="cs"/>
          <w:sz w:val="22"/>
          <w:rtl/>
        </w:rPr>
        <w:t xml:space="preserve"> </w:t>
      </w:r>
      <w:r w:rsidR="00BA0180">
        <w:rPr>
          <w:rFonts w:ascii="David" w:hAnsi="David" w:hint="cs"/>
          <w:b/>
          <w:bCs/>
          <w:sz w:val="22"/>
          <w:rtl/>
        </w:rPr>
        <w:t>פסקי דין</w:t>
      </w:r>
      <w:r w:rsidR="00BA0180">
        <w:rPr>
          <w:rFonts w:ascii="David" w:hAnsi="David" w:hint="cs"/>
          <w:sz w:val="22"/>
          <w:rtl/>
        </w:rPr>
        <w:t>:</w:t>
      </w:r>
      <w:r>
        <w:rPr>
          <w:rFonts w:ascii="David" w:hAnsi="David" w:hint="cs"/>
          <w:sz w:val="22"/>
          <w:rtl/>
        </w:rPr>
        <w:t xml:space="preserve"> כעת כשיש נימוק יש טעם לפרסמ</w:t>
      </w:r>
      <w:r w:rsidR="005774FA">
        <w:rPr>
          <w:rFonts w:ascii="David" w:hAnsi="David" w:hint="cs"/>
          <w:sz w:val="22"/>
          <w:rtl/>
        </w:rPr>
        <w:t xml:space="preserve">ם, כמו שאומר הרב עוזיאל - זה לא רק עבור הצדדים, אלא גם עבור העם. </w:t>
      </w:r>
    </w:p>
    <w:p w14:paraId="69E3F06D" w14:textId="77777777" w:rsidR="008F1679" w:rsidRDefault="005774FA" w:rsidP="00465590">
      <w:pPr>
        <w:pStyle w:val="ac"/>
        <w:numPr>
          <w:ilvl w:val="1"/>
          <w:numId w:val="8"/>
        </w:numPr>
        <w:bidi/>
        <w:spacing w:after="0"/>
        <w:rPr>
          <w:rFonts w:ascii="David" w:hAnsi="David"/>
          <w:sz w:val="22"/>
        </w:rPr>
      </w:pPr>
      <w:r>
        <w:rPr>
          <w:rFonts w:ascii="David" w:hAnsi="David" w:hint="cs"/>
          <w:sz w:val="22"/>
          <w:rtl/>
        </w:rPr>
        <w:t xml:space="preserve">הדבר מוביל </w:t>
      </w:r>
      <w:r w:rsidRPr="00B5718C">
        <w:rPr>
          <w:rFonts w:ascii="David" w:hAnsi="David" w:hint="cs"/>
          <w:b/>
          <w:bCs/>
          <w:sz w:val="22"/>
          <w:rtl/>
        </w:rPr>
        <w:t>לחידוש בעולם הספרים היהודי</w:t>
      </w:r>
      <w:r w:rsidR="00FC6B65">
        <w:rPr>
          <w:rFonts w:ascii="David" w:hAnsi="David" w:hint="cs"/>
          <w:sz w:val="22"/>
          <w:rtl/>
        </w:rPr>
        <w:t>. ספר שהוא אוסף של פסקי דין</w:t>
      </w:r>
      <w:r w:rsidR="001843EF">
        <w:rPr>
          <w:rFonts w:ascii="David" w:hAnsi="David" w:hint="cs"/>
          <w:sz w:val="22"/>
          <w:rtl/>
        </w:rPr>
        <w:t xml:space="preserve"> הלכתיים. </w:t>
      </w:r>
    </w:p>
    <w:p w14:paraId="48D89AD4" w14:textId="77777777" w:rsidR="008F1679" w:rsidRDefault="001843EF" w:rsidP="00EC3BEF">
      <w:pPr>
        <w:pStyle w:val="ac"/>
        <w:numPr>
          <w:ilvl w:val="2"/>
          <w:numId w:val="8"/>
        </w:numPr>
        <w:bidi/>
        <w:spacing w:after="0"/>
        <w:rPr>
          <w:rFonts w:ascii="David" w:hAnsi="David"/>
          <w:sz w:val="22"/>
        </w:rPr>
      </w:pPr>
      <w:r>
        <w:rPr>
          <w:rFonts w:ascii="David" w:hAnsi="David" w:hint="cs"/>
          <w:sz w:val="22"/>
          <w:rtl/>
        </w:rPr>
        <w:lastRenderedPageBreak/>
        <w:t xml:space="preserve">הספר הראשון </w:t>
      </w:r>
      <w:r w:rsidR="009C5658">
        <w:rPr>
          <w:rFonts w:ascii="David" w:hAnsi="David" w:hint="cs"/>
          <w:sz w:val="22"/>
          <w:rtl/>
        </w:rPr>
        <w:t>נקרא "אוסף של פסקי דין של הרבנות הראשית לארץ ישראל" - זה קובץ שפורסם לפני הקמת מדינת ישראל, כאשר הרבנות עדיין חלק מבתי הדין</w:t>
      </w:r>
      <w:r w:rsidR="00E46510">
        <w:rPr>
          <w:rFonts w:ascii="David" w:hAnsi="David" w:hint="cs"/>
          <w:sz w:val="22"/>
          <w:rtl/>
        </w:rPr>
        <w:t xml:space="preserve">. </w:t>
      </w:r>
    </w:p>
    <w:p w14:paraId="1D5D3EEE" w14:textId="52CEC36C" w:rsidR="008F1679" w:rsidRDefault="00E46510" w:rsidP="00EC3BEF">
      <w:pPr>
        <w:pStyle w:val="ac"/>
        <w:numPr>
          <w:ilvl w:val="2"/>
          <w:numId w:val="8"/>
        </w:numPr>
        <w:bidi/>
        <w:spacing w:after="0"/>
        <w:rPr>
          <w:rFonts w:ascii="David" w:hAnsi="David"/>
          <w:sz w:val="22"/>
        </w:rPr>
      </w:pPr>
      <w:r>
        <w:rPr>
          <w:rFonts w:ascii="David" w:hAnsi="David" w:hint="cs"/>
          <w:sz w:val="22"/>
          <w:rtl/>
        </w:rPr>
        <w:t>לאחריו פורסם ספר נוסף שנקרא "אוסף פסקי דין של בתי הדין הרבניים בישראל</w:t>
      </w:r>
      <w:r w:rsidR="00FC6AA5">
        <w:rPr>
          <w:rFonts w:ascii="David" w:hAnsi="David" w:hint="cs"/>
          <w:sz w:val="22"/>
          <w:rtl/>
        </w:rPr>
        <w:t>"</w:t>
      </w:r>
      <w:r w:rsidR="00A019F1">
        <w:rPr>
          <w:rFonts w:ascii="David" w:hAnsi="David" w:hint="cs"/>
          <w:sz w:val="22"/>
          <w:rtl/>
        </w:rPr>
        <w:t xml:space="preserve"> - כבר לאחר הקמתה של מדינת ישראל</w:t>
      </w:r>
      <w:r w:rsidR="008F1679">
        <w:rPr>
          <w:rFonts w:ascii="David" w:hAnsi="David" w:hint="cs"/>
          <w:sz w:val="22"/>
          <w:rtl/>
        </w:rPr>
        <w:t>.</w:t>
      </w:r>
    </w:p>
    <w:p w14:paraId="64E8A73B" w14:textId="43D849B1" w:rsidR="008F1679" w:rsidRDefault="00A019F1" w:rsidP="00EC3BEF">
      <w:pPr>
        <w:pStyle w:val="ac"/>
        <w:numPr>
          <w:ilvl w:val="2"/>
          <w:numId w:val="8"/>
        </w:numPr>
        <w:bidi/>
        <w:spacing w:after="0"/>
        <w:rPr>
          <w:rFonts w:ascii="David" w:hAnsi="David"/>
          <w:sz w:val="22"/>
        </w:rPr>
      </w:pPr>
      <w:r>
        <w:rPr>
          <w:rFonts w:ascii="David" w:hAnsi="David" w:hint="cs"/>
          <w:sz w:val="22"/>
          <w:rtl/>
        </w:rPr>
        <w:t xml:space="preserve">בתי הדין </w:t>
      </w:r>
      <w:r w:rsidR="009D70FD">
        <w:rPr>
          <w:rFonts w:ascii="David" w:hAnsi="David" w:hint="cs"/>
          <w:sz w:val="22"/>
          <w:rtl/>
        </w:rPr>
        <w:t xml:space="preserve">הרבניים שייכים למשרד הדתות, </w:t>
      </w:r>
      <w:r w:rsidR="008F1679">
        <w:rPr>
          <w:rFonts w:ascii="David" w:hAnsi="David" w:hint="cs"/>
          <w:sz w:val="22"/>
          <w:rtl/>
        </w:rPr>
        <w:t>למרות</w:t>
      </w:r>
      <w:r w:rsidR="009D70FD">
        <w:rPr>
          <w:rFonts w:ascii="David" w:hAnsi="David" w:hint="cs"/>
          <w:sz w:val="22"/>
          <w:rtl/>
        </w:rPr>
        <w:t xml:space="preserve"> שהיה יותר מתאים שיהיה</w:t>
      </w:r>
      <w:r w:rsidR="00DE5AB5">
        <w:rPr>
          <w:rFonts w:ascii="David" w:hAnsi="David" w:hint="cs"/>
          <w:sz w:val="22"/>
          <w:rtl/>
        </w:rPr>
        <w:t xml:space="preserve"> תחת משרד המשפטים כמו שאר בתי הדין של הדתות האחרות</w:t>
      </w:r>
      <w:r w:rsidR="008F1679">
        <w:rPr>
          <w:rFonts w:ascii="David" w:hAnsi="David" w:hint="cs"/>
          <w:sz w:val="22"/>
          <w:rtl/>
        </w:rPr>
        <w:t>.</w:t>
      </w:r>
    </w:p>
    <w:p w14:paraId="2F907F54" w14:textId="301BB99F" w:rsidR="006C327B" w:rsidRDefault="000540F1" w:rsidP="00EC3BEF">
      <w:pPr>
        <w:pStyle w:val="ac"/>
        <w:numPr>
          <w:ilvl w:val="2"/>
          <w:numId w:val="8"/>
        </w:numPr>
        <w:bidi/>
        <w:spacing w:after="0"/>
        <w:rPr>
          <w:rFonts w:ascii="David" w:hAnsi="David"/>
          <w:sz w:val="22"/>
        </w:rPr>
      </w:pPr>
      <w:r>
        <w:rPr>
          <w:rFonts w:ascii="David" w:hAnsi="David" w:hint="cs"/>
          <w:sz w:val="22"/>
          <w:rtl/>
        </w:rPr>
        <w:t xml:space="preserve"> זרח - עם הארגון המחודש </w:t>
      </w:r>
      <w:r w:rsidR="00EC3BEF">
        <w:rPr>
          <w:rFonts w:ascii="David" w:hAnsi="David" w:hint="cs"/>
          <w:sz w:val="22"/>
          <w:rtl/>
        </w:rPr>
        <w:t>של</w:t>
      </w:r>
      <w:r>
        <w:rPr>
          <w:rFonts w:ascii="David" w:hAnsi="David" w:hint="cs"/>
          <w:sz w:val="22"/>
          <w:rtl/>
        </w:rPr>
        <w:t xml:space="preserve"> בתי הדין בא"י חל שינוי במצב של מוסד הנימוק, מרגע שיש נימוק זה נותן אפשרות לפרסם. הוא מקווה שפרסום שכזה </w:t>
      </w:r>
      <w:r w:rsidR="008C0210">
        <w:rPr>
          <w:rFonts w:ascii="David" w:hAnsi="David" w:hint="cs"/>
          <w:sz w:val="22"/>
          <w:rtl/>
        </w:rPr>
        <w:t>יתרום להגדלת תורה ולהאדרתה.</w:t>
      </w:r>
    </w:p>
    <w:p w14:paraId="6ED5B8F7" w14:textId="5C023080" w:rsidR="00F157D0" w:rsidRDefault="008C0210" w:rsidP="00465590">
      <w:pPr>
        <w:pStyle w:val="ac"/>
        <w:numPr>
          <w:ilvl w:val="1"/>
          <w:numId w:val="8"/>
        </w:numPr>
        <w:bidi/>
        <w:spacing w:after="0"/>
        <w:rPr>
          <w:rFonts w:ascii="David" w:hAnsi="David"/>
          <w:sz w:val="22"/>
        </w:rPr>
      </w:pPr>
      <w:r>
        <w:rPr>
          <w:rFonts w:ascii="David" w:hAnsi="David" w:hint="cs"/>
          <w:b/>
          <w:bCs/>
          <w:sz w:val="22"/>
          <w:rtl/>
        </w:rPr>
        <w:t xml:space="preserve">ניסוח פסקי הדין </w:t>
      </w:r>
      <w:r w:rsidR="00BA0180">
        <w:rPr>
          <w:rFonts w:ascii="David" w:hAnsi="David" w:hint="cs"/>
          <w:b/>
          <w:bCs/>
          <w:sz w:val="22"/>
          <w:rtl/>
        </w:rPr>
        <w:t>:</w:t>
      </w:r>
      <w:r w:rsidR="00A9680B">
        <w:rPr>
          <w:rFonts w:ascii="David" w:hAnsi="David" w:hint="cs"/>
          <w:b/>
          <w:bCs/>
          <w:sz w:val="22"/>
          <w:rtl/>
        </w:rPr>
        <w:t xml:space="preserve"> </w:t>
      </w:r>
      <w:r w:rsidR="00A9680B" w:rsidRPr="00A9680B">
        <w:rPr>
          <w:rFonts w:ascii="David" w:hAnsi="David" w:hint="cs"/>
          <w:sz w:val="22"/>
          <w:rtl/>
        </w:rPr>
        <w:t>מדברי הרמב"ם ניתן ללמוד כי</w:t>
      </w:r>
      <w:r w:rsidR="00A9680B">
        <w:rPr>
          <w:rFonts w:ascii="David" w:hAnsi="David" w:hint="cs"/>
          <w:b/>
          <w:bCs/>
          <w:sz w:val="22"/>
          <w:rtl/>
        </w:rPr>
        <w:t xml:space="preserve"> </w:t>
      </w:r>
      <w:r>
        <w:rPr>
          <w:rFonts w:ascii="David" w:hAnsi="David" w:hint="cs"/>
          <w:b/>
          <w:bCs/>
          <w:sz w:val="22"/>
          <w:rtl/>
        </w:rPr>
        <w:t xml:space="preserve"> </w:t>
      </w:r>
      <w:r w:rsidR="008F1679">
        <w:rPr>
          <w:rFonts w:ascii="David" w:hAnsi="David" w:hint="cs"/>
          <w:sz w:val="22"/>
          <w:rtl/>
        </w:rPr>
        <w:t xml:space="preserve">מבחינה הלכתית </w:t>
      </w:r>
      <w:r w:rsidR="00D0049F">
        <w:rPr>
          <w:rFonts w:ascii="David" w:hAnsi="David" w:hint="cs"/>
          <w:sz w:val="22"/>
          <w:rtl/>
        </w:rPr>
        <w:t>אסור לכתוב</w:t>
      </w:r>
      <w:r w:rsidR="004A5E83">
        <w:rPr>
          <w:rFonts w:ascii="David" w:hAnsi="David" w:hint="cs"/>
          <w:sz w:val="22"/>
          <w:rtl/>
        </w:rPr>
        <w:t xml:space="preserve"> </w:t>
      </w:r>
      <w:r w:rsidR="00AD65FC">
        <w:rPr>
          <w:rFonts w:ascii="David" w:hAnsi="David" w:hint="cs"/>
          <w:sz w:val="22"/>
          <w:rtl/>
        </w:rPr>
        <w:t>מי היה דעת המיעוט</w:t>
      </w:r>
      <w:r w:rsidR="003A4AC0">
        <w:rPr>
          <w:rFonts w:ascii="David" w:hAnsi="David" w:hint="cs"/>
          <w:sz w:val="22"/>
          <w:rtl/>
        </w:rPr>
        <w:t xml:space="preserve"> ולא מאזכרים את המחלוקת</w:t>
      </w:r>
      <w:r w:rsidR="00F157D0">
        <w:rPr>
          <w:rFonts w:ascii="David" w:hAnsi="David" w:hint="cs"/>
          <w:sz w:val="22"/>
          <w:rtl/>
        </w:rPr>
        <w:t xml:space="preserve">: </w:t>
      </w:r>
      <w:r w:rsidR="00F157D0" w:rsidRPr="00F13757">
        <w:rPr>
          <w:rFonts w:ascii="David" w:hAnsi="David" w:hint="cs"/>
          <w:sz w:val="22"/>
          <w:u w:val="single"/>
          <w:rtl/>
        </w:rPr>
        <w:t>הסיבות</w:t>
      </w:r>
      <w:r w:rsidR="00F157D0">
        <w:rPr>
          <w:rFonts w:ascii="David" w:hAnsi="David" w:hint="cs"/>
          <w:sz w:val="22"/>
          <w:rtl/>
        </w:rPr>
        <w:t>:</w:t>
      </w:r>
    </w:p>
    <w:p w14:paraId="75D39EB0" w14:textId="77777777" w:rsidR="00F157D0" w:rsidRDefault="00150B11" w:rsidP="00465590">
      <w:pPr>
        <w:pStyle w:val="ac"/>
        <w:numPr>
          <w:ilvl w:val="2"/>
          <w:numId w:val="8"/>
        </w:numPr>
        <w:bidi/>
        <w:spacing w:after="0"/>
        <w:rPr>
          <w:rFonts w:ascii="David" w:hAnsi="David"/>
          <w:sz w:val="22"/>
        </w:rPr>
      </w:pPr>
      <w:r>
        <w:rPr>
          <w:rFonts w:ascii="David" w:hAnsi="David" w:hint="cs"/>
          <w:sz w:val="22"/>
          <w:rtl/>
        </w:rPr>
        <w:t xml:space="preserve">לא לערער על הסמכות של הרב שהיה במיעוט.  </w:t>
      </w:r>
    </w:p>
    <w:p w14:paraId="4038D2DC" w14:textId="4F30647C" w:rsidR="008C0210" w:rsidRDefault="00F157D0" w:rsidP="00465590">
      <w:pPr>
        <w:pStyle w:val="ac"/>
        <w:numPr>
          <w:ilvl w:val="2"/>
          <w:numId w:val="8"/>
        </w:numPr>
        <w:bidi/>
        <w:spacing w:after="0"/>
        <w:rPr>
          <w:rFonts w:ascii="David" w:hAnsi="David"/>
          <w:sz w:val="22"/>
        </w:rPr>
      </w:pPr>
      <w:r>
        <w:rPr>
          <w:rFonts w:ascii="David" w:hAnsi="David" w:hint="cs"/>
          <w:sz w:val="22"/>
          <w:rtl/>
        </w:rPr>
        <w:t>יש טענה שאומרת ש</w:t>
      </w:r>
      <w:r w:rsidR="00150B11">
        <w:rPr>
          <w:rFonts w:ascii="David" w:hAnsi="David" w:hint="cs"/>
          <w:sz w:val="22"/>
          <w:rtl/>
        </w:rPr>
        <w:t>מחלוקת עד למתן פס"ד מרגע ההכרעה אין מחלוקת.</w:t>
      </w:r>
    </w:p>
    <w:p w14:paraId="0179B60D" w14:textId="77777777" w:rsidR="00703AA3" w:rsidRDefault="00F13757" w:rsidP="00465590">
      <w:pPr>
        <w:pStyle w:val="ac"/>
        <w:numPr>
          <w:ilvl w:val="2"/>
          <w:numId w:val="8"/>
        </w:numPr>
        <w:bidi/>
        <w:spacing w:after="0"/>
        <w:rPr>
          <w:rFonts w:ascii="David" w:hAnsi="David"/>
          <w:sz w:val="22"/>
        </w:rPr>
      </w:pPr>
      <w:r>
        <w:rPr>
          <w:rFonts w:ascii="David" w:hAnsi="David" w:hint="cs"/>
          <w:sz w:val="22"/>
          <w:rtl/>
        </w:rPr>
        <w:t xml:space="preserve">כאשר את ערכאת ערעור </w:t>
      </w:r>
      <w:r w:rsidR="009D6624">
        <w:rPr>
          <w:rFonts w:ascii="David" w:hAnsi="David" w:hint="cs"/>
          <w:sz w:val="22"/>
          <w:rtl/>
        </w:rPr>
        <w:t>אין צורך כול כך גדול לציין מה הייתה מחלוקת.</w:t>
      </w:r>
    </w:p>
    <w:p w14:paraId="347C6955" w14:textId="77777777" w:rsidR="00703AA3" w:rsidRPr="00703AA3" w:rsidRDefault="004A5E83" w:rsidP="00703AA3">
      <w:pPr>
        <w:pStyle w:val="ac"/>
        <w:bidi/>
        <w:spacing w:after="0"/>
        <w:ind w:left="369"/>
        <w:rPr>
          <w:rFonts w:ascii="David" w:hAnsi="David"/>
          <w:sz w:val="22"/>
        </w:rPr>
      </w:pPr>
      <w:r w:rsidRPr="00703AA3">
        <w:rPr>
          <w:rFonts w:ascii="David" w:hAnsi="David" w:hint="cs"/>
          <w:rtl/>
        </w:rPr>
        <w:t xml:space="preserve">בפועל, </w:t>
      </w:r>
      <w:r w:rsidR="00703AA3">
        <w:rPr>
          <w:rFonts w:ascii="David" w:hAnsi="David" w:hint="cs"/>
          <w:rtl/>
        </w:rPr>
        <w:t>במדינת</w:t>
      </w:r>
      <w:r w:rsidR="003A6B72" w:rsidRPr="00703AA3">
        <w:rPr>
          <w:rFonts w:ascii="David" w:hAnsi="David" w:hint="cs"/>
          <w:rtl/>
        </w:rPr>
        <w:t xml:space="preserve"> ישראל אנחנו רואים שינוי בגישה ההלכתי בנוגע לנימוק פסקי הדין: </w:t>
      </w:r>
    </w:p>
    <w:p w14:paraId="2655AEBC" w14:textId="5BD5DC59" w:rsidR="00703AA3" w:rsidRPr="00703AA3" w:rsidRDefault="009D6624" w:rsidP="00465590">
      <w:pPr>
        <w:pStyle w:val="ac"/>
        <w:numPr>
          <w:ilvl w:val="3"/>
          <w:numId w:val="8"/>
        </w:numPr>
        <w:bidi/>
        <w:spacing w:after="0"/>
        <w:rPr>
          <w:rFonts w:ascii="David" w:hAnsi="David"/>
          <w:sz w:val="22"/>
        </w:rPr>
      </w:pPr>
      <w:r w:rsidRPr="00703AA3">
        <w:rPr>
          <w:rFonts w:ascii="David" w:hAnsi="David" w:hint="cs"/>
          <w:rtl/>
        </w:rPr>
        <w:t xml:space="preserve">היום במדינת ישראל </w:t>
      </w:r>
      <w:r w:rsidR="00B9213C" w:rsidRPr="00703AA3">
        <w:rPr>
          <w:rFonts w:ascii="David" w:hAnsi="David" w:hint="cs"/>
          <w:u w:val="single"/>
          <w:rtl/>
        </w:rPr>
        <w:t xml:space="preserve">רוב </w:t>
      </w:r>
      <w:r w:rsidR="002312C5" w:rsidRPr="00703AA3">
        <w:rPr>
          <w:rFonts w:ascii="David" w:hAnsi="David" w:hint="cs"/>
          <w:u w:val="single"/>
          <w:rtl/>
        </w:rPr>
        <w:t>הדיינים</w:t>
      </w:r>
      <w:r w:rsidR="00B9213C" w:rsidRPr="00703AA3">
        <w:rPr>
          <w:rFonts w:ascii="David" w:hAnsi="David" w:hint="cs"/>
          <w:u w:val="single"/>
          <w:rtl/>
        </w:rPr>
        <w:t xml:space="preserve"> יציינו את המחלוקת ומי חלק</w:t>
      </w:r>
      <w:r w:rsidR="00B9213C" w:rsidRPr="00703AA3">
        <w:rPr>
          <w:rFonts w:ascii="David" w:hAnsi="David" w:hint="cs"/>
          <w:rtl/>
        </w:rPr>
        <w:t xml:space="preserve">. </w:t>
      </w:r>
    </w:p>
    <w:p w14:paraId="423D986E" w14:textId="48E646CC" w:rsidR="00F27ED2" w:rsidRDefault="00B9213C" w:rsidP="00465590">
      <w:pPr>
        <w:pStyle w:val="ac"/>
        <w:numPr>
          <w:ilvl w:val="3"/>
          <w:numId w:val="8"/>
        </w:numPr>
        <w:bidi/>
        <w:spacing w:after="0"/>
        <w:rPr>
          <w:rFonts w:ascii="David" w:hAnsi="David"/>
          <w:sz w:val="22"/>
        </w:rPr>
      </w:pPr>
      <w:r w:rsidRPr="00703AA3">
        <w:rPr>
          <w:rFonts w:ascii="David" w:hAnsi="David" w:hint="cs"/>
          <w:rtl/>
        </w:rPr>
        <w:t xml:space="preserve">אולם, </w:t>
      </w:r>
      <w:r w:rsidR="004A589E" w:rsidRPr="00703AA3">
        <w:rPr>
          <w:rFonts w:ascii="David" w:hAnsi="David" w:hint="cs"/>
          <w:rtl/>
        </w:rPr>
        <w:t xml:space="preserve">יש </w:t>
      </w:r>
      <w:r w:rsidR="004A589E" w:rsidRPr="00703AA3">
        <w:rPr>
          <w:rFonts w:ascii="David" w:hAnsi="David" w:hint="cs"/>
          <w:u w:val="single"/>
          <w:rtl/>
        </w:rPr>
        <w:t>עמדה שאומרת שמותר לכתוב דעת רוב ומיעוט, אך לא את שמות הדיינים</w:t>
      </w:r>
      <w:r w:rsidR="00F27ED2">
        <w:rPr>
          <w:rFonts w:ascii="David" w:hAnsi="David" w:hint="cs"/>
          <w:rtl/>
        </w:rPr>
        <w:t>,</w:t>
      </w:r>
      <w:r w:rsidRPr="00703AA3">
        <w:rPr>
          <w:rFonts w:ascii="David" w:hAnsi="David" w:hint="cs"/>
          <w:rtl/>
        </w:rPr>
        <w:t xml:space="preserve"> ביניה</w:t>
      </w:r>
      <w:r w:rsidRPr="00703AA3">
        <w:rPr>
          <w:rFonts w:ascii="David" w:hAnsi="David" w:hint="eastAsia"/>
          <w:rtl/>
        </w:rPr>
        <w:t>ם</w:t>
      </w:r>
      <w:r w:rsidRPr="00703AA3">
        <w:rPr>
          <w:rFonts w:ascii="David" w:hAnsi="David" w:hint="cs"/>
          <w:rtl/>
        </w:rPr>
        <w:t xml:space="preserve"> הרב אוריאל לביא, </w:t>
      </w:r>
      <w:r w:rsidRPr="00F27ED2">
        <w:rPr>
          <w:rFonts w:ascii="David" w:hAnsi="David" w:hint="cs"/>
          <w:rtl/>
        </w:rPr>
        <w:t>שמציינים שהייתה מחלוקת</w:t>
      </w:r>
      <w:r w:rsidR="00117985" w:rsidRPr="00F27ED2">
        <w:rPr>
          <w:rFonts w:ascii="David" w:hAnsi="David" w:hint="cs"/>
          <w:rtl/>
        </w:rPr>
        <w:t xml:space="preserve"> אך לא מאזכרים </w:t>
      </w:r>
      <w:r w:rsidR="00740382" w:rsidRPr="00F27ED2">
        <w:rPr>
          <w:rFonts w:ascii="David" w:hAnsi="David" w:hint="cs"/>
          <w:rtl/>
        </w:rPr>
        <w:t>מי</w:t>
      </w:r>
      <w:r w:rsidR="00F27ED2" w:rsidRPr="00F27ED2">
        <w:rPr>
          <w:rFonts w:ascii="David" w:hAnsi="David" w:hint="cs"/>
          <w:rtl/>
        </w:rPr>
        <w:t xml:space="preserve"> מהדיינים</w:t>
      </w:r>
      <w:r w:rsidR="00740382" w:rsidRPr="00F27ED2">
        <w:rPr>
          <w:rFonts w:ascii="David" w:hAnsi="David" w:hint="cs"/>
          <w:rtl/>
        </w:rPr>
        <w:t xml:space="preserve"> היה באיזה צד.</w:t>
      </w:r>
      <w:r w:rsidR="002312C5" w:rsidRPr="00F27ED2">
        <w:rPr>
          <w:rFonts w:ascii="David" w:hAnsi="David" w:hint="cs"/>
          <w:rtl/>
        </w:rPr>
        <w:t xml:space="preserve"> </w:t>
      </w:r>
    </w:p>
    <w:p w14:paraId="4536CC89" w14:textId="6D209337" w:rsidR="001135D7" w:rsidRPr="001135D7" w:rsidRDefault="001135D7" w:rsidP="00465590">
      <w:pPr>
        <w:pStyle w:val="ac"/>
        <w:numPr>
          <w:ilvl w:val="4"/>
          <w:numId w:val="8"/>
        </w:numPr>
        <w:bidi/>
        <w:spacing w:after="0"/>
        <w:rPr>
          <w:rFonts w:ascii="David" w:hAnsi="David"/>
          <w:sz w:val="22"/>
        </w:rPr>
      </w:pPr>
      <w:r>
        <w:rPr>
          <w:rFonts w:ascii="David" w:hAnsi="David" w:hint="cs"/>
          <w:sz w:val="22"/>
          <w:rtl/>
        </w:rPr>
        <w:t xml:space="preserve">הרב צבי יהודה בן יעקב - אני יודע שההלכה הקלאסית אומרת לא לכתוב דעות מיעוט, היום יש חובה לכתוב את דעת המיעוט, כי יש בית דין לערעורים. </w:t>
      </w:r>
      <w:r w:rsidR="00994896">
        <w:rPr>
          <w:rFonts w:ascii="David" w:hAnsi="David" w:hint="cs"/>
          <w:sz w:val="22"/>
          <w:rtl/>
        </w:rPr>
        <w:t xml:space="preserve">כדי שבית הדין לערעורים יכול לפסוק כמו שצריך, </w:t>
      </w:r>
      <w:r>
        <w:rPr>
          <w:rFonts w:ascii="David" w:hAnsi="David" w:hint="cs"/>
          <w:sz w:val="22"/>
          <w:rtl/>
        </w:rPr>
        <w:t xml:space="preserve">יש חשיבות עבור הדיינים בבית הדין הגדול אם פס"ד התקבל פה אחד או ברוב דעות. </w:t>
      </w:r>
    </w:p>
    <w:p w14:paraId="55D4E451" w14:textId="6BA477BE" w:rsidR="009D6624" w:rsidRDefault="004A589E" w:rsidP="00465590">
      <w:pPr>
        <w:pStyle w:val="ac"/>
        <w:numPr>
          <w:ilvl w:val="3"/>
          <w:numId w:val="8"/>
        </w:numPr>
        <w:bidi/>
        <w:spacing w:after="0"/>
        <w:rPr>
          <w:rFonts w:ascii="David" w:hAnsi="David"/>
          <w:sz w:val="22"/>
        </w:rPr>
      </w:pPr>
      <w:r w:rsidRPr="00703AA3">
        <w:rPr>
          <w:rFonts w:ascii="David" w:hAnsi="David" w:hint="cs"/>
          <w:rtl/>
        </w:rPr>
        <w:t xml:space="preserve">בנוסף, </w:t>
      </w:r>
      <w:r w:rsidR="002312C5" w:rsidRPr="00703AA3">
        <w:rPr>
          <w:rFonts w:ascii="David" w:hAnsi="David" w:hint="cs"/>
          <w:rtl/>
        </w:rPr>
        <w:t xml:space="preserve">מיעוט קטן ממש של דיינים </w:t>
      </w:r>
      <w:r w:rsidR="008A31D3" w:rsidRPr="00F27ED2">
        <w:rPr>
          <w:rFonts w:ascii="David" w:hAnsi="David" w:hint="cs"/>
          <w:u w:val="single"/>
          <w:rtl/>
        </w:rPr>
        <w:t>מסיימים</w:t>
      </w:r>
      <w:r w:rsidR="002312C5" w:rsidRPr="00F27ED2">
        <w:rPr>
          <w:rFonts w:ascii="David" w:hAnsi="David" w:hint="cs"/>
          <w:u w:val="single"/>
          <w:rtl/>
        </w:rPr>
        <w:t xml:space="preserve"> פס"ד בדעה פה אחד </w:t>
      </w:r>
      <w:r w:rsidR="002312C5" w:rsidRPr="00703AA3">
        <w:rPr>
          <w:rFonts w:ascii="David" w:hAnsi="David" w:hint="cs"/>
          <w:rtl/>
        </w:rPr>
        <w:t xml:space="preserve">- כלומר פירשו את ההלכה </w:t>
      </w:r>
      <w:r w:rsidR="008A31D3" w:rsidRPr="00703AA3">
        <w:rPr>
          <w:rFonts w:ascii="David" w:hAnsi="David" w:hint="cs"/>
          <w:rtl/>
        </w:rPr>
        <w:t>ב</w:t>
      </w:r>
      <w:r w:rsidRPr="00703AA3">
        <w:rPr>
          <w:rFonts w:ascii="David" w:hAnsi="David" w:hint="cs"/>
          <w:rtl/>
        </w:rPr>
        <w:t>צורה מרחיבה</w:t>
      </w:r>
      <w:r w:rsidR="008A31D3" w:rsidRPr="00703AA3">
        <w:rPr>
          <w:rFonts w:ascii="David" w:hAnsi="David" w:hint="cs"/>
          <w:rtl/>
        </w:rPr>
        <w:t xml:space="preserve"> ושלדעתם אסור גם לכתוב שהייתה מחלוקת</w:t>
      </w:r>
      <w:r w:rsidRPr="00703AA3">
        <w:rPr>
          <w:rFonts w:ascii="David" w:hAnsi="David" w:hint="cs"/>
          <w:rtl/>
        </w:rPr>
        <w:t>.</w:t>
      </w:r>
      <w:r w:rsidR="002F0F7F" w:rsidRPr="00703AA3">
        <w:rPr>
          <w:rFonts w:ascii="David" w:hAnsi="David" w:hint="cs"/>
          <w:rtl/>
        </w:rPr>
        <w:t xml:space="preserve"> </w:t>
      </w:r>
      <w:r w:rsidR="00F27ED2">
        <w:rPr>
          <w:rFonts w:ascii="David" w:hAnsi="David" w:hint="cs"/>
          <w:rtl/>
        </w:rPr>
        <w:t>על דעה זו קמה הביקורת שאומרת</w:t>
      </w:r>
      <w:r w:rsidR="00327410" w:rsidRPr="00703AA3">
        <w:rPr>
          <w:rFonts w:ascii="David" w:hAnsi="David" w:hint="cs"/>
          <w:rtl/>
        </w:rPr>
        <w:t xml:space="preserve"> שאחרי רבים להטות ולכן חשוב לציין שיש דעת מיעוט ורבים.</w:t>
      </w:r>
      <w:r w:rsidR="00F27ED2">
        <w:rPr>
          <w:rFonts w:ascii="David" w:hAnsi="David" w:hint="cs"/>
          <w:rtl/>
        </w:rPr>
        <w:t xml:space="preserve"> </w:t>
      </w:r>
    </w:p>
    <w:p w14:paraId="1F92A9D0" w14:textId="325D2F27" w:rsidR="008F2680" w:rsidRPr="008F2680" w:rsidRDefault="008F2680" w:rsidP="008F2680">
      <w:pPr>
        <w:pStyle w:val="21"/>
        <w:rPr>
          <w:sz w:val="22"/>
        </w:rPr>
      </w:pPr>
      <w:bookmarkStart w:id="9" w:name="_Toc107438156"/>
      <w:r>
        <w:rPr>
          <w:rFonts w:hint="cs"/>
          <w:rtl/>
        </w:rPr>
        <w:t>בתי דין וראיות</w:t>
      </w:r>
      <w:bookmarkEnd w:id="9"/>
    </w:p>
    <w:p w14:paraId="1E763880" w14:textId="33A10CB4" w:rsidR="008F2680" w:rsidRPr="008613FF" w:rsidRDefault="008F2680" w:rsidP="00465590">
      <w:pPr>
        <w:pStyle w:val="ac"/>
        <w:numPr>
          <w:ilvl w:val="0"/>
          <w:numId w:val="9"/>
        </w:numPr>
        <w:shd w:val="clear" w:color="auto" w:fill="FFF4CD" w:themeFill="accent1" w:themeFillTint="33"/>
        <w:bidi/>
        <w:spacing w:after="0"/>
        <w:rPr>
          <w:rFonts w:ascii="David" w:hAnsi="David"/>
          <w:b/>
          <w:bCs/>
          <w:sz w:val="22"/>
        </w:rPr>
      </w:pPr>
      <w:r w:rsidRPr="008613FF">
        <w:rPr>
          <w:rFonts w:ascii="David" w:hAnsi="David" w:hint="cs"/>
          <w:b/>
          <w:bCs/>
          <w:rtl/>
        </w:rPr>
        <w:t>השוני בין דיני הראיות במשפט האזרחי לבתי הדין הרבניים</w:t>
      </w:r>
      <w:r w:rsidR="001F0848" w:rsidRPr="008613FF">
        <w:rPr>
          <w:rFonts w:ascii="David" w:hAnsi="David" w:hint="cs"/>
          <w:b/>
          <w:bCs/>
          <w:rtl/>
        </w:rPr>
        <w:t>:</w:t>
      </w:r>
    </w:p>
    <w:p w14:paraId="43DD0F43" w14:textId="3536C6B2" w:rsidR="001F0848" w:rsidRPr="00703AA3" w:rsidRDefault="001F0848" w:rsidP="00465590">
      <w:pPr>
        <w:pStyle w:val="ac"/>
        <w:numPr>
          <w:ilvl w:val="1"/>
          <w:numId w:val="9"/>
        </w:numPr>
        <w:bidi/>
        <w:spacing w:after="0"/>
        <w:rPr>
          <w:rFonts w:ascii="David" w:hAnsi="David"/>
          <w:sz w:val="22"/>
        </w:rPr>
      </w:pPr>
      <w:r>
        <w:rPr>
          <w:rFonts w:ascii="David" w:hAnsi="David" w:hint="cs"/>
          <w:sz w:val="22"/>
          <w:rtl/>
        </w:rPr>
        <w:t>כאשר אנחנו מסתכלים על דיני הראיות בבי"ד הרבניים אנחנו רואים דיני ראיות מאוד שונים. יש המון ראיות שבבתי המשפט יקבלו אותם בלי בעיה בעוד בבי"ד לא והפוך</w:t>
      </w:r>
      <w:r w:rsidR="008613FF">
        <w:rPr>
          <w:rFonts w:ascii="David" w:hAnsi="David" w:hint="cs"/>
          <w:sz w:val="22"/>
          <w:rtl/>
        </w:rPr>
        <w:t>. זה מלמד אותנו שיש תפיסה שונה לדיינים לגבי מה היא ראייה קבילה ומהי ראייה לא קבילה.</w:t>
      </w:r>
    </w:p>
    <w:p w14:paraId="42EF4E39" w14:textId="77777777" w:rsidR="005D382F" w:rsidRDefault="003F61CE" w:rsidP="00465590">
      <w:pPr>
        <w:pStyle w:val="ac"/>
        <w:numPr>
          <w:ilvl w:val="1"/>
          <w:numId w:val="9"/>
        </w:numPr>
        <w:bidi/>
        <w:spacing w:after="0"/>
        <w:rPr>
          <w:rFonts w:ascii="David" w:hAnsi="David"/>
          <w:sz w:val="22"/>
        </w:rPr>
      </w:pPr>
      <w:r w:rsidRPr="003F61CE">
        <w:rPr>
          <w:rFonts w:ascii="David" w:hAnsi="David" w:hint="cs"/>
          <w:sz w:val="22"/>
          <w:u w:val="single"/>
          <w:rtl/>
        </w:rPr>
        <w:t>אלימות כעילה לגירושין (מאמר</w:t>
      </w:r>
      <w:r w:rsidR="00C37544">
        <w:rPr>
          <w:rFonts w:ascii="David" w:hAnsi="David" w:hint="cs"/>
          <w:sz w:val="22"/>
          <w:u w:val="single"/>
          <w:rtl/>
        </w:rPr>
        <w:t xml:space="preserve"> - ניכנס אליו בהרחבה בהמשך</w:t>
      </w:r>
      <w:r w:rsidRPr="003F61CE">
        <w:rPr>
          <w:rFonts w:ascii="David" w:hAnsi="David" w:hint="cs"/>
          <w:sz w:val="22"/>
          <w:u w:val="single"/>
          <w:rtl/>
        </w:rPr>
        <w:t>):</w:t>
      </w:r>
      <w:r>
        <w:rPr>
          <w:rFonts w:ascii="David" w:hAnsi="David" w:hint="cs"/>
          <w:sz w:val="22"/>
          <w:rtl/>
        </w:rPr>
        <w:t xml:space="preserve"> מאמר של הרב צבי שיינפלד שמבוסס על פסקי דין </w:t>
      </w:r>
      <w:r w:rsidR="00AD6E61">
        <w:rPr>
          <w:rFonts w:ascii="David" w:hAnsi="David" w:hint="cs"/>
          <w:sz w:val="22"/>
          <w:rtl/>
        </w:rPr>
        <w:t>ש</w:t>
      </w:r>
      <w:r>
        <w:rPr>
          <w:rFonts w:ascii="David" w:hAnsi="David" w:hint="cs"/>
          <w:sz w:val="22"/>
          <w:rtl/>
        </w:rPr>
        <w:t xml:space="preserve">כתב, </w:t>
      </w:r>
      <w:r w:rsidR="00AD6E61">
        <w:rPr>
          <w:rFonts w:ascii="David" w:hAnsi="David" w:hint="cs"/>
          <w:sz w:val="22"/>
          <w:rtl/>
        </w:rPr>
        <w:t>הוא מדבר על אלימות עילה לגירושין. זוהי עילה מאוד בעייתי</w:t>
      </w:r>
      <w:r w:rsidR="009801EE">
        <w:rPr>
          <w:rFonts w:ascii="David" w:hAnsi="David" w:hint="cs"/>
          <w:sz w:val="22"/>
          <w:rtl/>
        </w:rPr>
        <w:t>ת</w:t>
      </w:r>
      <w:r w:rsidR="00AD6E61">
        <w:rPr>
          <w:rFonts w:ascii="David" w:hAnsi="David" w:hint="cs"/>
          <w:sz w:val="22"/>
          <w:rtl/>
        </w:rPr>
        <w:t xml:space="preserve"> שכן במרבית המקרים האירוע נעשה בחדרי חדרים ורק הבעל והאישה נוכחים</w:t>
      </w:r>
      <w:r w:rsidR="009801EE">
        <w:rPr>
          <w:rFonts w:ascii="David" w:hAnsi="David" w:hint="cs"/>
          <w:sz w:val="22"/>
          <w:rtl/>
        </w:rPr>
        <w:t xml:space="preserve"> ולכן קשה מאוד להוכיחה</w:t>
      </w:r>
      <w:r w:rsidR="00AD6E61">
        <w:rPr>
          <w:rFonts w:ascii="David" w:hAnsi="David" w:hint="cs"/>
          <w:sz w:val="22"/>
          <w:rtl/>
        </w:rPr>
        <w:t>.</w:t>
      </w:r>
      <w:r w:rsidR="009801EE">
        <w:rPr>
          <w:rFonts w:ascii="David" w:hAnsi="David" w:hint="cs"/>
          <w:sz w:val="22"/>
          <w:rtl/>
        </w:rPr>
        <w:t xml:space="preserve"> </w:t>
      </w:r>
      <w:r w:rsidR="00C37544">
        <w:rPr>
          <w:rFonts w:ascii="David" w:hAnsi="David" w:hint="cs"/>
          <w:sz w:val="22"/>
          <w:rtl/>
        </w:rPr>
        <w:t xml:space="preserve">לדעתו לא ניתן לקבל עדות של קרובים, הן מצד הבעל </w:t>
      </w:r>
      <w:r w:rsidR="00591DA9">
        <w:rPr>
          <w:rFonts w:ascii="David" w:hAnsi="David" w:hint="cs"/>
          <w:sz w:val="22"/>
          <w:rtl/>
        </w:rPr>
        <w:t>והן</w:t>
      </w:r>
      <w:r w:rsidR="00C37544">
        <w:rPr>
          <w:rFonts w:ascii="David" w:hAnsi="David" w:hint="cs"/>
          <w:sz w:val="22"/>
          <w:rtl/>
        </w:rPr>
        <w:t xml:space="preserve"> מצד האישה</w:t>
      </w:r>
      <w:r w:rsidR="00591DA9">
        <w:rPr>
          <w:rFonts w:ascii="David" w:hAnsi="David" w:hint="cs"/>
          <w:sz w:val="22"/>
          <w:rtl/>
        </w:rPr>
        <w:t>, בשונה מהחוק האזרחי שמאפשר עדות של בני משפחה כאשר מדובר באלימות במשפחה.</w:t>
      </w:r>
      <w:r w:rsidR="002B6104">
        <w:rPr>
          <w:rFonts w:ascii="David" w:hAnsi="David" w:hint="cs"/>
          <w:sz w:val="22"/>
          <w:rtl/>
        </w:rPr>
        <w:t xml:space="preserve"> עם זאת, לדעתו</w:t>
      </w:r>
      <w:r w:rsidR="00234A64">
        <w:rPr>
          <w:rFonts w:ascii="David" w:hAnsi="David" w:hint="cs"/>
          <w:sz w:val="22"/>
          <w:rtl/>
        </w:rPr>
        <w:t xml:space="preserve"> סירוב להיבדק בפוליגרף יכול לשמש כראיה כנגד הבעל</w:t>
      </w:r>
      <w:r w:rsidR="00274886">
        <w:rPr>
          <w:rFonts w:ascii="David" w:hAnsi="David" w:hint="cs"/>
          <w:sz w:val="22"/>
          <w:rtl/>
        </w:rPr>
        <w:t>, בשונה מהדין האזרחי שלא רואה בפוליגרף דבר משמעותי.</w:t>
      </w:r>
    </w:p>
    <w:p w14:paraId="53767700" w14:textId="54547C38" w:rsidR="000E1CD5" w:rsidRPr="000E1CD5" w:rsidRDefault="00274886" w:rsidP="00465590">
      <w:pPr>
        <w:pStyle w:val="ac"/>
        <w:numPr>
          <w:ilvl w:val="1"/>
          <w:numId w:val="9"/>
        </w:numPr>
        <w:bidi/>
        <w:spacing w:after="0"/>
        <w:rPr>
          <w:rFonts w:ascii="David" w:hAnsi="David"/>
          <w:b/>
          <w:bCs/>
          <w:sz w:val="22"/>
        </w:rPr>
      </w:pPr>
      <w:r w:rsidRPr="00FC3FF6">
        <w:rPr>
          <w:rFonts w:ascii="David" w:hAnsi="David" w:hint="cs"/>
          <w:b/>
          <w:bCs/>
          <w:sz w:val="22"/>
          <w:rtl/>
        </w:rPr>
        <w:t>יש כאן פער מאוד ברור בין ההלכה לדין האזרח</w:t>
      </w:r>
      <w:r w:rsidR="007034BD" w:rsidRPr="00FC3FF6">
        <w:rPr>
          <w:rFonts w:ascii="David" w:hAnsi="David" w:hint="cs"/>
          <w:b/>
          <w:bCs/>
          <w:sz w:val="22"/>
          <w:rtl/>
        </w:rPr>
        <w:t xml:space="preserve">י, וזה מלמד אותנו שההלכה רואה עצמה כמערכת עם דיני ראיות עצמאיים. </w:t>
      </w:r>
      <w:r w:rsidR="005D382F" w:rsidRPr="00FC3FF6">
        <w:rPr>
          <w:rFonts w:ascii="David" w:hAnsi="David" w:hint="cs"/>
          <w:b/>
          <w:bCs/>
          <w:sz w:val="22"/>
          <w:u w:val="single"/>
          <w:rtl/>
        </w:rPr>
        <w:t>אמירה זו עולה בצורה הבולטת והחדה ביותר</w:t>
      </w:r>
      <w:r w:rsidR="007A68CB">
        <w:rPr>
          <w:rFonts w:ascii="David" w:hAnsi="David" w:hint="cs"/>
          <w:b/>
          <w:bCs/>
          <w:sz w:val="22"/>
          <w:rtl/>
        </w:rPr>
        <w:t>.</w:t>
      </w:r>
      <w:r w:rsidR="0066776E">
        <w:rPr>
          <w:rFonts w:ascii="David" w:hAnsi="David" w:hint="cs"/>
          <w:b/>
          <w:bCs/>
          <w:sz w:val="22"/>
          <w:rtl/>
        </w:rPr>
        <w:t xml:space="preserve"> </w:t>
      </w:r>
      <w:r w:rsidR="0066776E" w:rsidRPr="0066776E">
        <w:rPr>
          <w:rFonts w:ascii="David" w:hAnsi="David" w:hint="cs"/>
          <w:b/>
          <w:bCs/>
          <w:sz w:val="22"/>
          <w:shd w:val="clear" w:color="auto" w:fill="FFF4CD" w:themeFill="accent1" w:themeFillTint="33"/>
          <w:rtl/>
        </w:rPr>
        <w:t>את הפער הזה ניתן לראות בפסקי דין נוספים:</w:t>
      </w:r>
    </w:p>
    <w:p w14:paraId="1BA85764" w14:textId="3FF6F953" w:rsidR="004477FB" w:rsidRDefault="006E34A8" w:rsidP="00465590">
      <w:pPr>
        <w:pStyle w:val="ac"/>
        <w:numPr>
          <w:ilvl w:val="2"/>
          <w:numId w:val="9"/>
        </w:numPr>
        <w:bidi/>
        <w:spacing w:after="0"/>
        <w:rPr>
          <w:rFonts w:ascii="David" w:hAnsi="David"/>
          <w:sz w:val="22"/>
        </w:rPr>
      </w:pPr>
      <w:r w:rsidRPr="00FC3FF6">
        <w:rPr>
          <w:rFonts w:ascii="David" w:hAnsi="David" w:hint="cs"/>
          <w:sz w:val="22"/>
          <w:highlight w:val="cyan"/>
          <w:u w:val="single"/>
          <w:rtl/>
        </w:rPr>
        <w:t>פס"ד 4381/21 פלוני נ' בי"ד הגדול</w:t>
      </w:r>
      <w:r>
        <w:rPr>
          <w:rFonts w:ascii="David" w:hAnsi="David" w:hint="cs"/>
          <w:sz w:val="22"/>
          <w:rtl/>
        </w:rPr>
        <w:t xml:space="preserve">: </w:t>
      </w:r>
      <w:r w:rsidR="00F83A5A">
        <w:rPr>
          <w:rFonts w:ascii="David" w:hAnsi="David" w:hint="cs"/>
          <w:sz w:val="22"/>
          <w:rtl/>
        </w:rPr>
        <w:t>כאשר עילת הגירושין היא כנגד הבעל</w:t>
      </w:r>
      <w:r w:rsidR="00FC3FF6">
        <w:rPr>
          <w:rFonts w:ascii="David" w:hAnsi="David" w:hint="cs"/>
          <w:sz w:val="22"/>
          <w:rtl/>
        </w:rPr>
        <w:t xml:space="preserve"> הוא חייב לתת לאישה את הכתובה.</w:t>
      </w:r>
      <w:r w:rsidR="00260234">
        <w:rPr>
          <w:rFonts w:ascii="David" w:hAnsi="David" w:hint="cs"/>
          <w:sz w:val="22"/>
          <w:rtl/>
        </w:rPr>
        <w:t xml:space="preserve"> במקרה הזה הבעל </w:t>
      </w:r>
      <w:r w:rsidR="00685F04">
        <w:rPr>
          <w:rFonts w:ascii="David" w:hAnsi="David" w:hint="cs"/>
          <w:sz w:val="22"/>
          <w:rtl/>
        </w:rPr>
        <w:t xml:space="preserve">הורשעה בתקיפה אשתו והוא עתר לבג"ץ בטענה שבי"ד לא נתן לו </w:t>
      </w:r>
      <w:r w:rsidR="007724DF">
        <w:rPr>
          <w:rFonts w:ascii="David" w:hAnsi="David" w:hint="cs"/>
          <w:sz w:val="22"/>
          <w:rtl/>
        </w:rPr>
        <w:t>הזדמנות ל</w:t>
      </w:r>
      <w:r w:rsidR="00906884">
        <w:rPr>
          <w:rFonts w:ascii="David" w:hAnsi="David" w:hint="cs"/>
          <w:sz w:val="22"/>
          <w:rtl/>
        </w:rPr>
        <w:t>חקירה נגדית ולהוכיח שלא עשה זאת, ולדעתו זה חורג מכללי הצדק.</w:t>
      </w:r>
      <w:r w:rsidR="00341439">
        <w:rPr>
          <w:rFonts w:ascii="David" w:hAnsi="David" w:hint="cs"/>
          <w:sz w:val="22"/>
          <w:rtl/>
        </w:rPr>
        <w:t xml:space="preserve"> </w:t>
      </w:r>
      <w:r w:rsidR="004477FB" w:rsidRPr="00341439">
        <w:rPr>
          <w:rFonts w:ascii="David" w:hAnsi="David" w:hint="cs"/>
          <w:rtl/>
        </w:rPr>
        <w:t>ככול הנראה הבעל ח</w:t>
      </w:r>
      <w:r w:rsidR="0016140A" w:rsidRPr="00341439">
        <w:rPr>
          <w:rFonts w:ascii="David" w:hAnsi="David" w:hint="cs"/>
          <w:rtl/>
        </w:rPr>
        <w:t>שב</w:t>
      </w:r>
      <w:r w:rsidR="004477FB" w:rsidRPr="00341439">
        <w:rPr>
          <w:rFonts w:ascii="David" w:hAnsi="David" w:hint="cs"/>
          <w:rtl/>
        </w:rPr>
        <w:t xml:space="preserve"> ש</w:t>
      </w:r>
      <w:r w:rsidR="00341439">
        <w:rPr>
          <w:rFonts w:ascii="David" w:hAnsi="David" w:hint="cs"/>
          <w:rtl/>
        </w:rPr>
        <w:t xml:space="preserve">יש סיכוי לשכנע את </w:t>
      </w:r>
      <w:r w:rsidR="004477FB" w:rsidRPr="00341439">
        <w:rPr>
          <w:rFonts w:ascii="David" w:hAnsi="David" w:hint="cs"/>
          <w:rtl/>
        </w:rPr>
        <w:t xml:space="preserve">בית הדין </w:t>
      </w:r>
      <w:r w:rsidR="00341439">
        <w:rPr>
          <w:rFonts w:ascii="David" w:hAnsi="David" w:hint="cs"/>
          <w:rtl/>
        </w:rPr>
        <w:t>שההרשעה של בית הדין האזרחי לא תהיה קבילה</w:t>
      </w:r>
      <w:r w:rsidR="00FA0ADF">
        <w:rPr>
          <w:rFonts w:ascii="David" w:hAnsi="David" w:hint="cs"/>
          <w:rtl/>
        </w:rPr>
        <w:t>,</w:t>
      </w:r>
      <w:r w:rsidR="0016140A" w:rsidRPr="00341439">
        <w:rPr>
          <w:rFonts w:ascii="David" w:hAnsi="David" w:hint="cs"/>
          <w:rtl/>
        </w:rPr>
        <w:t xml:space="preserve"> שכן דיני הראיות של בי"ד שונים.</w:t>
      </w:r>
      <w:r w:rsidR="0051271A">
        <w:rPr>
          <w:rFonts w:ascii="David" w:hAnsi="David" w:hint="cs"/>
          <w:sz w:val="22"/>
          <w:rtl/>
        </w:rPr>
        <w:t xml:space="preserve"> במקרה הזה בית המשפט הרשיע אותו בשל הודעתו,</w:t>
      </w:r>
      <w:r w:rsidR="00511E6E">
        <w:rPr>
          <w:rFonts w:ascii="David" w:hAnsi="David" w:hint="cs"/>
          <w:sz w:val="22"/>
          <w:rtl/>
        </w:rPr>
        <w:t xml:space="preserve"> ובהלכה היהודית מאוד בעייתי להרשיע אדם במעשה פלילי רק על סמך הודעתו. ואכן ישנם הרכבים בבי"ד הרבניים </w:t>
      </w:r>
      <w:r w:rsidR="00A632C9">
        <w:rPr>
          <w:rFonts w:ascii="David" w:hAnsi="David" w:hint="cs"/>
          <w:sz w:val="22"/>
          <w:rtl/>
        </w:rPr>
        <w:t xml:space="preserve">שטוענים </w:t>
      </w:r>
      <w:r w:rsidR="00EA59C8">
        <w:rPr>
          <w:rFonts w:ascii="David" w:hAnsi="David" w:hint="cs"/>
          <w:sz w:val="22"/>
          <w:rtl/>
        </w:rPr>
        <w:t>שהרשעה פלילית לא קבילה בי"ד</w:t>
      </w:r>
      <w:r w:rsidR="00A632C9">
        <w:rPr>
          <w:rFonts w:ascii="David" w:hAnsi="David" w:hint="cs"/>
          <w:sz w:val="22"/>
          <w:rtl/>
        </w:rPr>
        <w:t xml:space="preserve"> ויש לבדוק את המקרה שוב לגופו</w:t>
      </w:r>
      <w:r w:rsidR="00511E6E">
        <w:rPr>
          <w:rFonts w:ascii="David" w:hAnsi="David" w:hint="cs"/>
          <w:sz w:val="22"/>
          <w:rtl/>
        </w:rPr>
        <w:t>. במקרה הזה הוא נפל על שני הרכבים</w:t>
      </w:r>
      <w:r w:rsidR="009E5D6A">
        <w:rPr>
          <w:rFonts w:ascii="David" w:hAnsi="David" w:hint="cs"/>
          <w:sz w:val="22"/>
          <w:rtl/>
        </w:rPr>
        <w:t xml:space="preserve"> שלא קיבלו את טענותיו.</w:t>
      </w:r>
    </w:p>
    <w:p w14:paraId="00C7B721" w14:textId="0EF7891A" w:rsidR="00D56C6D" w:rsidRDefault="00D56C6D" w:rsidP="00465590">
      <w:pPr>
        <w:pStyle w:val="ac"/>
        <w:numPr>
          <w:ilvl w:val="2"/>
          <w:numId w:val="9"/>
        </w:numPr>
        <w:bidi/>
        <w:spacing w:after="0"/>
        <w:rPr>
          <w:rFonts w:ascii="David" w:hAnsi="David"/>
          <w:sz w:val="22"/>
        </w:rPr>
      </w:pPr>
      <w:r w:rsidRPr="007A68CB">
        <w:rPr>
          <w:rFonts w:ascii="David" w:hAnsi="David" w:hint="cs"/>
          <w:sz w:val="22"/>
          <w:highlight w:val="cyan"/>
          <w:u w:val="single"/>
          <w:rtl/>
        </w:rPr>
        <w:t xml:space="preserve">פס"ד </w:t>
      </w:r>
      <w:r w:rsidR="00561A38" w:rsidRPr="007A68CB">
        <w:rPr>
          <w:rFonts w:ascii="David" w:hAnsi="David" w:hint="cs"/>
          <w:sz w:val="22"/>
          <w:highlight w:val="cyan"/>
          <w:u w:val="single"/>
          <w:rtl/>
        </w:rPr>
        <w:t>של בית הדין האזורי בתל אביב (מקרה חריג ולא רגיל)</w:t>
      </w:r>
      <w:r w:rsidR="00561A38" w:rsidRPr="007A68CB">
        <w:rPr>
          <w:rFonts w:ascii="David" w:hAnsi="David" w:hint="cs"/>
          <w:sz w:val="22"/>
          <w:highlight w:val="cyan"/>
          <w:rtl/>
        </w:rPr>
        <w:t>:</w:t>
      </w:r>
      <w:r w:rsidR="00561A38">
        <w:rPr>
          <w:rFonts w:ascii="David" w:hAnsi="David" w:hint="cs"/>
          <w:sz w:val="22"/>
          <w:rtl/>
        </w:rPr>
        <w:t xml:space="preserve"> </w:t>
      </w:r>
      <w:r w:rsidR="00B66120">
        <w:rPr>
          <w:rFonts w:ascii="David" w:hAnsi="David" w:hint="cs"/>
          <w:sz w:val="22"/>
          <w:rtl/>
        </w:rPr>
        <w:t>הבעל הורשעה באילמות ואינוס כנגד אשתו ונכנס לכלא לחמש שנים. האישה תובעת לגירושין</w:t>
      </w:r>
      <w:r w:rsidR="004636EA">
        <w:rPr>
          <w:rFonts w:ascii="David" w:hAnsi="David" w:hint="cs"/>
          <w:sz w:val="22"/>
          <w:rtl/>
        </w:rPr>
        <w:t>,</w:t>
      </w:r>
      <w:r w:rsidR="00B66120">
        <w:rPr>
          <w:rFonts w:ascii="David" w:hAnsi="David" w:hint="cs"/>
          <w:sz w:val="22"/>
          <w:rtl/>
        </w:rPr>
        <w:t xml:space="preserve"> ובית הדין </w:t>
      </w:r>
      <w:r w:rsidR="004636EA">
        <w:rPr>
          <w:rFonts w:ascii="David" w:hAnsi="David" w:hint="cs"/>
          <w:sz w:val="22"/>
          <w:rtl/>
        </w:rPr>
        <w:t xml:space="preserve">דוחה את תביעת הגירושין. </w:t>
      </w:r>
      <w:r w:rsidR="00561A38">
        <w:rPr>
          <w:rFonts w:ascii="David" w:hAnsi="David" w:hint="cs"/>
          <w:sz w:val="22"/>
          <w:rtl/>
        </w:rPr>
        <w:t xml:space="preserve"> </w:t>
      </w:r>
      <w:r w:rsidR="000137A8">
        <w:rPr>
          <w:rFonts w:ascii="David" w:hAnsi="David" w:hint="cs"/>
          <w:sz w:val="22"/>
          <w:rtl/>
        </w:rPr>
        <w:t xml:space="preserve">בית הדין הרבני טוען שההוכחות לאלימות צריכות </w:t>
      </w:r>
      <w:r w:rsidR="000137A8">
        <w:rPr>
          <w:rFonts w:ascii="David" w:hAnsi="David" w:hint="cs"/>
          <w:sz w:val="22"/>
          <w:rtl/>
        </w:rPr>
        <w:lastRenderedPageBreak/>
        <w:t>להיות על פי דין תורה</w:t>
      </w:r>
      <w:r w:rsidR="0040292B">
        <w:rPr>
          <w:rFonts w:ascii="David" w:hAnsi="David" w:hint="cs"/>
          <w:sz w:val="22"/>
          <w:rtl/>
        </w:rPr>
        <w:t>, ומקרה הזה אין הוכחות</w:t>
      </w:r>
      <w:r w:rsidR="004C46A2">
        <w:rPr>
          <w:rFonts w:ascii="David" w:hAnsi="David" w:hint="cs"/>
          <w:sz w:val="22"/>
          <w:rtl/>
        </w:rPr>
        <w:t xml:space="preserve"> שכן צריך שני גברים זרים ואסור עדות של התרשמות. מצב זה מוביל לכך שלעולם לא תהיה אפשרות להוכיח דבר כז</w:t>
      </w:r>
      <w:r w:rsidR="00B662B3">
        <w:rPr>
          <w:rFonts w:ascii="David" w:hAnsi="David" w:hint="cs"/>
          <w:sz w:val="22"/>
          <w:rtl/>
        </w:rPr>
        <w:t>ה</w:t>
      </w:r>
      <w:r w:rsidR="004C46A2">
        <w:rPr>
          <w:rFonts w:ascii="David" w:hAnsi="David" w:hint="cs"/>
          <w:sz w:val="22"/>
          <w:rtl/>
        </w:rPr>
        <w:t>.</w:t>
      </w:r>
    </w:p>
    <w:p w14:paraId="49535142" w14:textId="773543BF" w:rsidR="00653A12" w:rsidRDefault="00653A12" w:rsidP="00465590">
      <w:pPr>
        <w:pStyle w:val="ac"/>
        <w:numPr>
          <w:ilvl w:val="2"/>
          <w:numId w:val="9"/>
        </w:numPr>
        <w:bidi/>
        <w:spacing w:after="0"/>
        <w:rPr>
          <w:rFonts w:ascii="David" w:hAnsi="David"/>
          <w:sz w:val="22"/>
        </w:rPr>
      </w:pPr>
      <w:r w:rsidRPr="007A68CB">
        <w:rPr>
          <w:rFonts w:ascii="David" w:hAnsi="David" w:hint="cs"/>
          <w:sz w:val="22"/>
          <w:highlight w:val="cyan"/>
          <w:u w:val="single"/>
          <w:rtl/>
        </w:rPr>
        <w:t>פס"ד של בית הזין האזורי ירושלים 917387/1</w:t>
      </w:r>
      <w:r w:rsidR="00193972" w:rsidRPr="007A68CB">
        <w:rPr>
          <w:rFonts w:ascii="David" w:hAnsi="David" w:hint="cs"/>
          <w:sz w:val="22"/>
          <w:highlight w:val="cyan"/>
          <w:rtl/>
        </w:rPr>
        <w:t xml:space="preserve"> (2013)</w:t>
      </w:r>
      <w:r w:rsidRPr="007A68CB">
        <w:rPr>
          <w:rFonts w:ascii="David" w:hAnsi="David" w:hint="cs"/>
          <w:sz w:val="22"/>
          <w:highlight w:val="cyan"/>
          <w:rtl/>
        </w:rPr>
        <w:t>:</w:t>
      </w:r>
      <w:r w:rsidR="00193972">
        <w:rPr>
          <w:rFonts w:ascii="David" w:hAnsi="David" w:hint="cs"/>
          <w:sz w:val="22"/>
          <w:rtl/>
        </w:rPr>
        <w:t xml:space="preserve"> מדובר על מקרה של גבר שהורשעה </w:t>
      </w:r>
      <w:r w:rsidR="00545906">
        <w:rPr>
          <w:rFonts w:ascii="David" w:hAnsi="David" w:hint="cs"/>
          <w:sz w:val="22"/>
          <w:rtl/>
        </w:rPr>
        <w:t xml:space="preserve">במעשים מגונים בקטנים וקיבל 30 חודשי מאסר. האישה טוענת לעילת מאיסות. בי"ד אומר בדעת </w:t>
      </w:r>
      <w:r w:rsidR="00545906" w:rsidRPr="007D6EA7">
        <w:rPr>
          <w:rFonts w:ascii="David" w:hAnsi="David" w:hint="cs"/>
          <w:sz w:val="22"/>
          <w:rtl/>
        </w:rPr>
        <w:t>רוב</w:t>
      </w:r>
      <w:r w:rsidRPr="007D6EA7">
        <w:rPr>
          <w:rFonts w:ascii="David" w:hAnsi="David" w:hint="cs"/>
          <w:sz w:val="22"/>
          <w:rtl/>
        </w:rPr>
        <w:t xml:space="preserve"> </w:t>
      </w:r>
      <w:r w:rsidR="00A11F8E">
        <w:rPr>
          <w:rFonts w:ascii="David" w:hAnsi="David" w:hint="cs"/>
          <w:sz w:val="22"/>
          <w:rtl/>
        </w:rPr>
        <w:t xml:space="preserve">- </w:t>
      </w:r>
      <w:r w:rsidR="00784638" w:rsidRPr="007D6EA7">
        <w:rPr>
          <w:rFonts w:ascii="David" w:hAnsi="David" w:hint="cs"/>
          <w:sz w:val="22"/>
          <w:rtl/>
        </w:rPr>
        <w:t>ש</w:t>
      </w:r>
      <w:r w:rsidR="00784638">
        <w:rPr>
          <w:rFonts w:ascii="David" w:hAnsi="David" w:hint="cs"/>
          <w:sz w:val="22"/>
          <w:rtl/>
        </w:rPr>
        <w:t xml:space="preserve">טענת המאיסות היא בגין המעשים ולא בגין המאסר, </w:t>
      </w:r>
      <w:r w:rsidR="007D6EA7">
        <w:rPr>
          <w:rFonts w:ascii="David" w:hAnsi="David" w:hint="cs"/>
          <w:sz w:val="22"/>
          <w:rtl/>
        </w:rPr>
        <w:t>לכן על בי"ד לבדוק האם אכן המעשים קרו. לטענת הבעל הוא הודה בעסקת טיעון רק בגלל הפחד והוא לא באמת מודה במעשים.</w:t>
      </w:r>
      <w:r w:rsidR="009041FA">
        <w:rPr>
          <w:rFonts w:ascii="David" w:hAnsi="David" w:hint="cs"/>
          <w:sz w:val="22"/>
          <w:rtl/>
        </w:rPr>
        <w:t xml:space="preserve"> כלומר, גם כאן בי"ד לא מסתמך על הודעתו של הבעל והרשעתו בבי"ד האזרחי</w:t>
      </w:r>
      <w:r w:rsidR="00A11F8E">
        <w:rPr>
          <w:rFonts w:ascii="David" w:hAnsi="David" w:hint="cs"/>
          <w:sz w:val="22"/>
          <w:rtl/>
        </w:rPr>
        <w:t xml:space="preserve">. </w:t>
      </w:r>
    </w:p>
    <w:p w14:paraId="5174E0DC" w14:textId="4E0EC94E" w:rsidR="000E1CD5" w:rsidRDefault="00A67C9F" w:rsidP="00465590">
      <w:pPr>
        <w:pStyle w:val="ac"/>
        <w:numPr>
          <w:ilvl w:val="2"/>
          <w:numId w:val="9"/>
        </w:numPr>
        <w:bidi/>
        <w:spacing w:after="0"/>
        <w:rPr>
          <w:rFonts w:ascii="David" w:hAnsi="David"/>
          <w:sz w:val="22"/>
        </w:rPr>
      </w:pPr>
      <w:r w:rsidRPr="00EF011F">
        <w:rPr>
          <w:rFonts w:ascii="David" w:hAnsi="David" w:hint="cs"/>
          <w:sz w:val="22"/>
          <w:highlight w:val="cyan"/>
          <w:u w:val="single"/>
          <w:rtl/>
        </w:rPr>
        <w:t>פס"ד</w:t>
      </w:r>
      <w:r w:rsidR="00A170C6" w:rsidRPr="00EF011F">
        <w:rPr>
          <w:rFonts w:ascii="David" w:hAnsi="David" w:hint="cs"/>
          <w:sz w:val="22"/>
          <w:highlight w:val="cyan"/>
          <w:u w:val="single"/>
          <w:rtl/>
        </w:rPr>
        <w:t xml:space="preserve"> בבית הדין הגדול באריאל 464583/3</w:t>
      </w:r>
      <w:r w:rsidR="00A170C6">
        <w:rPr>
          <w:rFonts w:ascii="David" w:hAnsi="David" w:hint="cs"/>
          <w:sz w:val="22"/>
          <w:u w:val="single"/>
          <w:rtl/>
        </w:rPr>
        <w:t>:</w:t>
      </w:r>
      <w:r w:rsidR="00A170C6">
        <w:rPr>
          <w:rFonts w:ascii="David" w:hAnsi="David" w:hint="cs"/>
          <w:sz w:val="22"/>
          <w:rtl/>
        </w:rPr>
        <w:t xml:space="preserve"> מקרה של גבר שקיבל 23 שנות מאסר </w:t>
      </w:r>
      <w:r w:rsidR="00391020">
        <w:rPr>
          <w:rFonts w:ascii="David" w:hAnsi="David" w:hint="cs"/>
          <w:sz w:val="22"/>
          <w:rtl/>
        </w:rPr>
        <w:t xml:space="preserve">בגין פגיעות מיניות בביתו ונשים נוספות. דעת המיעוט טוענת שלא ברור שהאישה </w:t>
      </w:r>
      <w:r w:rsidR="00DD7BB9">
        <w:rPr>
          <w:rFonts w:ascii="David" w:hAnsi="David" w:hint="cs"/>
          <w:sz w:val="22"/>
          <w:rtl/>
        </w:rPr>
        <w:t xml:space="preserve">זכאית לכתובה, שכן האישה לא הוכיחה את תביעתה. דעת המיעוט לא מקבלת את </w:t>
      </w:r>
      <w:r w:rsidR="00EF011F">
        <w:rPr>
          <w:rFonts w:ascii="David" w:hAnsi="David" w:hint="cs"/>
          <w:sz w:val="22"/>
          <w:rtl/>
        </w:rPr>
        <w:t xml:space="preserve">פסיקת ביהמ"ש האזרחי כראיות. דעת הרוב- </w:t>
      </w:r>
      <w:r w:rsidR="009D339A">
        <w:rPr>
          <w:rFonts w:ascii="David" w:hAnsi="David" w:hint="cs"/>
          <w:sz w:val="22"/>
          <w:rtl/>
        </w:rPr>
        <w:t>מתנגדת באופן מאוד משמעותי לדעת המיעוט ונותנת לאישה כתובה.</w:t>
      </w:r>
    </w:p>
    <w:p w14:paraId="76DBA179" w14:textId="0784ABCF" w:rsidR="00436607" w:rsidRPr="00D957F8" w:rsidRDefault="00BC50AE" w:rsidP="00465590">
      <w:pPr>
        <w:pStyle w:val="ac"/>
        <w:numPr>
          <w:ilvl w:val="1"/>
          <w:numId w:val="9"/>
        </w:numPr>
        <w:bidi/>
        <w:spacing w:after="0"/>
        <w:rPr>
          <w:rFonts w:ascii="David" w:hAnsi="David"/>
          <w:b/>
          <w:bCs/>
          <w:sz w:val="22"/>
        </w:rPr>
      </w:pPr>
      <w:r w:rsidRPr="00D957F8">
        <w:rPr>
          <w:rFonts w:ascii="David" w:hAnsi="David" w:hint="cs"/>
          <w:b/>
          <w:bCs/>
          <w:sz w:val="22"/>
          <w:shd w:val="clear" w:color="auto" w:fill="FFF4CD" w:themeFill="accent1" w:themeFillTint="33"/>
          <w:rtl/>
        </w:rPr>
        <w:t>עמדת בתי הדין הרבנים בנוגע לפוליגרף</w:t>
      </w:r>
      <w:r w:rsidRPr="00D957F8">
        <w:rPr>
          <w:rFonts w:ascii="David" w:hAnsi="David" w:hint="cs"/>
          <w:b/>
          <w:bCs/>
          <w:sz w:val="22"/>
          <w:rtl/>
        </w:rPr>
        <w:t>:</w:t>
      </w:r>
    </w:p>
    <w:p w14:paraId="284D9000" w14:textId="527EA1E4" w:rsidR="00F404D3" w:rsidRDefault="00BC50AE" w:rsidP="00465590">
      <w:pPr>
        <w:pStyle w:val="ac"/>
        <w:numPr>
          <w:ilvl w:val="2"/>
          <w:numId w:val="9"/>
        </w:numPr>
        <w:bidi/>
        <w:spacing w:after="0"/>
        <w:rPr>
          <w:rFonts w:ascii="David" w:hAnsi="David"/>
          <w:sz w:val="22"/>
        </w:rPr>
      </w:pPr>
      <w:r>
        <w:rPr>
          <w:rFonts w:ascii="David" w:hAnsi="David" w:hint="cs"/>
          <w:b/>
          <w:bCs/>
          <w:sz w:val="22"/>
          <w:rtl/>
        </w:rPr>
        <w:t xml:space="preserve">חלק מבתי מההרכבים מקבלים פוליגרף כראיה משמעותית - </w:t>
      </w:r>
      <w:r w:rsidR="007D6A46" w:rsidRPr="00FD7285">
        <w:rPr>
          <w:rFonts w:ascii="David" w:hAnsi="David" w:hint="cs"/>
          <w:sz w:val="22"/>
          <w:highlight w:val="cyan"/>
          <w:u w:val="single"/>
          <w:rtl/>
        </w:rPr>
        <w:t xml:space="preserve">הדין והדיין </w:t>
      </w:r>
      <w:r w:rsidR="000C38E1" w:rsidRPr="00FD7285">
        <w:rPr>
          <w:rFonts w:ascii="David" w:hAnsi="David" w:hint="cs"/>
          <w:sz w:val="22"/>
          <w:highlight w:val="cyan"/>
          <w:u w:val="single"/>
          <w:rtl/>
        </w:rPr>
        <w:t>36</w:t>
      </w:r>
      <w:r w:rsidR="007D18C8" w:rsidRPr="00FD7285">
        <w:rPr>
          <w:rFonts w:ascii="David" w:hAnsi="David" w:hint="cs"/>
          <w:sz w:val="22"/>
          <w:highlight w:val="cyan"/>
          <w:u w:val="single"/>
          <w:rtl/>
        </w:rPr>
        <w:t xml:space="preserve"> (פס"ד של הרב שיינפלד)</w:t>
      </w:r>
      <w:r w:rsidR="000C38E1" w:rsidRPr="00FD7285">
        <w:rPr>
          <w:rFonts w:ascii="David" w:hAnsi="David" w:hint="cs"/>
          <w:sz w:val="22"/>
          <w:highlight w:val="cyan"/>
          <w:u w:val="single"/>
          <w:rtl/>
        </w:rPr>
        <w:t>:</w:t>
      </w:r>
      <w:r w:rsidR="000C38E1">
        <w:rPr>
          <w:rFonts w:ascii="David" w:hAnsi="David" w:hint="cs"/>
          <w:sz w:val="22"/>
          <w:rtl/>
        </w:rPr>
        <w:t xml:space="preserve"> </w:t>
      </w:r>
      <w:r w:rsidR="007D18C8">
        <w:rPr>
          <w:rFonts w:ascii="David" w:hAnsi="David" w:hint="cs"/>
          <w:sz w:val="22"/>
          <w:rtl/>
        </w:rPr>
        <w:t>האישה טוענת שהבעל הי</w:t>
      </w:r>
      <w:r w:rsidR="00673BB8">
        <w:rPr>
          <w:rFonts w:ascii="David" w:hAnsi="David" w:hint="cs"/>
          <w:sz w:val="22"/>
          <w:rtl/>
        </w:rPr>
        <w:t>ה אלים כלפיה וכלפיה אביה. האישה הסכימה לפוליגרף והבעל לא הסכים. במקרה הזה מבחינת בית הדין מדובר בראייה מאוד מרכזית.</w:t>
      </w:r>
      <w:r w:rsidR="0060625F">
        <w:rPr>
          <w:rFonts w:ascii="David" w:hAnsi="David" w:hint="cs"/>
          <w:sz w:val="22"/>
          <w:rtl/>
        </w:rPr>
        <w:t xml:space="preserve"> בשל כך, בי"ד מגיע למסקנה שהבעל חייב לתת גט.</w:t>
      </w:r>
    </w:p>
    <w:p w14:paraId="5F5969C6" w14:textId="348D10C7" w:rsidR="00BC50AE" w:rsidRDefault="009238FC" w:rsidP="00465590">
      <w:pPr>
        <w:pStyle w:val="ac"/>
        <w:numPr>
          <w:ilvl w:val="2"/>
          <w:numId w:val="9"/>
        </w:numPr>
        <w:bidi/>
        <w:spacing w:after="0"/>
        <w:rPr>
          <w:rFonts w:ascii="David" w:hAnsi="David"/>
          <w:sz w:val="22"/>
        </w:rPr>
      </w:pPr>
      <w:r w:rsidRPr="00FD7285">
        <w:rPr>
          <w:rFonts w:ascii="David" w:hAnsi="David" w:hint="cs"/>
          <w:b/>
          <w:bCs/>
          <w:sz w:val="22"/>
          <w:rtl/>
        </w:rPr>
        <w:t>חלק מבתי הדין אינם מקבלים זאת</w:t>
      </w:r>
      <w:r w:rsidRPr="00FD7285">
        <w:rPr>
          <w:rFonts w:ascii="David" w:hAnsi="David" w:hint="cs"/>
          <w:sz w:val="22"/>
          <w:rtl/>
        </w:rPr>
        <w:t xml:space="preserve"> - </w:t>
      </w:r>
      <w:r w:rsidRPr="00FD7285">
        <w:rPr>
          <w:rFonts w:ascii="David" w:hAnsi="David" w:hint="cs"/>
          <w:sz w:val="22"/>
          <w:highlight w:val="cyan"/>
          <w:u w:val="single"/>
          <w:rtl/>
        </w:rPr>
        <w:t>פס"ד בית הדין האזורי ת"א 1174161/3:</w:t>
      </w:r>
      <w:r w:rsidRPr="00FD7285">
        <w:rPr>
          <w:rFonts w:ascii="David" w:hAnsi="David" w:hint="cs"/>
          <w:sz w:val="22"/>
          <w:rtl/>
        </w:rPr>
        <w:t xml:space="preserve"> </w:t>
      </w:r>
      <w:r w:rsidR="00463905" w:rsidRPr="00FD7285">
        <w:rPr>
          <w:rFonts w:ascii="David" w:hAnsi="David" w:hint="cs"/>
          <w:sz w:val="22"/>
          <w:rtl/>
        </w:rPr>
        <w:t>"</w:t>
      </w:r>
      <w:r w:rsidR="00463905" w:rsidRPr="00463905">
        <w:rPr>
          <w:rtl/>
        </w:rPr>
        <w:t xml:space="preserve"> </w:t>
      </w:r>
      <w:r w:rsidR="00463905" w:rsidRPr="00FD7285">
        <w:rPr>
          <w:rFonts w:ascii="David" w:hAnsi="David"/>
          <w:sz w:val="22"/>
          <w:rtl/>
        </w:rPr>
        <w:t>בקשת הבעל להיבדק בפוליגרף – נדחתה ע"י בית הדין, מאחר ובית הדין פוסק בהתאם</w:t>
      </w:r>
      <w:r w:rsidR="00FD7285" w:rsidRPr="00FD7285">
        <w:rPr>
          <w:rFonts w:ascii="David" w:hAnsi="David" w:hint="cs"/>
          <w:sz w:val="22"/>
          <w:rtl/>
        </w:rPr>
        <w:t xml:space="preserve"> </w:t>
      </w:r>
      <w:r w:rsidR="00463905" w:rsidRPr="00FD7285">
        <w:rPr>
          <w:rFonts w:ascii="David" w:hAnsi="David"/>
          <w:sz w:val="22"/>
          <w:rtl/>
        </w:rPr>
        <w:t>לראיות שלפנינו, ואינו מכיר בפוליגרף כראיה בדין</w:t>
      </w:r>
      <w:r w:rsidR="00FD7285">
        <w:rPr>
          <w:rFonts w:ascii="David" w:hAnsi="David" w:hint="cs"/>
          <w:sz w:val="22"/>
          <w:rtl/>
        </w:rPr>
        <w:t>".</w:t>
      </w:r>
      <w:r w:rsidR="007D13BD">
        <w:rPr>
          <w:rFonts w:ascii="David" w:hAnsi="David" w:hint="cs"/>
          <w:sz w:val="22"/>
          <w:rtl/>
        </w:rPr>
        <w:t xml:space="preserve"> מבחינת בית הדין ההסכמה של הבעל </w:t>
      </w:r>
      <w:r w:rsidR="00D957F8">
        <w:rPr>
          <w:rFonts w:ascii="David" w:hAnsi="David" w:hint="cs"/>
          <w:sz w:val="22"/>
          <w:rtl/>
        </w:rPr>
        <w:t>לביצוע פוליגרף אינה יכולה לשמש כראיה.</w:t>
      </w:r>
    </w:p>
    <w:p w14:paraId="22C976F7" w14:textId="7BAFDF85" w:rsidR="00B62E9F" w:rsidRDefault="00B62E9F" w:rsidP="00465590">
      <w:pPr>
        <w:pStyle w:val="ac"/>
        <w:numPr>
          <w:ilvl w:val="1"/>
          <w:numId w:val="9"/>
        </w:numPr>
        <w:bidi/>
        <w:spacing w:after="0"/>
        <w:rPr>
          <w:rFonts w:ascii="David" w:hAnsi="David"/>
          <w:sz w:val="22"/>
        </w:rPr>
      </w:pPr>
      <w:r>
        <w:rPr>
          <w:rFonts w:ascii="David" w:hAnsi="David" w:hint="cs"/>
          <w:sz w:val="22"/>
          <w:rtl/>
        </w:rPr>
        <w:t xml:space="preserve">ניסיון של בית המשפט </w:t>
      </w:r>
      <w:r w:rsidR="000A3A5D">
        <w:rPr>
          <w:rFonts w:ascii="David" w:hAnsi="David" w:hint="cs"/>
          <w:sz w:val="22"/>
          <w:rtl/>
        </w:rPr>
        <w:t>האזרחי להשתית תפיסת ראיות אזרחית על בתיה דין האזרחי:</w:t>
      </w:r>
    </w:p>
    <w:p w14:paraId="42A1735A" w14:textId="3872DEF3" w:rsidR="006152C0" w:rsidRPr="006152C0" w:rsidRDefault="000D7C01" w:rsidP="00465590">
      <w:pPr>
        <w:pStyle w:val="ac"/>
        <w:numPr>
          <w:ilvl w:val="2"/>
          <w:numId w:val="9"/>
        </w:numPr>
        <w:bidi/>
        <w:spacing w:after="0"/>
      </w:pPr>
      <w:r w:rsidRPr="00C0499F">
        <w:rPr>
          <w:rFonts w:ascii="David" w:hAnsi="David" w:hint="cs"/>
          <w:sz w:val="22"/>
          <w:highlight w:val="cyan"/>
          <w:u w:val="single"/>
          <w:rtl/>
        </w:rPr>
        <w:t xml:space="preserve">פס"ד בג"ץ </w:t>
      </w:r>
      <w:r w:rsidR="00EB5FAA" w:rsidRPr="00C0499F">
        <w:rPr>
          <w:rFonts w:ascii="David" w:hAnsi="David" w:hint="cs"/>
          <w:sz w:val="22"/>
          <w:highlight w:val="cyan"/>
          <w:u w:val="single"/>
          <w:rtl/>
        </w:rPr>
        <w:t>6650/04 פלוני נ' בית הדין הגדול:</w:t>
      </w:r>
      <w:r w:rsidR="000A3A5D" w:rsidRPr="00340F06">
        <w:rPr>
          <w:rFonts w:ascii="David" w:hAnsi="David" w:hint="cs"/>
          <w:sz w:val="22"/>
          <w:u w:val="single"/>
          <w:rtl/>
        </w:rPr>
        <w:t xml:space="preserve"> </w:t>
      </w:r>
      <w:r w:rsidR="000A3A5D">
        <w:rPr>
          <w:rFonts w:ascii="David" w:hAnsi="David" w:hint="cs"/>
          <w:sz w:val="22"/>
          <w:rtl/>
        </w:rPr>
        <w:t xml:space="preserve"> </w:t>
      </w:r>
      <w:r w:rsidR="00C125E8" w:rsidRPr="004A5B69">
        <w:rPr>
          <w:rFonts w:hint="cs"/>
          <w:rtl/>
        </w:rPr>
        <w:t>הבעל הגיש תביעת גירושין נגד העותרת ולהוכחת עילתו הוא הציג תמונות בהן נראית העותרת מקיימת יחסי מין עם אחר, שצ</w:t>
      </w:r>
      <w:r w:rsidR="00C125E8">
        <w:rPr>
          <w:rFonts w:hint="cs"/>
          <w:rtl/>
        </w:rPr>
        <w:t xml:space="preserve">ילם </w:t>
      </w:r>
      <w:r w:rsidR="00340F06">
        <w:rPr>
          <w:rFonts w:hint="cs"/>
          <w:rtl/>
        </w:rPr>
        <w:t xml:space="preserve">אותה </w:t>
      </w:r>
      <w:r w:rsidR="00100BF9">
        <w:rPr>
          <w:rFonts w:hint="cs"/>
          <w:rtl/>
        </w:rPr>
        <w:t>כאשר נכנס לביתה בלא ידיעתה.</w:t>
      </w:r>
      <w:r w:rsidR="00C125E8">
        <w:rPr>
          <w:rFonts w:hint="cs"/>
          <w:rtl/>
        </w:rPr>
        <w:t xml:space="preserve"> </w:t>
      </w:r>
      <w:r w:rsidR="00A93345">
        <w:rPr>
          <w:rFonts w:hint="cs"/>
          <w:rtl/>
        </w:rPr>
        <w:t xml:space="preserve"> במקרה הזה את ב</w:t>
      </w:r>
      <w:r w:rsidR="00A31599">
        <w:rPr>
          <w:rFonts w:hint="cs"/>
          <w:rtl/>
        </w:rPr>
        <w:t>ית</w:t>
      </w:r>
      <w:r w:rsidR="00A93345">
        <w:rPr>
          <w:rFonts w:hint="cs"/>
          <w:rtl/>
        </w:rPr>
        <w:t xml:space="preserve"> הדין לא מעניין החוק האזרחי כי ברגע שיש ראייה שמראה שחייב לגרש את בני הזוג </w:t>
      </w:r>
      <w:r w:rsidR="009F1A51">
        <w:rPr>
          <w:rFonts w:hint="cs"/>
          <w:rtl/>
        </w:rPr>
        <w:t>על פי ההלכה אין להם אפשרות אחרת אלא לגרשם.</w:t>
      </w:r>
      <w:r w:rsidR="00A31599">
        <w:rPr>
          <w:rFonts w:hint="cs"/>
          <w:rtl/>
        </w:rPr>
        <w:t xml:space="preserve"> לכן, על אף שמדובר בפגיעה הפרטיות בית הדין מקבל את הראייה וסומך עליה את הגט. </w:t>
      </w:r>
      <w:r w:rsidR="00A31599" w:rsidRPr="00A31599">
        <w:rPr>
          <w:rFonts w:ascii="David" w:hAnsi="David" w:hint="cs"/>
          <w:sz w:val="22"/>
          <w:u w:val="single"/>
          <w:rtl/>
        </w:rPr>
        <w:t>בג"ץ מפי ברק קובע</w:t>
      </w:r>
      <w:r w:rsidR="006152C0" w:rsidRPr="00A31599">
        <w:rPr>
          <w:rFonts w:ascii="David" w:hAnsi="David" w:hint="cs"/>
          <w:sz w:val="22"/>
          <w:u w:val="single"/>
          <w:rtl/>
        </w:rPr>
        <w:t xml:space="preserve"> -</w:t>
      </w:r>
      <w:r w:rsidR="006152C0">
        <w:rPr>
          <w:rFonts w:hint="cs"/>
          <w:rtl/>
        </w:rPr>
        <w:t xml:space="preserve"> </w:t>
      </w:r>
      <w:r w:rsidR="006152C0" w:rsidRPr="006152C0">
        <w:rPr>
          <w:rFonts w:hint="cs"/>
          <w:rtl/>
        </w:rPr>
        <w:t>למשיב לא עומדת הגנה על פי החוק. במקרה הנדון, אין מקום להתיר את השימוש בתמונות בהליך שבפני בית הדין הרבני.</w:t>
      </w:r>
      <w:r w:rsidR="006152C0">
        <w:rPr>
          <w:rFonts w:hint="cs"/>
          <w:rtl/>
        </w:rPr>
        <w:t xml:space="preserve"> </w:t>
      </w:r>
      <w:r w:rsidR="00A31599">
        <w:rPr>
          <w:rFonts w:hint="cs"/>
          <w:rtl/>
        </w:rPr>
        <w:t>ומוסיף שעל בית הדין למצוא ראיות אחרות כדי לגרש את הזוג.</w:t>
      </w:r>
    </w:p>
    <w:p w14:paraId="1F06A17C" w14:textId="708700FC" w:rsidR="00C125E8" w:rsidRDefault="0065563A" w:rsidP="00465590">
      <w:pPr>
        <w:pStyle w:val="ac"/>
        <w:numPr>
          <w:ilvl w:val="2"/>
          <w:numId w:val="9"/>
        </w:numPr>
        <w:bidi/>
        <w:spacing w:after="0"/>
        <w:rPr>
          <w:u w:val="single"/>
        </w:rPr>
      </w:pPr>
      <w:r w:rsidRPr="00C0499F">
        <w:rPr>
          <w:rFonts w:hint="cs"/>
          <w:highlight w:val="cyan"/>
          <w:u w:val="single"/>
          <w:rtl/>
        </w:rPr>
        <w:t>פס"ד בבית הדין האזורי נתניה 1004240/1:</w:t>
      </w:r>
      <w:r w:rsidRPr="000F4A39">
        <w:rPr>
          <w:rFonts w:hint="cs"/>
          <w:u w:val="single"/>
          <w:rtl/>
        </w:rPr>
        <w:t xml:space="preserve"> </w:t>
      </w:r>
      <w:r w:rsidR="00C664F0" w:rsidRPr="000F4A39">
        <w:rPr>
          <w:rFonts w:hint="cs"/>
          <w:u w:val="single"/>
          <w:rtl/>
        </w:rPr>
        <w:t xml:space="preserve"> </w:t>
      </w:r>
      <w:r w:rsidR="000F4A39" w:rsidRPr="000F4A39">
        <w:rPr>
          <w:rFonts w:hint="cs"/>
          <w:rtl/>
        </w:rPr>
        <w:t>באותו מקרה האישה השיגה ראיות</w:t>
      </w:r>
      <w:r w:rsidR="00CB3E82">
        <w:rPr>
          <w:rFonts w:hint="cs"/>
          <w:rtl/>
        </w:rPr>
        <w:t xml:space="preserve"> של מסרונים, מיילים ויומן אישי של הבעל תוך פגיעה בפרטיותו</w:t>
      </w:r>
      <w:r w:rsidR="00FA5E1C">
        <w:rPr>
          <w:rFonts w:hint="cs"/>
          <w:rtl/>
        </w:rPr>
        <w:t xml:space="preserve">. בית הדין מתיר לאישה לעשות שימוש בראיות אלו כדי </w:t>
      </w:r>
      <w:r w:rsidR="00DD4271">
        <w:rPr>
          <w:rFonts w:hint="cs"/>
          <w:rtl/>
        </w:rPr>
        <w:t>להוכיח את התנהלות הבעל שהובילה לרצון לגט.</w:t>
      </w:r>
      <w:r w:rsidR="0082508F">
        <w:rPr>
          <w:rFonts w:hint="cs"/>
          <w:u w:val="single"/>
          <w:rtl/>
        </w:rPr>
        <w:t xml:space="preserve"> </w:t>
      </w:r>
      <w:r w:rsidR="0082508F">
        <w:rPr>
          <w:rFonts w:hint="cs"/>
          <w:rtl/>
        </w:rPr>
        <w:t xml:space="preserve"> בי"ד טוען </w:t>
      </w:r>
      <w:r w:rsidR="00685412">
        <w:rPr>
          <w:rFonts w:hint="cs"/>
          <w:rtl/>
        </w:rPr>
        <w:t xml:space="preserve">שמכוח סעיפים 18 (תו"ל) ו-32 מותר לעשות שימוש </w:t>
      </w:r>
      <w:r w:rsidR="00C0499F">
        <w:rPr>
          <w:rFonts w:hint="cs"/>
          <w:rtl/>
        </w:rPr>
        <w:t>גם</w:t>
      </w:r>
      <w:r w:rsidR="00685412">
        <w:rPr>
          <w:rFonts w:hint="cs"/>
          <w:rtl/>
        </w:rPr>
        <w:t xml:space="preserve"> מבחינת החוק האזרחי שימוש </w:t>
      </w:r>
      <w:r w:rsidR="00C0499F">
        <w:rPr>
          <w:rFonts w:hint="cs"/>
          <w:rtl/>
        </w:rPr>
        <w:t>בראיות אלו.</w:t>
      </w:r>
      <w:r w:rsidR="0096301E">
        <w:rPr>
          <w:rFonts w:hint="cs"/>
          <w:u w:val="single"/>
          <w:rtl/>
        </w:rPr>
        <w:t xml:space="preserve"> בית הדין לבסוף אומר שלדעת את האמת היא חובתו המרכזית של בית הדין ואם מתוך המסרונים יתבררו העובדות אין זה משנה כיצד הם הושגו.</w:t>
      </w:r>
    </w:p>
    <w:p w14:paraId="56783C0B" w14:textId="13C7A07E" w:rsidR="0096301E" w:rsidRDefault="0096301E" w:rsidP="00465590">
      <w:pPr>
        <w:pStyle w:val="ac"/>
        <w:numPr>
          <w:ilvl w:val="4"/>
          <w:numId w:val="9"/>
        </w:numPr>
        <w:bidi/>
        <w:spacing w:after="0"/>
        <w:rPr>
          <w:b/>
          <w:bCs/>
        </w:rPr>
      </w:pPr>
      <w:r w:rsidRPr="0096301E">
        <w:rPr>
          <w:rFonts w:hint="cs"/>
          <w:b/>
          <w:bCs/>
          <w:rtl/>
        </w:rPr>
        <w:t xml:space="preserve">למה בי"ד מנמק את טיעוניו </w:t>
      </w:r>
      <w:r>
        <w:rPr>
          <w:rFonts w:hint="cs"/>
          <w:b/>
          <w:bCs/>
          <w:rtl/>
        </w:rPr>
        <w:t>גם</w:t>
      </w:r>
      <w:r w:rsidRPr="0096301E">
        <w:rPr>
          <w:rFonts w:hint="cs"/>
          <w:b/>
          <w:bCs/>
          <w:rtl/>
        </w:rPr>
        <w:t xml:space="preserve"> מבחינה אזרחית? כדי שבמידה ויערערו בבג"ץ, לא יפסל פס"ד.</w:t>
      </w:r>
    </w:p>
    <w:p w14:paraId="6C64B852" w14:textId="456D6ACE" w:rsidR="002A4178" w:rsidRPr="002A4178" w:rsidRDefault="002A4178" w:rsidP="002A4178">
      <w:pPr>
        <w:pBdr>
          <w:top w:val="single" w:sz="4" w:space="1" w:color="auto"/>
        </w:pBdr>
      </w:pPr>
      <w:r w:rsidRPr="002A4178">
        <w:rPr>
          <w:rFonts w:hint="cs"/>
          <w:rtl/>
        </w:rPr>
        <w:t>29.03.2022</w:t>
      </w:r>
    </w:p>
    <w:p w14:paraId="1FC399E7" w14:textId="68F1A865" w:rsidR="00372169" w:rsidRPr="00372169" w:rsidRDefault="00372169" w:rsidP="00465590">
      <w:pPr>
        <w:pStyle w:val="ac"/>
        <w:numPr>
          <w:ilvl w:val="2"/>
          <w:numId w:val="9"/>
        </w:numPr>
        <w:bidi/>
        <w:spacing w:after="0"/>
      </w:pPr>
      <w:r w:rsidRPr="00372169">
        <w:rPr>
          <w:rFonts w:hint="cs"/>
          <w:u w:val="single"/>
          <w:rtl/>
        </w:rPr>
        <w:t>פס"ד שניתן בבי"ד בת"א</w:t>
      </w:r>
      <w:r w:rsidR="002A4178">
        <w:rPr>
          <w:rFonts w:hint="cs"/>
          <w:rtl/>
        </w:rPr>
        <w:t xml:space="preserve"> (נפסק בשבוע שעבר)</w:t>
      </w:r>
      <w:r>
        <w:rPr>
          <w:rFonts w:hint="cs"/>
          <w:rtl/>
        </w:rPr>
        <w:t>:</w:t>
      </w:r>
      <w:r w:rsidRPr="00372169">
        <w:rPr>
          <w:rFonts w:hint="cs"/>
          <w:rtl/>
        </w:rPr>
        <w:t xml:space="preserve"> תיק שעוסק בתביעת כתובה של אישה מבעלה, האישה תובעת את הגירושין בגלל ההתנהגות של בעלה. התנהגותו מתבטאת באלימות קשה כנגד אישתו שהובילה לאשפוזה ומאסרו לשישה חודשים. </w:t>
      </w:r>
      <w:r>
        <w:rPr>
          <w:rFonts w:hint="cs"/>
          <w:rtl/>
        </w:rPr>
        <w:t xml:space="preserve"> בי"ד חושב שאין ספק שהמעשה התרחש ו</w:t>
      </w:r>
      <w:r w:rsidR="002A4178">
        <w:rPr>
          <w:rFonts w:hint="cs"/>
          <w:rtl/>
        </w:rPr>
        <w:t>מ</w:t>
      </w:r>
      <w:r>
        <w:rPr>
          <w:rFonts w:hint="cs"/>
          <w:rtl/>
        </w:rPr>
        <w:t>בחינת בית הדין</w:t>
      </w:r>
      <w:r w:rsidR="002A4178">
        <w:rPr>
          <w:rFonts w:hint="cs"/>
          <w:rtl/>
        </w:rPr>
        <w:t>,</w:t>
      </w:r>
      <w:r>
        <w:rPr>
          <w:rFonts w:hint="cs"/>
          <w:rtl/>
        </w:rPr>
        <w:t xml:space="preserve"> הראיות של ביהמ"ש </w:t>
      </w:r>
      <w:r w:rsidR="002A4178">
        <w:rPr>
          <w:rFonts w:hint="cs"/>
          <w:rtl/>
        </w:rPr>
        <w:t>האזרחי קבילות לגמרי., על אף שלא נעשו בדרך ההלכתית.</w:t>
      </w:r>
    </w:p>
    <w:p w14:paraId="33DC6767" w14:textId="6F34F683" w:rsidR="008F2680" w:rsidRPr="00BB11F5" w:rsidRDefault="008F2680" w:rsidP="00465590">
      <w:pPr>
        <w:pStyle w:val="ac"/>
        <w:numPr>
          <w:ilvl w:val="0"/>
          <w:numId w:val="9"/>
        </w:numPr>
        <w:shd w:val="clear" w:color="auto" w:fill="FFF4CD" w:themeFill="accent1" w:themeFillTint="33"/>
        <w:bidi/>
        <w:spacing w:after="0"/>
        <w:rPr>
          <w:rFonts w:ascii="David" w:hAnsi="David"/>
          <w:b/>
          <w:bCs/>
          <w:sz w:val="22"/>
        </w:rPr>
      </w:pPr>
      <w:r w:rsidRPr="00BB11F5">
        <w:rPr>
          <w:rFonts w:ascii="David" w:hAnsi="David" w:hint="cs"/>
          <w:b/>
          <w:bCs/>
          <w:sz w:val="22"/>
          <w:rtl/>
        </w:rPr>
        <w:t xml:space="preserve">עדות </w:t>
      </w:r>
    </w:p>
    <w:p w14:paraId="43811B2E" w14:textId="72238714" w:rsidR="002A4178" w:rsidRDefault="002A4178" w:rsidP="00465590">
      <w:pPr>
        <w:pStyle w:val="ac"/>
        <w:numPr>
          <w:ilvl w:val="1"/>
          <w:numId w:val="9"/>
        </w:numPr>
        <w:bidi/>
        <w:spacing w:after="0"/>
        <w:rPr>
          <w:rFonts w:ascii="David" w:hAnsi="David"/>
          <w:sz w:val="22"/>
        </w:rPr>
      </w:pPr>
      <w:r>
        <w:rPr>
          <w:rFonts w:ascii="David" w:hAnsi="David" w:hint="cs"/>
          <w:sz w:val="22"/>
          <w:rtl/>
        </w:rPr>
        <w:t>עדות= ראיה אנושית באמצעות בני אדם.</w:t>
      </w:r>
    </w:p>
    <w:p w14:paraId="71021D18" w14:textId="7BE9726D" w:rsidR="002A4178" w:rsidRDefault="002A4178" w:rsidP="00465590">
      <w:pPr>
        <w:pStyle w:val="ac"/>
        <w:numPr>
          <w:ilvl w:val="1"/>
          <w:numId w:val="9"/>
        </w:numPr>
        <w:bidi/>
        <w:spacing w:after="0"/>
        <w:rPr>
          <w:rFonts w:ascii="David" w:hAnsi="David"/>
          <w:sz w:val="22"/>
        </w:rPr>
      </w:pPr>
      <w:r w:rsidRPr="002A4178">
        <w:rPr>
          <w:rFonts w:ascii="David" w:hAnsi="David" w:hint="cs"/>
          <w:b/>
          <w:bCs/>
          <w:sz w:val="22"/>
          <w:rtl/>
        </w:rPr>
        <w:t>פקודת הראיות:</w:t>
      </w:r>
      <w:r>
        <w:rPr>
          <w:rFonts w:ascii="David" w:hAnsi="David" w:hint="cs"/>
          <w:sz w:val="22"/>
          <w:rtl/>
        </w:rPr>
        <w:t xml:space="preserve"> </w:t>
      </w:r>
      <w:r w:rsidRPr="002A4178">
        <w:rPr>
          <w:rFonts w:ascii="David" w:hAnsi="David" w:hint="cs"/>
          <w:rtl/>
        </w:rPr>
        <w:t xml:space="preserve">סמכות להזמין עדים ס' 1(א) - "מותר להזמין </w:t>
      </w:r>
      <w:r w:rsidRPr="002A4178">
        <w:rPr>
          <w:rFonts w:ascii="David" w:hAnsi="David" w:hint="cs"/>
          <w:u w:val="single"/>
          <w:rtl/>
        </w:rPr>
        <w:t>כל אדם</w:t>
      </w:r>
      <w:r w:rsidRPr="002A4178">
        <w:rPr>
          <w:rFonts w:ascii="David" w:hAnsi="David" w:hint="cs"/>
          <w:rtl/>
        </w:rPr>
        <w:t xml:space="preserve"> לתת עדות שהיא קבילה ושייכת לעניין". כבר המילים האלו מציבות לנו נגידו מאוד ברור למשפט העברי, שכן בהלכה היהודית מספר האנשים שכשרים לעדות מאוד קטן. אולם, גם במשפט העברי יש סייגים על ברירת המחדל. לדוג' הורה וילדים לא יכולים להעיד אחד נ' השני ובני זוג לא יכולים גם כן. אבל גם לזה יש חריגים - כאשר מדובר באלימות במשפחה ניתן לקבל עדויות אלו.</w:t>
      </w:r>
    </w:p>
    <w:p w14:paraId="45D7B383" w14:textId="059D9065" w:rsidR="006B268C" w:rsidRDefault="006B268C" w:rsidP="00465590">
      <w:pPr>
        <w:pStyle w:val="ac"/>
        <w:numPr>
          <w:ilvl w:val="1"/>
          <w:numId w:val="9"/>
        </w:numPr>
        <w:bidi/>
        <w:spacing w:after="0"/>
        <w:rPr>
          <w:rFonts w:ascii="David" w:hAnsi="David"/>
          <w:sz w:val="22"/>
        </w:rPr>
      </w:pPr>
      <w:r>
        <w:rPr>
          <w:rFonts w:ascii="David" w:hAnsi="David" w:hint="cs"/>
          <w:b/>
          <w:bCs/>
          <w:sz w:val="22"/>
          <w:rtl/>
        </w:rPr>
        <w:t>עדות במשפט העברי:</w:t>
      </w:r>
      <w:r>
        <w:rPr>
          <w:rFonts w:ascii="David" w:hAnsi="David" w:hint="cs"/>
          <w:sz w:val="22"/>
          <w:rtl/>
        </w:rPr>
        <w:t xml:space="preserve"> יהודית אינם יכולים להעיד, נשים לא יכולות להעיד, גברים יהודים שאינם שומרי מצוות לא יכולים, קרובים משפחה גם לא יכולים, קטינים לא יכולים. כולמר, סה"כ נשארנו עם קבוצה מאוד קטנה של אנשים שיכולים להעיד. בעיה זו מלבד היותה בעיה של חוסר שיוון, זו היא גם בעיה מעשית - במציאות שכזו כמעט לא יהיה ניתן להוכיח כלום!</w:t>
      </w:r>
    </w:p>
    <w:p w14:paraId="08B9287E" w14:textId="243C41CA" w:rsidR="00955D4E" w:rsidRPr="00AF00BF" w:rsidRDefault="00955D4E" w:rsidP="00AF00BF">
      <w:pPr>
        <w:pBdr>
          <w:top w:val="single" w:sz="4" w:space="1" w:color="auto"/>
          <w:left w:val="single" w:sz="4" w:space="4" w:color="auto"/>
          <w:bottom w:val="single" w:sz="4" w:space="1" w:color="auto"/>
          <w:right w:val="single" w:sz="4" w:space="4" w:color="auto"/>
        </w:pBdr>
        <w:rPr>
          <w:rFonts w:ascii="David" w:hAnsi="David"/>
        </w:rPr>
      </w:pPr>
      <w:r w:rsidRPr="00AF00BF">
        <w:rPr>
          <w:rFonts w:ascii="David" w:hAnsi="David" w:hint="cs"/>
          <w:b/>
          <w:bCs/>
          <w:shd w:val="clear" w:color="auto" w:fill="FFF4CD" w:themeFill="accent1" w:themeFillTint="33"/>
          <w:rtl/>
        </w:rPr>
        <w:lastRenderedPageBreak/>
        <w:t xml:space="preserve">הפרק </w:t>
      </w:r>
      <w:r w:rsidR="00CB7B9E" w:rsidRPr="00AF00BF">
        <w:rPr>
          <w:rFonts w:ascii="David" w:hAnsi="David" w:hint="cs"/>
          <w:b/>
          <w:bCs/>
          <w:shd w:val="clear" w:color="auto" w:fill="FFF4CD" w:themeFill="accent1" w:themeFillTint="33"/>
          <w:rtl/>
        </w:rPr>
        <w:t>בספרו</w:t>
      </w:r>
      <w:r w:rsidRPr="00AF00BF">
        <w:rPr>
          <w:rFonts w:ascii="David" w:hAnsi="David" w:hint="cs"/>
          <w:b/>
          <w:bCs/>
          <w:shd w:val="clear" w:color="auto" w:fill="FFF4CD" w:themeFill="accent1" w:themeFillTint="33"/>
          <w:rtl/>
        </w:rPr>
        <w:t xml:space="preserve"> של אטינגר</w:t>
      </w:r>
      <w:r w:rsidR="00120952" w:rsidRPr="00AF00BF">
        <w:rPr>
          <w:rFonts w:ascii="David" w:hAnsi="David" w:hint="cs"/>
          <w:b/>
          <w:bCs/>
          <w:shd w:val="clear" w:color="auto" w:fill="FFF4CD" w:themeFill="accent1" w:themeFillTint="33"/>
          <w:rtl/>
        </w:rPr>
        <w:t xml:space="preserve"> (סיכום חומרי קריאה</w:t>
      </w:r>
      <w:r w:rsidR="00120952" w:rsidRPr="00AF00BF">
        <w:rPr>
          <w:rFonts w:ascii="David" w:hAnsi="David" w:hint="cs"/>
          <w:b/>
          <w:bCs/>
          <w:rtl/>
        </w:rPr>
        <w:t>)</w:t>
      </w:r>
      <w:r w:rsidRPr="00AF00BF">
        <w:rPr>
          <w:rFonts w:ascii="David" w:hAnsi="David" w:hint="cs"/>
          <w:b/>
          <w:bCs/>
          <w:rtl/>
        </w:rPr>
        <w:t xml:space="preserve"> -</w:t>
      </w:r>
      <w:r w:rsidRPr="00AF00BF">
        <w:rPr>
          <w:rFonts w:ascii="David" w:hAnsi="David" w:hint="cs"/>
          <w:rtl/>
        </w:rPr>
        <w:t xml:space="preserve"> למה נשים פסולות לעדות, מעלה את האפשרות לקבל נשים לעדות בצורה לא מלאה</w:t>
      </w:r>
      <w:r w:rsidR="00CB7B9E" w:rsidRPr="00AF00BF">
        <w:rPr>
          <w:rFonts w:ascii="David" w:hAnsi="David" w:hint="cs"/>
          <w:rtl/>
        </w:rPr>
        <w:t xml:space="preserve"> (</w:t>
      </w:r>
      <w:r w:rsidR="006A797E" w:rsidRPr="00AF00BF">
        <w:rPr>
          <w:rFonts w:ascii="David" w:hAnsi="David" w:hint="cs"/>
          <w:rtl/>
        </w:rPr>
        <w:t>תמצות חומרי קריאה</w:t>
      </w:r>
      <w:r w:rsidR="00CB7B9E" w:rsidRPr="00AF00BF">
        <w:rPr>
          <w:rFonts w:ascii="David" w:hAnsi="David" w:hint="cs"/>
          <w:rtl/>
        </w:rPr>
        <w:t>)</w:t>
      </w:r>
      <w:r w:rsidRPr="00AF00BF">
        <w:rPr>
          <w:rFonts w:ascii="David" w:hAnsi="David" w:hint="cs"/>
          <w:rtl/>
        </w:rPr>
        <w:t>.</w:t>
      </w:r>
    </w:p>
    <w:p w14:paraId="63E75752" w14:textId="1740682F" w:rsidR="00120952" w:rsidRPr="00AF00BF" w:rsidRDefault="00FB3B05" w:rsidP="00AF00BF">
      <w:pPr>
        <w:pBdr>
          <w:top w:val="single" w:sz="4" w:space="1" w:color="auto"/>
          <w:left w:val="single" w:sz="4" w:space="4" w:color="auto"/>
          <w:bottom w:val="single" w:sz="4" w:space="1" w:color="auto"/>
          <w:right w:val="single" w:sz="4" w:space="4" w:color="auto"/>
        </w:pBdr>
        <w:rPr>
          <w:rFonts w:ascii="David" w:hAnsi="David"/>
        </w:rPr>
      </w:pPr>
      <w:r w:rsidRPr="00AF00BF">
        <w:rPr>
          <w:rFonts w:ascii="David" w:hAnsi="David" w:hint="cs"/>
          <w:u w:val="single"/>
          <w:rtl/>
        </w:rPr>
        <w:t>טעם היסטורי</w:t>
      </w:r>
      <w:r w:rsidR="00AF00BF">
        <w:rPr>
          <w:rFonts w:ascii="David" w:hAnsi="David" w:hint="cs"/>
          <w:u w:val="single"/>
          <w:rtl/>
        </w:rPr>
        <w:t>:</w:t>
      </w:r>
      <w:r w:rsidRPr="00AF00BF">
        <w:rPr>
          <w:rFonts w:ascii="David" w:hAnsi="David" w:hint="cs"/>
          <w:b/>
          <w:bCs/>
          <w:rtl/>
        </w:rPr>
        <w:t xml:space="preserve"> </w:t>
      </w:r>
      <w:r w:rsidRPr="00AF00BF">
        <w:rPr>
          <w:rFonts w:ascii="David" w:hAnsi="David" w:hint="cs"/>
          <w:rtl/>
        </w:rPr>
        <w:t>ניתן לשער ש</w:t>
      </w:r>
      <w:r w:rsidR="005D7980" w:rsidRPr="00AF00BF">
        <w:rPr>
          <w:rFonts w:ascii="David" w:hAnsi="David" w:hint="cs"/>
          <w:rtl/>
        </w:rPr>
        <w:t>פסילת האישה לעשות קשורה ונובעת ממעמדה הנחות בחברה היהודית מבחינה היסטורית</w:t>
      </w:r>
      <w:r w:rsidR="00351443" w:rsidRPr="00AF00BF">
        <w:rPr>
          <w:rFonts w:ascii="David" w:hAnsi="David" w:hint="cs"/>
          <w:rtl/>
        </w:rPr>
        <w:t xml:space="preserve"> שהביאה למסכנה שהיא אינה מהימנה</w:t>
      </w:r>
      <w:r w:rsidR="00FA011A" w:rsidRPr="00AF00BF">
        <w:rPr>
          <w:rFonts w:ascii="David" w:hAnsi="David" w:hint="cs"/>
          <w:rtl/>
        </w:rPr>
        <w:t>.</w:t>
      </w:r>
    </w:p>
    <w:p w14:paraId="31AC11A6" w14:textId="7FA602AA" w:rsidR="00FA011A" w:rsidRPr="00AF00BF" w:rsidRDefault="00FA011A" w:rsidP="00AF00BF">
      <w:pPr>
        <w:pBdr>
          <w:top w:val="single" w:sz="4" w:space="1" w:color="auto"/>
          <w:left w:val="single" w:sz="4" w:space="4" w:color="auto"/>
          <w:bottom w:val="single" w:sz="4" w:space="1" w:color="auto"/>
          <w:right w:val="single" w:sz="4" w:space="4" w:color="auto"/>
        </w:pBdr>
        <w:rPr>
          <w:rFonts w:ascii="David" w:hAnsi="David"/>
        </w:rPr>
      </w:pPr>
      <w:r w:rsidRPr="00AF00BF">
        <w:rPr>
          <w:rFonts w:ascii="David" w:hAnsi="David" w:hint="cs"/>
          <w:u w:val="single"/>
          <w:rtl/>
        </w:rPr>
        <w:t>טעם משפטי:</w:t>
      </w:r>
      <w:r w:rsidRPr="00AF00BF">
        <w:rPr>
          <w:rFonts w:ascii="David" w:hAnsi="David" w:hint="cs"/>
          <w:rtl/>
        </w:rPr>
        <w:t xml:space="preserve"> פסולה מטענה הלכתית פורמלית של גזרת הכתוב ולא משום חוסר מהימנות</w:t>
      </w:r>
      <w:r w:rsidR="00C35521" w:rsidRPr="00AF00BF">
        <w:rPr>
          <w:rFonts w:ascii="David" w:hAnsi="David" w:hint="cs"/>
          <w:rtl/>
        </w:rPr>
        <w:t>.</w:t>
      </w:r>
    </w:p>
    <w:p w14:paraId="38568A23" w14:textId="4E777A6D" w:rsidR="00AA5059" w:rsidRPr="009C3FBD" w:rsidRDefault="00AA5059" w:rsidP="00AF00BF">
      <w:pPr>
        <w:pStyle w:val="ac"/>
        <w:pBdr>
          <w:top w:val="single" w:sz="4" w:space="1" w:color="auto"/>
          <w:left w:val="single" w:sz="4" w:space="4" w:color="auto"/>
          <w:bottom w:val="single" w:sz="4" w:space="1" w:color="auto"/>
          <w:right w:val="single" w:sz="4" w:space="4" w:color="auto"/>
        </w:pBdr>
        <w:bidi/>
        <w:spacing w:after="0"/>
        <w:ind w:left="0"/>
        <w:rPr>
          <w:rFonts w:ascii="David" w:hAnsi="David"/>
          <w:b/>
          <w:bCs/>
          <w:sz w:val="22"/>
          <w:u w:val="single"/>
        </w:rPr>
      </w:pPr>
      <w:r w:rsidRPr="009C3FBD">
        <w:rPr>
          <w:rFonts w:ascii="David" w:hAnsi="David" w:hint="cs"/>
          <w:b/>
          <w:bCs/>
          <w:sz w:val="22"/>
          <w:u w:val="single"/>
          <w:rtl/>
        </w:rPr>
        <w:t>המקורות השונים ביחס לעדות אישה</w:t>
      </w:r>
    </w:p>
    <w:p w14:paraId="5B506E0B" w14:textId="09BA0782" w:rsidR="00AA5059" w:rsidRPr="00AF00BF" w:rsidRDefault="00610871" w:rsidP="00AF00BF">
      <w:pPr>
        <w:pBdr>
          <w:top w:val="single" w:sz="4" w:space="1" w:color="auto"/>
          <w:left w:val="single" w:sz="4" w:space="4" w:color="auto"/>
          <w:bottom w:val="single" w:sz="4" w:space="1" w:color="auto"/>
          <w:right w:val="single" w:sz="4" w:space="4" w:color="auto"/>
        </w:pBdr>
        <w:rPr>
          <w:rFonts w:ascii="David" w:hAnsi="David"/>
        </w:rPr>
      </w:pPr>
      <w:r w:rsidRPr="00AF00BF">
        <w:rPr>
          <w:rFonts w:ascii="David" w:hAnsi="David" w:hint="cs"/>
          <w:u w:val="single"/>
          <w:rtl/>
        </w:rPr>
        <w:t>מקורות חז"ל</w:t>
      </w:r>
      <w:r w:rsidRPr="00AF00BF">
        <w:rPr>
          <w:rFonts w:ascii="David" w:hAnsi="David" w:hint="cs"/>
          <w:rtl/>
        </w:rPr>
        <w:t xml:space="preserve"> </w:t>
      </w:r>
      <w:r w:rsidRPr="00AF00BF">
        <w:rPr>
          <w:rFonts w:ascii="David" w:hAnsi="David"/>
          <w:rtl/>
        </w:rPr>
        <w:t>–</w:t>
      </w:r>
      <w:r w:rsidRPr="00AF00BF">
        <w:rPr>
          <w:rFonts w:ascii="David" w:hAnsi="David" w:hint="cs"/>
          <w:rtl/>
        </w:rPr>
        <w:t xml:space="preserve"> חוסר מהימנות</w:t>
      </w:r>
    </w:p>
    <w:p w14:paraId="47DF34AE" w14:textId="7B815FE6" w:rsidR="00C35521" w:rsidRPr="00AF00BF" w:rsidRDefault="00C35521" w:rsidP="00AF00BF">
      <w:pPr>
        <w:pBdr>
          <w:top w:val="single" w:sz="4" w:space="1" w:color="auto"/>
          <w:left w:val="single" w:sz="4" w:space="4" w:color="auto"/>
          <w:bottom w:val="single" w:sz="4" w:space="1" w:color="auto"/>
          <w:right w:val="single" w:sz="4" w:space="4" w:color="auto"/>
        </w:pBdr>
        <w:rPr>
          <w:rFonts w:ascii="David" w:hAnsi="David"/>
        </w:rPr>
      </w:pPr>
      <w:r w:rsidRPr="00AF00BF">
        <w:rPr>
          <w:rFonts w:ascii="David" w:hAnsi="David" w:hint="cs"/>
          <w:u w:val="single"/>
          <w:rtl/>
        </w:rPr>
        <w:t>שיטת הראשונים ביחס לעדות אישה</w:t>
      </w:r>
      <w:r w:rsidRPr="00AF00BF">
        <w:rPr>
          <w:rFonts w:ascii="David" w:hAnsi="David" w:hint="cs"/>
          <w:b/>
          <w:bCs/>
          <w:rtl/>
        </w:rPr>
        <w:t xml:space="preserve"> </w:t>
      </w:r>
      <w:r w:rsidR="00A60CC8" w:rsidRPr="00AF00BF">
        <w:rPr>
          <w:rFonts w:ascii="David" w:hAnsi="David"/>
          <w:b/>
          <w:bCs/>
          <w:rtl/>
        </w:rPr>
        <w:t>–</w:t>
      </w:r>
      <w:r w:rsidRPr="00AF00BF">
        <w:rPr>
          <w:rFonts w:ascii="David" w:hAnsi="David" w:hint="cs"/>
          <w:rtl/>
        </w:rPr>
        <w:t xml:space="preserve"> </w:t>
      </w:r>
      <w:r w:rsidR="00A60CC8" w:rsidRPr="00AF00BF">
        <w:rPr>
          <w:rFonts w:ascii="David" w:hAnsi="David" w:hint="cs"/>
          <w:rtl/>
        </w:rPr>
        <w:t>שתי שיטות אצל הראשונים:</w:t>
      </w:r>
    </w:p>
    <w:p w14:paraId="2D48F6CA" w14:textId="77575F3F" w:rsidR="00A60CC8" w:rsidRPr="00AF00BF" w:rsidRDefault="00C1598E" w:rsidP="00AF00BF">
      <w:pPr>
        <w:pBdr>
          <w:top w:val="single" w:sz="4" w:space="1" w:color="auto"/>
          <w:left w:val="single" w:sz="4" w:space="4" w:color="auto"/>
          <w:bottom w:val="single" w:sz="4" w:space="1" w:color="auto"/>
          <w:right w:val="single" w:sz="4" w:space="4" w:color="auto"/>
        </w:pBdr>
        <w:rPr>
          <w:rFonts w:ascii="David" w:hAnsi="David"/>
        </w:rPr>
      </w:pPr>
      <w:r w:rsidRPr="00AF00BF">
        <w:rPr>
          <w:rFonts w:ascii="David" w:hAnsi="David" w:hint="cs"/>
          <w:rtl/>
        </w:rPr>
        <w:t>חלק ממשיכים בקו ברור של התלמוד וטוענים חוסר מהימנות (הרמב"ם).</w:t>
      </w:r>
    </w:p>
    <w:p w14:paraId="6DEDF6C9" w14:textId="619A7164" w:rsidR="00C1598E" w:rsidRPr="00AF00BF" w:rsidRDefault="00C1598E" w:rsidP="00AF00BF">
      <w:pPr>
        <w:pBdr>
          <w:top w:val="single" w:sz="4" w:space="1" w:color="auto"/>
          <w:left w:val="single" w:sz="4" w:space="4" w:color="auto"/>
          <w:bottom w:val="single" w:sz="4" w:space="1" w:color="auto"/>
          <w:right w:val="single" w:sz="4" w:space="4" w:color="auto"/>
        </w:pBdr>
        <w:rPr>
          <w:rFonts w:ascii="David" w:hAnsi="David"/>
        </w:rPr>
      </w:pPr>
      <w:r w:rsidRPr="00AF00BF">
        <w:rPr>
          <w:rFonts w:ascii="David" w:hAnsi="David" w:hint="cs"/>
          <w:rtl/>
        </w:rPr>
        <w:t>חלק טוענים שמדובר בפסלות פורמלית גרידא.</w:t>
      </w:r>
    </w:p>
    <w:p w14:paraId="2855D6C4" w14:textId="136558D5" w:rsidR="00427806" w:rsidRPr="00AF00BF" w:rsidRDefault="009C3FBD" w:rsidP="00AF00BF">
      <w:pPr>
        <w:pStyle w:val="ac"/>
        <w:pBdr>
          <w:top w:val="single" w:sz="4" w:space="1" w:color="auto"/>
          <w:left w:val="single" w:sz="4" w:space="4" w:color="auto"/>
          <w:bottom w:val="single" w:sz="4" w:space="1" w:color="auto"/>
          <w:right w:val="single" w:sz="4" w:space="4" w:color="auto"/>
        </w:pBdr>
        <w:bidi/>
        <w:spacing w:after="0"/>
        <w:ind w:left="0"/>
        <w:rPr>
          <w:rFonts w:ascii="David" w:hAnsi="David"/>
          <w:sz w:val="22"/>
        </w:rPr>
      </w:pPr>
      <w:r w:rsidRPr="00AF00BF">
        <w:rPr>
          <w:rFonts w:ascii="David" w:hAnsi="David" w:hint="cs"/>
          <w:b/>
          <w:bCs/>
          <w:sz w:val="22"/>
          <w:u w:val="single"/>
          <w:rtl/>
        </w:rPr>
        <w:t>המשמעות של הבחנה בין השיטות:</w:t>
      </w:r>
      <w:r w:rsidR="00AF00BF">
        <w:rPr>
          <w:rFonts w:ascii="David" w:hAnsi="David" w:hint="cs"/>
          <w:b/>
          <w:bCs/>
          <w:sz w:val="22"/>
          <w:u w:val="single"/>
          <w:rtl/>
        </w:rPr>
        <w:t xml:space="preserve"> </w:t>
      </w:r>
      <w:r w:rsidR="00634071" w:rsidRPr="00AF00BF">
        <w:rPr>
          <w:rFonts w:ascii="David" w:hAnsi="David" w:hint="cs"/>
          <w:sz w:val="22"/>
          <w:rtl/>
        </w:rPr>
        <w:t>עמדה הסוברת שמדובר באי מהימנות מאפשרת באופן עקרוני את שיוני הדין אם השתנו הנסיבות החברתיות.</w:t>
      </w:r>
      <w:r w:rsidR="00AF00BF">
        <w:rPr>
          <w:rFonts w:ascii="David" w:hAnsi="David" w:hint="cs"/>
          <w:sz w:val="22"/>
          <w:rtl/>
        </w:rPr>
        <w:t xml:space="preserve"> בעוד </w:t>
      </w:r>
      <w:r w:rsidR="00A77EFD" w:rsidRPr="00AF00BF">
        <w:rPr>
          <w:rFonts w:ascii="David" w:hAnsi="David" w:hint="cs"/>
          <w:sz w:val="22"/>
          <w:rtl/>
        </w:rPr>
        <w:t xml:space="preserve">עמדה הרואה פסול פורמליסטי ולא טעם לגופו של עניין </w:t>
      </w:r>
      <w:r w:rsidR="00F30DBF" w:rsidRPr="00AF00BF">
        <w:rPr>
          <w:rFonts w:ascii="David" w:hAnsi="David" w:hint="cs"/>
          <w:sz w:val="22"/>
          <w:rtl/>
        </w:rPr>
        <w:t xml:space="preserve"> -שיוני הדין יצטרך להיות באופן </w:t>
      </w:r>
      <w:r w:rsidR="00427806" w:rsidRPr="00AF00BF">
        <w:rPr>
          <w:rFonts w:ascii="David" w:hAnsi="David" w:hint="cs"/>
          <w:sz w:val="22"/>
          <w:rtl/>
        </w:rPr>
        <w:t>של תקנה.</w:t>
      </w:r>
    </w:p>
    <w:p w14:paraId="71B9859D" w14:textId="285C8213" w:rsidR="00427806" w:rsidRPr="00427806" w:rsidRDefault="00427806" w:rsidP="00AF00BF">
      <w:pPr>
        <w:pStyle w:val="ac"/>
        <w:pBdr>
          <w:top w:val="single" w:sz="4" w:space="1" w:color="auto"/>
          <w:left w:val="single" w:sz="4" w:space="4" w:color="auto"/>
          <w:bottom w:val="single" w:sz="4" w:space="1" w:color="auto"/>
          <w:right w:val="single" w:sz="4" w:space="4" w:color="auto"/>
        </w:pBdr>
        <w:bidi/>
        <w:spacing w:after="0"/>
        <w:ind w:left="0"/>
        <w:rPr>
          <w:rFonts w:ascii="David" w:hAnsi="David"/>
          <w:b/>
          <w:bCs/>
          <w:sz w:val="22"/>
          <w:u w:val="single"/>
        </w:rPr>
      </w:pPr>
      <w:r w:rsidRPr="00427806">
        <w:rPr>
          <w:rFonts w:ascii="David" w:hAnsi="David" w:hint="cs"/>
          <w:b/>
          <w:bCs/>
          <w:sz w:val="22"/>
          <w:u w:val="single"/>
          <w:rtl/>
        </w:rPr>
        <w:t>מקרים שהותרו:</w:t>
      </w:r>
    </w:p>
    <w:p w14:paraId="7AE03594" w14:textId="390D8E95" w:rsidR="006A797E" w:rsidRPr="00AF00BF" w:rsidRDefault="00AF00BF" w:rsidP="00AF00BF">
      <w:pPr>
        <w:pBdr>
          <w:top w:val="single" w:sz="4" w:space="1" w:color="auto"/>
          <w:left w:val="single" w:sz="4" w:space="4" w:color="auto"/>
          <w:bottom w:val="single" w:sz="4" w:space="1" w:color="auto"/>
          <w:right w:val="single" w:sz="4" w:space="4" w:color="auto"/>
        </w:pBdr>
        <w:rPr>
          <w:rFonts w:ascii="David" w:hAnsi="David"/>
          <w:rtl/>
        </w:rPr>
      </w:pPr>
      <w:r>
        <w:rPr>
          <w:rFonts w:ascii="David" w:hAnsi="David" w:hint="cs"/>
          <w:rtl/>
        </w:rPr>
        <w:t xml:space="preserve">1. </w:t>
      </w:r>
      <w:r w:rsidR="006A797E" w:rsidRPr="00AF00BF">
        <w:rPr>
          <w:rFonts w:ascii="David" w:hAnsi="David"/>
          <w:rtl/>
        </w:rPr>
        <w:t xml:space="preserve">בתביעות ממון: </w:t>
      </w:r>
      <w:r w:rsidR="00D64840">
        <w:rPr>
          <w:rFonts w:ascii="David" w:hAnsi="David" w:hint="cs"/>
          <w:b/>
          <w:bCs/>
          <w:rtl/>
        </w:rPr>
        <w:t xml:space="preserve">במקרים שבהם </w:t>
      </w:r>
      <w:r w:rsidR="006A797E" w:rsidRPr="00AF00BF">
        <w:rPr>
          <w:rFonts w:ascii="David" w:hAnsi="David"/>
          <w:b/>
          <w:bCs/>
          <w:rtl/>
        </w:rPr>
        <w:t>גברים לא נכחו \ לא רגילים להימצא</w:t>
      </w:r>
      <w:r w:rsidR="006A797E" w:rsidRPr="00AF00BF">
        <w:rPr>
          <w:rFonts w:ascii="David" w:hAnsi="David"/>
          <w:rtl/>
        </w:rPr>
        <w:t>. (לא מקובל על חכמי ספרד)</w:t>
      </w:r>
    </w:p>
    <w:p w14:paraId="0D04F6D7" w14:textId="5823C863" w:rsidR="006A797E" w:rsidRPr="00AF00BF" w:rsidRDefault="00AF00BF" w:rsidP="00AF00BF">
      <w:pPr>
        <w:pBdr>
          <w:top w:val="single" w:sz="4" w:space="1" w:color="auto"/>
          <w:left w:val="single" w:sz="4" w:space="4" w:color="auto"/>
          <w:bottom w:val="single" w:sz="4" w:space="1" w:color="auto"/>
          <w:right w:val="single" w:sz="4" w:space="4" w:color="auto"/>
        </w:pBdr>
        <w:rPr>
          <w:rFonts w:ascii="David" w:hAnsi="David"/>
        </w:rPr>
      </w:pPr>
      <w:r>
        <w:rPr>
          <w:rFonts w:ascii="David" w:hAnsi="David" w:hint="cs"/>
          <w:rtl/>
        </w:rPr>
        <w:t xml:space="preserve">2. </w:t>
      </w:r>
      <w:r w:rsidR="00D64840">
        <w:rPr>
          <w:rFonts w:ascii="David" w:hAnsi="David" w:hint="cs"/>
          <w:rtl/>
        </w:rPr>
        <w:t>ב</w:t>
      </w:r>
      <w:r w:rsidR="006A797E" w:rsidRPr="00AF00BF">
        <w:rPr>
          <w:rFonts w:ascii="David" w:hAnsi="David"/>
          <w:rtl/>
        </w:rPr>
        <w:t>עניינים ה</w:t>
      </w:r>
      <w:r w:rsidR="006A797E" w:rsidRPr="00AF00BF">
        <w:rPr>
          <w:rFonts w:ascii="David" w:hAnsi="David"/>
          <w:b/>
          <w:bCs/>
          <w:rtl/>
        </w:rPr>
        <w:t>מיוחדים לנשים</w:t>
      </w:r>
      <w:r w:rsidR="006A797E" w:rsidRPr="00AF00BF">
        <w:rPr>
          <w:rFonts w:ascii="David" w:hAnsi="David"/>
          <w:rtl/>
        </w:rPr>
        <w:t>, פרשנות מרחיבה של "דבר שהוא עסוק בו ולא אחר". (אשכנז)</w:t>
      </w:r>
    </w:p>
    <w:p w14:paraId="4B9129D5" w14:textId="5D0F74B5" w:rsidR="00427806" w:rsidRPr="00AF00BF" w:rsidRDefault="00AF00BF" w:rsidP="00AF00BF">
      <w:pPr>
        <w:pBdr>
          <w:top w:val="single" w:sz="4" w:space="1" w:color="auto"/>
          <w:left w:val="single" w:sz="4" w:space="4" w:color="auto"/>
          <w:bottom w:val="single" w:sz="4" w:space="1" w:color="auto"/>
          <w:right w:val="single" w:sz="4" w:space="4" w:color="auto"/>
        </w:pBdr>
        <w:rPr>
          <w:rFonts w:ascii="David" w:hAnsi="David"/>
        </w:rPr>
      </w:pPr>
      <w:r w:rsidRPr="00AF00BF">
        <w:rPr>
          <w:rFonts w:ascii="David" w:hAnsi="David" w:hint="cs"/>
          <w:rtl/>
        </w:rPr>
        <w:t>3</w:t>
      </w:r>
      <w:r>
        <w:rPr>
          <w:rFonts w:ascii="David" w:hAnsi="David" w:hint="cs"/>
          <w:b/>
          <w:bCs/>
          <w:rtl/>
        </w:rPr>
        <w:t xml:space="preserve">. </w:t>
      </w:r>
      <w:r w:rsidR="006A797E" w:rsidRPr="00AF00BF">
        <w:rPr>
          <w:rFonts w:ascii="David" w:hAnsi="David"/>
          <w:b/>
          <w:bCs/>
          <w:rtl/>
        </w:rPr>
        <w:t>אירוע פתאומי</w:t>
      </w:r>
      <w:r w:rsidR="006A797E" w:rsidRPr="00AF00BF">
        <w:rPr>
          <w:rFonts w:ascii="David" w:hAnsi="David"/>
          <w:rtl/>
        </w:rPr>
        <w:t xml:space="preserve"> ובלתי מתוכנן כמו קטטה. (רבנו תם)</w:t>
      </w:r>
    </w:p>
    <w:p w14:paraId="21A6339F" w14:textId="764BD2CE" w:rsidR="00AF00BF" w:rsidRPr="00793834" w:rsidRDefault="00AF00BF" w:rsidP="00AF00BF">
      <w:pPr>
        <w:pBdr>
          <w:top w:val="single" w:sz="4" w:space="1" w:color="auto"/>
          <w:left w:val="single" w:sz="4" w:space="4" w:color="auto"/>
          <w:bottom w:val="single" w:sz="4" w:space="1" w:color="auto"/>
          <w:right w:val="single" w:sz="4" w:space="4" w:color="auto"/>
        </w:pBdr>
        <w:rPr>
          <w:rFonts w:ascii="David" w:hAnsi="David"/>
          <w:rtl/>
        </w:rPr>
      </w:pPr>
      <w:r w:rsidRPr="00AF00BF">
        <w:rPr>
          <w:rFonts w:ascii="David" w:hAnsi="David"/>
          <w:b/>
          <w:bCs/>
          <w:u w:val="single"/>
          <w:rtl/>
        </w:rPr>
        <w:t>בין אשכנז לספרד</w:t>
      </w:r>
      <w:r w:rsidRPr="00793834">
        <w:rPr>
          <w:rFonts w:ascii="David" w:hAnsi="David"/>
          <w:b/>
          <w:bCs/>
          <w:rtl/>
        </w:rPr>
        <w:t>:</w:t>
      </w:r>
      <w:r>
        <w:rPr>
          <w:rFonts w:ascii="David" w:hAnsi="David" w:hint="cs"/>
          <w:b/>
          <w:bCs/>
          <w:rtl/>
        </w:rPr>
        <w:t xml:space="preserve"> </w:t>
      </w:r>
      <w:r w:rsidRPr="00793834">
        <w:rPr>
          <w:rFonts w:ascii="David" w:hAnsi="David"/>
          <w:rtl/>
        </w:rPr>
        <w:t>חכמי ספרד לא הסכימו להקל בפסילת עדותה, לא בדרך הפרשנות ולא בדרך התקנה.</w:t>
      </w:r>
    </w:p>
    <w:p w14:paraId="001719B5" w14:textId="77777777" w:rsidR="00AF00BF" w:rsidRPr="00AF00BF" w:rsidRDefault="00AF00BF" w:rsidP="00AF00BF">
      <w:pPr>
        <w:pBdr>
          <w:top w:val="single" w:sz="4" w:space="1" w:color="auto"/>
          <w:left w:val="single" w:sz="4" w:space="4" w:color="auto"/>
          <w:bottom w:val="single" w:sz="4" w:space="1" w:color="auto"/>
          <w:right w:val="single" w:sz="4" w:space="4" w:color="auto"/>
        </w:pBdr>
        <w:rPr>
          <w:rFonts w:ascii="David" w:hAnsi="David"/>
          <w:b/>
          <w:bCs/>
          <w:u w:val="single"/>
          <w:rtl/>
        </w:rPr>
      </w:pPr>
      <w:r w:rsidRPr="00AF00BF">
        <w:rPr>
          <w:rFonts w:ascii="David" w:hAnsi="David"/>
          <w:b/>
          <w:bCs/>
          <w:u w:val="single"/>
          <w:rtl/>
        </w:rPr>
        <w:t>האם ההקלות תקפות גם בדיני הנזיקין? מחלוקת:</w:t>
      </w:r>
    </w:p>
    <w:p w14:paraId="1141D80C" w14:textId="77777777" w:rsidR="00AF00BF" w:rsidRPr="00793834" w:rsidRDefault="00AF00BF" w:rsidP="00AF00BF">
      <w:pPr>
        <w:pBdr>
          <w:top w:val="single" w:sz="4" w:space="1" w:color="auto"/>
          <w:left w:val="single" w:sz="4" w:space="4" w:color="auto"/>
          <w:bottom w:val="single" w:sz="4" w:space="1" w:color="auto"/>
          <w:right w:val="single" w:sz="4" w:space="4" w:color="auto"/>
        </w:pBdr>
        <w:rPr>
          <w:rFonts w:ascii="David" w:hAnsi="David"/>
          <w:rtl/>
        </w:rPr>
      </w:pPr>
      <w:r w:rsidRPr="00793834">
        <w:rPr>
          <w:rFonts w:ascii="David" w:hAnsi="David"/>
          <w:rtl/>
        </w:rPr>
        <w:t xml:space="preserve">מקורות הראשונים: בסוגיות </w:t>
      </w:r>
      <w:r w:rsidRPr="00793834">
        <w:rPr>
          <w:rFonts w:ascii="David" w:hAnsi="David"/>
          <w:b/>
          <w:bCs/>
          <w:rtl/>
        </w:rPr>
        <w:t>אלימות בלבד</w:t>
      </w:r>
      <w:r w:rsidRPr="00793834">
        <w:rPr>
          <w:rFonts w:ascii="David" w:hAnsi="David"/>
          <w:rtl/>
        </w:rPr>
        <w:t>, בשל תקנ"צ, בבחינת תקנה (חקיקה למצב מוגדר). הרתעה.</w:t>
      </w:r>
    </w:p>
    <w:p w14:paraId="260A0D0B" w14:textId="77777777" w:rsidR="00AF00BF" w:rsidRPr="00793834" w:rsidRDefault="00AF00BF" w:rsidP="00AF00BF">
      <w:pPr>
        <w:pBdr>
          <w:top w:val="single" w:sz="4" w:space="1" w:color="auto"/>
          <w:left w:val="single" w:sz="4" w:space="4" w:color="auto"/>
          <w:bottom w:val="single" w:sz="4" w:space="1" w:color="auto"/>
          <w:right w:val="single" w:sz="4" w:space="4" w:color="auto"/>
        </w:pBdr>
        <w:rPr>
          <w:rFonts w:ascii="David" w:hAnsi="David"/>
          <w:rtl/>
        </w:rPr>
      </w:pPr>
      <w:r w:rsidRPr="00793834">
        <w:rPr>
          <w:rFonts w:ascii="David" w:hAnsi="David"/>
          <w:rtl/>
        </w:rPr>
        <w:t xml:space="preserve">המהרש"ל: כאשר יש </w:t>
      </w:r>
      <w:r w:rsidRPr="00793834">
        <w:rPr>
          <w:rFonts w:ascii="David" w:hAnsi="David"/>
          <w:b/>
          <w:bCs/>
          <w:rtl/>
        </w:rPr>
        <w:t>בסיס מוצק</w:t>
      </w:r>
      <w:r w:rsidRPr="00793834">
        <w:rPr>
          <w:rFonts w:ascii="David" w:hAnsi="David"/>
          <w:rtl/>
        </w:rPr>
        <w:t xml:space="preserve"> לתביעה.</w:t>
      </w:r>
    </w:p>
    <w:p w14:paraId="6AA32778" w14:textId="77777777" w:rsidR="00AF00BF" w:rsidRPr="00793834" w:rsidRDefault="00AF00BF" w:rsidP="00AF00BF">
      <w:pPr>
        <w:pBdr>
          <w:top w:val="single" w:sz="4" w:space="1" w:color="auto"/>
          <w:left w:val="single" w:sz="4" w:space="4" w:color="auto"/>
          <w:bottom w:val="single" w:sz="4" w:space="1" w:color="auto"/>
          <w:right w:val="single" w:sz="4" w:space="4" w:color="auto"/>
        </w:pBdr>
        <w:rPr>
          <w:rFonts w:ascii="David" w:hAnsi="David"/>
          <w:rtl/>
        </w:rPr>
      </w:pPr>
      <w:r w:rsidRPr="00AF00BF">
        <w:rPr>
          <w:rFonts w:ascii="David" w:hAnsi="David"/>
          <w:b/>
          <w:bCs/>
          <w:u w:val="single"/>
          <w:rtl/>
        </w:rPr>
        <w:t>שני פסקי הלכה של חכמי דורנו</w:t>
      </w:r>
      <w:r w:rsidRPr="00793834">
        <w:rPr>
          <w:rFonts w:ascii="David" w:hAnsi="David"/>
          <w:b/>
          <w:bCs/>
          <w:rtl/>
        </w:rPr>
        <w:t>:</w:t>
      </w:r>
    </w:p>
    <w:p w14:paraId="102E115F" w14:textId="77777777" w:rsidR="00AF00BF" w:rsidRPr="00793834" w:rsidRDefault="00AF00BF" w:rsidP="00AF00BF">
      <w:pPr>
        <w:pBdr>
          <w:top w:val="single" w:sz="4" w:space="1" w:color="auto"/>
          <w:left w:val="single" w:sz="4" w:space="4" w:color="auto"/>
          <w:bottom w:val="single" w:sz="4" w:space="1" w:color="auto"/>
          <w:right w:val="single" w:sz="4" w:space="4" w:color="auto"/>
        </w:pBdr>
        <w:rPr>
          <w:rFonts w:ascii="David" w:hAnsi="David"/>
          <w:rtl/>
        </w:rPr>
      </w:pPr>
      <w:r w:rsidRPr="00793834">
        <w:rPr>
          <w:rFonts w:ascii="David" w:hAnsi="David"/>
          <w:b/>
          <w:bCs/>
          <w:rtl/>
        </w:rPr>
        <w:t xml:space="preserve">1.הרב עוזיאל: </w:t>
      </w:r>
      <w:r w:rsidRPr="00793834">
        <w:rPr>
          <w:rFonts w:ascii="David" w:hAnsi="David"/>
          <w:rtl/>
        </w:rPr>
        <w:t>האישה בלתי אמינה מפני שאינה מורגלת במסחר.</w:t>
      </w:r>
    </w:p>
    <w:p w14:paraId="525D16C5" w14:textId="77777777" w:rsidR="00AF00BF" w:rsidRPr="00793834" w:rsidRDefault="00AF00BF" w:rsidP="00AF00BF">
      <w:pPr>
        <w:pBdr>
          <w:top w:val="single" w:sz="4" w:space="1" w:color="auto"/>
          <w:left w:val="single" w:sz="4" w:space="4" w:color="auto"/>
          <w:bottom w:val="single" w:sz="4" w:space="1" w:color="auto"/>
          <w:right w:val="single" w:sz="4" w:space="4" w:color="auto"/>
        </w:pBdr>
        <w:rPr>
          <w:rFonts w:ascii="David" w:hAnsi="David"/>
          <w:rtl/>
        </w:rPr>
      </w:pPr>
      <w:r w:rsidRPr="00793834">
        <w:rPr>
          <w:rFonts w:ascii="David" w:hAnsi="David"/>
          <w:b/>
          <w:bCs/>
          <w:rtl/>
        </w:rPr>
        <w:t>2.הרב הרצוג:</w:t>
      </w:r>
      <w:r w:rsidRPr="00793834">
        <w:rPr>
          <w:rFonts w:ascii="David" w:hAnsi="David"/>
          <w:rtl/>
        </w:rPr>
        <w:t xml:space="preserve"> עדות נשים קבילה, ע"פ נימוקים שאינם חדמ"ש: אירוע מזדמן \ מקום בו אין גברים \ שק"ד הדיין להאמין לעדות פסולים.</w:t>
      </w:r>
    </w:p>
    <w:p w14:paraId="14E12A0F" w14:textId="1C655775" w:rsidR="00AF00BF" w:rsidRPr="00AF00BF" w:rsidRDefault="00AF00BF" w:rsidP="00AF00BF">
      <w:pPr>
        <w:pBdr>
          <w:top w:val="single" w:sz="4" w:space="1" w:color="auto"/>
          <w:left w:val="single" w:sz="4" w:space="4" w:color="auto"/>
          <w:bottom w:val="single" w:sz="4" w:space="1" w:color="auto"/>
          <w:right w:val="single" w:sz="4" w:space="4" w:color="auto"/>
        </w:pBdr>
        <w:rPr>
          <w:rFonts w:ascii="David" w:hAnsi="David"/>
          <w:b/>
          <w:bCs/>
        </w:rPr>
      </w:pPr>
      <w:r w:rsidRPr="00793834">
        <w:rPr>
          <w:rFonts w:ascii="David" w:hAnsi="David"/>
          <w:b/>
          <w:bCs/>
          <w:rtl/>
        </w:rPr>
        <w:t>לסיכום:</w:t>
      </w:r>
      <w:r>
        <w:rPr>
          <w:rFonts w:ascii="David" w:hAnsi="David"/>
          <w:b/>
          <w:bCs/>
        </w:rPr>
        <w:t xml:space="preserve"> </w:t>
      </w:r>
      <w:r w:rsidRPr="00AF00BF">
        <w:rPr>
          <w:rFonts w:ascii="David" w:hAnsi="David"/>
          <w:rtl/>
        </w:rPr>
        <w:t>קיימת התמודדות בעולם ההלכה, בין הרצון להגן ולשמר את האיסור המקורי על קבלת עדות אישה, לבין הרצון להקל ולהתיר את האיסור</w:t>
      </w:r>
    </w:p>
    <w:p w14:paraId="6D684B9F" w14:textId="565EE300" w:rsidR="0093772D" w:rsidRPr="0093772D" w:rsidRDefault="00955D4E" w:rsidP="00AF00BF">
      <w:pPr>
        <w:pStyle w:val="ac"/>
        <w:numPr>
          <w:ilvl w:val="1"/>
          <w:numId w:val="33"/>
        </w:numPr>
        <w:bidi/>
        <w:spacing w:after="0"/>
        <w:rPr>
          <w:rFonts w:ascii="David" w:hAnsi="David"/>
          <w:b/>
          <w:bCs/>
          <w:sz w:val="22"/>
        </w:rPr>
      </w:pPr>
      <w:r w:rsidRPr="00955D4E">
        <w:rPr>
          <w:rFonts w:ascii="David" w:hAnsi="David" w:hint="cs"/>
          <w:b/>
          <w:bCs/>
          <w:sz w:val="22"/>
          <w:shd w:val="clear" w:color="auto" w:fill="FFF4CD" w:themeFill="accent1" w:themeFillTint="33"/>
          <w:rtl/>
        </w:rPr>
        <w:t>מה הן הטכניקות ההלכתיות שמאפשרות את הגדלת מכנסת העדים שניתן לשמו</w:t>
      </w:r>
      <w:r w:rsidR="0093772D">
        <w:rPr>
          <w:rFonts w:ascii="David" w:hAnsi="David" w:hint="cs"/>
          <w:b/>
          <w:bCs/>
          <w:sz w:val="22"/>
          <w:shd w:val="clear" w:color="auto" w:fill="FFF4CD" w:themeFill="accent1" w:themeFillTint="33"/>
          <w:rtl/>
        </w:rPr>
        <w:t>ע?</w:t>
      </w:r>
      <w:r w:rsidR="0093772D">
        <w:rPr>
          <w:rFonts w:ascii="David" w:hAnsi="David" w:hint="cs"/>
          <w:b/>
          <w:bCs/>
          <w:shd w:val="clear" w:color="auto" w:fill="FFF4CD" w:themeFill="accent1" w:themeFillTint="33"/>
          <w:rtl/>
        </w:rPr>
        <w:t xml:space="preserve"> -</w:t>
      </w:r>
      <w:r w:rsidR="00527CB7">
        <w:rPr>
          <w:rFonts w:ascii="David" w:hAnsi="David" w:hint="cs"/>
          <w:b/>
          <w:bCs/>
          <w:shd w:val="clear" w:color="auto" w:fill="FFF4CD" w:themeFill="accent1" w:themeFillTint="33"/>
          <w:rtl/>
        </w:rPr>
        <w:t xml:space="preserve"> עדות</w:t>
      </w:r>
      <w:r w:rsidR="0093772D">
        <w:rPr>
          <w:rFonts w:ascii="David" w:hAnsi="David" w:hint="cs"/>
          <w:b/>
          <w:bCs/>
          <w:shd w:val="clear" w:color="auto" w:fill="FFF4CD" w:themeFill="accent1" w:themeFillTint="33"/>
          <w:rtl/>
        </w:rPr>
        <w:t xml:space="preserve"> </w:t>
      </w:r>
      <w:r w:rsidRPr="0093772D">
        <w:rPr>
          <w:rFonts w:ascii="David" w:hAnsi="David" w:hint="cs"/>
          <w:b/>
          <w:bCs/>
          <w:shd w:val="clear" w:color="auto" w:fill="FFF4CD" w:themeFill="accent1" w:themeFillTint="33"/>
          <w:rtl/>
        </w:rPr>
        <w:t>נשים:</w:t>
      </w:r>
      <w:r w:rsidRPr="0093772D">
        <w:rPr>
          <w:rFonts w:ascii="David" w:hAnsi="David" w:hint="cs"/>
          <w:rtl/>
        </w:rPr>
        <w:t xml:space="preserve"> אם יש דרכים הלכתיות לקבל את העדות הראייתית של נשים, אז אותם דרכים יאפשרו לנו לקבל גם פסולים אחרים. הרציונליים להרחיב את היכולים להעיד מתאימים גם לקבוצות נוספות</w:t>
      </w:r>
      <w:r w:rsidR="00CB7B9E" w:rsidRPr="0093772D">
        <w:rPr>
          <w:rFonts w:ascii="David" w:hAnsi="David" w:hint="cs"/>
          <w:rtl/>
        </w:rPr>
        <w:t xml:space="preserve">. </w:t>
      </w:r>
      <w:r w:rsidR="00AF53E7" w:rsidRPr="0093772D">
        <w:rPr>
          <w:rFonts w:ascii="David" w:hAnsi="David" w:hint="cs"/>
          <w:rtl/>
        </w:rPr>
        <w:t xml:space="preserve">לכן נתמקד בנשים. </w:t>
      </w:r>
    </w:p>
    <w:p w14:paraId="5CB05403" w14:textId="3F784C1D" w:rsidR="00CB7B9E" w:rsidRPr="00CB7B9E" w:rsidRDefault="00955D4E" w:rsidP="00AF00BF">
      <w:pPr>
        <w:pStyle w:val="ac"/>
        <w:numPr>
          <w:ilvl w:val="2"/>
          <w:numId w:val="33"/>
        </w:numPr>
        <w:bidi/>
        <w:spacing w:after="0"/>
        <w:rPr>
          <w:rFonts w:ascii="David" w:hAnsi="David"/>
          <w:sz w:val="22"/>
        </w:rPr>
      </w:pPr>
      <w:r w:rsidRPr="0093772D">
        <w:rPr>
          <w:rFonts w:ascii="David" w:hAnsi="David" w:hint="cs"/>
          <w:b/>
          <w:bCs/>
          <w:rtl/>
        </w:rPr>
        <w:t>למה נשים נפסלו לעדות</w:t>
      </w:r>
      <w:r w:rsidRPr="00CB7B9E">
        <w:rPr>
          <w:rFonts w:ascii="David" w:hAnsi="David" w:hint="cs"/>
          <w:rtl/>
        </w:rPr>
        <w:t>? פרופ'</w:t>
      </w:r>
      <w:r w:rsidR="00E35D6F">
        <w:rPr>
          <w:rFonts w:ascii="David" w:hAnsi="David" w:hint="cs"/>
          <w:rtl/>
        </w:rPr>
        <w:t xml:space="preserve"> אטינגר</w:t>
      </w:r>
      <w:r w:rsidRPr="00CB7B9E">
        <w:rPr>
          <w:rFonts w:ascii="David" w:hAnsi="David" w:hint="cs"/>
          <w:rtl/>
        </w:rPr>
        <w:t xml:space="preserve"> מציג שתי עמדות לכך</w:t>
      </w:r>
      <w:r w:rsidR="00D216F1">
        <w:rPr>
          <w:rFonts w:ascii="David" w:hAnsi="David" w:hint="cs"/>
          <w:rtl/>
        </w:rPr>
        <w:t xml:space="preserve"> במאמרו</w:t>
      </w:r>
      <w:r w:rsidRPr="00CB7B9E">
        <w:rPr>
          <w:rFonts w:ascii="David" w:hAnsi="David" w:hint="cs"/>
          <w:rtl/>
        </w:rPr>
        <w:t>:</w:t>
      </w:r>
    </w:p>
    <w:p w14:paraId="1AE66B0F" w14:textId="30CFB282" w:rsidR="00955D4E" w:rsidRPr="00CB7B9E" w:rsidRDefault="00CB7B9E" w:rsidP="00AF00BF">
      <w:pPr>
        <w:pStyle w:val="ac"/>
        <w:numPr>
          <w:ilvl w:val="3"/>
          <w:numId w:val="33"/>
        </w:numPr>
        <w:bidi/>
        <w:spacing w:after="0"/>
        <w:rPr>
          <w:rFonts w:ascii="David" w:hAnsi="David"/>
          <w:sz w:val="22"/>
        </w:rPr>
      </w:pPr>
      <w:r>
        <w:rPr>
          <w:rFonts w:ascii="David" w:hAnsi="David" w:hint="cs"/>
          <w:b/>
          <w:bCs/>
          <w:rtl/>
        </w:rPr>
        <w:t>ג</w:t>
      </w:r>
      <w:r w:rsidR="00955D4E" w:rsidRPr="00CB7B9E">
        <w:rPr>
          <w:rFonts w:ascii="David" w:hAnsi="David" w:hint="cs"/>
          <w:b/>
          <w:bCs/>
          <w:rtl/>
        </w:rPr>
        <w:t>זרת הכתוב</w:t>
      </w:r>
      <w:r w:rsidR="00955D4E" w:rsidRPr="00CB7B9E">
        <w:rPr>
          <w:rFonts w:ascii="David" w:hAnsi="David" w:hint="cs"/>
          <w:rtl/>
        </w:rPr>
        <w:t xml:space="preserve"> - מופיע כסוג של מדרש המפרש את הפסוקים בצורה שמוכיחה כי נשים לא יכולות להעיד. עקרונית השפה הסתמית של העברית הוא בלשון זכר, לכן היו כאלו שבאו ואמרו שיש פה בחירה</w:t>
      </w:r>
      <w:r w:rsidRPr="00CB7B9E">
        <w:rPr>
          <w:rFonts w:ascii="David" w:hAnsi="David" w:hint="cs"/>
          <w:rtl/>
        </w:rPr>
        <w:t xml:space="preserve">. למה בעדות בוחרים להגיד שזה רק גברים אבל אבל לדוג' בלא תרצח זה על כלל הציבור. </w:t>
      </w:r>
    </w:p>
    <w:p w14:paraId="07FEBB3D" w14:textId="5AB69835" w:rsidR="00CB7B9E" w:rsidRDefault="00CB7B9E" w:rsidP="00AF00BF">
      <w:pPr>
        <w:pStyle w:val="ac"/>
        <w:numPr>
          <w:ilvl w:val="4"/>
          <w:numId w:val="33"/>
        </w:numPr>
        <w:bidi/>
        <w:spacing w:after="0"/>
        <w:rPr>
          <w:rFonts w:ascii="David" w:hAnsi="David"/>
          <w:sz w:val="22"/>
        </w:rPr>
      </w:pPr>
      <w:r>
        <w:rPr>
          <w:rFonts w:ascii="David" w:hAnsi="David" w:hint="cs"/>
          <w:sz w:val="22"/>
          <w:rtl/>
        </w:rPr>
        <w:t>הטיעונים שקשורים לאופי הם טיעונים מאוחרים, בעוד הטיעון המקורי הוא בכלל פורמליסטי.</w:t>
      </w:r>
    </w:p>
    <w:p w14:paraId="29FA1082" w14:textId="5AED2F06" w:rsidR="00CB7B9E" w:rsidRPr="00EA4E76" w:rsidRDefault="00CB7B9E" w:rsidP="00AF00BF">
      <w:pPr>
        <w:pStyle w:val="ac"/>
        <w:numPr>
          <w:ilvl w:val="4"/>
          <w:numId w:val="33"/>
        </w:numPr>
        <w:bidi/>
        <w:spacing w:after="0"/>
        <w:rPr>
          <w:rFonts w:ascii="David" w:hAnsi="David"/>
          <w:sz w:val="22"/>
        </w:rPr>
      </w:pPr>
      <w:r>
        <w:rPr>
          <w:rFonts w:ascii="David" w:hAnsi="David" w:hint="cs"/>
          <w:sz w:val="22"/>
          <w:rtl/>
        </w:rPr>
        <w:t xml:space="preserve">מבחינת חוק התורה בפורמליזם יש יתרון כלשהו - כיוון שאם טיעון כזה קשה להתמודד, ככה כתוב וזהו. גם אם חל </w:t>
      </w:r>
      <w:r w:rsidRPr="00EA4E76">
        <w:rPr>
          <w:rFonts w:ascii="David" w:hAnsi="David" w:hint="cs"/>
          <w:sz w:val="22"/>
          <w:rtl/>
        </w:rPr>
        <w:t xml:space="preserve">שינוי במעמד האישה זה לא רלוונטי, כי מעולם לא נטען שמדובר במעמד האישה, אלא נטען שככה כתוב וזהו. </w:t>
      </w:r>
    </w:p>
    <w:p w14:paraId="5831ED05" w14:textId="70522082" w:rsidR="00CB7B9E" w:rsidRPr="00EA4E76" w:rsidRDefault="00CB7B9E" w:rsidP="00AF00BF">
      <w:pPr>
        <w:pStyle w:val="ac"/>
        <w:numPr>
          <w:ilvl w:val="3"/>
          <w:numId w:val="33"/>
        </w:numPr>
        <w:bidi/>
        <w:spacing w:after="0"/>
        <w:rPr>
          <w:rFonts w:ascii="David" w:hAnsi="David"/>
          <w:sz w:val="22"/>
        </w:rPr>
      </w:pPr>
      <w:r w:rsidRPr="00EA4E76">
        <w:rPr>
          <w:rFonts w:ascii="David" w:hAnsi="David" w:hint="cs"/>
          <w:b/>
          <w:bCs/>
          <w:sz w:val="22"/>
          <w:rtl/>
        </w:rPr>
        <w:t>מעמד האישה</w:t>
      </w:r>
      <w:r w:rsidRPr="00EA4E76">
        <w:rPr>
          <w:rFonts w:ascii="David" w:hAnsi="David" w:hint="cs"/>
          <w:sz w:val="22"/>
          <w:rtl/>
        </w:rPr>
        <w:t xml:space="preserve"> - </w:t>
      </w:r>
      <w:r w:rsidR="00EA4E76" w:rsidRPr="00EA4E76">
        <w:rPr>
          <w:rFonts w:ascii="David" w:hAnsi="David" w:hint="cs"/>
          <w:sz w:val="22"/>
          <w:rtl/>
        </w:rPr>
        <w:t xml:space="preserve">טיעון היסטורי, פסילת נשים לעדות שיקפה את מעמדן של הנשים בתקופות מסוימות </w:t>
      </w:r>
      <w:r w:rsidR="00EA4E76" w:rsidRPr="00EA4E76">
        <w:rPr>
          <w:rFonts w:ascii="David" w:hAnsi="David"/>
          <w:sz w:val="22"/>
          <w:rtl/>
        </w:rPr>
        <w:t>–</w:t>
      </w:r>
      <w:r w:rsidR="00EA4E76" w:rsidRPr="00EA4E76">
        <w:rPr>
          <w:rFonts w:ascii="David" w:hAnsi="David" w:hint="cs"/>
          <w:sz w:val="22"/>
          <w:rtl/>
        </w:rPr>
        <w:t xml:space="preserve"> מעמד נחות, חוסר השכלה, מהימנות וכו'. טיעון זה תלוי במעמד האישה, ועל כן לאור השינויים באורך התקופות ניתן לטעון לשינוי כשרות נשים לעדות </w:t>
      </w:r>
      <w:r w:rsidR="00EA4E76" w:rsidRPr="00EA4E76">
        <w:rPr>
          <w:rFonts w:ascii="David" w:hAnsi="David"/>
          <w:sz w:val="22"/>
          <w:rtl/>
        </w:rPr>
        <w:t>–</w:t>
      </w:r>
      <w:r w:rsidR="00EA4E76" w:rsidRPr="00EA4E76">
        <w:rPr>
          <w:rFonts w:ascii="David" w:hAnsi="David" w:hint="cs"/>
          <w:sz w:val="22"/>
          <w:rtl/>
        </w:rPr>
        <w:t xml:space="preserve"> שכן מעמדן השתנה. ההלכה היהודית אינה מקבלת טיעונים מעין אלא ועל כן מנסה לדחות אותם</w:t>
      </w:r>
      <w:r w:rsidR="00AF53E7" w:rsidRPr="00EA4E76">
        <w:rPr>
          <w:rFonts w:ascii="David" w:hAnsi="David" w:hint="cs"/>
          <w:rtl/>
        </w:rPr>
        <w:t>.</w:t>
      </w:r>
    </w:p>
    <w:p w14:paraId="4E404E8B" w14:textId="29957EE9" w:rsidR="00915C20" w:rsidRPr="00915C20" w:rsidRDefault="00300940" w:rsidP="00915C20">
      <w:pPr>
        <w:pStyle w:val="ac"/>
        <w:numPr>
          <w:ilvl w:val="4"/>
          <w:numId w:val="33"/>
        </w:numPr>
        <w:bidi/>
        <w:spacing w:after="0"/>
        <w:rPr>
          <w:rFonts w:ascii="David" w:hAnsi="David"/>
          <w:sz w:val="22"/>
        </w:rPr>
      </w:pPr>
      <w:r>
        <w:rPr>
          <w:rFonts w:ascii="David" w:hAnsi="David" w:hint="cs"/>
          <w:b/>
          <w:bCs/>
          <w:sz w:val="22"/>
          <w:rtl/>
        </w:rPr>
        <w:t>חרם דרבנו גרשום כבר בימי הביניים מעיד על שינוי במעמד האישה</w:t>
      </w:r>
      <w:r w:rsidRPr="00300940">
        <w:rPr>
          <w:rFonts w:ascii="David" w:hAnsi="David" w:hint="cs"/>
          <w:sz w:val="22"/>
          <w:rtl/>
        </w:rPr>
        <w:t>.</w:t>
      </w:r>
      <w:r>
        <w:rPr>
          <w:rFonts w:ascii="David" w:hAnsi="David" w:hint="cs"/>
          <w:sz w:val="22"/>
          <w:rtl/>
        </w:rPr>
        <w:t xml:space="preserve"> נשים בעולם האשכנזי מתחילות להיות מאוד פעילות בעולם העסקי והכלכלי וזה משפר גם את המעמדן המשפטי.</w:t>
      </w:r>
    </w:p>
    <w:p w14:paraId="043EECF2" w14:textId="54EC4589" w:rsidR="00BD0193" w:rsidRPr="00AF53E7" w:rsidRDefault="00AF53E7" w:rsidP="00AF00BF">
      <w:pPr>
        <w:pStyle w:val="ac"/>
        <w:numPr>
          <w:ilvl w:val="2"/>
          <w:numId w:val="33"/>
        </w:numPr>
        <w:bidi/>
        <w:spacing w:after="0"/>
        <w:rPr>
          <w:rFonts w:ascii="David" w:hAnsi="David"/>
          <w:b/>
          <w:bCs/>
          <w:sz w:val="22"/>
        </w:rPr>
      </w:pPr>
      <w:r w:rsidRPr="00AF53E7">
        <w:rPr>
          <w:rFonts w:ascii="David" w:hAnsi="David" w:hint="cs"/>
          <w:b/>
          <w:bCs/>
          <w:sz w:val="22"/>
          <w:rtl/>
        </w:rPr>
        <w:t>ארבע סעיפים מהשולחן ערוך בהם דיינים שרוצים לקבל עדות נשים משתמשים:</w:t>
      </w:r>
    </w:p>
    <w:p w14:paraId="07346DBE" w14:textId="4CE38ED8" w:rsidR="00AF53E7" w:rsidRDefault="00AF53E7" w:rsidP="00AF00BF">
      <w:pPr>
        <w:pStyle w:val="ac"/>
        <w:numPr>
          <w:ilvl w:val="3"/>
          <w:numId w:val="33"/>
        </w:numPr>
        <w:bidi/>
        <w:spacing w:after="0"/>
        <w:rPr>
          <w:rFonts w:ascii="David" w:hAnsi="David"/>
          <w:sz w:val="22"/>
        </w:rPr>
      </w:pPr>
      <w:r w:rsidRPr="0093772D">
        <w:rPr>
          <w:rFonts w:ascii="David" w:hAnsi="David" w:hint="cs"/>
          <w:sz w:val="22"/>
          <w:u w:val="single"/>
          <w:rtl/>
        </w:rPr>
        <w:t>שולחן ערוך חושן משפט הלכות עדות סימן ל"ה</w:t>
      </w:r>
      <w:r w:rsidR="0034044C">
        <w:rPr>
          <w:rFonts w:ascii="David" w:hAnsi="David" w:hint="cs"/>
          <w:sz w:val="22"/>
          <w:u w:val="single"/>
          <w:rtl/>
        </w:rPr>
        <w:t xml:space="preserve"> סיף י"ד</w:t>
      </w:r>
      <w:r w:rsidR="0093772D">
        <w:rPr>
          <w:rFonts w:ascii="David" w:hAnsi="David" w:hint="cs"/>
          <w:sz w:val="22"/>
          <w:rtl/>
        </w:rPr>
        <w:t>:</w:t>
      </w:r>
      <w:r>
        <w:rPr>
          <w:rFonts w:ascii="David" w:hAnsi="David" w:hint="cs"/>
          <w:sz w:val="22"/>
          <w:rtl/>
        </w:rPr>
        <w:t xml:space="preserve"> הסעיף החשוב ביותר, שכן הוא מאפשר קבלה מאוד רחבה של עדות נשים</w:t>
      </w:r>
      <w:r w:rsidR="0034044C">
        <w:rPr>
          <w:rFonts w:ascii="David" w:hAnsi="David" w:hint="cs"/>
          <w:sz w:val="22"/>
          <w:rtl/>
        </w:rPr>
        <w:t xml:space="preserve"> ולמעשה כול מי שנספל לעדות מההלכה התלמודית</w:t>
      </w:r>
      <w:r>
        <w:rPr>
          <w:rFonts w:ascii="David" w:hAnsi="David" w:hint="cs"/>
          <w:sz w:val="22"/>
          <w:rtl/>
        </w:rPr>
        <w:t>.</w:t>
      </w:r>
    </w:p>
    <w:p w14:paraId="0E7F8EBE" w14:textId="32DCE1E5" w:rsidR="00AF53E7" w:rsidRDefault="00AF53E7" w:rsidP="00AF00BF">
      <w:pPr>
        <w:pStyle w:val="ac"/>
        <w:numPr>
          <w:ilvl w:val="4"/>
          <w:numId w:val="33"/>
        </w:numPr>
        <w:bidi/>
        <w:spacing w:after="0"/>
        <w:rPr>
          <w:rFonts w:ascii="David" w:hAnsi="David"/>
          <w:sz w:val="22"/>
        </w:rPr>
      </w:pPr>
      <w:r w:rsidRPr="00B14275">
        <w:rPr>
          <w:rFonts w:ascii="David" w:hAnsi="David" w:hint="cs"/>
          <w:b/>
          <w:bCs/>
          <w:sz w:val="22"/>
          <w:rtl/>
        </w:rPr>
        <w:lastRenderedPageBreak/>
        <w:t>השולחן ערוך</w:t>
      </w:r>
      <w:r>
        <w:rPr>
          <w:rFonts w:ascii="David" w:hAnsi="David" w:hint="cs"/>
          <w:sz w:val="22"/>
          <w:rtl/>
        </w:rPr>
        <w:t xml:space="preserve"> אומר שאישה פסולה ולא נותן חריגים.</w:t>
      </w:r>
    </w:p>
    <w:p w14:paraId="43F5E878" w14:textId="2DF71C98" w:rsidR="0093772D" w:rsidRDefault="00B14275" w:rsidP="00AF00BF">
      <w:pPr>
        <w:pStyle w:val="ac"/>
        <w:numPr>
          <w:ilvl w:val="4"/>
          <w:numId w:val="33"/>
        </w:numPr>
        <w:bidi/>
        <w:spacing w:after="0"/>
        <w:rPr>
          <w:rFonts w:ascii="David" w:hAnsi="David"/>
          <w:sz w:val="22"/>
        </w:rPr>
      </w:pPr>
      <w:r>
        <w:rPr>
          <w:rFonts w:ascii="David" w:hAnsi="David" w:hint="cs"/>
          <w:b/>
          <w:bCs/>
          <w:sz w:val="22"/>
          <w:rtl/>
        </w:rPr>
        <w:t xml:space="preserve">הרמ"א - </w:t>
      </w:r>
      <w:r w:rsidR="0093772D">
        <w:rPr>
          <w:rFonts w:ascii="David" w:hAnsi="David" w:hint="cs"/>
          <w:sz w:val="22"/>
          <w:rtl/>
        </w:rPr>
        <w:t>כאשר יש הערה ארוכה של הרמ"א, בדר"כ מדובר במחלוקת, כמו במקרה שלנו - הרמ"א מתחיל בחידוד דברים של השו"ע ומסביר שפסולים לעדות אינם כשרים גם כאשר אין עדים כשרים. הרמ"א אומר שהוא לא חולק על כך שנשים מהדין פסולות להעיד ללא חריגים, אך בהלכה האשכ</w:t>
      </w:r>
      <w:r>
        <w:rPr>
          <w:rFonts w:ascii="David" w:hAnsi="David" w:hint="cs"/>
          <w:sz w:val="22"/>
          <w:rtl/>
        </w:rPr>
        <w:t>נז</w:t>
      </w:r>
      <w:r w:rsidR="0093772D">
        <w:rPr>
          <w:rFonts w:ascii="David" w:hAnsi="David" w:hint="cs"/>
          <w:sz w:val="22"/>
          <w:rtl/>
        </w:rPr>
        <w:t>ית קיימת תקנת קדמונים</w:t>
      </w:r>
      <w:r>
        <w:rPr>
          <w:rFonts w:ascii="David" w:hAnsi="David" w:hint="cs"/>
          <w:sz w:val="22"/>
          <w:rtl/>
        </w:rPr>
        <w:t xml:space="preserve"> (לא בהכרח תקנה ישנה)</w:t>
      </w:r>
      <w:r w:rsidR="0093772D">
        <w:rPr>
          <w:rFonts w:ascii="David" w:hAnsi="David" w:hint="cs"/>
          <w:sz w:val="22"/>
          <w:rtl/>
        </w:rPr>
        <w:t xml:space="preserve"> המאפשרת לנשים </w:t>
      </w:r>
      <w:r>
        <w:rPr>
          <w:rFonts w:ascii="David" w:hAnsi="David" w:hint="cs"/>
          <w:sz w:val="22"/>
          <w:rtl/>
        </w:rPr>
        <w:t>להיות נאמנות - תוצאתית נשים מעידות אבל הם לא קוראים לזה עדות ובמקרה הזה הרמ"א קורא לזה נאמנות</w:t>
      </w:r>
      <w:r w:rsidR="0093772D">
        <w:rPr>
          <w:rFonts w:ascii="David" w:hAnsi="David" w:hint="cs"/>
          <w:sz w:val="22"/>
          <w:rtl/>
        </w:rPr>
        <w:t>.</w:t>
      </w:r>
      <w:r>
        <w:rPr>
          <w:rFonts w:ascii="David" w:hAnsi="David" w:hint="cs"/>
          <w:sz w:val="22"/>
          <w:rtl/>
        </w:rPr>
        <w:t xml:space="preserve"> מה היא תקנת הקדמונים המדוברת? שני שלבים: ראשון: נשים יכולות להעיד כאשר מדובר במקום שנמצאות בו נמצאות רק נשים בהגדרה - כמו בית כנסת לנשים, או בדברים שנשים מבינות בו יותר - כמו נזק לבגד. שני:  המשפט השני מרחיב את זה הרבה יותר, </w:t>
      </w:r>
      <w:r w:rsidR="009E7E14">
        <w:rPr>
          <w:rFonts w:ascii="David" w:hAnsi="David" w:hint="cs"/>
          <w:sz w:val="22"/>
          <w:rtl/>
        </w:rPr>
        <w:t>גם במקום ברשות הרבים אם ארע נזק (שהוא דבר לא צפוי) ורק נשים היו שם ניתן לאפשר להם להעיד. שכן זה שונה מעדות מתוכננת שם יש צורך להזמין עדים כשרים. בעוד באירוע נזיקי אי אפשר לתכנן מי יהיו העדים שלך. על אף דברים אלו, עדיין נשמרת ההיררכיה, ובחירה בנשים תהיה רק במידה ואין גברים.</w:t>
      </w:r>
      <w:r w:rsidR="0034044C">
        <w:rPr>
          <w:rFonts w:ascii="David" w:hAnsi="David" w:hint="cs"/>
          <w:sz w:val="22"/>
          <w:rtl/>
        </w:rPr>
        <w:t xml:space="preserve"> </w:t>
      </w:r>
    </w:p>
    <w:p w14:paraId="38C135BF" w14:textId="2C4CA40C" w:rsidR="009E7E14" w:rsidRDefault="00E24E49" w:rsidP="00AF00BF">
      <w:pPr>
        <w:pStyle w:val="ac"/>
        <w:numPr>
          <w:ilvl w:val="4"/>
          <w:numId w:val="33"/>
        </w:numPr>
        <w:bidi/>
        <w:spacing w:after="0"/>
        <w:rPr>
          <w:rFonts w:ascii="David" w:hAnsi="David"/>
          <w:sz w:val="22"/>
        </w:rPr>
      </w:pPr>
      <w:r>
        <w:rPr>
          <w:rFonts w:ascii="David" w:hAnsi="David" w:hint="cs"/>
          <w:sz w:val="22"/>
          <w:rtl/>
        </w:rPr>
        <w:t xml:space="preserve">מאמרו של </w:t>
      </w:r>
      <w:r w:rsidR="0034044C">
        <w:rPr>
          <w:rFonts w:ascii="David" w:hAnsi="David" w:hint="cs"/>
          <w:sz w:val="22"/>
          <w:rtl/>
        </w:rPr>
        <w:t>אטינגר</w:t>
      </w:r>
      <w:r>
        <w:rPr>
          <w:rFonts w:ascii="David" w:hAnsi="David" w:hint="cs"/>
          <w:sz w:val="22"/>
          <w:rtl/>
        </w:rPr>
        <w:t>:</w:t>
      </w:r>
      <w:r w:rsidR="0034044C">
        <w:rPr>
          <w:rFonts w:ascii="David" w:hAnsi="David" w:hint="cs"/>
          <w:sz w:val="22"/>
          <w:rtl/>
        </w:rPr>
        <w:t xml:space="preserve"> ספר </w:t>
      </w:r>
      <w:r w:rsidR="006903D0">
        <w:rPr>
          <w:rFonts w:ascii="David" w:hAnsi="David" w:hint="cs"/>
          <w:sz w:val="22"/>
          <w:rtl/>
        </w:rPr>
        <w:t>"</w:t>
      </w:r>
      <w:r w:rsidR="0034044C">
        <w:rPr>
          <w:rFonts w:ascii="David" w:hAnsi="David" w:hint="cs"/>
          <w:sz w:val="22"/>
          <w:rtl/>
        </w:rPr>
        <w:t>ההוגותה</w:t>
      </w:r>
      <w:r w:rsidR="006903D0">
        <w:rPr>
          <w:rFonts w:ascii="David" w:hAnsi="David" w:hint="cs"/>
          <w:sz w:val="22"/>
          <w:rtl/>
        </w:rPr>
        <w:t>"</w:t>
      </w:r>
      <w:r w:rsidR="0034044C">
        <w:rPr>
          <w:rFonts w:ascii="David" w:hAnsi="David" w:hint="cs"/>
          <w:sz w:val="22"/>
          <w:rtl/>
        </w:rPr>
        <w:t xml:space="preserve"> טוען שכבר בתלמוד מופיע מקור </w:t>
      </w:r>
      <w:r>
        <w:rPr>
          <w:rFonts w:ascii="David" w:hAnsi="David" w:hint="cs"/>
          <w:sz w:val="22"/>
          <w:rtl/>
        </w:rPr>
        <w:t>שמדבר על תקנת הקדמונים. ניתן להסתמך על המיילדת כדי לדעת האם הילד הוא כהן או לוי. בחדר הלידה הייתה רק מיילדת אישה והתלמוד סומך עליה בהקשר כול כך חשוב בהלכה.</w:t>
      </w:r>
    </w:p>
    <w:p w14:paraId="66912C02" w14:textId="32C811EF" w:rsidR="00E24E49" w:rsidRPr="00E24E49" w:rsidRDefault="00E24E49" w:rsidP="00E6113D">
      <w:pPr>
        <w:pStyle w:val="ac"/>
        <w:bidi/>
        <w:spacing w:after="0"/>
        <w:ind w:left="199"/>
        <w:rPr>
          <w:rFonts w:ascii="David" w:hAnsi="David"/>
          <w:b/>
          <w:bCs/>
          <w:sz w:val="22"/>
        </w:rPr>
      </w:pPr>
      <w:r w:rsidRPr="00E24E49">
        <w:rPr>
          <w:rFonts w:ascii="David" w:hAnsi="David" w:hint="cs"/>
          <w:b/>
          <w:bCs/>
          <w:sz w:val="22"/>
          <w:rtl/>
        </w:rPr>
        <w:t>בשולחן ערוך ישנם שתי מקורות נוספים מתוך דיני משפחה המדברים על האפשרות לתת לנשים להעיד:</w:t>
      </w:r>
      <w:r>
        <w:rPr>
          <w:rFonts w:ascii="David" w:hAnsi="David" w:hint="cs"/>
          <w:b/>
          <w:bCs/>
          <w:sz w:val="22"/>
          <w:rtl/>
        </w:rPr>
        <w:t xml:space="preserve"> </w:t>
      </w:r>
      <w:r>
        <w:rPr>
          <w:rFonts w:ascii="David" w:hAnsi="David" w:hint="cs"/>
          <w:sz w:val="22"/>
          <w:rtl/>
        </w:rPr>
        <w:t>מדובר בשני סעיפים שלכאורה אינם קשורים</w:t>
      </w:r>
      <w:r w:rsidR="0084012D">
        <w:rPr>
          <w:rFonts w:ascii="David" w:hAnsi="David" w:hint="cs"/>
          <w:sz w:val="22"/>
          <w:rtl/>
        </w:rPr>
        <w:t>.</w:t>
      </w:r>
      <w:r>
        <w:rPr>
          <w:rFonts w:ascii="David" w:hAnsi="David" w:hint="cs"/>
          <w:sz w:val="22"/>
          <w:rtl/>
        </w:rPr>
        <w:t xml:space="preserve"> </w:t>
      </w:r>
      <w:r w:rsidR="00B30132">
        <w:rPr>
          <w:rFonts w:ascii="David" w:hAnsi="David" w:hint="cs"/>
          <w:sz w:val="22"/>
          <w:rtl/>
        </w:rPr>
        <w:t>עם זאת, שניהם קשורים לסכסוכים במשפחה.</w:t>
      </w:r>
    </w:p>
    <w:p w14:paraId="069BDC6B" w14:textId="77777777" w:rsidR="0084012D" w:rsidRDefault="0093772D" w:rsidP="00AF00BF">
      <w:pPr>
        <w:pStyle w:val="ac"/>
        <w:numPr>
          <w:ilvl w:val="3"/>
          <w:numId w:val="33"/>
        </w:numPr>
        <w:bidi/>
        <w:spacing w:after="0"/>
        <w:rPr>
          <w:rFonts w:ascii="David" w:hAnsi="David"/>
          <w:sz w:val="22"/>
        </w:rPr>
      </w:pPr>
      <w:r>
        <w:rPr>
          <w:rFonts w:ascii="David" w:hAnsi="David" w:hint="cs"/>
          <w:sz w:val="22"/>
          <w:u w:val="single"/>
          <w:rtl/>
        </w:rPr>
        <w:t>שולחן ערוך אבן העזר הלכות כתובות סימן ע</w:t>
      </w:r>
      <w:r w:rsidR="00E24E49">
        <w:rPr>
          <w:rFonts w:ascii="David" w:hAnsi="David" w:hint="cs"/>
          <w:sz w:val="22"/>
          <w:u w:val="single"/>
          <w:rtl/>
        </w:rPr>
        <w:t>"</w:t>
      </w:r>
      <w:r>
        <w:rPr>
          <w:rFonts w:ascii="David" w:hAnsi="David" w:hint="cs"/>
          <w:sz w:val="22"/>
          <w:u w:val="single"/>
          <w:rtl/>
        </w:rPr>
        <w:t>ד</w:t>
      </w:r>
      <w:r w:rsidR="00E24E49">
        <w:rPr>
          <w:rFonts w:ascii="David" w:hAnsi="David" w:hint="cs"/>
          <w:sz w:val="22"/>
          <w:u w:val="single"/>
          <w:rtl/>
        </w:rPr>
        <w:t xml:space="preserve"> סעיף י'</w:t>
      </w:r>
      <w:r>
        <w:rPr>
          <w:rFonts w:ascii="David" w:hAnsi="David" w:hint="cs"/>
          <w:sz w:val="22"/>
          <w:u w:val="single"/>
          <w:rtl/>
        </w:rPr>
        <w:t>:</w:t>
      </w:r>
      <w:r w:rsidR="00E24E49">
        <w:rPr>
          <w:rFonts w:ascii="David" w:hAnsi="David" w:hint="cs"/>
          <w:sz w:val="22"/>
          <w:rtl/>
        </w:rPr>
        <w:t xml:space="preserve"> </w:t>
      </w:r>
      <w:r w:rsidR="0084012D">
        <w:rPr>
          <w:rFonts w:ascii="David" w:hAnsi="David" w:hint="cs"/>
          <w:sz w:val="22"/>
          <w:rtl/>
        </w:rPr>
        <w:t>מדבר על סכסוך בין בני זוג, כאשר האישה באה לבעלה ואומרת שהיא לא יכולה לגור עם משפחתו בגלל שהם מתנהגים אליה לא טוב.</w:t>
      </w:r>
    </w:p>
    <w:p w14:paraId="09D9B689" w14:textId="25B75DF2" w:rsidR="0093772D" w:rsidRDefault="0084012D" w:rsidP="00AF00BF">
      <w:pPr>
        <w:pStyle w:val="ac"/>
        <w:numPr>
          <w:ilvl w:val="4"/>
          <w:numId w:val="33"/>
        </w:numPr>
        <w:bidi/>
        <w:spacing w:after="0"/>
        <w:rPr>
          <w:rFonts w:ascii="David" w:hAnsi="David"/>
          <w:sz w:val="22"/>
        </w:rPr>
      </w:pPr>
      <w:r>
        <w:rPr>
          <w:rFonts w:ascii="David" w:hAnsi="David" w:hint="cs"/>
          <w:sz w:val="22"/>
          <w:rtl/>
        </w:rPr>
        <w:t xml:space="preserve"> </w:t>
      </w:r>
      <w:r w:rsidRPr="0084012D">
        <w:rPr>
          <w:rFonts w:ascii="David" w:hAnsi="David" w:hint="cs"/>
          <w:b/>
          <w:bCs/>
          <w:sz w:val="22"/>
          <w:rtl/>
        </w:rPr>
        <w:t>השו"ע</w:t>
      </w:r>
      <w:r>
        <w:rPr>
          <w:rFonts w:ascii="David" w:hAnsi="David" w:hint="cs"/>
          <w:sz w:val="22"/>
          <w:rtl/>
        </w:rPr>
        <w:t xml:space="preserve"> פוסק שיש לשמוע לה.</w:t>
      </w:r>
    </w:p>
    <w:p w14:paraId="3F1A3662" w14:textId="6E257B4B" w:rsidR="00E24E49" w:rsidRDefault="0084012D" w:rsidP="00AF00BF">
      <w:pPr>
        <w:pStyle w:val="ac"/>
        <w:numPr>
          <w:ilvl w:val="4"/>
          <w:numId w:val="33"/>
        </w:numPr>
        <w:bidi/>
        <w:spacing w:after="0"/>
        <w:rPr>
          <w:rFonts w:ascii="David" w:hAnsi="David"/>
          <w:sz w:val="22"/>
        </w:rPr>
      </w:pPr>
      <w:r>
        <w:rPr>
          <w:rFonts w:ascii="David" w:hAnsi="David" w:hint="cs"/>
          <w:sz w:val="22"/>
          <w:rtl/>
        </w:rPr>
        <w:t xml:space="preserve">עולה שאלה כיצד ניתן להוכיח את זה - הרי מדובר בסכסוך של מילה כנגד מילה. </w:t>
      </w:r>
      <w:r w:rsidRPr="0084012D">
        <w:rPr>
          <w:rFonts w:ascii="David" w:hAnsi="David" w:hint="cs"/>
          <w:b/>
          <w:bCs/>
          <w:sz w:val="22"/>
          <w:rtl/>
        </w:rPr>
        <w:t>הרמ"א</w:t>
      </w:r>
      <w:r>
        <w:rPr>
          <w:rFonts w:ascii="David" w:hAnsi="David" w:hint="cs"/>
          <w:sz w:val="22"/>
          <w:rtl/>
        </w:rPr>
        <w:t xml:space="preserve"> נותן הצעה - אפשר להושיב עמם </w:t>
      </w:r>
      <w:r w:rsidRPr="0084012D">
        <w:rPr>
          <w:rFonts w:ascii="David" w:hAnsi="David" w:hint="cs"/>
          <w:sz w:val="22"/>
          <w:u w:val="single"/>
          <w:rtl/>
        </w:rPr>
        <w:t>איש או אישה</w:t>
      </w:r>
      <w:r>
        <w:rPr>
          <w:rFonts w:ascii="David" w:hAnsi="David" w:hint="cs"/>
          <w:sz w:val="22"/>
          <w:rtl/>
        </w:rPr>
        <w:t xml:space="preserve"> נאמנים שיגור עמם עד שיתברר המקרה. מהלשון עצמה</w:t>
      </w:r>
      <w:r w:rsidR="00B30132">
        <w:rPr>
          <w:rFonts w:ascii="David" w:hAnsi="David" w:hint="cs"/>
          <w:sz w:val="22"/>
          <w:rtl/>
        </w:rPr>
        <w:t xml:space="preserve"> ניתן לראות שאפשר למנות גם נשים!</w:t>
      </w:r>
    </w:p>
    <w:p w14:paraId="7B1961BE" w14:textId="77777777" w:rsidR="00E6113D" w:rsidRDefault="00E24E49" w:rsidP="00AF00BF">
      <w:pPr>
        <w:pStyle w:val="ac"/>
        <w:numPr>
          <w:ilvl w:val="3"/>
          <w:numId w:val="33"/>
        </w:numPr>
        <w:bidi/>
        <w:spacing w:after="0"/>
        <w:rPr>
          <w:rFonts w:ascii="David" w:hAnsi="David"/>
          <w:sz w:val="22"/>
        </w:rPr>
      </w:pPr>
      <w:r w:rsidRPr="00E24E49">
        <w:rPr>
          <w:rFonts w:ascii="David" w:hAnsi="David" w:hint="cs"/>
          <w:sz w:val="22"/>
          <w:u w:val="single"/>
          <w:rtl/>
        </w:rPr>
        <w:t>שולחן ערוך אבן העזר הלכות גיטין סימן קנ"ד סעיף ג':</w:t>
      </w:r>
      <w:r w:rsidR="0093772D" w:rsidRPr="00E24E49">
        <w:rPr>
          <w:rFonts w:ascii="David" w:hAnsi="David" w:hint="cs"/>
          <w:sz w:val="22"/>
          <w:u w:val="single"/>
          <w:rtl/>
        </w:rPr>
        <w:t xml:space="preserve">  </w:t>
      </w:r>
      <w:r w:rsidR="0084012D" w:rsidRPr="0084012D">
        <w:rPr>
          <w:rFonts w:ascii="David" w:hAnsi="David" w:hint="cs"/>
          <w:sz w:val="22"/>
          <w:rtl/>
        </w:rPr>
        <w:t>גבר שלא נותן מזונות, ומתעלל באשתו ותרחק ממנה.</w:t>
      </w:r>
      <w:r w:rsidR="0093772D" w:rsidRPr="0084012D">
        <w:rPr>
          <w:rFonts w:ascii="David" w:hAnsi="David" w:hint="cs"/>
          <w:sz w:val="22"/>
          <w:rtl/>
        </w:rPr>
        <w:t xml:space="preserve"> </w:t>
      </w:r>
      <w:r w:rsidR="0084012D">
        <w:rPr>
          <w:rFonts w:ascii="David" w:hAnsi="David" w:hint="cs"/>
          <w:sz w:val="22"/>
          <w:rtl/>
        </w:rPr>
        <w:t>הוא מאשים אותה שהיא עשתה כול מיני דברים והאישה אומרת כנגדו.</w:t>
      </w:r>
      <w:r w:rsidR="00B30132">
        <w:rPr>
          <w:rFonts w:ascii="David" w:hAnsi="David" w:hint="cs"/>
          <w:sz w:val="22"/>
          <w:rtl/>
        </w:rPr>
        <w:t xml:space="preserve"> גם כאן </w:t>
      </w:r>
      <w:r w:rsidR="00B30132" w:rsidRPr="00B30132">
        <w:rPr>
          <w:rFonts w:ascii="David" w:hAnsi="David" w:hint="cs"/>
          <w:b/>
          <w:bCs/>
          <w:sz w:val="22"/>
          <w:rtl/>
        </w:rPr>
        <w:t>הרמ"א</w:t>
      </w:r>
      <w:r w:rsidR="00B30132">
        <w:rPr>
          <w:rFonts w:ascii="David" w:hAnsi="David" w:hint="cs"/>
          <w:sz w:val="22"/>
          <w:rtl/>
        </w:rPr>
        <w:t xml:space="preserve"> אומר שאפשר לשלוח איש או אישה לברר והיא תעיד מה קרה.</w:t>
      </w:r>
    </w:p>
    <w:p w14:paraId="6E410E82" w14:textId="65290CB8" w:rsidR="00B30132" w:rsidRPr="00E6113D" w:rsidRDefault="00B30132" w:rsidP="00E6113D">
      <w:pPr>
        <w:pStyle w:val="ac"/>
        <w:bidi/>
        <w:spacing w:after="0"/>
        <w:ind w:left="199"/>
        <w:jc w:val="center"/>
        <w:rPr>
          <w:rFonts w:ascii="David" w:hAnsi="David"/>
          <w:sz w:val="22"/>
        </w:rPr>
      </w:pPr>
      <w:r w:rsidRPr="00E6113D">
        <w:rPr>
          <w:rFonts w:ascii="David" w:hAnsi="David" w:hint="cs"/>
          <w:b/>
          <w:bCs/>
          <w:u w:val="single"/>
          <w:rtl/>
        </w:rPr>
        <w:t xml:space="preserve">בשני המקרים אפשר לקבל עדות של נשים שנשלחו על ידי בית הדין ולא </w:t>
      </w:r>
      <w:r w:rsidR="00884EE4">
        <w:rPr>
          <w:rFonts w:ascii="David" w:hAnsi="David" w:hint="cs"/>
          <w:b/>
          <w:bCs/>
          <w:u w:val="single"/>
          <w:rtl/>
        </w:rPr>
        <w:t>סתם אישה שהייתה עדה</w:t>
      </w:r>
      <w:r w:rsidRPr="00E6113D">
        <w:rPr>
          <w:rFonts w:ascii="David" w:hAnsi="David" w:hint="cs"/>
          <w:b/>
          <w:bCs/>
          <w:u w:val="single"/>
          <w:rtl/>
        </w:rPr>
        <w:t>.</w:t>
      </w:r>
    </w:p>
    <w:p w14:paraId="768D339E" w14:textId="7C1358ED" w:rsidR="00B30132" w:rsidRDefault="00B30132" w:rsidP="00AF00BF">
      <w:pPr>
        <w:pStyle w:val="ac"/>
        <w:numPr>
          <w:ilvl w:val="3"/>
          <w:numId w:val="33"/>
        </w:numPr>
        <w:bidi/>
        <w:spacing w:after="0"/>
        <w:rPr>
          <w:rFonts w:ascii="David" w:hAnsi="David"/>
          <w:b/>
          <w:bCs/>
          <w:sz w:val="22"/>
        </w:rPr>
      </w:pPr>
      <w:r w:rsidRPr="00B30132">
        <w:rPr>
          <w:rFonts w:ascii="David" w:hAnsi="David" w:hint="cs"/>
          <w:sz w:val="22"/>
          <w:u w:val="single"/>
          <w:rtl/>
        </w:rPr>
        <w:t>שולחן ערוך יורה דעה הלכות מאכלי עובדי כוכבים סימן קי"ד סעיף ה:</w:t>
      </w:r>
      <w:r>
        <w:rPr>
          <w:rFonts w:ascii="David" w:hAnsi="David" w:hint="cs"/>
          <w:sz w:val="22"/>
          <w:rtl/>
        </w:rPr>
        <w:t xml:space="preserve"> מדובר על איסור יין נסך.</w:t>
      </w:r>
      <w:r w:rsidR="00E6113D">
        <w:rPr>
          <w:rFonts w:ascii="David" w:hAnsi="David" w:hint="cs"/>
          <w:b/>
          <w:bCs/>
          <w:sz w:val="22"/>
          <w:rtl/>
        </w:rPr>
        <w:t xml:space="preserve"> </w:t>
      </w:r>
      <w:r w:rsidR="00E6113D">
        <w:rPr>
          <w:rFonts w:ascii="David" w:hAnsi="David" w:hint="cs"/>
          <w:sz w:val="22"/>
          <w:rtl/>
        </w:rPr>
        <w:t>ניתן לקבל עדות של בעל מקצוע גם אם הוא אינו כשר לעדות.</w:t>
      </w:r>
      <w:r w:rsidR="00E6113D">
        <w:rPr>
          <w:rFonts w:ascii="David" w:hAnsi="David" w:hint="cs"/>
          <w:b/>
          <w:bCs/>
          <w:sz w:val="22"/>
          <w:rtl/>
        </w:rPr>
        <w:t xml:space="preserve"> </w:t>
      </w:r>
      <w:r w:rsidR="00884EE4" w:rsidRPr="00884EE4">
        <w:rPr>
          <w:rFonts w:ascii="David" w:hAnsi="David"/>
          <w:sz w:val="22"/>
          <w:rtl/>
        </w:rPr>
        <w:t>מדובר על מקרה של איסור יין נסך מענבים, אין להלכה בעיה עם יין שעשוי מפירות אחרים (למשל רימונים). רבי יוסף קארו מסביר כי אם אומר בעל העסק שהיין הוא 100% רימונים ואין בו ענבים, חזקה עליו שהוא לא רוצה לפגוע בפרנסה שלו (למרות שיין ענבים זול יותר מרימונים). הסיבה לכך היא כי לבעל המלאכה/לסוחר יש מוניטין, אם יתברר שהוא מרמה, לא יהיו לו יותר קליינטים (לא רק יהודים מחשש לכשרות, אלא באופן כללי הוא עלול להיחשב כרמאי). הרב פיינשטיין מארה"ב התבסס על כך בהיתר לשתות חלב עכו"ם בארה"ב, הסיבה לכך היא כי יוצאים מנקודת הנחה היא שמחלבה מחו"ל שכותבת על החלב שהוא "100% חלב פרה" אין סיכוי שהם ירמו, החוק האמריקאי מאוד מאוד נוקשה בנדון. משכך – אם ניתן להניח כי בעל מקצוע גוי הינו אמין בשל המוניטין שלו, ניתן לעשות זאת גם ביחס לנשים מקצועניות כיום.</w:t>
      </w:r>
    </w:p>
    <w:p w14:paraId="6914E2C2" w14:textId="4241BEA8" w:rsidR="00A948BC" w:rsidRDefault="00A948BC" w:rsidP="00AF00BF">
      <w:pPr>
        <w:pStyle w:val="ac"/>
        <w:numPr>
          <w:ilvl w:val="1"/>
          <w:numId w:val="33"/>
        </w:numPr>
        <w:bidi/>
        <w:spacing w:after="0"/>
        <w:rPr>
          <w:rFonts w:ascii="David" w:hAnsi="David"/>
          <w:b/>
          <w:bCs/>
          <w:sz w:val="22"/>
        </w:rPr>
      </w:pPr>
      <w:r w:rsidRPr="00A948BC">
        <w:rPr>
          <w:rFonts w:ascii="David" w:hAnsi="David" w:hint="cs"/>
          <w:b/>
          <w:bCs/>
          <w:sz w:val="22"/>
          <w:shd w:val="clear" w:color="auto" w:fill="FFF4CD" w:themeFill="accent1" w:themeFillTint="33"/>
          <w:rtl/>
        </w:rPr>
        <w:t>פסקי דין בנוגע למקורות</w:t>
      </w:r>
      <w:r>
        <w:rPr>
          <w:rFonts w:ascii="David" w:hAnsi="David" w:hint="cs"/>
          <w:b/>
          <w:bCs/>
          <w:sz w:val="22"/>
          <w:rtl/>
        </w:rPr>
        <w:t>:</w:t>
      </w:r>
      <w:r w:rsidR="00884EE4">
        <w:rPr>
          <w:rFonts w:ascii="David" w:hAnsi="David" w:hint="cs"/>
          <w:b/>
          <w:bCs/>
          <w:sz w:val="22"/>
          <w:rtl/>
        </w:rPr>
        <w:t xml:space="preserve"> </w:t>
      </w:r>
    </w:p>
    <w:p w14:paraId="75E056EE" w14:textId="795EDA13" w:rsidR="00A948BC" w:rsidRPr="00A948BC" w:rsidRDefault="00A948BC" w:rsidP="00AF00BF">
      <w:pPr>
        <w:pStyle w:val="ac"/>
        <w:numPr>
          <w:ilvl w:val="2"/>
          <w:numId w:val="33"/>
        </w:numPr>
        <w:bidi/>
        <w:spacing w:after="0"/>
        <w:rPr>
          <w:rFonts w:ascii="David" w:hAnsi="David"/>
          <w:b/>
          <w:bCs/>
          <w:sz w:val="22"/>
          <w:u w:val="single"/>
        </w:rPr>
      </w:pPr>
      <w:r w:rsidRPr="00A948BC">
        <w:rPr>
          <w:rFonts w:ascii="David" w:hAnsi="David" w:hint="cs"/>
          <w:b/>
          <w:bCs/>
          <w:sz w:val="22"/>
          <w:u w:val="single"/>
          <w:rtl/>
        </w:rPr>
        <w:t>המקבלים את המקורות:</w:t>
      </w:r>
    </w:p>
    <w:p w14:paraId="734052BC" w14:textId="0BF4C1FE" w:rsidR="00450D11" w:rsidRDefault="00450D11" w:rsidP="00AF00BF">
      <w:pPr>
        <w:pStyle w:val="ac"/>
        <w:numPr>
          <w:ilvl w:val="3"/>
          <w:numId w:val="33"/>
        </w:numPr>
        <w:bidi/>
        <w:spacing w:after="0"/>
        <w:rPr>
          <w:rFonts w:ascii="David" w:hAnsi="David"/>
          <w:b/>
          <w:bCs/>
          <w:sz w:val="22"/>
        </w:rPr>
      </w:pPr>
      <w:r w:rsidRPr="00A948BC">
        <w:rPr>
          <w:rFonts w:ascii="David" w:hAnsi="David" w:hint="cs"/>
          <w:sz w:val="22"/>
          <w:highlight w:val="cyan"/>
          <w:u w:val="single"/>
          <w:rtl/>
        </w:rPr>
        <w:t>בית הדין האזורי בנתניה (דף 15 בדף המקורות המרוכז):</w:t>
      </w:r>
      <w:r w:rsidR="00B46A55" w:rsidRPr="00A948BC">
        <w:rPr>
          <w:rFonts w:ascii="David" w:hAnsi="David" w:hint="cs"/>
          <w:sz w:val="22"/>
          <w:u w:val="single"/>
          <w:rtl/>
        </w:rPr>
        <w:t xml:space="preserve"> </w:t>
      </w:r>
      <w:r w:rsidR="00B46A55">
        <w:rPr>
          <w:rFonts w:ascii="David" w:hAnsi="David" w:hint="cs"/>
          <w:sz w:val="22"/>
          <w:rtl/>
        </w:rPr>
        <w:t>מדובר על מקרה של משמורת ילדים וניתן עדות על ידי פקידת רווחה. בי"ד עושה שימוש בס' האחרון שהצגנו מהשולחן ערוך, שכן מדובר באיש מקצוע שאין לו פניות ולכן יהיה אמין. עם זאת, בנוסף, בי"ד אומר שבגלל שמודבר במקרה של דיני משפחה יש מקום לקבל את העדות גם על פי שני המקורות השניים.</w:t>
      </w:r>
    </w:p>
    <w:p w14:paraId="74C4A50B" w14:textId="46E115E5" w:rsidR="00A948BC" w:rsidRDefault="00B46A55" w:rsidP="00AF00BF">
      <w:pPr>
        <w:pStyle w:val="ac"/>
        <w:numPr>
          <w:ilvl w:val="3"/>
          <w:numId w:val="33"/>
        </w:numPr>
        <w:bidi/>
        <w:spacing w:after="0"/>
        <w:rPr>
          <w:rFonts w:ascii="David" w:hAnsi="David"/>
          <w:b/>
          <w:sz w:val="22"/>
        </w:rPr>
      </w:pPr>
      <w:r w:rsidRPr="00A948BC">
        <w:rPr>
          <w:rFonts w:ascii="David" w:hAnsi="David" w:hint="cs"/>
          <w:b/>
          <w:sz w:val="22"/>
          <w:highlight w:val="cyan"/>
          <w:u w:val="single"/>
          <w:rtl/>
        </w:rPr>
        <w:t>פס"ד מבית הדין בפתח תקווה 298209/3:</w:t>
      </w:r>
      <w:r w:rsidRPr="00B46A55">
        <w:rPr>
          <w:rFonts w:ascii="David" w:hAnsi="David" w:hint="cs"/>
          <w:b/>
          <w:sz w:val="22"/>
          <w:rtl/>
        </w:rPr>
        <w:t xml:space="preserve"> מקרה של אלימות במשפחה</w:t>
      </w:r>
      <w:r>
        <w:rPr>
          <w:rFonts w:ascii="David" w:hAnsi="David" w:hint="cs"/>
          <w:b/>
          <w:sz w:val="22"/>
          <w:rtl/>
        </w:rPr>
        <w:t xml:space="preserve">. בי"ד אומר שמדובר במקרים שקשה להוכיח אותם, שכן הבעל פוגע באישה במקומות שבדר"כ לא ניתן לראות וגם מרביץ בחדרי חדרים. </w:t>
      </w:r>
      <w:r w:rsidR="00A948BC">
        <w:rPr>
          <w:rFonts w:ascii="David" w:hAnsi="David" w:hint="cs"/>
          <w:b/>
          <w:sz w:val="22"/>
          <w:rtl/>
        </w:rPr>
        <w:t xml:space="preserve">בי"ד מביא את מקור מספר שלוש של אבן העזר שבו נקבע שניתן לקבל עדות של נשים במקרים שקשורים לאלימות במשפחה. כמו כן, הוא מביא גם </w:t>
      </w:r>
      <w:r w:rsidR="00A948BC">
        <w:rPr>
          <w:rFonts w:ascii="David" w:hAnsi="David" w:hint="cs"/>
          <w:b/>
          <w:sz w:val="22"/>
          <w:rtl/>
        </w:rPr>
        <w:lastRenderedPageBreak/>
        <w:t xml:space="preserve">את דעת הרמ"א מהמקור הראשון. הבעל טען שאין הדברים נכונים לעניין כפיית גט, בי"ד לא מקבל את טענתו ואומר שמודבר דווקא במקרים של כפיית גט. </w:t>
      </w:r>
    </w:p>
    <w:p w14:paraId="4411C9EF" w14:textId="1DBE64A4" w:rsidR="00A948BC" w:rsidRPr="00A948BC" w:rsidRDefault="00A948BC" w:rsidP="00AF00BF">
      <w:pPr>
        <w:pStyle w:val="ac"/>
        <w:numPr>
          <w:ilvl w:val="2"/>
          <w:numId w:val="33"/>
        </w:numPr>
        <w:bidi/>
        <w:spacing w:after="0"/>
        <w:rPr>
          <w:rFonts w:ascii="David" w:hAnsi="David"/>
          <w:b/>
          <w:sz w:val="22"/>
        </w:rPr>
      </w:pPr>
      <w:r>
        <w:rPr>
          <w:rFonts w:ascii="David" w:hAnsi="David" w:hint="cs"/>
          <w:bCs/>
          <w:sz w:val="22"/>
          <w:u w:val="single"/>
          <w:rtl/>
        </w:rPr>
        <w:t>שאינם מקבלים את המקורות</w:t>
      </w:r>
      <w:r>
        <w:rPr>
          <w:rFonts w:ascii="David" w:hAnsi="David" w:hint="cs"/>
          <w:b/>
          <w:sz w:val="22"/>
          <w:rtl/>
        </w:rPr>
        <w:t>:</w:t>
      </w:r>
    </w:p>
    <w:p w14:paraId="47D1BC33" w14:textId="320DFAC8" w:rsidR="00A948BC" w:rsidRDefault="00A948BC" w:rsidP="00AF00BF">
      <w:pPr>
        <w:pStyle w:val="ac"/>
        <w:numPr>
          <w:ilvl w:val="3"/>
          <w:numId w:val="33"/>
        </w:numPr>
        <w:bidi/>
        <w:spacing w:after="0"/>
        <w:rPr>
          <w:rFonts w:ascii="David" w:hAnsi="David"/>
          <w:b/>
          <w:sz w:val="22"/>
        </w:rPr>
      </w:pPr>
      <w:r w:rsidRPr="00D64840">
        <w:rPr>
          <w:rFonts w:ascii="David" w:hAnsi="David" w:hint="cs"/>
          <w:b/>
          <w:sz w:val="22"/>
          <w:highlight w:val="cyan"/>
          <w:rtl/>
        </w:rPr>
        <w:t>תיק שבו אישה תבעה גירושין בגין אלימות</w:t>
      </w:r>
      <w:r w:rsidR="00532A29">
        <w:rPr>
          <w:rFonts w:ascii="David" w:hAnsi="David" w:hint="cs"/>
          <w:b/>
          <w:sz w:val="22"/>
          <w:rtl/>
        </w:rPr>
        <w:t xml:space="preserve">: </w:t>
      </w:r>
      <w:r>
        <w:rPr>
          <w:rFonts w:ascii="David" w:hAnsi="David" w:hint="cs"/>
          <w:b/>
          <w:sz w:val="22"/>
          <w:rtl/>
        </w:rPr>
        <w:t xml:space="preserve"> היא הביאה את אימה ואחותה להעיד על האלימות בי"ד האזורי לא מקבל את העדות הזו. ולכן מערערת לבי"ד הגדול. לטענת האישה במקרים של משפחה אפשר </w:t>
      </w:r>
      <w:r w:rsidR="00E834F2">
        <w:rPr>
          <w:rFonts w:ascii="David" w:hAnsi="David" w:hint="cs"/>
          <w:b/>
          <w:sz w:val="22"/>
          <w:rtl/>
        </w:rPr>
        <w:t>להביא עדות אישה ולא פעל כך בי"ד האזורי. בי"ד הגדול לא מקבל את טיעון האישה, כיוון שלדעתו ניתן לקבל עדות אישה כאשר אין מדובר בקרובות משפחה. לדעת בי"ד ברמ"א מאפשר עדות של נשים אך לא של קרובות משפחה.</w:t>
      </w:r>
    </w:p>
    <w:p w14:paraId="52AE4AF6" w14:textId="77777777" w:rsidR="005A42AA" w:rsidRDefault="00C06FFE" w:rsidP="00AF00BF">
      <w:pPr>
        <w:pStyle w:val="ac"/>
        <w:numPr>
          <w:ilvl w:val="1"/>
          <w:numId w:val="33"/>
        </w:numPr>
        <w:bidi/>
        <w:spacing w:after="0"/>
        <w:rPr>
          <w:rFonts w:ascii="David" w:hAnsi="David"/>
          <w:b/>
          <w:sz w:val="22"/>
        </w:rPr>
      </w:pPr>
      <w:r w:rsidRPr="000368BC">
        <w:rPr>
          <w:rFonts w:ascii="David" w:hAnsi="David" w:hint="cs"/>
          <w:bCs/>
          <w:sz w:val="22"/>
          <w:u w:val="single"/>
          <w:shd w:val="clear" w:color="auto" w:fill="FFF4CD" w:themeFill="accent1" w:themeFillTint="33"/>
          <w:rtl/>
        </w:rPr>
        <w:t xml:space="preserve">אלימות בעילה לגירושין - </w:t>
      </w:r>
      <w:r w:rsidR="00833917" w:rsidRPr="000368BC">
        <w:rPr>
          <w:rFonts w:ascii="David" w:hAnsi="David" w:hint="cs"/>
          <w:bCs/>
          <w:sz w:val="22"/>
          <w:u w:val="single"/>
          <w:shd w:val="clear" w:color="auto" w:fill="FFF4CD" w:themeFill="accent1" w:themeFillTint="33"/>
          <w:rtl/>
        </w:rPr>
        <w:t>הרב אברהם צבי שי</w:t>
      </w:r>
      <w:r w:rsidR="007F3FF0" w:rsidRPr="000368BC">
        <w:rPr>
          <w:rFonts w:ascii="David" w:hAnsi="David" w:hint="cs"/>
          <w:bCs/>
          <w:sz w:val="22"/>
          <w:u w:val="single"/>
          <w:shd w:val="clear" w:color="auto" w:fill="FFF4CD" w:themeFill="accent1" w:themeFillTint="33"/>
          <w:rtl/>
        </w:rPr>
        <w:t>י</w:t>
      </w:r>
      <w:r w:rsidR="00833917" w:rsidRPr="000368BC">
        <w:rPr>
          <w:rFonts w:ascii="David" w:hAnsi="David" w:hint="cs"/>
          <w:bCs/>
          <w:sz w:val="22"/>
          <w:u w:val="single"/>
          <w:shd w:val="clear" w:color="auto" w:fill="FFF4CD" w:themeFill="accent1" w:themeFillTint="33"/>
          <w:rtl/>
        </w:rPr>
        <w:t>נפלד</w:t>
      </w:r>
      <w:r w:rsidR="00833917" w:rsidRPr="00E736FB">
        <w:rPr>
          <w:rFonts w:ascii="David" w:hAnsi="David" w:hint="cs"/>
          <w:bCs/>
          <w:sz w:val="22"/>
          <w:u w:val="single"/>
          <w:rtl/>
        </w:rPr>
        <w:t>:</w:t>
      </w:r>
      <w:r w:rsidR="004E4902">
        <w:rPr>
          <w:rFonts w:ascii="David" w:hAnsi="David" w:hint="cs"/>
          <w:b/>
          <w:sz w:val="22"/>
          <w:rtl/>
        </w:rPr>
        <w:t xml:space="preserve"> </w:t>
      </w:r>
    </w:p>
    <w:p w14:paraId="20FE31F3" w14:textId="52426E66" w:rsidR="009C1DD8" w:rsidRPr="009C1DD8" w:rsidRDefault="004E4902" w:rsidP="00AF00BF">
      <w:pPr>
        <w:pStyle w:val="ac"/>
        <w:numPr>
          <w:ilvl w:val="2"/>
          <w:numId w:val="33"/>
        </w:numPr>
        <w:bidi/>
        <w:spacing w:after="0"/>
        <w:rPr>
          <w:rFonts w:ascii="David" w:hAnsi="David"/>
          <w:b/>
          <w:sz w:val="22"/>
        </w:rPr>
      </w:pPr>
      <w:r w:rsidRPr="009C1DD8">
        <w:rPr>
          <w:rFonts w:ascii="David" w:hAnsi="David" w:hint="cs"/>
          <w:b/>
          <w:sz w:val="22"/>
          <w:rtl/>
        </w:rPr>
        <w:t xml:space="preserve">במקרים רבים </w:t>
      </w:r>
      <w:r w:rsidR="005F5BA9" w:rsidRPr="009C1DD8">
        <w:rPr>
          <w:rFonts w:ascii="David" w:hAnsi="David" w:hint="cs"/>
          <w:b/>
          <w:sz w:val="22"/>
          <w:rtl/>
        </w:rPr>
        <w:t xml:space="preserve">עילת התביעה לגירושין היא אלימות מצד בן הזוגף ברוב המקרים הטענה היא לאלימות מצד הבעל. </w:t>
      </w:r>
      <w:r w:rsidR="007F3FF0" w:rsidRPr="009C1DD8">
        <w:rPr>
          <w:rFonts w:ascii="David" w:hAnsi="David" w:hint="cs"/>
          <w:b/>
          <w:sz w:val="22"/>
          <w:rtl/>
        </w:rPr>
        <w:t>כפי שציינו מקודם הרב שיינפלד מקבל פוליגרף כראיה או אפילו סירוב להיבדק בפוליגרף יכול לשמש כראייה.</w:t>
      </w:r>
      <w:r w:rsidR="00B368A3" w:rsidRPr="009C1DD8">
        <w:rPr>
          <w:rFonts w:ascii="David" w:hAnsi="David" w:hint="cs"/>
          <w:b/>
          <w:sz w:val="22"/>
          <w:rtl/>
        </w:rPr>
        <w:t xml:space="preserve"> עם זאת, הרב שיינפלד לא רוצה לקבל עדות של קרובים או פסולים.</w:t>
      </w:r>
      <w:r w:rsidR="00C53D3A" w:rsidRPr="009C1DD8">
        <w:rPr>
          <w:rFonts w:ascii="David" w:hAnsi="David" w:hint="cs"/>
          <w:b/>
          <w:sz w:val="22"/>
          <w:rtl/>
        </w:rPr>
        <w:t xml:space="preserve"> הוא מעלה במאמרו את המקור בשולחן ערוך של תקנת קדמונים ואומר שנראה שיש מקום להתיר עדות קרובים או פסולים (כמו אישה) - עם זאת ניתן לראות שהוא לא רוצה לקבל זאת</w:t>
      </w:r>
      <w:r w:rsidR="00041567" w:rsidRPr="009C1DD8">
        <w:rPr>
          <w:rFonts w:ascii="David" w:hAnsi="David" w:hint="cs"/>
          <w:b/>
          <w:sz w:val="22"/>
          <w:rtl/>
        </w:rPr>
        <w:t>. שכן, על אף שיש מקור לכך והוא פוסק אשכנזי הוא מוצא מקורות בפסיקה האשכנזית המצמצמות את הרמ"א.</w:t>
      </w:r>
      <w:r w:rsidR="009C1DD8" w:rsidRPr="009C1DD8">
        <w:rPr>
          <w:rFonts w:ascii="David" w:hAnsi="David" w:hint="cs"/>
          <w:b/>
          <w:sz w:val="22"/>
          <w:rtl/>
        </w:rPr>
        <w:t xml:space="preserve"> חשוב לדעת שהוא לא מייצג עמדה יחידה, אך הוא גם לא העמדה הרווחת.</w:t>
      </w:r>
      <w:r w:rsidR="009C1DD8">
        <w:rPr>
          <w:rFonts w:ascii="David" w:hAnsi="David" w:hint="cs"/>
          <w:b/>
          <w:sz w:val="22"/>
          <w:rtl/>
        </w:rPr>
        <w:t xml:space="preserve"> </w:t>
      </w:r>
      <w:r w:rsidR="00041567" w:rsidRPr="009C1DD8">
        <w:rPr>
          <w:rFonts w:ascii="David" w:hAnsi="David" w:hint="cs"/>
          <w:b/>
          <w:sz w:val="22"/>
          <w:u w:val="single"/>
          <w:rtl/>
        </w:rPr>
        <w:t xml:space="preserve">לטענתו יש מחלוקת גדולה מאוד לגבי זכותו של בעל דין </w:t>
      </w:r>
      <w:r w:rsidR="005A42AA" w:rsidRPr="009C1DD8">
        <w:rPr>
          <w:rFonts w:ascii="David" w:hAnsi="David" w:hint="cs"/>
          <w:b/>
          <w:sz w:val="22"/>
          <w:u w:val="single"/>
          <w:rtl/>
        </w:rPr>
        <w:t xml:space="preserve">שלא יקבלו כנגדו עדויות שיפגעו בו </w:t>
      </w:r>
      <w:r w:rsidR="005A42AA" w:rsidRPr="009C1DD8">
        <w:rPr>
          <w:rFonts w:ascii="David" w:hAnsi="David" w:hint="cs"/>
          <w:b/>
          <w:sz w:val="22"/>
          <w:rtl/>
        </w:rPr>
        <w:t>- לדעתו משום כך לא יקבל בי"ד עדות של קרובים אלה בהסכמת הצד השני.</w:t>
      </w:r>
      <w:r w:rsidR="00AE2765" w:rsidRPr="009C1DD8">
        <w:rPr>
          <w:rFonts w:ascii="David" w:hAnsi="David" w:hint="cs"/>
          <w:b/>
          <w:sz w:val="22"/>
          <w:rtl/>
        </w:rPr>
        <w:t xml:space="preserve"> ברור שיש כאן רצון לצמצם שכן הסכמה כזו כמעט לא תתקיים אף פעם.</w:t>
      </w:r>
    </w:p>
    <w:p w14:paraId="25E5AD55" w14:textId="0F691C17" w:rsidR="000368BC" w:rsidRDefault="000368BC" w:rsidP="00AF00BF">
      <w:pPr>
        <w:pStyle w:val="ac"/>
        <w:numPr>
          <w:ilvl w:val="2"/>
          <w:numId w:val="33"/>
        </w:numPr>
        <w:bidi/>
        <w:spacing w:after="0"/>
        <w:rPr>
          <w:rFonts w:ascii="David" w:hAnsi="David"/>
          <w:b/>
          <w:sz w:val="22"/>
        </w:rPr>
      </w:pPr>
      <w:r>
        <w:rPr>
          <w:rFonts w:ascii="David" w:hAnsi="David" w:hint="cs"/>
          <w:b/>
          <w:sz w:val="22"/>
          <w:u w:val="single"/>
          <w:rtl/>
        </w:rPr>
        <w:t xml:space="preserve">למה </w:t>
      </w:r>
      <w:r w:rsidR="003C3D6A">
        <w:rPr>
          <w:rFonts w:ascii="David" w:hAnsi="David" w:hint="cs"/>
          <w:b/>
          <w:sz w:val="22"/>
          <w:u w:val="single"/>
          <w:rtl/>
        </w:rPr>
        <w:t>ישנם דיינים שלא רוצים</w:t>
      </w:r>
      <w:r>
        <w:rPr>
          <w:rFonts w:ascii="David" w:hAnsi="David" w:hint="cs"/>
          <w:b/>
          <w:sz w:val="22"/>
          <w:u w:val="single"/>
          <w:rtl/>
        </w:rPr>
        <w:t xml:space="preserve"> לקבל את המקור בשולחן ערוך שמאפשר זאת</w:t>
      </w:r>
      <w:r w:rsidRPr="000368BC">
        <w:rPr>
          <w:rFonts w:ascii="David" w:hAnsi="David" w:hint="cs"/>
          <w:b/>
          <w:sz w:val="22"/>
          <w:rtl/>
        </w:rPr>
        <w:t>?</w:t>
      </w:r>
      <w:r w:rsidR="00013FE0">
        <w:rPr>
          <w:rFonts w:ascii="David" w:hAnsi="David" w:hint="cs"/>
          <w:b/>
          <w:sz w:val="22"/>
          <w:rtl/>
        </w:rPr>
        <w:t xml:space="preserve"> יש מוטיבציה לא לקבל את הגישה של הרמ"א,</w:t>
      </w:r>
      <w:r w:rsidR="003C3D6A">
        <w:rPr>
          <w:rFonts w:ascii="David" w:hAnsi="David" w:hint="cs"/>
          <w:b/>
          <w:sz w:val="22"/>
          <w:rtl/>
        </w:rPr>
        <w:t xml:space="preserve"> שכן יש דיינים שאינם מוכנים לקבל ראיות ועדויות שלא לפי ההלכה - מדובר בגישה שמרנית מאוד.</w:t>
      </w:r>
    </w:p>
    <w:p w14:paraId="4E6768C2" w14:textId="1ADB4A8D" w:rsidR="00234502" w:rsidRPr="00234502" w:rsidRDefault="00234502" w:rsidP="00234502">
      <w:pPr>
        <w:pBdr>
          <w:top w:val="single" w:sz="4" w:space="1" w:color="auto"/>
        </w:pBdr>
        <w:rPr>
          <w:rFonts w:ascii="David" w:hAnsi="David"/>
        </w:rPr>
      </w:pPr>
      <w:r w:rsidRPr="00234502">
        <w:rPr>
          <w:rFonts w:ascii="David" w:hAnsi="David" w:hint="cs"/>
          <w:rtl/>
        </w:rPr>
        <w:t>03.04.2022</w:t>
      </w:r>
    </w:p>
    <w:p w14:paraId="38CB3B48" w14:textId="638C4A78" w:rsidR="00056B1A" w:rsidRPr="00304116" w:rsidRDefault="00C41245" w:rsidP="00AF00BF">
      <w:pPr>
        <w:pStyle w:val="ac"/>
        <w:numPr>
          <w:ilvl w:val="1"/>
          <w:numId w:val="33"/>
        </w:numPr>
        <w:bidi/>
        <w:spacing w:after="0"/>
        <w:rPr>
          <w:rFonts w:ascii="David" w:hAnsi="David"/>
          <w:bCs/>
          <w:sz w:val="22"/>
        </w:rPr>
      </w:pPr>
      <w:r w:rsidRPr="00072855">
        <w:rPr>
          <w:rFonts w:ascii="David" w:hAnsi="David" w:hint="cs"/>
          <w:bCs/>
          <w:sz w:val="22"/>
          <w:shd w:val="clear" w:color="auto" w:fill="FFF4CD" w:themeFill="accent1" w:themeFillTint="33"/>
          <w:rtl/>
        </w:rPr>
        <w:t>שו"ת משפטי הבשן: מפרסם שני פסקי דין</w:t>
      </w:r>
      <w:r w:rsidR="00056B1A" w:rsidRPr="00304116">
        <w:rPr>
          <w:rFonts w:ascii="David" w:hAnsi="David" w:hint="cs"/>
          <w:bCs/>
          <w:sz w:val="22"/>
          <w:rtl/>
        </w:rPr>
        <w:t>:</w:t>
      </w:r>
      <w:r w:rsidR="00072855">
        <w:rPr>
          <w:rFonts w:ascii="David" w:hAnsi="David" w:hint="cs"/>
          <w:bCs/>
          <w:sz w:val="22"/>
          <w:rtl/>
        </w:rPr>
        <w:t xml:space="preserve"> </w:t>
      </w:r>
      <w:r w:rsidR="00072855">
        <w:rPr>
          <w:rFonts w:ascii="David" w:hAnsi="David" w:hint="cs"/>
          <w:b/>
          <w:sz w:val="22"/>
          <w:rtl/>
        </w:rPr>
        <w:t>מציג שני מקרים:</w:t>
      </w:r>
    </w:p>
    <w:p w14:paraId="3D0AC339" w14:textId="27F1920E" w:rsidR="00EE5118" w:rsidRDefault="00C41245" w:rsidP="00AF00BF">
      <w:pPr>
        <w:pStyle w:val="ac"/>
        <w:numPr>
          <w:ilvl w:val="2"/>
          <w:numId w:val="33"/>
        </w:numPr>
        <w:bidi/>
        <w:spacing w:after="0"/>
        <w:rPr>
          <w:rFonts w:ascii="David" w:hAnsi="David"/>
          <w:b/>
          <w:sz w:val="22"/>
        </w:rPr>
      </w:pPr>
      <w:r w:rsidRPr="00304116">
        <w:rPr>
          <w:rFonts w:ascii="David" w:hAnsi="David" w:hint="cs"/>
          <w:b/>
          <w:sz w:val="22"/>
          <w:u w:val="single"/>
          <w:rtl/>
        </w:rPr>
        <w:t>מקרה ראשון</w:t>
      </w:r>
      <w:r w:rsidR="00304116">
        <w:rPr>
          <w:rFonts w:ascii="David" w:hAnsi="David" w:hint="cs"/>
          <w:b/>
          <w:sz w:val="22"/>
          <w:rtl/>
        </w:rPr>
        <w:t xml:space="preserve">: </w:t>
      </w:r>
      <w:r>
        <w:rPr>
          <w:rFonts w:ascii="David" w:hAnsi="David" w:hint="cs"/>
          <w:b/>
          <w:sz w:val="22"/>
          <w:rtl/>
        </w:rPr>
        <w:t>אלימות של אישה כנגד בעלה, בית הדין אינו מחייב בגט</w:t>
      </w:r>
      <w:r w:rsidR="00304116">
        <w:rPr>
          <w:rFonts w:ascii="David" w:hAnsi="David" w:hint="cs"/>
          <w:b/>
          <w:sz w:val="22"/>
          <w:rtl/>
        </w:rPr>
        <w:t xml:space="preserve"> - שו"ת משפטי הבשן אומר כי </w:t>
      </w:r>
      <w:r w:rsidR="00056B1A" w:rsidRPr="00304116">
        <w:rPr>
          <w:rFonts w:ascii="David" w:hAnsi="David" w:hint="cs"/>
          <w:b/>
          <w:rtl/>
        </w:rPr>
        <w:t xml:space="preserve">הרמ"א מדבר על מקרה שאין </w:t>
      </w:r>
      <w:r w:rsidR="00A502EF" w:rsidRPr="00304116">
        <w:rPr>
          <w:rFonts w:ascii="David" w:hAnsi="David" w:hint="cs"/>
          <w:b/>
          <w:rtl/>
        </w:rPr>
        <w:t>גברים</w:t>
      </w:r>
      <w:r w:rsidR="00056B1A" w:rsidRPr="00304116">
        <w:rPr>
          <w:rFonts w:ascii="David" w:hAnsi="David" w:hint="cs"/>
          <w:b/>
          <w:rtl/>
        </w:rPr>
        <w:t xml:space="preserve"> אמורים להיות או מקום אקראי - </w:t>
      </w:r>
      <w:r w:rsidR="00A502EF" w:rsidRPr="00304116">
        <w:rPr>
          <w:rFonts w:ascii="David" w:hAnsi="David" w:hint="cs"/>
          <w:b/>
          <w:rtl/>
        </w:rPr>
        <w:t>הבעל טוען שהמריבות בינו לבין אשתו הן כבר עשרים שנה. העדים כולם פסולים, שכן הם קרובים או נשים.</w:t>
      </w:r>
      <w:r w:rsidR="00101B15" w:rsidRPr="00304116">
        <w:rPr>
          <w:rFonts w:ascii="David" w:hAnsi="David" w:hint="cs"/>
          <w:b/>
          <w:rtl/>
        </w:rPr>
        <w:t xml:space="preserve"> הרב טוען שאם זה קורה הרבה פעמים איך הוא לא הצליח להביא עדים כשרים. לדעתו הרמ"א מדבר על מצבים נדירים וחד"פ ביותר ולכן כאשר יש אלימות מתמשכת יש צורך להביא עדים כשרים.</w:t>
      </w:r>
      <w:r w:rsidR="00EE5118" w:rsidRPr="00304116">
        <w:rPr>
          <w:rFonts w:ascii="David" w:hAnsi="David" w:hint="cs"/>
          <w:b/>
          <w:rtl/>
        </w:rPr>
        <w:t xml:space="preserve"> בנוסף, הוא אומר שאם שני הצדדים ספרדיים אי אפשר לפסוק לפי הרמ"א - טענה פורמליסטית - רוב הדיינים לא יעשו הבחנה כזו.</w:t>
      </w:r>
    </w:p>
    <w:p w14:paraId="1A174746" w14:textId="0B20C191" w:rsidR="00304116" w:rsidRDefault="00304116" w:rsidP="00AF00BF">
      <w:pPr>
        <w:pStyle w:val="ac"/>
        <w:numPr>
          <w:ilvl w:val="2"/>
          <w:numId w:val="33"/>
        </w:numPr>
        <w:bidi/>
        <w:spacing w:after="0"/>
        <w:rPr>
          <w:rFonts w:ascii="David" w:hAnsi="David"/>
          <w:b/>
          <w:sz w:val="22"/>
        </w:rPr>
      </w:pPr>
      <w:r>
        <w:rPr>
          <w:rFonts w:ascii="David" w:hAnsi="David" w:hint="cs"/>
          <w:b/>
          <w:sz w:val="22"/>
          <w:u w:val="single"/>
          <w:rtl/>
        </w:rPr>
        <w:t>מקרה שני</w:t>
      </w:r>
      <w:r w:rsidRPr="00304116">
        <w:rPr>
          <w:rFonts w:ascii="David" w:hAnsi="David" w:hint="cs"/>
          <w:b/>
          <w:sz w:val="22"/>
          <w:rtl/>
        </w:rPr>
        <w:t>:</w:t>
      </w:r>
      <w:r>
        <w:rPr>
          <w:rFonts w:ascii="David" w:hAnsi="David" w:hint="cs"/>
          <w:b/>
          <w:sz w:val="22"/>
          <w:rtl/>
        </w:rPr>
        <w:t xml:space="preserve"> תביעת גירושין (לא משנה הפרטים) - העדים שמסייעים פה לתובעת נפסלים על הסף,</w:t>
      </w:r>
      <w:r w:rsidR="006D3B6F">
        <w:rPr>
          <w:rFonts w:ascii="David" w:hAnsi="David" w:hint="cs"/>
          <w:b/>
          <w:sz w:val="22"/>
          <w:rtl/>
        </w:rPr>
        <w:t xml:space="preserve"> כי הם אכלו לא כשר.</w:t>
      </w:r>
      <w:r w:rsidR="000B5521">
        <w:rPr>
          <w:rFonts w:ascii="David" w:hAnsi="David" w:hint="cs"/>
          <w:b/>
          <w:sz w:val="22"/>
          <w:rtl/>
        </w:rPr>
        <w:t xml:space="preserve"> אם אדם לא שומר תורה ומצוות אני לא יכול לקבל אותו לעדות - הוא נשאר </w:t>
      </w:r>
      <w:r w:rsidR="00BE0342">
        <w:rPr>
          <w:rFonts w:ascii="David" w:hAnsi="David" w:hint="cs"/>
          <w:b/>
          <w:sz w:val="22"/>
          <w:rtl/>
        </w:rPr>
        <w:t xml:space="preserve">בדיני העדות הקלאסית. </w:t>
      </w:r>
    </w:p>
    <w:p w14:paraId="02AE8011" w14:textId="431CE2BD" w:rsidR="00BE0342" w:rsidRPr="00BE0342" w:rsidRDefault="00BE0342" w:rsidP="00AF00BF">
      <w:pPr>
        <w:pStyle w:val="ac"/>
        <w:numPr>
          <w:ilvl w:val="4"/>
          <w:numId w:val="33"/>
        </w:numPr>
        <w:bidi/>
        <w:spacing w:after="0"/>
        <w:rPr>
          <w:rFonts w:ascii="David" w:hAnsi="David"/>
          <w:b/>
          <w:sz w:val="22"/>
        </w:rPr>
      </w:pPr>
      <w:r>
        <w:rPr>
          <w:rFonts w:ascii="David" w:hAnsi="David" w:hint="cs"/>
          <w:b/>
          <w:sz w:val="22"/>
          <w:u w:val="single"/>
          <w:rtl/>
        </w:rPr>
        <w:t>גישתו היא פורמליסטית</w:t>
      </w:r>
      <w:r w:rsidR="006B6758">
        <w:rPr>
          <w:rFonts w:ascii="David" w:hAnsi="David" w:hint="cs"/>
          <w:b/>
          <w:sz w:val="22"/>
          <w:rtl/>
        </w:rPr>
        <w:t xml:space="preserve"> - חז"ל קבעו מי כשר לעדות ומי לא ואין לחרוג מזה כלל.</w:t>
      </w:r>
    </w:p>
    <w:p w14:paraId="3E43D2CD" w14:textId="6008E2C0" w:rsidR="00BE0342" w:rsidRPr="002C7AFC" w:rsidRDefault="00EB1581" w:rsidP="00AF00BF">
      <w:pPr>
        <w:pStyle w:val="ac"/>
        <w:numPr>
          <w:ilvl w:val="1"/>
          <w:numId w:val="33"/>
        </w:numPr>
        <w:bidi/>
        <w:spacing w:after="0"/>
        <w:rPr>
          <w:rFonts w:ascii="David" w:hAnsi="David"/>
          <w:bCs/>
          <w:sz w:val="22"/>
        </w:rPr>
      </w:pPr>
      <w:r w:rsidRPr="00072855">
        <w:rPr>
          <w:rFonts w:ascii="David" w:hAnsi="David" w:hint="cs"/>
          <w:bCs/>
          <w:sz w:val="22"/>
          <w:shd w:val="clear" w:color="auto" w:fill="FFF4CD" w:themeFill="accent1" w:themeFillTint="33"/>
          <w:rtl/>
        </w:rPr>
        <w:t>קבלת עדות מפסולי עדות</w:t>
      </w:r>
      <w:r w:rsidR="00D976CE" w:rsidRPr="00072855">
        <w:rPr>
          <w:rFonts w:ascii="David" w:hAnsi="David" w:hint="cs"/>
          <w:bCs/>
          <w:sz w:val="22"/>
          <w:shd w:val="clear" w:color="auto" w:fill="FFF4CD" w:themeFill="accent1" w:themeFillTint="33"/>
          <w:rtl/>
        </w:rPr>
        <w:t xml:space="preserve"> - </w:t>
      </w:r>
      <w:r w:rsidR="0025029C">
        <w:rPr>
          <w:rFonts w:ascii="David" w:hAnsi="David" w:hint="cs"/>
          <w:bCs/>
          <w:sz w:val="22"/>
          <w:shd w:val="clear" w:color="auto" w:fill="FFF4CD" w:themeFill="accent1" w:themeFillTint="33"/>
          <w:rtl/>
        </w:rPr>
        <w:t>הרב פרדס</w:t>
      </w:r>
      <w:r w:rsidRPr="00072855">
        <w:rPr>
          <w:rFonts w:ascii="David" w:hAnsi="David" w:hint="cs"/>
          <w:bCs/>
          <w:sz w:val="22"/>
          <w:shd w:val="clear" w:color="auto" w:fill="FFF4CD" w:themeFill="accent1" w:themeFillTint="33"/>
          <w:rtl/>
        </w:rPr>
        <w:t>:</w:t>
      </w:r>
      <w:r w:rsidRPr="00072855">
        <w:rPr>
          <w:rFonts w:ascii="David" w:hAnsi="David" w:hint="cs"/>
          <w:b/>
          <w:sz w:val="22"/>
          <w:rtl/>
        </w:rPr>
        <w:t xml:space="preserve"> </w:t>
      </w:r>
      <w:r w:rsidR="00072855" w:rsidRPr="00072855">
        <w:rPr>
          <w:rFonts w:ascii="David" w:hAnsi="David" w:hint="cs"/>
          <w:b/>
          <w:sz w:val="22"/>
          <w:rtl/>
        </w:rPr>
        <w:t xml:space="preserve">הוא מציג </w:t>
      </w:r>
      <w:r w:rsidRPr="00072855">
        <w:rPr>
          <w:rFonts w:ascii="David" w:hAnsi="David" w:hint="cs"/>
          <w:b/>
          <w:sz w:val="22"/>
          <w:rtl/>
        </w:rPr>
        <w:t>שני מקרים</w:t>
      </w:r>
      <w:r w:rsidR="00072855">
        <w:rPr>
          <w:rFonts w:ascii="David" w:hAnsi="David" w:hint="cs"/>
          <w:b/>
          <w:sz w:val="22"/>
          <w:rtl/>
        </w:rPr>
        <w:t>:</w:t>
      </w:r>
    </w:p>
    <w:p w14:paraId="550CA587" w14:textId="3A65B4CB" w:rsidR="00EB1581" w:rsidRDefault="00EB1581" w:rsidP="00AF00BF">
      <w:pPr>
        <w:pStyle w:val="ac"/>
        <w:numPr>
          <w:ilvl w:val="2"/>
          <w:numId w:val="33"/>
        </w:numPr>
        <w:bidi/>
        <w:spacing w:after="0"/>
        <w:rPr>
          <w:rFonts w:ascii="David" w:hAnsi="David"/>
          <w:b/>
          <w:sz w:val="22"/>
        </w:rPr>
      </w:pPr>
      <w:r>
        <w:rPr>
          <w:rFonts w:ascii="David" w:hAnsi="David" w:hint="cs"/>
          <w:b/>
          <w:sz w:val="22"/>
          <w:u w:val="single"/>
          <w:rtl/>
        </w:rPr>
        <w:t>מקרה ראשון</w:t>
      </w:r>
      <w:r w:rsidRPr="00EB1581">
        <w:rPr>
          <w:rFonts w:ascii="David" w:hAnsi="David" w:hint="cs"/>
          <w:b/>
          <w:sz w:val="22"/>
          <w:rtl/>
        </w:rPr>
        <w:t>: אישה בנישואין שניים ויש לה בן מנישואים ראשונים. היא אומרת שהבן שלה סובל מאוד מבעלה השני והוא מכה אותו.</w:t>
      </w:r>
      <w:r>
        <w:rPr>
          <w:rFonts w:ascii="David" w:hAnsi="David" w:hint="cs"/>
          <w:b/>
          <w:sz w:val="22"/>
          <w:rtl/>
        </w:rPr>
        <w:t xml:space="preserve"> הבעיה היא שהבן שלה והאישה הם היחידים שיכולים להעיד. הנתבע מתנגד ואומר שהילד והאישה משקרים. הוא אומר שאין טעם לשמוע אותו שכן הוא קרוב של האישה </w:t>
      </w:r>
      <w:r w:rsidR="002C7AFC">
        <w:rPr>
          <w:rFonts w:ascii="David" w:hAnsi="David" w:hint="cs"/>
          <w:b/>
          <w:sz w:val="22"/>
          <w:rtl/>
        </w:rPr>
        <w:t xml:space="preserve">והוא שונא את אביו החורג לא מהסיבות האלו. </w:t>
      </w:r>
      <w:r w:rsidR="00FA5C5B">
        <w:rPr>
          <w:rFonts w:ascii="David" w:hAnsi="David" w:hint="cs"/>
          <w:b/>
          <w:sz w:val="22"/>
          <w:rtl/>
        </w:rPr>
        <w:t>הדיון כאן הוא לא האם הילד אמי</w:t>
      </w:r>
      <w:r w:rsidR="00670637">
        <w:rPr>
          <w:rFonts w:ascii="David" w:hAnsi="David" w:hint="cs"/>
          <w:b/>
          <w:sz w:val="22"/>
          <w:rtl/>
        </w:rPr>
        <w:t>ן</w:t>
      </w:r>
      <w:r w:rsidR="00FA5C5B">
        <w:rPr>
          <w:rFonts w:ascii="David" w:hAnsi="David" w:hint="cs"/>
          <w:b/>
          <w:sz w:val="22"/>
          <w:rtl/>
        </w:rPr>
        <w:t>, אלא האם בכלל לתת לילד להעיד.</w:t>
      </w:r>
    </w:p>
    <w:p w14:paraId="257F71DD" w14:textId="1C795A37" w:rsidR="002C7AFC" w:rsidRDefault="002C7AFC" w:rsidP="00AF00BF">
      <w:pPr>
        <w:pStyle w:val="ac"/>
        <w:numPr>
          <w:ilvl w:val="2"/>
          <w:numId w:val="33"/>
        </w:numPr>
        <w:bidi/>
        <w:spacing w:after="0"/>
        <w:rPr>
          <w:rFonts w:ascii="David" w:hAnsi="David"/>
          <w:b/>
          <w:sz w:val="22"/>
        </w:rPr>
      </w:pPr>
      <w:r>
        <w:rPr>
          <w:rFonts w:ascii="David" w:hAnsi="David" w:hint="cs"/>
          <w:b/>
          <w:sz w:val="22"/>
          <w:u w:val="single"/>
          <w:rtl/>
        </w:rPr>
        <w:t>מקרה שני</w:t>
      </w:r>
      <w:r w:rsidRPr="002C7AFC">
        <w:rPr>
          <w:rFonts w:ascii="David" w:hAnsi="David" w:hint="cs"/>
          <w:b/>
          <w:sz w:val="22"/>
          <w:rtl/>
        </w:rPr>
        <w:t>:</w:t>
      </w:r>
      <w:r>
        <w:rPr>
          <w:rFonts w:ascii="David" w:hAnsi="David" w:hint="cs"/>
          <w:b/>
          <w:sz w:val="22"/>
          <w:rtl/>
        </w:rPr>
        <w:t xml:space="preserve"> </w:t>
      </w:r>
      <w:r w:rsidR="00FA5C5B">
        <w:rPr>
          <w:rFonts w:ascii="David" w:hAnsi="David" w:hint="cs"/>
          <w:b/>
          <w:sz w:val="22"/>
          <w:rtl/>
        </w:rPr>
        <w:t xml:space="preserve">הבעל טוען אלימות של אשתו כלפיו. </w:t>
      </w:r>
      <w:r w:rsidR="00670637">
        <w:rPr>
          <w:rFonts w:ascii="David" w:hAnsi="David" w:hint="cs"/>
          <w:b/>
          <w:sz w:val="22"/>
          <w:rtl/>
        </w:rPr>
        <w:t>הבעל רוצה להביא את יועצת הנישואין שהתרשמה שהאישה היא האחראית לפירוק הנישואין.</w:t>
      </w:r>
    </w:p>
    <w:p w14:paraId="7686B849" w14:textId="5D68CADD" w:rsidR="00670637" w:rsidRDefault="00670637" w:rsidP="00670637">
      <w:pPr>
        <w:pStyle w:val="ac"/>
        <w:bidi/>
        <w:spacing w:after="0"/>
        <w:ind w:left="199"/>
        <w:rPr>
          <w:rFonts w:ascii="David" w:hAnsi="David"/>
          <w:b/>
          <w:sz w:val="22"/>
          <w:rtl/>
        </w:rPr>
      </w:pPr>
      <w:r>
        <w:rPr>
          <w:rFonts w:ascii="David" w:hAnsi="David" w:hint="cs"/>
          <w:b/>
          <w:sz w:val="22"/>
          <w:rtl/>
        </w:rPr>
        <w:t>במקרה הראשון הוא קרוב ובמקרה השני זו אישה.</w:t>
      </w:r>
      <w:r w:rsidR="006B6758">
        <w:rPr>
          <w:rFonts w:ascii="David" w:hAnsi="David" w:hint="cs"/>
          <w:b/>
          <w:sz w:val="22"/>
          <w:rtl/>
        </w:rPr>
        <w:t xml:space="preserve"> הוא בוחן את המקרים בהתאם לתקנת הקדמונים - </w:t>
      </w:r>
      <w:r w:rsidR="00D976CE">
        <w:rPr>
          <w:rFonts w:ascii="David" w:hAnsi="David" w:hint="cs"/>
          <w:b/>
          <w:sz w:val="22"/>
          <w:rtl/>
        </w:rPr>
        <w:t>לטענתו בשני המקרים לא ניתן לקבל את עדות הפסולים</w:t>
      </w:r>
      <w:r w:rsidR="00072855">
        <w:rPr>
          <w:rFonts w:ascii="David" w:hAnsi="David" w:hint="cs"/>
          <w:b/>
          <w:sz w:val="22"/>
          <w:rtl/>
        </w:rPr>
        <w:t xml:space="preserve"> (גם כאן ניתן להבין שמתוך שמרות יש לו מוטיבציה לא לקבל את העדויות).</w:t>
      </w:r>
      <w:r w:rsidR="00234502">
        <w:rPr>
          <w:rFonts w:ascii="David" w:hAnsi="David" w:hint="cs"/>
          <w:b/>
          <w:sz w:val="22"/>
          <w:rtl/>
        </w:rPr>
        <w:t xml:space="preserve"> </w:t>
      </w:r>
      <w:r w:rsidR="005B1272">
        <w:rPr>
          <w:rFonts w:ascii="David" w:hAnsi="David" w:hint="cs"/>
          <w:b/>
          <w:sz w:val="22"/>
          <w:rtl/>
        </w:rPr>
        <w:t>הוא טוען שבאלימות במשפחה כול כך נפוצה</w:t>
      </w:r>
      <w:r w:rsidR="00934365">
        <w:rPr>
          <w:rFonts w:ascii="David" w:hAnsi="David" w:hint="cs"/>
          <w:b/>
          <w:sz w:val="22"/>
          <w:rtl/>
        </w:rPr>
        <w:t xml:space="preserve">, הרי שלא ניתן להסתמך על תקנת קדמונים. לדעתו תקנת הקדמונים מדבר על מקרה נדיר ולא רק אקראי. </w:t>
      </w:r>
    </w:p>
    <w:p w14:paraId="34098FFC" w14:textId="797CF13C" w:rsidR="006A610B" w:rsidRDefault="00AD7BF3" w:rsidP="00991F08">
      <w:pPr>
        <w:pStyle w:val="ac"/>
        <w:bidi/>
        <w:spacing w:after="0"/>
        <w:ind w:left="199"/>
        <w:rPr>
          <w:rFonts w:ascii="David" w:hAnsi="David"/>
          <w:b/>
          <w:sz w:val="22"/>
          <w:rtl/>
        </w:rPr>
      </w:pPr>
      <w:r>
        <w:rPr>
          <w:rFonts w:ascii="David" w:hAnsi="David" w:hint="cs"/>
          <w:b/>
          <w:sz w:val="22"/>
          <w:rtl/>
        </w:rPr>
        <w:t xml:space="preserve">אפשר לומר שהרציונל מאחורי הרמ"א הוא התמודדות עם מקרים </w:t>
      </w:r>
      <w:r w:rsidR="00145201">
        <w:rPr>
          <w:rFonts w:ascii="David" w:hAnsi="David" w:hint="cs"/>
          <w:b/>
          <w:sz w:val="22"/>
          <w:rtl/>
        </w:rPr>
        <w:t>רעים שחוזרים על עצמם</w:t>
      </w:r>
      <w:r w:rsidR="00656304">
        <w:rPr>
          <w:rFonts w:ascii="David" w:hAnsi="David" w:hint="cs"/>
          <w:b/>
          <w:sz w:val="22"/>
          <w:rtl/>
        </w:rPr>
        <w:t xml:space="preserve">, משום </w:t>
      </w:r>
      <w:r w:rsidR="00145201">
        <w:rPr>
          <w:rFonts w:ascii="David" w:hAnsi="David" w:hint="cs"/>
          <w:b/>
          <w:sz w:val="22"/>
          <w:rtl/>
        </w:rPr>
        <w:t xml:space="preserve">שאנשים לא פוחדים לבצע אותם כי כמעט אין עדים כשרים </w:t>
      </w:r>
      <w:r w:rsidR="003761C7">
        <w:rPr>
          <w:rFonts w:ascii="David" w:hAnsi="David" w:hint="cs"/>
          <w:b/>
          <w:sz w:val="22"/>
          <w:rtl/>
        </w:rPr>
        <w:t xml:space="preserve">- </w:t>
      </w:r>
      <w:r w:rsidR="005C43C9">
        <w:rPr>
          <w:rFonts w:ascii="David" w:hAnsi="David" w:hint="cs"/>
          <w:b/>
          <w:sz w:val="22"/>
          <w:rtl/>
        </w:rPr>
        <w:t xml:space="preserve">עם כך, </w:t>
      </w:r>
      <w:r w:rsidR="005A7BAE">
        <w:rPr>
          <w:rFonts w:ascii="David" w:hAnsi="David" w:hint="cs"/>
          <w:b/>
          <w:sz w:val="22"/>
          <w:rtl/>
        </w:rPr>
        <w:t>יש פה קצת אבסורד שכן, לדעת</w:t>
      </w:r>
      <w:r w:rsidR="00656304">
        <w:rPr>
          <w:rFonts w:ascii="David" w:hAnsi="David" w:hint="cs"/>
          <w:b/>
          <w:sz w:val="22"/>
          <w:rtl/>
        </w:rPr>
        <w:t xml:space="preserve"> הרב ????</w:t>
      </w:r>
      <w:r w:rsidR="005A7BAE">
        <w:rPr>
          <w:rFonts w:ascii="David" w:hAnsi="David" w:hint="cs"/>
          <w:b/>
          <w:sz w:val="22"/>
          <w:rtl/>
        </w:rPr>
        <w:t xml:space="preserve"> </w:t>
      </w:r>
      <w:r w:rsidR="005C43C9">
        <w:rPr>
          <w:rFonts w:ascii="David" w:hAnsi="David" w:hint="cs"/>
          <w:b/>
          <w:sz w:val="22"/>
          <w:rtl/>
        </w:rPr>
        <w:t xml:space="preserve">דווקא </w:t>
      </w:r>
      <w:r w:rsidR="005A7BAE">
        <w:rPr>
          <w:rFonts w:ascii="David" w:hAnsi="David" w:hint="cs"/>
          <w:b/>
          <w:sz w:val="22"/>
          <w:rtl/>
        </w:rPr>
        <w:t xml:space="preserve">בגלל שהתופעה </w:t>
      </w:r>
      <w:r w:rsidR="00C321D2">
        <w:rPr>
          <w:rFonts w:ascii="David" w:hAnsi="David" w:hint="cs"/>
          <w:b/>
          <w:sz w:val="22"/>
          <w:rtl/>
        </w:rPr>
        <w:t>נפוצה</w:t>
      </w:r>
      <w:r w:rsidR="005A7BAE">
        <w:rPr>
          <w:rFonts w:ascii="David" w:hAnsi="David" w:hint="cs"/>
          <w:b/>
          <w:sz w:val="22"/>
          <w:rtl/>
        </w:rPr>
        <w:t xml:space="preserve"> אי אפשר לקבל את תקנת הקדמונים</w:t>
      </w:r>
      <w:r w:rsidR="008564DF">
        <w:rPr>
          <w:rFonts w:ascii="David" w:hAnsi="David" w:hint="cs"/>
          <w:b/>
          <w:sz w:val="22"/>
          <w:rtl/>
        </w:rPr>
        <w:t>.</w:t>
      </w:r>
      <w:r w:rsidR="00B23A39">
        <w:rPr>
          <w:rFonts w:ascii="David" w:hAnsi="David" w:hint="cs"/>
          <w:b/>
          <w:sz w:val="22"/>
          <w:rtl/>
        </w:rPr>
        <w:t xml:space="preserve"> </w:t>
      </w:r>
      <w:r w:rsidR="003761C7">
        <w:rPr>
          <w:rFonts w:ascii="David" w:hAnsi="David" w:hint="cs"/>
          <w:b/>
          <w:sz w:val="22"/>
          <w:rtl/>
        </w:rPr>
        <w:t xml:space="preserve"> </w:t>
      </w:r>
    </w:p>
    <w:p w14:paraId="493F75F2" w14:textId="77777777" w:rsidR="00915C20" w:rsidRPr="00915C20" w:rsidRDefault="00915C20" w:rsidP="00915C20">
      <w:pPr>
        <w:rPr>
          <w:rFonts w:ascii="David" w:hAnsi="David"/>
          <w:b/>
        </w:rPr>
      </w:pPr>
    </w:p>
    <w:p w14:paraId="7FCB1A0B" w14:textId="2063E9B5" w:rsidR="003F61CE" w:rsidRPr="003F61CE" w:rsidRDefault="0041453D" w:rsidP="00AF00BF">
      <w:pPr>
        <w:pStyle w:val="ac"/>
        <w:numPr>
          <w:ilvl w:val="0"/>
          <w:numId w:val="33"/>
        </w:numPr>
        <w:shd w:val="clear" w:color="auto" w:fill="FFF4CD" w:themeFill="accent1" w:themeFillTint="33"/>
        <w:bidi/>
        <w:spacing w:after="0"/>
        <w:rPr>
          <w:rFonts w:ascii="David" w:hAnsi="David"/>
          <w:b/>
          <w:bCs/>
          <w:sz w:val="22"/>
        </w:rPr>
      </w:pPr>
      <w:r w:rsidRPr="003F61CE">
        <w:rPr>
          <w:rFonts w:ascii="David" w:hAnsi="David" w:hint="cs"/>
          <w:b/>
          <w:bCs/>
          <w:sz w:val="22"/>
          <w:rtl/>
        </w:rPr>
        <w:lastRenderedPageBreak/>
        <w:t xml:space="preserve">סוג ייחודי של עדות - </w:t>
      </w:r>
      <w:r w:rsidR="00E43A4B" w:rsidRPr="003F61CE">
        <w:rPr>
          <w:rFonts w:ascii="David" w:hAnsi="David" w:hint="cs"/>
          <w:b/>
          <w:bCs/>
          <w:sz w:val="22"/>
          <w:rtl/>
        </w:rPr>
        <w:t xml:space="preserve">עדות קיום\עדות מכוננת\עדות </w:t>
      </w:r>
      <w:r w:rsidR="00271440" w:rsidRPr="003F61CE">
        <w:rPr>
          <w:rFonts w:ascii="David" w:hAnsi="David" w:hint="cs"/>
          <w:b/>
          <w:bCs/>
          <w:sz w:val="22"/>
          <w:rtl/>
        </w:rPr>
        <w:t>קונסטיטוטיב</w:t>
      </w:r>
      <w:r w:rsidR="00271440" w:rsidRPr="003F61CE">
        <w:rPr>
          <w:rFonts w:ascii="David" w:hAnsi="David" w:hint="eastAsia"/>
          <w:b/>
          <w:bCs/>
          <w:sz w:val="22"/>
          <w:rtl/>
        </w:rPr>
        <w:t>ית</w:t>
      </w:r>
    </w:p>
    <w:p w14:paraId="05AE6DAA" w14:textId="37D2E6ED" w:rsidR="008F2680" w:rsidRDefault="00E43A4B" w:rsidP="00AF00BF">
      <w:pPr>
        <w:pStyle w:val="ac"/>
        <w:numPr>
          <w:ilvl w:val="1"/>
          <w:numId w:val="33"/>
        </w:numPr>
        <w:bidi/>
        <w:spacing w:after="0"/>
        <w:rPr>
          <w:rFonts w:ascii="David" w:hAnsi="David"/>
          <w:sz w:val="22"/>
        </w:rPr>
      </w:pPr>
      <w:r>
        <w:rPr>
          <w:rFonts w:ascii="David" w:hAnsi="David" w:hint="cs"/>
          <w:sz w:val="22"/>
          <w:rtl/>
        </w:rPr>
        <w:t xml:space="preserve"> מדובר בעדות שאינה רק ראייתית, אלא היא חלק מהיצירה המשפטית</w:t>
      </w:r>
      <w:r w:rsidR="007E4517">
        <w:rPr>
          <w:rFonts w:ascii="David" w:hAnsi="David" w:hint="cs"/>
          <w:sz w:val="22"/>
          <w:rtl/>
        </w:rPr>
        <w:t>. לדוג</w:t>
      </w:r>
      <w:r w:rsidR="00271440">
        <w:rPr>
          <w:rFonts w:ascii="David" w:hAnsi="David" w:hint="cs"/>
          <w:sz w:val="22"/>
          <w:rtl/>
        </w:rPr>
        <w:t>'</w:t>
      </w:r>
      <w:r w:rsidR="007E4517">
        <w:rPr>
          <w:rFonts w:ascii="David" w:hAnsi="David" w:hint="cs"/>
          <w:sz w:val="22"/>
          <w:rtl/>
        </w:rPr>
        <w:t xml:space="preserve"> עדות הקידושין</w:t>
      </w:r>
      <w:r w:rsidR="00271440">
        <w:rPr>
          <w:rFonts w:ascii="David" w:hAnsi="David" w:hint="cs"/>
          <w:sz w:val="22"/>
          <w:rtl/>
        </w:rPr>
        <w:t xml:space="preserve"> - ללא 2 עדים אין קידושין. דוגמה נוספת היא עדות לצוואה - המטרה של העדות היא יצירת צוואה ולא רק </w:t>
      </w:r>
      <w:r w:rsidR="00702433">
        <w:rPr>
          <w:rFonts w:ascii="David" w:hAnsi="David" w:hint="cs"/>
          <w:sz w:val="22"/>
          <w:rtl/>
        </w:rPr>
        <w:t>לשם סכסוך עתידי. עדות הקיום המשמעותית ביהדות היא עדות הקידושין - היא עולה הרבה כאשר מנסים לברר אם הקידושין היו תקפים.</w:t>
      </w:r>
    </w:p>
    <w:p w14:paraId="30F1E93E" w14:textId="486A07F0" w:rsidR="00D42C21" w:rsidRDefault="00D42C21" w:rsidP="00AF00BF">
      <w:pPr>
        <w:pStyle w:val="ac"/>
        <w:numPr>
          <w:ilvl w:val="1"/>
          <w:numId w:val="33"/>
        </w:numPr>
        <w:bidi/>
        <w:spacing w:after="0"/>
        <w:rPr>
          <w:rFonts w:ascii="David" w:hAnsi="David"/>
          <w:sz w:val="22"/>
        </w:rPr>
      </w:pPr>
      <w:r w:rsidRPr="002526E1">
        <w:rPr>
          <w:rFonts w:ascii="David" w:hAnsi="David" w:hint="cs"/>
          <w:b/>
          <w:bCs/>
          <w:sz w:val="22"/>
          <w:u w:val="single"/>
          <w:rtl/>
        </w:rPr>
        <w:t>עד פסול:</w:t>
      </w:r>
      <w:r>
        <w:rPr>
          <w:rFonts w:ascii="David" w:hAnsi="David" w:hint="cs"/>
          <w:sz w:val="22"/>
          <w:rtl/>
        </w:rPr>
        <w:t xml:space="preserve"> כל עבירה בתורה שיש עליה עונש מלקות, פוסלות את האדם מלהעיד. מדובר בעבירות יחסית קלות. לדוג' ללכת עם </w:t>
      </w:r>
      <w:r w:rsidR="00F423AD">
        <w:rPr>
          <w:rFonts w:ascii="David" w:hAnsi="David" w:hint="cs"/>
          <w:sz w:val="22"/>
          <w:rtl/>
        </w:rPr>
        <w:t>שעטנז. אבל באמת האינדיקצי</w:t>
      </w:r>
      <w:r w:rsidR="00F423AD">
        <w:rPr>
          <w:rFonts w:ascii="David" w:hAnsi="David" w:hint="eastAsia"/>
          <w:sz w:val="22"/>
          <w:rtl/>
        </w:rPr>
        <w:t>ה</w:t>
      </w:r>
      <w:r w:rsidR="00F423AD">
        <w:rPr>
          <w:rFonts w:ascii="David" w:hAnsi="David" w:hint="cs"/>
          <w:sz w:val="22"/>
          <w:rtl/>
        </w:rPr>
        <w:t xml:space="preserve"> המרכזית לאדם שאינו שומר תורה, זה מי שלא שומר שבת. </w:t>
      </w:r>
    </w:p>
    <w:p w14:paraId="0AC7801C" w14:textId="77777777" w:rsidR="00841A3B" w:rsidRDefault="00991F08" w:rsidP="00AF00BF">
      <w:pPr>
        <w:pStyle w:val="ac"/>
        <w:numPr>
          <w:ilvl w:val="1"/>
          <w:numId w:val="33"/>
        </w:numPr>
        <w:bidi/>
        <w:spacing w:after="0"/>
        <w:rPr>
          <w:rFonts w:ascii="David" w:hAnsi="David"/>
          <w:sz w:val="22"/>
        </w:rPr>
      </w:pPr>
      <w:r>
        <w:rPr>
          <w:rFonts w:ascii="David" w:hAnsi="David" w:hint="cs"/>
          <w:sz w:val="22"/>
          <w:rtl/>
        </w:rPr>
        <w:t>כאן הדיון מתעסק רק בגברים יהודים, שומרי תורה ומצוות - אין בכלל התעסקות בנשים. יש כאן כמה נקודות שכרוכות זו בזו.</w:t>
      </w:r>
      <w:r w:rsidR="002526E1">
        <w:rPr>
          <w:rFonts w:ascii="David" w:hAnsi="David" w:hint="cs"/>
          <w:sz w:val="22"/>
          <w:rtl/>
        </w:rPr>
        <w:t xml:space="preserve"> </w:t>
      </w:r>
    </w:p>
    <w:p w14:paraId="648371C6" w14:textId="6E5CCBDE" w:rsidR="00991F08" w:rsidRDefault="0028153B" w:rsidP="00AF00BF">
      <w:pPr>
        <w:pStyle w:val="ac"/>
        <w:numPr>
          <w:ilvl w:val="2"/>
          <w:numId w:val="33"/>
        </w:numPr>
        <w:bidi/>
        <w:spacing w:after="0"/>
        <w:rPr>
          <w:rFonts w:ascii="David" w:hAnsi="David"/>
          <w:sz w:val="22"/>
        </w:rPr>
      </w:pPr>
      <w:r w:rsidRPr="00FB5F51">
        <w:rPr>
          <w:rFonts w:ascii="David" w:hAnsi="David" w:hint="cs"/>
          <w:b/>
          <w:bCs/>
          <w:sz w:val="22"/>
          <w:rtl/>
        </w:rPr>
        <w:t xml:space="preserve">בעיה </w:t>
      </w:r>
      <w:r w:rsidR="00B408BF" w:rsidRPr="00FB5F51">
        <w:rPr>
          <w:rFonts w:ascii="David" w:hAnsi="David" w:hint="cs"/>
          <w:b/>
          <w:bCs/>
          <w:sz w:val="22"/>
          <w:rtl/>
        </w:rPr>
        <w:t>1:</w:t>
      </w:r>
      <w:r w:rsidR="00B408BF">
        <w:rPr>
          <w:rFonts w:ascii="David" w:hAnsi="David" w:hint="cs"/>
          <w:sz w:val="22"/>
          <w:rtl/>
        </w:rPr>
        <w:t xml:space="preserve"> </w:t>
      </w:r>
      <w:r w:rsidR="002526E1">
        <w:rPr>
          <w:rFonts w:ascii="David" w:hAnsi="David" w:hint="cs"/>
          <w:sz w:val="22"/>
          <w:rtl/>
        </w:rPr>
        <w:t>השאלה האם אדם הוא גבר או אישה זו שאלה אובייקטיבית מאוד ברורה</w:t>
      </w:r>
      <w:r w:rsidR="00D27076">
        <w:rPr>
          <w:rFonts w:ascii="David" w:hAnsi="David" w:hint="cs"/>
          <w:sz w:val="22"/>
          <w:rtl/>
        </w:rPr>
        <w:t>, לעומת זאת כאשר אתה רואה את פלוני ואתה צריך לומר האם הוא שומר מצוות או לא שומר מצוות המצב מסתבך</w:t>
      </w:r>
      <w:r w:rsidR="00841A3B">
        <w:rPr>
          <w:rFonts w:ascii="David" w:hAnsi="David" w:hint="cs"/>
          <w:sz w:val="22"/>
          <w:rtl/>
        </w:rPr>
        <w:t xml:space="preserve">. </w:t>
      </w:r>
    </w:p>
    <w:p w14:paraId="3B692CDB" w14:textId="77777777" w:rsidR="00052A50" w:rsidRPr="00052A50" w:rsidRDefault="00B408BF" w:rsidP="00AF00BF">
      <w:pPr>
        <w:pStyle w:val="ac"/>
        <w:numPr>
          <w:ilvl w:val="2"/>
          <w:numId w:val="33"/>
        </w:numPr>
        <w:bidi/>
        <w:spacing w:after="0"/>
        <w:rPr>
          <w:rFonts w:ascii="David" w:hAnsi="David"/>
          <w:sz w:val="22"/>
        </w:rPr>
      </w:pPr>
      <w:r w:rsidRPr="00FB5F51">
        <w:rPr>
          <w:rFonts w:ascii="David" w:hAnsi="David" w:hint="cs"/>
          <w:b/>
          <w:bCs/>
          <w:sz w:val="22"/>
          <w:rtl/>
        </w:rPr>
        <w:t>בעיה 2:</w:t>
      </w:r>
      <w:r>
        <w:rPr>
          <w:rFonts w:ascii="David" w:hAnsi="David" w:hint="cs"/>
          <w:sz w:val="22"/>
          <w:rtl/>
        </w:rPr>
        <w:t xml:space="preserve"> אנחנו נמצאים בעולם בו רוב האנשים אינם שומרים תורה ומצוות - </w:t>
      </w:r>
      <w:r w:rsidR="00741CFB">
        <w:rPr>
          <w:rFonts w:ascii="David" w:hAnsi="David" w:hint="cs"/>
          <w:sz w:val="22"/>
          <w:rtl/>
        </w:rPr>
        <w:t xml:space="preserve">בעבר מי שלא שמר תורה ומצוות עשה מעשה </w:t>
      </w:r>
      <w:r w:rsidR="007174CF">
        <w:rPr>
          <w:rFonts w:ascii="David" w:hAnsi="David" w:hint="cs"/>
          <w:sz w:val="22"/>
          <w:rtl/>
        </w:rPr>
        <w:t>אקטיבי ומרדני. היום זו פחות המציאות, רוב האנשים נולדים למציאות שאינה שומרת תורה ומצוות וכלן אינם שומרים תורה ומצוות.</w:t>
      </w:r>
      <w:r w:rsidR="007946F8">
        <w:rPr>
          <w:rFonts w:ascii="David" w:hAnsi="David" w:hint="cs"/>
          <w:sz w:val="22"/>
          <w:rtl/>
        </w:rPr>
        <w:t xml:space="preserve"> יש מקום לבוא ושאול האם אדם שאינו שומר תורה ומצוות פסול לעדות בגלל שכך כתוב בתורה</w:t>
      </w:r>
      <w:r w:rsidR="007946F8">
        <w:rPr>
          <w:rFonts w:ascii="David" w:hAnsi="David" w:hint="cs"/>
          <w:sz w:val="22"/>
        </w:rPr>
        <w:t xml:space="preserve"> </w:t>
      </w:r>
      <w:r w:rsidR="007946F8">
        <w:rPr>
          <w:rFonts w:ascii="David" w:hAnsi="David" w:hint="cs"/>
          <w:sz w:val="22"/>
          <w:rtl/>
        </w:rPr>
        <w:t>(פורמליסטי)</w:t>
      </w:r>
      <w:r w:rsidR="007946F8">
        <w:rPr>
          <w:rFonts w:ascii="David" w:hAnsi="David" w:hint="cs"/>
          <w:sz w:val="22"/>
        </w:rPr>
        <w:t xml:space="preserve"> </w:t>
      </w:r>
      <w:r w:rsidR="007946F8">
        <w:rPr>
          <w:rFonts w:ascii="David" w:hAnsi="David" w:hint="cs"/>
          <w:sz w:val="22"/>
          <w:rtl/>
        </w:rPr>
        <w:t>או שיש מאוחרי זה רעיון</w:t>
      </w:r>
      <w:r w:rsidR="00090603">
        <w:rPr>
          <w:rFonts w:ascii="David" w:hAnsi="David" w:hint="cs"/>
          <w:sz w:val="22"/>
          <w:rtl/>
        </w:rPr>
        <w:t xml:space="preserve"> </w:t>
      </w:r>
      <w:r w:rsidR="00057A20">
        <w:rPr>
          <w:rFonts w:ascii="David" w:hAnsi="David" w:hint="cs"/>
          <w:sz w:val="22"/>
          <w:rtl/>
        </w:rPr>
        <w:t xml:space="preserve">ולכן השינוי במציאות </w:t>
      </w:r>
      <w:r w:rsidR="004D1F6E">
        <w:rPr>
          <w:rFonts w:ascii="David" w:hAnsi="David" w:hint="cs"/>
          <w:sz w:val="22"/>
          <w:rtl/>
        </w:rPr>
        <w:t xml:space="preserve">משנה את האפשרות להעיד </w:t>
      </w:r>
      <w:r w:rsidR="00090603">
        <w:rPr>
          <w:rFonts w:ascii="David" w:hAnsi="David" w:hint="cs"/>
          <w:sz w:val="22"/>
          <w:rtl/>
        </w:rPr>
        <w:t>(בדומה לשאלה שעולה בקשר לשינוי במעמד האישה והמשמעות שלה על עדות נשים)</w:t>
      </w:r>
      <w:r w:rsidR="007946F8">
        <w:rPr>
          <w:rFonts w:ascii="David" w:hAnsi="David" w:hint="cs"/>
          <w:sz w:val="22"/>
          <w:rtl/>
        </w:rPr>
        <w:t>.</w:t>
      </w:r>
      <w:r w:rsidR="001A424F">
        <w:rPr>
          <w:rFonts w:ascii="David" w:hAnsi="David" w:hint="cs"/>
          <w:sz w:val="22"/>
          <w:rtl/>
        </w:rPr>
        <w:t xml:space="preserve"> </w:t>
      </w:r>
    </w:p>
    <w:p w14:paraId="3E9FF8F7" w14:textId="6DB2385A" w:rsidR="00991F08" w:rsidRPr="00052A50" w:rsidRDefault="007946F8" w:rsidP="00AF00BF">
      <w:pPr>
        <w:pStyle w:val="ac"/>
        <w:numPr>
          <w:ilvl w:val="1"/>
          <w:numId w:val="33"/>
        </w:numPr>
        <w:bidi/>
        <w:spacing w:after="0"/>
        <w:rPr>
          <w:rFonts w:ascii="David" w:hAnsi="David"/>
          <w:b/>
          <w:bCs/>
          <w:sz w:val="22"/>
        </w:rPr>
      </w:pPr>
      <w:r w:rsidRPr="00052A50">
        <w:rPr>
          <w:rFonts w:ascii="David" w:hAnsi="David" w:hint="cs"/>
          <w:b/>
          <w:bCs/>
          <w:rtl/>
        </w:rPr>
        <w:t xml:space="preserve"> </w:t>
      </w:r>
      <w:r w:rsidR="00FB5F51" w:rsidRPr="00052A50">
        <w:rPr>
          <w:rFonts w:ascii="David" w:hAnsi="David" w:hint="cs"/>
          <w:b/>
          <w:bCs/>
          <w:rtl/>
        </w:rPr>
        <w:t>הגישות</w:t>
      </w:r>
      <w:r w:rsidR="00052A50">
        <w:rPr>
          <w:rFonts w:ascii="David" w:hAnsi="David" w:hint="cs"/>
          <w:b/>
          <w:bCs/>
          <w:rtl/>
        </w:rPr>
        <w:t xml:space="preserve"> לגבי עדות של עד שלא שומר תורה ומצוות</w:t>
      </w:r>
      <w:r w:rsidR="00FB5F51" w:rsidRPr="00052A50">
        <w:rPr>
          <w:rFonts w:ascii="David" w:hAnsi="David" w:hint="cs"/>
          <w:b/>
          <w:bCs/>
          <w:rtl/>
        </w:rPr>
        <w:t>:</w:t>
      </w:r>
    </w:p>
    <w:p w14:paraId="30BDDEE1" w14:textId="4BBBE6D8" w:rsidR="00AD3BD2" w:rsidRDefault="00AD3BD2" w:rsidP="00AF00BF">
      <w:pPr>
        <w:pStyle w:val="ac"/>
        <w:numPr>
          <w:ilvl w:val="2"/>
          <w:numId w:val="33"/>
        </w:numPr>
        <w:bidi/>
        <w:spacing w:after="0"/>
        <w:rPr>
          <w:rFonts w:ascii="David" w:hAnsi="David"/>
          <w:sz w:val="22"/>
        </w:rPr>
      </w:pPr>
      <w:r w:rsidRPr="00052A50">
        <w:rPr>
          <w:rFonts w:ascii="David" w:hAnsi="David" w:hint="cs"/>
          <w:sz w:val="22"/>
          <w:u w:val="single"/>
          <w:rtl/>
        </w:rPr>
        <w:t>גישה תכליתית</w:t>
      </w:r>
      <w:r w:rsidR="00CB45A9" w:rsidRPr="00052A50">
        <w:rPr>
          <w:rFonts w:ascii="David" w:hAnsi="David" w:hint="cs"/>
          <w:sz w:val="22"/>
          <w:u w:val="single"/>
          <w:rtl/>
        </w:rPr>
        <w:t>:</w:t>
      </w:r>
      <w:r>
        <w:rPr>
          <w:rFonts w:ascii="David" w:hAnsi="David" w:hint="cs"/>
          <w:sz w:val="22"/>
          <w:rtl/>
        </w:rPr>
        <w:t xml:space="preserve"> המציאות בהכרח משפיע</w:t>
      </w:r>
      <w:r w:rsidR="001A55EE">
        <w:rPr>
          <w:rFonts w:ascii="David" w:hAnsi="David" w:hint="cs"/>
          <w:sz w:val="22"/>
          <w:rtl/>
        </w:rPr>
        <w:t xml:space="preserve">ה. ההנחה בעבר </w:t>
      </w:r>
      <w:r w:rsidR="00FB5F51">
        <w:rPr>
          <w:rFonts w:ascii="David" w:hAnsi="David" w:hint="cs"/>
          <w:sz w:val="22"/>
          <w:rtl/>
        </w:rPr>
        <w:t>הייתה</w:t>
      </w:r>
      <w:r w:rsidR="001A55EE">
        <w:rPr>
          <w:rFonts w:ascii="David" w:hAnsi="David" w:hint="cs"/>
          <w:sz w:val="22"/>
          <w:rtl/>
        </w:rPr>
        <w:t xml:space="preserve"> שמי שאין לו את מורא האל ועובר עבירות </w:t>
      </w:r>
      <w:r w:rsidR="00FB5F51">
        <w:rPr>
          <w:rFonts w:ascii="David" w:hAnsi="David" w:hint="cs"/>
          <w:sz w:val="22"/>
          <w:rtl/>
        </w:rPr>
        <w:t>ד</w:t>
      </w:r>
      <w:r w:rsidR="001A55EE">
        <w:rPr>
          <w:rFonts w:ascii="David" w:hAnsi="David" w:hint="cs"/>
          <w:sz w:val="22"/>
          <w:rtl/>
        </w:rPr>
        <w:t>תיות יעבור גם עבירות חברתיו</w:t>
      </w:r>
      <w:r w:rsidR="00FB5F51">
        <w:rPr>
          <w:rFonts w:ascii="David" w:hAnsi="David" w:hint="cs"/>
          <w:sz w:val="22"/>
          <w:rtl/>
        </w:rPr>
        <w:t>ת</w:t>
      </w:r>
      <w:r w:rsidR="001A55EE">
        <w:rPr>
          <w:rFonts w:ascii="David" w:hAnsi="David" w:hint="cs"/>
          <w:sz w:val="22"/>
          <w:rtl/>
        </w:rPr>
        <w:t>. במציאות היום זה לא נכון - היום יכול להיות אדם שלא שומר שבת, אך הוא לעולם לא יעבור על מצוות שבין אדם לחברו</w:t>
      </w:r>
      <w:r w:rsidR="00E158D8">
        <w:rPr>
          <w:rFonts w:ascii="David" w:hAnsi="David" w:hint="cs"/>
          <w:sz w:val="22"/>
          <w:rtl/>
        </w:rPr>
        <w:t xml:space="preserve"> והוא אדם ישר לגמרי</w:t>
      </w:r>
      <w:r w:rsidR="001A55EE">
        <w:rPr>
          <w:rFonts w:ascii="David" w:hAnsi="David" w:hint="cs"/>
          <w:sz w:val="22"/>
          <w:rtl/>
        </w:rPr>
        <w:t>.</w:t>
      </w:r>
    </w:p>
    <w:p w14:paraId="210E9B79" w14:textId="1A44C779" w:rsidR="00E27F2A" w:rsidRDefault="004008B5" w:rsidP="00435C1A">
      <w:pPr>
        <w:pStyle w:val="ac"/>
        <w:numPr>
          <w:ilvl w:val="4"/>
          <w:numId w:val="33"/>
        </w:numPr>
        <w:bidi/>
        <w:spacing w:after="0"/>
        <w:rPr>
          <w:rFonts w:ascii="David" w:hAnsi="David"/>
          <w:sz w:val="22"/>
        </w:rPr>
      </w:pPr>
      <w:r w:rsidRPr="00D041EF">
        <w:rPr>
          <w:rFonts w:ascii="David" w:hAnsi="David" w:hint="cs"/>
          <w:sz w:val="22"/>
          <w:highlight w:val="cyan"/>
          <w:u w:val="single"/>
          <w:rtl/>
        </w:rPr>
        <w:t xml:space="preserve">אוסף פסקי דין של הרבנות הראשית ל"אי (א) עמוד קלב (הרבניים הרצוג, </w:t>
      </w:r>
      <w:r w:rsidR="00FF202A" w:rsidRPr="00D041EF">
        <w:rPr>
          <w:rFonts w:ascii="David" w:hAnsi="David" w:hint="cs"/>
          <w:sz w:val="22"/>
          <w:highlight w:val="cyan"/>
          <w:u w:val="single"/>
          <w:rtl/>
        </w:rPr>
        <w:t>עוזיאל וראטה)</w:t>
      </w:r>
      <w:r w:rsidR="003A3F50" w:rsidRPr="003A3F50">
        <w:rPr>
          <w:rFonts w:ascii="David" w:hAnsi="David" w:hint="cs"/>
          <w:sz w:val="22"/>
          <w:u w:val="single"/>
          <w:rtl/>
        </w:rPr>
        <w:t>:</w:t>
      </w:r>
      <w:r w:rsidR="00FF202A">
        <w:rPr>
          <w:rFonts w:ascii="David" w:hAnsi="David" w:hint="cs"/>
          <w:sz w:val="22"/>
          <w:rtl/>
        </w:rPr>
        <w:t xml:space="preserve"> כל הפסקה הזו היא טיעון היסטורי. העולם הדתי מתחלק בין לשני סוגים של </w:t>
      </w:r>
      <w:r w:rsidR="00DD6449">
        <w:rPr>
          <w:rFonts w:ascii="David" w:hAnsi="David" w:hint="cs"/>
          <w:sz w:val="22"/>
          <w:rtl/>
        </w:rPr>
        <w:t>מצוות</w:t>
      </w:r>
      <w:r w:rsidR="00FF202A">
        <w:rPr>
          <w:rFonts w:ascii="David" w:hAnsi="David" w:hint="cs"/>
          <w:sz w:val="22"/>
          <w:rtl/>
        </w:rPr>
        <w:t xml:space="preserve"> </w:t>
      </w:r>
      <w:r w:rsidR="003A3F50">
        <w:rPr>
          <w:rFonts w:ascii="David" w:hAnsi="David" w:hint="cs"/>
          <w:sz w:val="22"/>
          <w:rtl/>
        </w:rPr>
        <w:t>- בין אדם למקום ובין אדם לחברו.</w:t>
      </w:r>
      <w:r w:rsidR="00DD6449">
        <w:rPr>
          <w:rFonts w:ascii="David" w:hAnsi="David" w:hint="cs"/>
          <w:sz w:val="22"/>
          <w:rtl/>
        </w:rPr>
        <w:t xml:space="preserve"> בעוד בעבר הייתה חפיפה בין קיום של שני סוגי מצוות אלו כיום אין חפיפה. מדוע? </w:t>
      </w:r>
      <w:r w:rsidR="00E27AEA">
        <w:rPr>
          <w:rFonts w:ascii="David" w:hAnsi="David" w:hint="cs"/>
          <w:sz w:val="22"/>
          <w:rtl/>
        </w:rPr>
        <w:t>מכיוון שהיום אנשים לא מקיימים תורה מצוות</w:t>
      </w:r>
      <w:r w:rsidR="00280FD5">
        <w:rPr>
          <w:rFonts w:ascii="David" w:hAnsi="David" w:hint="cs"/>
          <w:sz w:val="22"/>
          <w:rtl/>
        </w:rPr>
        <w:t>,</w:t>
      </w:r>
      <w:r w:rsidR="00E27AEA">
        <w:rPr>
          <w:rFonts w:ascii="David" w:hAnsi="David" w:hint="cs"/>
          <w:sz w:val="22"/>
          <w:rtl/>
        </w:rPr>
        <w:t xml:space="preserve"> משום שהם לא נולדו לעולם שומר תורה ומצוות.</w:t>
      </w:r>
      <w:r w:rsidR="00280FD5">
        <w:rPr>
          <w:rFonts w:ascii="David" w:hAnsi="David" w:hint="cs"/>
          <w:sz w:val="22"/>
          <w:rtl/>
        </w:rPr>
        <w:t xml:space="preserve"> לכן, הם טוענים שאין קשר בין </w:t>
      </w:r>
      <w:r w:rsidR="004B3A0D">
        <w:rPr>
          <w:rFonts w:ascii="David" w:hAnsi="David" w:hint="cs"/>
          <w:sz w:val="22"/>
          <w:rtl/>
        </w:rPr>
        <w:t xml:space="preserve">כיום תורה ומצוות למהימנות העדים. הרציונל: בניגוד למה שנכון לגבי נשים או קרובים שזה גזרת הכתוב - הרי שפסילת עדות מחמת עבירה זו סיבה רציונאלית ולא </w:t>
      </w:r>
      <w:r w:rsidR="00592A77">
        <w:rPr>
          <w:rFonts w:ascii="David" w:hAnsi="David" w:hint="cs"/>
          <w:sz w:val="22"/>
          <w:rtl/>
        </w:rPr>
        <w:t>גזרת הכתוב. ואם בעבר מי שלא שמר תורה ומצוות היה פחות אמין היום אין זה המצב.</w:t>
      </w:r>
      <w:r w:rsidR="00FB5F98">
        <w:rPr>
          <w:rFonts w:ascii="David" w:hAnsi="David" w:hint="cs"/>
          <w:sz w:val="22"/>
          <w:rtl/>
        </w:rPr>
        <w:t xml:space="preserve"> השורה התחתונה - בזמננו עדים חילוניים </w:t>
      </w:r>
      <w:r w:rsidR="00850883">
        <w:rPr>
          <w:rFonts w:ascii="David" w:hAnsi="David" w:hint="cs"/>
          <w:sz w:val="22"/>
          <w:rtl/>
        </w:rPr>
        <w:t>לא נפסלים על הסף, כיוון שאי אפשר לקבוע לכתחילה במציאות היום שמי שלא שומר שבת חשוד בעדות שקר.</w:t>
      </w:r>
    </w:p>
    <w:p w14:paraId="6B07BAE8" w14:textId="77777777" w:rsidR="002D5501" w:rsidRDefault="002D5501" w:rsidP="00AF00BF">
      <w:pPr>
        <w:pStyle w:val="ac"/>
        <w:numPr>
          <w:ilvl w:val="2"/>
          <w:numId w:val="33"/>
        </w:numPr>
        <w:bidi/>
        <w:spacing w:after="0"/>
        <w:rPr>
          <w:rFonts w:ascii="David" w:hAnsi="David"/>
          <w:sz w:val="22"/>
        </w:rPr>
      </w:pPr>
      <w:r w:rsidRPr="00052A50">
        <w:rPr>
          <w:rFonts w:ascii="David" w:hAnsi="David" w:hint="cs"/>
          <w:sz w:val="22"/>
          <w:u w:val="single"/>
          <w:rtl/>
        </w:rPr>
        <w:t>גישה פורמליסטית</w:t>
      </w:r>
      <w:r>
        <w:rPr>
          <w:rFonts w:ascii="David" w:hAnsi="David" w:hint="cs"/>
          <w:sz w:val="22"/>
          <w:rtl/>
        </w:rPr>
        <w:t>: שינוי היסטור</w:t>
      </w:r>
      <w:r>
        <w:rPr>
          <w:rFonts w:ascii="David" w:hAnsi="David" w:hint="eastAsia"/>
          <w:sz w:val="22"/>
          <w:rtl/>
        </w:rPr>
        <w:t>י</w:t>
      </w:r>
      <w:r>
        <w:rPr>
          <w:rFonts w:ascii="David" w:hAnsi="David" w:hint="cs"/>
          <w:sz w:val="22"/>
          <w:rtl/>
        </w:rPr>
        <w:t xml:space="preserve"> לא אמור להשפיע. גם אם שומרי המצוות הם מעטים הם אלו שיגדירו את העם היהודי גם אם רובו אינו שומר מצוות.</w:t>
      </w:r>
    </w:p>
    <w:p w14:paraId="457007F8" w14:textId="25F89351" w:rsidR="00C740F9" w:rsidRPr="00C740F9" w:rsidRDefault="002D5501" w:rsidP="00AF00BF">
      <w:pPr>
        <w:pStyle w:val="ac"/>
        <w:numPr>
          <w:ilvl w:val="4"/>
          <w:numId w:val="33"/>
        </w:numPr>
        <w:bidi/>
        <w:spacing w:after="0"/>
        <w:rPr>
          <w:rFonts w:ascii="David" w:hAnsi="David"/>
          <w:sz w:val="22"/>
        </w:rPr>
      </w:pPr>
      <w:r w:rsidRPr="002D5501">
        <w:rPr>
          <w:rFonts w:ascii="David" w:hAnsi="David" w:hint="cs"/>
          <w:sz w:val="22"/>
          <w:highlight w:val="cyan"/>
          <w:u w:val="single"/>
          <w:rtl/>
        </w:rPr>
        <w:t>פסקי דין רבניים חלק ז' עמוד קעה (עשרים שנה מאוחר יותר):</w:t>
      </w:r>
      <w:r>
        <w:rPr>
          <w:rFonts w:ascii="David" w:hAnsi="David" w:hint="cs"/>
          <w:sz w:val="22"/>
          <w:rtl/>
        </w:rPr>
        <w:t xml:space="preserve"> עולה שאלה האם הקידושין תקפים על אף שהעדים לא היו שומרי תורה ומצוות. בי"ד ברשות הרב אלישב קובע שעדות הקידושין אינה כשרה. </w:t>
      </w:r>
      <w:r w:rsidR="00C377D8">
        <w:rPr>
          <w:rFonts w:ascii="David" w:hAnsi="David" w:hint="cs"/>
          <w:sz w:val="22"/>
          <w:rtl/>
        </w:rPr>
        <w:t>בית הדין לא עושה כאן הבחנה בין פעם להיום, אם מדובר בעדים שלא שומרים שבת העדות פסולה. בי"ד לא מתייחס בכלל לפס"ד הראשון.</w:t>
      </w:r>
      <w:r w:rsidR="005129E8">
        <w:rPr>
          <w:rFonts w:ascii="David" w:hAnsi="David" w:hint="cs"/>
          <w:sz w:val="22"/>
          <w:rtl/>
        </w:rPr>
        <w:t xml:space="preserve"> עם זאת, יש גם טיעון פרוצדוראלי -</w:t>
      </w:r>
      <w:r w:rsidR="00D15773">
        <w:rPr>
          <w:rFonts w:ascii="David" w:hAnsi="David" w:hint="cs"/>
          <w:sz w:val="22"/>
          <w:rtl/>
        </w:rPr>
        <w:t xml:space="preserve"> עקרונית להלכה יש בעיה עם הפללה עצמית, אז איך אפשר לדעת אם אדם מחלל שבת אם הוא מעיד על עצמו</w:t>
      </w:r>
      <w:r w:rsidR="00147D40">
        <w:rPr>
          <w:rFonts w:ascii="David" w:hAnsi="David" w:hint="cs"/>
          <w:sz w:val="22"/>
          <w:rtl/>
        </w:rPr>
        <w:t xml:space="preserve">? בי"ד אומר שלמרות שעל </w:t>
      </w:r>
      <w:r w:rsidR="00DF1F0C">
        <w:rPr>
          <w:rFonts w:ascii="David" w:hAnsi="David" w:hint="cs"/>
          <w:sz w:val="22"/>
          <w:rtl/>
        </w:rPr>
        <w:t>פי כללי הדין אי אפשר לקבל - אם בית הדין רואה שהאדם חילוני והוא מעיד זאת על עצמו אפשר לקבל.</w:t>
      </w:r>
    </w:p>
    <w:p w14:paraId="5BA52EF8" w14:textId="2620F900" w:rsidR="002D5501" w:rsidRDefault="005129E8" w:rsidP="00AF00BF">
      <w:pPr>
        <w:pStyle w:val="ac"/>
        <w:numPr>
          <w:ilvl w:val="4"/>
          <w:numId w:val="33"/>
        </w:numPr>
        <w:bidi/>
        <w:spacing w:after="0"/>
        <w:rPr>
          <w:rFonts w:ascii="David" w:hAnsi="David"/>
          <w:sz w:val="22"/>
        </w:rPr>
      </w:pPr>
      <w:r>
        <w:rPr>
          <w:rFonts w:ascii="David" w:hAnsi="David" w:hint="cs"/>
          <w:sz w:val="22"/>
          <w:rtl/>
        </w:rPr>
        <w:t xml:space="preserve"> </w:t>
      </w:r>
      <w:r w:rsidR="00C740F9" w:rsidRPr="007C7408">
        <w:rPr>
          <w:rFonts w:ascii="David" w:hAnsi="David" w:hint="cs"/>
          <w:sz w:val="22"/>
          <w:highlight w:val="cyan"/>
          <w:u w:val="single"/>
          <w:rtl/>
        </w:rPr>
        <w:t xml:space="preserve">פס"ד </w:t>
      </w:r>
      <w:r w:rsidR="00117613" w:rsidRPr="007C7408">
        <w:rPr>
          <w:rFonts w:ascii="David" w:hAnsi="David" w:hint="cs"/>
          <w:sz w:val="22"/>
          <w:highlight w:val="cyan"/>
          <w:u w:val="single"/>
          <w:rtl/>
        </w:rPr>
        <w:t>רודניצקי:</w:t>
      </w:r>
      <w:r w:rsidR="00117613">
        <w:rPr>
          <w:rFonts w:ascii="David" w:hAnsi="David" w:hint="cs"/>
          <w:sz w:val="22"/>
          <w:rtl/>
        </w:rPr>
        <w:t xml:space="preserve"> רודנציקי היה כהן והוא בא להירשם לנישואין ואמרו לא שהוא לא יכול הוא כהן והיא גרושה - </w:t>
      </w:r>
      <w:r w:rsidR="007C7408">
        <w:rPr>
          <w:rFonts w:ascii="David" w:hAnsi="David" w:hint="cs"/>
          <w:sz w:val="22"/>
          <w:rtl/>
        </w:rPr>
        <w:t xml:space="preserve">לכן הזוג עשו קידושין </w:t>
      </w:r>
      <w:r w:rsidR="008128DB">
        <w:rPr>
          <w:rFonts w:ascii="David" w:hAnsi="David" w:hint="cs"/>
          <w:sz w:val="22"/>
          <w:rtl/>
        </w:rPr>
        <w:t xml:space="preserve">פרטיים </w:t>
      </w:r>
      <w:r w:rsidR="007C7408">
        <w:rPr>
          <w:rFonts w:ascii="David" w:hAnsi="David" w:hint="cs"/>
          <w:sz w:val="22"/>
          <w:rtl/>
        </w:rPr>
        <w:t>כדת משה וישראל</w:t>
      </w:r>
      <w:r w:rsidR="008128DB">
        <w:rPr>
          <w:rFonts w:ascii="David" w:hAnsi="David" w:hint="cs"/>
          <w:sz w:val="22"/>
          <w:rtl/>
        </w:rPr>
        <w:t xml:space="preserve">. כאשר הלכו למשרד הפנים נאמר להם שהם צריכים </w:t>
      </w:r>
      <w:r w:rsidR="005467B6">
        <w:rPr>
          <w:rFonts w:ascii="David" w:hAnsi="David" w:hint="cs"/>
          <w:sz w:val="22"/>
          <w:rtl/>
        </w:rPr>
        <w:t>אישור מהרבנות. הם הלכו לרבנות וביקשו אישור כזה. בי"ד היה במצוקה -</w:t>
      </w:r>
      <w:r w:rsidR="005C5D17">
        <w:rPr>
          <w:rFonts w:ascii="David" w:hAnsi="David" w:hint="cs"/>
          <w:sz w:val="22"/>
          <w:rtl/>
        </w:rPr>
        <w:t xml:space="preserve"> </w:t>
      </w:r>
      <w:r w:rsidR="005C5D17" w:rsidRPr="005C5D17">
        <w:rPr>
          <w:rFonts w:ascii="David" w:hAnsi="David" w:hint="cs"/>
          <w:sz w:val="22"/>
          <w:rtl/>
        </w:rPr>
        <w:t xml:space="preserve">ישנו מלכוד, אם ביד"ר לא יגיד שהוא נישואין תהיה בעיה של אשת איש וממזרים, מצד שני אם יגיד שהם נשואים הוא בעצם יאשרר את האיסור </w:t>
      </w:r>
      <w:r w:rsidR="008E2917">
        <w:rPr>
          <w:rFonts w:ascii="David" w:hAnsi="David" w:hint="cs"/>
          <w:sz w:val="22"/>
          <w:rtl/>
        </w:rPr>
        <w:t xml:space="preserve">תורה </w:t>
      </w:r>
      <w:r w:rsidR="005C5D17" w:rsidRPr="005C5D17">
        <w:rPr>
          <w:rFonts w:ascii="David" w:hAnsi="David" w:hint="cs"/>
          <w:sz w:val="22"/>
          <w:rtl/>
        </w:rPr>
        <w:t>של חיתון כהן וגרושה.</w:t>
      </w:r>
      <w:r w:rsidR="00CA4DC8">
        <w:rPr>
          <w:rFonts w:ascii="David" w:hAnsi="David" w:hint="cs"/>
          <w:sz w:val="22"/>
          <w:rtl/>
        </w:rPr>
        <w:t xml:space="preserve"> לטענתם בעלי הדין - קידושין זו פעולה פרטית ולכן בי"ד צריך לאשר אותה.</w:t>
      </w:r>
    </w:p>
    <w:p w14:paraId="59FD2A46" w14:textId="0EABBA67" w:rsidR="008E2917" w:rsidRDefault="008E2917" w:rsidP="00AF00BF">
      <w:pPr>
        <w:pStyle w:val="ac"/>
        <w:numPr>
          <w:ilvl w:val="5"/>
          <w:numId w:val="33"/>
        </w:numPr>
        <w:bidi/>
        <w:spacing w:after="0"/>
        <w:rPr>
          <w:rFonts w:ascii="David" w:hAnsi="David"/>
          <w:sz w:val="22"/>
        </w:rPr>
      </w:pPr>
      <w:r>
        <w:rPr>
          <w:rFonts w:ascii="David" w:hAnsi="David" w:hint="cs"/>
          <w:sz w:val="22"/>
          <w:rtl/>
        </w:rPr>
        <w:t xml:space="preserve">בי"ד חיפש בעיה בעדים כדי להוכיח שיש בעיה בקידושין </w:t>
      </w:r>
      <w:r w:rsidR="00327E37">
        <w:rPr>
          <w:rFonts w:ascii="David" w:hAnsi="David" w:hint="cs"/>
          <w:sz w:val="22"/>
          <w:rtl/>
        </w:rPr>
        <w:t>- לכן</w:t>
      </w:r>
      <w:r w:rsidR="0004364A">
        <w:rPr>
          <w:rFonts w:ascii="David" w:hAnsi="David" w:hint="cs"/>
          <w:sz w:val="22"/>
          <w:rtl/>
        </w:rPr>
        <w:t xml:space="preserve"> בי"ד</w:t>
      </w:r>
      <w:r w:rsidR="00327E37">
        <w:rPr>
          <w:rFonts w:ascii="David" w:hAnsi="David" w:hint="cs"/>
          <w:sz w:val="22"/>
          <w:rtl/>
        </w:rPr>
        <w:t xml:space="preserve"> טען שיש פסול בעדים כי הם מחללי שבת </w:t>
      </w:r>
      <w:r>
        <w:rPr>
          <w:rFonts w:ascii="David" w:hAnsi="David" w:hint="cs"/>
          <w:sz w:val="22"/>
          <w:rtl/>
        </w:rPr>
        <w:t xml:space="preserve">- </w:t>
      </w:r>
      <w:r w:rsidR="004C25E9">
        <w:rPr>
          <w:rFonts w:ascii="David" w:hAnsi="David" w:hint="cs"/>
          <w:sz w:val="22"/>
          <w:rtl/>
        </w:rPr>
        <w:t>עו"ד של הזוג היה חכם</w:t>
      </w:r>
      <w:r w:rsidR="00327E37">
        <w:rPr>
          <w:rFonts w:ascii="David" w:hAnsi="David" w:hint="cs"/>
          <w:sz w:val="22"/>
          <w:rtl/>
        </w:rPr>
        <w:t xml:space="preserve"> וביקש אישור שהזוג פנויים במידה והם פוסלים </w:t>
      </w:r>
      <w:r w:rsidR="00102740">
        <w:rPr>
          <w:rFonts w:ascii="David" w:hAnsi="David" w:hint="cs"/>
          <w:sz w:val="22"/>
          <w:rtl/>
        </w:rPr>
        <w:t>את הקידושין.</w:t>
      </w:r>
    </w:p>
    <w:p w14:paraId="6D1AA947" w14:textId="235ADEB1" w:rsidR="0004364A" w:rsidRDefault="0004364A" w:rsidP="00AF00BF">
      <w:pPr>
        <w:pStyle w:val="ac"/>
        <w:numPr>
          <w:ilvl w:val="5"/>
          <w:numId w:val="33"/>
        </w:numPr>
        <w:bidi/>
        <w:spacing w:after="0"/>
        <w:rPr>
          <w:rFonts w:ascii="David" w:hAnsi="David"/>
          <w:sz w:val="22"/>
        </w:rPr>
      </w:pPr>
      <w:r>
        <w:rPr>
          <w:rFonts w:ascii="David" w:hAnsi="David" w:hint="cs"/>
          <w:sz w:val="22"/>
          <w:rtl/>
        </w:rPr>
        <w:lastRenderedPageBreak/>
        <w:t>לנדוי מבין שהבעיה של בית הדין היא לא שהנישואים לא תקפים, אלא הבעיה שלהם היא שמדובר</w:t>
      </w:r>
      <w:r w:rsidR="003C57EB">
        <w:rPr>
          <w:rFonts w:ascii="David" w:hAnsi="David" w:hint="cs"/>
          <w:sz w:val="22"/>
          <w:rtl/>
        </w:rPr>
        <w:t xml:space="preserve"> בעבירה של נישואי כהן וכשורה. </w:t>
      </w:r>
      <w:r w:rsidR="00E8445C">
        <w:rPr>
          <w:rFonts w:ascii="David" w:hAnsi="David" w:hint="cs"/>
          <w:sz w:val="22"/>
          <w:rtl/>
        </w:rPr>
        <w:t xml:space="preserve">עמדתו האמיתית של בי"ד התגלתה כאשר הוא לא הסכים להגיד שהזוג פנוי. </w:t>
      </w:r>
      <w:r w:rsidR="00F52524">
        <w:rPr>
          <w:rFonts w:ascii="David" w:hAnsi="David" w:hint="cs"/>
          <w:sz w:val="22"/>
          <w:rtl/>
        </w:rPr>
        <w:t xml:space="preserve">לנדוי אומר שיש לרשום אותם כי החלק האיסורי לא נקלט למשפט העברי, אלא </w:t>
      </w:r>
      <w:r w:rsidR="00F53684">
        <w:rPr>
          <w:rFonts w:ascii="David" w:hAnsi="David" w:hint="cs"/>
          <w:sz w:val="22"/>
          <w:rtl/>
        </w:rPr>
        <w:t>רק החלק הפוזיטיבסטי.</w:t>
      </w:r>
    </w:p>
    <w:p w14:paraId="29DD4765" w14:textId="115D9796" w:rsidR="00FB6626" w:rsidRDefault="00F53684" w:rsidP="00AF00BF">
      <w:pPr>
        <w:pStyle w:val="ac"/>
        <w:numPr>
          <w:ilvl w:val="1"/>
          <w:numId w:val="33"/>
        </w:numPr>
        <w:bidi/>
        <w:spacing w:after="0"/>
        <w:rPr>
          <w:rFonts w:ascii="David" w:hAnsi="David"/>
          <w:sz w:val="22"/>
        </w:rPr>
      </w:pPr>
      <w:r>
        <w:rPr>
          <w:rFonts w:ascii="David" w:hAnsi="David" w:hint="cs"/>
          <w:sz w:val="22"/>
          <w:rtl/>
        </w:rPr>
        <w:t xml:space="preserve">מה שניתן ללמוד מכך, היא שגם </w:t>
      </w:r>
      <w:r w:rsidR="00062C5C">
        <w:rPr>
          <w:rFonts w:ascii="David" w:hAnsi="David" w:hint="cs"/>
          <w:sz w:val="22"/>
          <w:rtl/>
        </w:rPr>
        <w:t xml:space="preserve">על פי הגישה הפורמליסטית </w:t>
      </w:r>
      <w:r>
        <w:rPr>
          <w:rFonts w:ascii="David" w:hAnsi="David" w:hint="cs"/>
          <w:sz w:val="22"/>
          <w:rtl/>
        </w:rPr>
        <w:t xml:space="preserve">במקרים שבהם העדים </w:t>
      </w:r>
      <w:r w:rsidR="00062C5C">
        <w:rPr>
          <w:rFonts w:ascii="David" w:hAnsi="David" w:hint="cs"/>
          <w:sz w:val="22"/>
          <w:rtl/>
        </w:rPr>
        <w:t>הם</w:t>
      </w:r>
      <w:r>
        <w:rPr>
          <w:rFonts w:ascii="David" w:hAnsi="David" w:hint="cs"/>
          <w:sz w:val="22"/>
          <w:rtl/>
        </w:rPr>
        <w:t xml:space="preserve"> מחללי שבת טענה זו לא תעזור כדי לפסול עדות</w:t>
      </w:r>
      <w:r w:rsidR="00FB6626">
        <w:rPr>
          <w:rFonts w:ascii="David" w:hAnsi="David" w:hint="cs"/>
          <w:sz w:val="22"/>
          <w:rtl/>
        </w:rPr>
        <w:t xml:space="preserve">. עם זאת, </w:t>
      </w:r>
      <w:r w:rsidR="0021666C">
        <w:rPr>
          <w:rFonts w:ascii="David" w:hAnsi="David" w:hint="cs"/>
          <w:sz w:val="22"/>
          <w:rtl/>
        </w:rPr>
        <w:t xml:space="preserve">יהיו </w:t>
      </w:r>
      <w:r w:rsidR="00FB6626">
        <w:rPr>
          <w:rFonts w:ascii="David" w:hAnsi="David" w:hint="cs"/>
          <w:sz w:val="22"/>
          <w:rtl/>
        </w:rPr>
        <w:t xml:space="preserve">מקרים </w:t>
      </w:r>
      <w:r w:rsidR="0021666C">
        <w:rPr>
          <w:rFonts w:ascii="David" w:hAnsi="David" w:hint="cs"/>
          <w:sz w:val="22"/>
          <w:rtl/>
        </w:rPr>
        <w:t xml:space="preserve">בהם </w:t>
      </w:r>
      <w:r w:rsidR="00FB6626">
        <w:rPr>
          <w:rFonts w:ascii="David" w:hAnsi="David" w:hint="cs"/>
          <w:sz w:val="22"/>
          <w:rtl/>
        </w:rPr>
        <w:t>בי"ד יקבע שעדים לא כשרים בגלל שהם מחללי שבת</w:t>
      </w:r>
      <w:r w:rsidR="0021666C">
        <w:rPr>
          <w:rFonts w:ascii="David" w:hAnsi="David" w:hint="cs"/>
          <w:sz w:val="22"/>
          <w:rtl/>
        </w:rPr>
        <w:t xml:space="preserve"> - </w:t>
      </w:r>
      <w:r w:rsidR="00641250" w:rsidRPr="00641250">
        <w:rPr>
          <w:rFonts w:ascii="David" w:hAnsi="David" w:hint="cs"/>
          <w:b/>
          <w:bCs/>
          <w:sz w:val="22"/>
          <w:u w:val="single"/>
          <w:rtl/>
        </w:rPr>
        <w:t>ב</w:t>
      </w:r>
      <w:r w:rsidR="0021666C" w:rsidRPr="00641250">
        <w:rPr>
          <w:rFonts w:ascii="David" w:hAnsi="David" w:hint="cs"/>
          <w:b/>
          <w:bCs/>
          <w:sz w:val="22"/>
          <w:u w:val="single"/>
          <w:rtl/>
        </w:rPr>
        <w:t xml:space="preserve">מקרים קשיים </w:t>
      </w:r>
      <w:r w:rsidR="00641250" w:rsidRPr="00641250">
        <w:rPr>
          <w:rFonts w:ascii="David" w:hAnsi="David" w:hint="cs"/>
          <w:b/>
          <w:bCs/>
          <w:sz w:val="22"/>
          <w:u w:val="single"/>
          <w:rtl/>
        </w:rPr>
        <w:t>במיוחד</w:t>
      </w:r>
      <w:r w:rsidR="00641250">
        <w:rPr>
          <w:rFonts w:ascii="David" w:hAnsi="David" w:hint="cs"/>
          <w:sz w:val="22"/>
          <w:rtl/>
        </w:rPr>
        <w:t xml:space="preserve">: </w:t>
      </w:r>
      <w:r w:rsidR="0021666C">
        <w:rPr>
          <w:rFonts w:ascii="David" w:hAnsi="David" w:hint="cs"/>
          <w:sz w:val="22"/>
          <w:rtl/>
        </w:rPr>
        <w:t>של סרבנות גט, מקרים של ממזרות, מקרים של גבר שהוא צמח.</w:t>
      </w:r>
      <w:r w:rsidR="009329DD">
        <w:rPr>
          <w:rFonts w:ascii="David" w:hAnsi="David" w:hint="cs"/>
          <w:sz w:val="22"/>
          <w:rtl/>
        </w:rPr>
        <w:t xml:space="preserve"> למה זה משנה אם המקרה חמור או לא? מכיוון שהדיין תמיד ישאף לסדר גט והיא הכי פחות שנויה במחלוקת. לכן רק אם אין </w:t>
      </w:r>
      <w:r w:rsidR="00737CF4">
        <w:rPr>
          <w:rFonts w:ascii="David" w:hAnsi="David" w:hint="cs"/>
          <w:sz w:val="22"/>
          <w:rtl/>
        </w:rPr>
        <w:t>שום אפשרות אחרת תהיה אפשרות לפסול על סמך עדים (וגם אז לא כל הרבניים יפעלו כך).</w:t>
      </w:r>
    </w:p>
    <w:p w14:paraId="4E8D01C6" w14:textId="757CF909" w:rsidR="00641250" w:rsidRDefault="00641250" w:rsidP="00AF00BF">
      <w:pPr>
        <w:pStyle w:val="ac"/>
        <w:numPr>
          <w:ilvl w:val="1"/>
          <w:numId w:val="33"/>
        </w:numPr>
        <w:bidi/>
        <w:spacing w:after="0"/>
        <w:rPr>
          <w:rFonts w:ascii="David" w:hAnsi="David"/>
          <w:sz w:val="22"/>
        </w:rPr>
      </w:pPr>
      <w:r w:rsidRPr="00806B55">
        <w:rPr>
          <w:rFonts w:ascii="David" w:hAnsi="David" w:hint="cs"/>
          <w:sz w:val="22"/>
          <w:u w:val="single"/>
          <w:rtl/>
        </w:rPr>
        <w:t>הגדרה סמנטית חשובה</w:t>
      </w:r>
      <w:r w:rsidR="00806B55">
        <w:rPr>
          <w:rFonts w:ascii="David" w:hAnsi="David" w:hint="cs"/>
          <w:sz w:val="22"/>
          <w:rtl/>
        </w:rPr>
        <w:t>:</w:t>
      </w:r>
      <w:r>
        <w:rPr>
          <w:rFonts w:ascii="David" w:hAnsi="David" w:hint="cs"/>
          <w:sz w:val="22"/>
          <w:rtl/>
        </w:rPr>
        <w:t xml:space="preserve"> פה מדובר על ביטול קידושין</w:t>
      </w:r>
      <w:r w:rsidR="001E6A4E">
        <w:rPr>
          <w:rFonts w:ascii="David" w:hAnsi="David" w:hint="cs"/>
          <w:sz w:val="22"/>
          <w:rtl/>
        </w:rPr>
        <w:t xml:space="preserve"> - בחינה של מרכבי הקידושין וקובע שאחד לא התנהל כדין וקבוע שהקידושין לא התקיימו הזוג לא היה נשוי מעולם. לעומת זאת, הפקעת קידושין- זה כוח של בית הדין </w:t>
      </w:r>
      <w:r w:rsidR="00E71E16">
        <w:rPr>
          <w:rFonts w:ascii="David" w:hAnsi="David" w:hint="cs"/>
          <w:sz w:val="22"/>
          <w:rtl/>
        </w:rPr>
        <w:t>להפקיע קידושין</w:t>
      </w:r>
      <w:r>
        <w:rPr>
          <w:rFonts w:ascii="David" w:hAnsi="David" w:hint="cs"/>
          <w:sz w:val="22"/>
          <w:rtl/>
        </w:rPr>
        <w:t xml:space="preserve"> </w:t>
      </w:r>
      <w:r w:rsidR="00E71E16">
        <w:rPr>
          <w:rFonts w:ascii="David" w:hAnsi="David" w:hint="cs"/>
          <w:sz w:val="22"/>
          <w:rtl/>
        </w:rPr>
        <w:t xml:space="preserve">רטרואקטיבית על אף </w:t>
      </w:r>
      <w:r w:rsidR="00022CFC">
        <w:rPr>
          <w:rFonts w:ascii="David" w:hAnsi="David" w:hint="cs"/>
          <w:sz w:val="22"/>
          <w:rtl/>
        </w:rPr>
        <w:t>שהקידושין היו תקפים. לפי פרופ' רדזינר - מעולם לא הייתה הפקעת קידושין בישראל כדי להתיר עגונות והמקרים היחידים בהם נעשה שימוש בכלי זה הוא ל</w:t>
      </w:r>
      <w:r w:rsidR="00806B55">
        <w:rPr>
          <w:rFonts w:ascii="David" w:hAnsi="David" w:hint="cs"/>
          <w:sz w:val="22"/>
          <w:rtl/>
        </w:rPr>
        <w:t>התרת ממזרים.</w:t>
      </w:r>
    </w:p>
    <w:p w14:paraId="566AB6A5" w14:textId="137AB341" w:rsidR="003217D2" w:rsidRDefault="003217D2" w:rsidP="00AF00BF">
      <w:pPr>
        <w:pStyle w:val="ac"/>
        <w:numPr>
          <w:ilvl w:val="1"/>
          <w:numId w:val="33"/>
        </w:numPr>
        <w:pBdr>
          <w:bottom w:val="single" w:sz="4" w:space="1" w:color="auto"/>
        </w:pBdr>
        <w:bidi/>
        <w:spacing w:after="0"/>
        <w:rPr>
          <w:rFonts w:ascii="David" w:hAnsi="David"/>
          <w:b/>
          <w:bCs/>
          <w:sz w:val="22"/>
        </w:rPr>
      </w:pPr>
      <w:r w:rsidRPr="00874D41">
        <w:rPr>
          <w:rFonts w:ascii="David" w:hAnsi="David" w:hint="cs"/>
          <w:b/>
          <w:bCs/>
          <w:sz w:val="22"/>
          <w:rtl/>
        </w:rPr>
        <w:t xml:space="preserve">דוגמאות למקרים קשיים שבו בית הדין היה מוכן לבחון את כשרות העדים כדי לפסול את הקידושין - </w:t>
      </w:r>
    </w:p>
    <w:p w14:paraId="4606DD2F" w14:textId="3CDFB847" w:rsidR="006966CE" w:rsidRPr="006966CE" w:rsidRDefault="006966CE" w:rsidP="006966CE">
      <w:pPr>
        <w:rPr>
          <w:color w:val="FF0000"/>
          <w:rtl/>
        </w:rPr>
      </w:pPr>
      <w:r w:rsidRPr="00F85534">
        <w:rPr>
          <w:rFonts w:hint="cs"/>
          <w:rtl/>
        </w:rPr>
        <w:t xml:space="preserve">05.04.2022 - </w:t>
      </w:r>
      <w:r w:rsidRPr="006966CE">
        <w:rPr>
          <w:rFonts w:hint="cs"/>
          <w:color w:val="FF0000"/>
          <w:rtl/>
        </w:rPr>
        <w:t>סיכום של הודיה</w:t>
      </w:r>
    </w:p>
    <w:p w14:paraId="41839BA2" w14:textId="5C3DB2F2" w:rsidR="006B1661" w:rsidRPr="00F85534" w:rsidRDefault="00F87718" w:rsidP="00F85534">
      <w:pPr>
        <w:pStyle w:val="21"/>
        <w:rPr>
          <w:rtl/>
        </w:rPr>
      </w:pPr>
      <w:bookmarkStart w:id="10" w:name="_Toc107438157"/>
      <w:r>
        <w:rPr>
          <w:rFonts w:hint="cs"/>
          <w:rtl/>
        </w:rPr>
        <w:t xml:space="preserve">עדות קידושין - </w:t>
      </w:r>
      <w:r w:rsidR="00F85534" w:rsidRPr="00F85534">
        <w:rPr>
          <w:rFonts w:hint="cs"/>
          <w:rtl/>
        </w:rPr>
        <w:t>שיעור מהתאריך</w:t>
      </w:r>
      <w:bookmarkEnd w:id="10"/>
      <w:r w:rsidR="00F85534" w:rsidRPr="00F85534">
        <w:rPr>
          <w:rFonts w:hint="cs"/>
          <w:rtl/>
        </w:rPr>
        <w:t xml:space="preserve"> </w:t>
      </w:r>
    </w:p>
    <w:p w14:paraId="30A1B6A9" w14:textId="77777777" w:rsidR="00F85534" w:rsidRPr="00B04726" w:rsidRDefault="00F85534" w:rsidP="00AF00BF">
      <w:pPr>
        <w:pStyle w:val="ac"/>
        <w:numPr>
          <w:ilvl w:val="1"/>
          <w:numId w:val="33"/>
        </w:numPr>
        <w:bidi/>
        <w:rPr>
          <w:rFonts w:ascii="David" w:hAnsi="David"/>
          <w:rtl/>
        </w:rPr>
      </w:pPr>
      <w:r w:rsidRPr="00B04726">
        <w:rPr>
          <w:rFonts w:ascii="David" w:hAnsi="David"/>
          <w:highlight w:val="cyan"/>
          <w:rtl/>
        </w:rPr>
        <w:t>בג"צ 181/22:</w:t>
      </w:r>
      <w:r w:rsidRPr="00B04726">
        <w:rPr>
          <w:rFonts w:ascii="David" w:hAnsi="David"/>
          <w:rtl/>
        </w:rPr>
        <w:t xml:space="preserve"> פס"ד של העליון שניתן לפני כמה ימים, עתירה של אישה שביד"ר דחה את טענתה לשיתוף ספציפי בדיקת המגורים, מסיבות של בגידה (נסיבות דומות לבג"צ הבוגדת). העתירה נדחית על הסף. בבג"צ הבגידה השופט עמית טען כי בקריאת פסק הדין רואים כי הטענה על בגידת האישה היוותה את הטיעון המרכזי – טיעון אשר אינו רלוונטי במשפט הישראלי כיום. בפס"ד זה לעומת זאת, ביד"ר בחן את כוונות הצדדים ואת ההתנהלות הכלכלית שלהם – שיקולים משפטים גרידא, ועל כן ההכרעה סבבה סביב אותם נתונים עובדתיים ופסיקת אזרחית, ועל כן ההכרעה ניתנה כשורה והעתירה נדחית. ניתן לדון בשאלה האם פסק הדין של ביד"ר נכתב בצורה כזו שלא מדגישה את טענת הבגידה – זאת בשל הכרה בעמדת העליון בנושא, אך בסופו של דבר על שופטי העליון לבחון את הסיפור כפי שמשתמע מפסק הדין. </w:t>
      </w:r>
    </w:p>
    <w:p w14:paraId="6E28DC8B" w14:textId="009D259A" w:rsidR="00F85534" w:rsidRPr="00B04726" w:rsidRDefault="00F85534" w:rsidP="00AF00BF">
      <w:pPr>
        <w:pStyle w:val="ac"/>
        <w:numPr>
          <w:ilvl w:val="1"/>
          <w:numId w:val="33"/>
        </w:numPr>
        <w:bidi/>
        <w:rPr>
          <w:rFonts w:ascii="David" w:hAnsi="David"/>
        </w:rPr>
      </w:pPr>
      <w:r w:rsidRPr="00B04726">
        <w:rPr>
          <w:rFonts w:ascii="David" w:hAnsi="David"/>
          <w:rtl/>
        </w:rPr>
        <w:t xml:space="preserve">כתבה שפורסמה בג'רוזלם פוסט, על סעיף חוק חדש בבריטניה – סעיף הקובע כי סרבנות גט היא סוג של אלימות במשפחה ועל כן סרבן גט נשלח למאסר של 8 חודשים. לא התקבלה תגובה רשמית של בתי הדין הרבניים. השאלה ההלכתית שעומדת במקרה זה, היא שאם הבעל ייתן לאשתו גט מפאת הפחד ממאסר/סיבה כזו או אחרת התלויה בסנקציות המשפטיות האמורות – האם הדבר ייחשב כגט מעושה. אותו אדם ספציפי היה בעל אלים, מה שיכול להוות דבר מה שניתן להיתלות עליו – שנשלח לכלא לא רק בשל סרבנותו אלא בשל מעשי האלימות שביצע כלפי אשתו. </w:t>
      </w:r>
    </w:p>
    <w:p w14:paraId="4FDC2369" w14:textId="28253DAB" w:rsidR="00B04726" w:rsidRPr="00F87718" w:rsidRDefault="006B1661" w:rsidP="00465590">
      <w:pPr>
        <w:pStyle w:val="ac"/>
        <w:numPr>
          <w:ilvl w:val="0"/>
          <w:numId w:val="11"/>
        </w:numPr>
        <w:shd w:val="clear" w:color="auto" w:fill="FFF4CD" w:themeFill="accent1" w:themeFillTint="33"/>
        <w:bidi/>
        <w:rPr>
          <w:rFonts w:ascii="David" w:hAnsi="David"/>
        </w:rPr>
      </w:pPr>
      <w:r w:rsidRPr="00F87718">
        <w:rPr>
          <w:rFonts w:ascii="David" w:hAnsi="David"/>
          <w:b/>
          <w:bCs/>
          <w:rtl/>
        </w:rPr>
        <w:t>מה מעמד קידושין שנעשו בפני יהודים שאינם שומרי מצוות</w:t>
      </w:r>
      <w:r w:rsidR="00B04726" w:rsidRPr="00F87718">
        <w:rPr>
          <w:rFonts w:ascii="David" w:hAnsi="David" w:hint="cs"/>
          <w:rtl/>
        </w:rPr>
        <w:t>:</w:t>
      </w:r>
    </w:p>
    <w:p w14:paraId="3E5B8622" w14:textId="77777777" w:rsidR="00B04726" w:rsidRDefault="006B1661" w:rsidP="00465590">
      <w:pPr>
        <w:pStyle w:val="ac"/>
        <w:numPr>
          <w:ilvl w:val="1"/>
          <w:numId w:val="11"/>
        </w:numPr>
        <w:bidi/>
        <w:rPr>
          <w:rFonts w:ascii="David" w:hAnsi="David"/>
        </w:rPr>
      </w:pPr>
      <w:r w:rsidRPr="00F87718">
        <w:rPr>
          <w:rFonts w:ascii="David" w:hAnsi="David"/>
          <w:u w:val="single"/>
          <w:rtl/>
        </w:rPr>
        <w:t xml:space="preserve"> המאמר של הדיין זן בר</w:t>
      </w:r>
      <w:r w:rsidRPr="00B04726">
        <w:rPr>
          <w:rFonts w:ascii="David" w:hAnsi="David"/>
          <w:rtl/>
        </w:rPr>
        <w:t xml:space="preserve">, מבית הדין בטבריה, מנסה להרחיב מאוד את קבלת העדויות של יהודים שאינם שומרי מצוות. </w:t>
      </w:r>
      <w:r w:rsidR="00B04726">
        <w:rPr>
          <w:rFonts w:ascii="David" w:hAnsi="David" w:hint="cs"/>
          <w:rtl/>
        </w:rPr>
        <w:t xml:space="preserve">ככול הנראה </w:t>
      </w:r>
      <w:r w:rsidRPr="00B04726">
        <w:rPr>
          <w:rFonts w:ascii="David" w:hAnsi="David"/>
          <w:rtl/>
        </w:rPr>
        <w:t xml:space="preserve">זו הגישה הרווחת – בתי הדין מניחים וגם רוב הפוסקים יניחו שאין לערער בתוקפם של קידושין שהעדים שלהם, או אחד מהם, לא היה שומר מצוות. </w:t>
      </w:r>
      <w:r w:rsidR="00B04726">
        <w:rPr>
          <w:rFonts w:ascii="David" w:hAnsi="David" w:hint="cs"/>
          <w:rtl/>
        </w:rPr>
        <w:t xml:space="preserve">עם זאת, </w:t>
      </w:r>
      <w:r w:rsidRPr="00B04726">
        <w:rPr>
          <w:rFonts w:ascii="David" w:hAnsi="David"/>
          <w:rtl/>
        </w:rPr>
        <w:t>לא יעודדו זאת לכתחילה</w:t>
      </w:r>
      <w:r w:rsidR="00B04726">
        <w:rPr>
          <w:rFonts w:ascii="David" w:hAnsi="David" w:hint="cs"/>
          <w:rtl/>
        </w:rPr>
        <w:t xml:space="preserve">.  </w:t>
      </w:r>
    </w:p>
    <w:p w14:paraId="4A1E8F83" w14:textId="40640033" w:rsidR="006B1661" w:rsidRPr="00B04726" w:rsidRDefault="00B04726" w:rsidP="00465590">
      <w:pPr>
        <w:pStyle w:val="ac"/>
        <w:numPr>
          <w:ilvl w:val="1"/>
          <w:numId w:val="11"/>
        </w:numPr>
        <w:bidi/>
        <w:rPr>
          <w:rFonts w:ascii="David" w:hAnsi="David"/>
          <w:rtl/>
        </w:rPr>
      </w:pPr>
      <w:r>
        <w:rPr>
          <w:rFonts w:ascii="David" w:hAnsi="David" w:hint="cs"/>
          <w:rtl/>
        </w:rPr>
        <w:t>כיצד ניתן לדעת שזו הגישה הרווחת?</w:t>
      </w:r>
      <w:r w:rsidR="006B1661" w:rsidRPr="00B04726">
        <w:rPr>
          <w:rFonts w:ascii="David" w:hAnsi="David"/>
          <w:rtl/>
        </w:rPr>
        <w:t xml:space="preserve"> אם </w:t>
      </w:r>
      <w:r>
        <w:rPr>
          <w:rFonts w:ascii="David" w:hAnsi="David" w:hint="cs"/>
          <w:rtl/>
        </w:rPr>
        <w:t>יגיע זוג לפני בית הדין הרבני ויטען כי אין</w:t>
      </w:r>
      <w:r w:rsidR="006B1661" w:rsidRPr="00B04726">
        <w:rPr>
          <w:rFonts w:ascii="David" w:hAnsi="David"/>
          <w:rtl/>
        </w:rPr>
        <w:t xml:space="preserve"> צורך בגט כיוון שהנישואין הללו מעולם לא חלו</w:t>
      </w:r>
      <w:r>
        <w:rPr>
          <w:rFonts w:ascii="David" w:hAnsi="David" w:hint="cs"/>
          <w:rtl/>
        </w:rPr>
        <w:t>,</w:t>
      </w:r>
      <w:r w:rsidR="006B1661" w:rsidRPr="00B04726">
        <w:rPr>
          <w:rFonts w:ascii="David" w:hAnsi="David"/>
          <w:rtl/>
        </w:rPr>
        <w:t xml:space="preserve"> לאור כך שהקידושין נעשו בפני עדים לא כשרים ולכן אין צורך בגט – אין סיכוי שבית הדין ישמע את הטענה הזו, לפחות לא בשלבים הראשונים של התיק. </w:t>
      </w:r>
      <w:r w:rsidR="006B1661" w:rsidRPr="00FB556E">
        <w:rPr>
          <w:rFonts w:ascii="David" w:hAnsi="David"/>
          <w:b/>
          <w:bCs/>
          <w:u w:val="single"/>
          <w:rtl/>
        </w:rPr>
        <w:t>זוהי הגישה השכיחה יותר, והיא רווחת בעיקר במקרים הקלאסיים.</w:t>
      </w:r>
    </w:p>
    <w:p w14:paraId="11747CD1" w14:textId="77777777" w:rsidR="006B1661" w:rsidRPr="00B04726" w:rsidRDefault="006B1661" w:rsidP="00465590">
      <w:pPr>
        <w:pStyle w:val="ac"/>
        <w:numPr>
          <w:ilvl w:val="1"/>
          <w:numId w:val="11"/>
        </w:numPr>
        <w:bidi/>
        <w:rPr>
          <w:rFonts w:ascii="David" w:hAnsi="David"/>
          <w:rtl/>
        </w:rPr>
      </w:pPr>
      <w:r w:rsidRPr="00B04726">
        <w:rPr>
          <w:rFonts w:ascii="David" w:hAnsi="David"/>
          <w:rtl/>
        </w:rPr>
        <w:t>עם זאת, קיים רובד שני המתקיים במקרים קשים יותר בהם לא ניתן לסדר גט – סרבנות גט קשה/אי יכולת מתן גט מצד הבעל בגין מצב פיזי/נפשי. האם במקרים כאלה ניתן לקבוע כי נישואים שנעשו מול אנשים שאינם שומרי תורה ומצוות אכן בטלים?</w:t>
      </w:r>
    </w:p>
    <w:p w14:paraId="3CE52ACD" w14:textId="77777777" w:rsidR="006B1661" w:rsidRPr="00B04726" w:rsidRDefault="006B1661" w:rsidP="00465590">
      <w:pPr>
        <w:pStyle w:val="ac"/>
        <w:numPr>
          <w:ilvl w:val="1"/>
          <w:numId w:val="11"/>
        </w:numPr>
        <w:bidi/>
        <w:rPr>
          <w:rFonts w:ascii="David" w:hAnsi="David"/>
          <w:rtl/>
        </w:rPr>
      </w:pPr>
      <w:r w:rsidRPr="00B04726">
        <w:rPr>
          <w:rFonts w:ascii="David" w:hAnsi="David"/>
          <w:rtl/>
        </w:rPr>
        <w:t>כאשר דיינים ינסו לפסול קידושין, הדרך תיעשה בדרך כלל ע"י פסילת העדים – זאת מאחר ולקידושין ישנם מספר מרכיבים ובהיעדר מרכיב הכרחי בקידושין, הקידושין לא תקפים. פסילת העדים היא האקט הפשוט ביותר – זאת בניגוד להוכחת "מקח טעות" (מעין בעיה בכריתת חוזה כגון טעות/הטעיה).</w:t>
      </w:r>
    </w:p>
    <w:p w14:paraId="3EA7E240" w14:textId="77777777" w:rsidR="006B1661" w:rsidRPr="00B04726" w:rsidRDefault="006B1661" w:rsidP="00465590">
      <w:pPr>
        <w:pStyle w:val="ac"/>
        <w:numPr>
          <w:ilvl w:val="1"/>
          <w:numId w:val="11"/>
        </w:numPr>
        <w:bidi/>
        <w:rPr>
          <w:rFonts w:ascii="David" w:hAnsi="David"/>
          <w:rtl/>
        </w:rPr>
      </w:pPr>
      <w:r w:rsidRPr="00B04726">
        <w:rPr>
          <w:rFonts w:ascii="David" w:hAnsi="David"/>
          <w:rtl/>
        </w:rPr>
        <w:t xml:space="preserve">אפשר לראות כי בתחילת הדרך נעשה שימוש בכלי של פסילת העדים ומכאן בטלות הנישואין במקרים של "עגינות קלאסית" – בעל שלא יכול לתת גט, הן מבחינה פיזית והן מבחינה נפשית. לאחר מכן, ניתן לראות מקרים בודדים בהם הלכו צעד אחד קדימה ונעשה שימוש בכלי זה גם נגד סרבן גט. מטבע הדברים, הביקורת על השימוש בכלי פסילת העדים ברובד השני הייתה </w:t>
      </w:r>
      <w:r w:rsidRPr="00B04726">
        <w:rPr>
          <w:rFonts w:ascii="David" w:hAnsi="David"/>
          <w:rtl/>
        </w:rPr>
        <w:lastRenderedPageBreak/>
        <w:t>חריפה יותר מאשר השימוש בפסילת העדים במקרי עגינות קלאסית. הביקורת נבעה מכך שבמקרה הראשון לאישה אין מה לעשות עקב מצבו הפיזי/הנפשי של הבעל, ועל כן יש צורך בשימוש בכלי פסילת העדים – זאת לעומת הרובד השני, בו קיים בעל סרבן גט אשר יש ביכולתו לתת גט, ועל כן יש לנסות לשנות את עמדתו ולגרום לו לתת לה גט (מקרה "לא מספיק טראגי" אשר לא מצדיק לבטל נישואים בדרך שהיא לא ע"י מתן גט).</w:t>
      </w:r>
    </w:p>
    <w:p w14:paraId="499F7AAE" w14:textId="77777777" w:rsidR="006B1661" w:rsidRPr="00F87718" w:rsidRDefault="006B1661" w:rsidP="00465590">
      <w:pPr>
        <w:pStyle w:val="ac"/>
        <w:numPr>
          <w:ilvl w:val="0"/>
          <w:numId w:val="11"/>
        </w:numPr>
        <w:shd w:val="clear" w:color="auto" w:fill="FFF4CD" w:themeFill="accent1" w:themeFillTint="33"/>
        <w:bidi/>
        <w:rPr>
          <w:rFonts w:ascii="David" w:hAnsi="David"/>
          <w:b/>
          <w:bCs/>
          <w:rtl/>
        </w:rPr>
      </w:pPr>
      <w:r w:rsidRPr="00F87718">
        <w:rPr>
          <w:rFonts w:ascii="David" w:hAnsi="David"/>
          <w:b/>
          <w:bCs/>
          <w:rtl/>
        </w:rPr>
        <w:t>דוגמאות לשימוש בכלי ברובד הראשון, עגינות קלאסית</w:t>
      </w:r>
    </w:p>
    <w:p w14:paraId="06323F5B" w14:textId="574B4FA3" w:rsidR="006B1661" w:rsidRPr="00B04726" w:rsidRDefault="006B1661" w:rsidP="00465590">
      <w:pPr>
        <w:pStyle w:val="ac"/>
        <w:numPr>
          <w:ilvl w:val="1"/>
          <w:numId w:val="11"/>
        </w:numPr>
        <w:bidi/>
        <w:rPr>
          <w:rFonts w:ascii="David" w:hAnsi="David"/>
          <w:rtl/>
        </w:rPr>
      </w:pPr>
      <w:r w:rsidRPr="00B04726">
        <w:rPr>
          <w:rFonts w:ascii="David" w:hAnsi="David"/>
          <w:highlight w:val="cyan"/>
          <w:rtl/>
        </w:rPr>
        <w:t>פס"ד שהתפרסם ב"הדין והדיין 8"</w:t>
      </w:r>
      <w:r w:rsidR="00435C1A">
        <w:rPr>
          <w:rFonts w:ascii="David" w:hAnsi="David" w:hint="cs"/>
          <w:rtl/>
        </w:rPr>
        <w:t>:</w:t>
      </w:r>
      <w:r w:rsidRPr="00B04726">
        <w:rPr>
          <w:rFonts w:ascii="David" w:hAnsi="David"/>
          <w:rtl/>
        </w:rPr>
        <w:t xml:space="preserve"> </w:t>
      </w:r>
      <w:r w:rsidRPr="00B04726">
        <w:rPr>
          <w:rFonts w:ascii="David" w:hAnsi="David"/>
          <w:b/>
          <w:bCs/>
          <w:rtl/>
        </w:rPr>
        <w:t>ביטול קידושיה של אישה אשר אינה יכולה לקבל גט מבעלה מחוסר ההכרה, זאת תוך הסתמכות על העובדה כי עדי הקידושין היו עדים פסולים.</w:t>
      </w:r>
      <w:r w:rsidRPr="00B04726">
        <w:rPr>
          <w:rFonts w:ascii="David" w:hAnsi="David"/>
          <w:rtl/>
        </w:rPr>
        <w:t xml:space="preserve"> בעל שהתעלל באשתו בצורה קשה, וכאשר נעצר ניסה להתאבד אך לא הצליח. הניסיון פגע בגזע המוח שלו והוא נותר מחוסר הכרה. במקרה זה לא ניתן לראות כיצד יינתן גט כהלכה, ועל כן היא פנתה לב שאר יישוב כהן והוא ניסח הצעה לפסק הדין, כאשר בהצעה נכתב כי אחד מעדי הקידושין הינו מחלל שבת בפרהסיה ועל כן הוא פסול מעדות. הדיון סובב סביב שאלה צדדית אשר נמצאת בדיונים אחרים בנושא – מלבד שני עדי הקידושין, ישנם עדים רבים אחרים (המוזמנים) וייתכן כי בעת הקידושין נכחו שני עדים כשרים, ואם כך – כיצד ניתן להתיר קידושין תוך שימוש בפסילת העדים? ישנה טענה של הראשונים אשר עומדת כי אם ישנה קבוצה של עדים שנכחו בסיטואציה מסוימת, ואחד מהעדים הוא פסול/קרוב לבעלי הדין, הקבוצה בכללותה נפסלת לעדות. על כן, כדי שהקידושין יהיו תקפים – היות עד אחד מעדי הקידושין פסול לעדות פוסלת את כל שאר העדים האחרים שנכחו בסיטואציה. אם היו בקהל עדים כשרים הם אינם מצטרפים, שכן ייחדנו שניים ואחד מהם פסול. בפס"ד נכתב כי מכל הטעמים נראה "להתיר את האישה לעלמה והואיל והוא שעת הדחק של עיגון ממש" – במקרה זה ברור כי מדובר בשעת דחק שהיא עגינות של ממש, אך הדיינים חוזרים על כך שוב. אלא שחזרה זו היא הדגשה לפיה מקרה זה מחייב לנקוט אמצעים בלתי שגרתיים, ועל כן העיון מחייב לבטל את הנישואים מעיקרם. בסוף פסק הדין הרב עובדיה חותם על פסק הדין – תחולת פסק הדין הותנתה בחתימתו מצד הדיינים, דבר המדגיש את הפער בין הערכאות, ההערכה לדיינים אינה נובעת מתפקידם שניתן מטעם המדינה אלא מכוחם כגדולי תורה. </w:t>
      </w:r>
    </w:p>
    <w:p w14:paraId="50B526E0" w14:textId="00FC2099" w:rsidR="006B1661" w:rsidRPr="00B04726" w:rsidRDefault="006B1661" w:rsidP="00465590">
      <w:pPr>
        <w:pStyle w:val="ac"/>
        <w:numPr>
          <w:ilvl w:val="1"/>
          <w:numId w:val="11"/>
        </w:numPr>
        <w:bidi/>
        <w:rPr>
          <w:rFonts w:ascii="David" w:hAnsi="David"/>
          <w:rtl/>
        </w:rPr>
      </w:pPr>
      <w:r w:rsidRPr="00B04726">
        <w:rPr>
          <w:rFonts w:ascii="David" w:hAnsi="David"/>
          <w:highlight w:val="cyan"/>
          <w:rtl/>
        </w:rPr>
        <w:t>פס"ד שהתפרסם ב"הדין והדיין 29",</w:t>
      </w:r>
      <w:r w:rsidRPr="00B04726">
        <w:rPr>
          <w:rFonts w:ascii="David" w:hAnsi="David"/>
          <w:rtl/>
        </w:rPr>
        <w:t xml:space="preserve"> </w:t>
      </w:r>
      <w:r w:rsidRPr="006E7529">
        <w:rPr>
          <w:rFonts w:ascii="David" w:hAnsi="David"/>
          <w:b/>
          <w:bCs/>
          <w:rtl/>
        </w:rPr>
        <w:t>התרת עגונה ללא גט בשל פסלות עדי הקידושין. זוג שנישא בחו"ל, כאשר לאחר חתימה על הסכם גירושין הבעל ברח לחו"ל והאישה נותרה עגונה במשך 15 שנה.</w:t>
      </w:r>
      <w:r w:rsidRPr="00B04726">
        <w:rPr>
          <w:rFonts w:ascii="David" w:hAnsi="David"/>
          <w:rtl/>
        </w:rPr>
        <w:t xml:space="preserve"> דעת מיעוט בביה"ד האזורי סברה כי ניתן להתיר את האישה ללא גט בשל פסלות עדי הקידושין, אך דעת הרוב חששה לקיום של עדים כשרים שהיו נוכחים בשעת הקידושין. מדובר בפס"ד קצר מאוד. לאחר שהתברר כי עדי הקידושין לא היו כשרים לעדות מחליט ביה"ד </w:t>
      </w:r>
      <w:r w:rsidR="006E7529">
        <w:rPr>
          <w:rFonts w:ascii="David" w:hAnsi="David" w:hint="cs"/>
          <w:rtl/>
        </w:rPr>
        <w:t xml:space="preserve">הגדול </w:t>
      </w:r>
      <w:r w:rsidRPr="00B04726">
        <w:rPr>
          <w:rFonts w:ascii="David" w:hAnsi="David"/>
          <w:rtl/>
        </w:rPr>
        <w:t>כי הנישואים בטלים מעיקרם ויש לשנות את מעמדה מנשואה לפנויה. גם בפס"ד זה ניתן לראות את חתימתו של הרב עובדיה יוסף. בפס"ד זה לא נכתבו נימוקים, זאת על מנת שלא יוכלו לקחת את אותם נימוקים ולסתור אותם. ביה"ד חשש מפרסום הנימוקים כי ידע שיותקף, מאחר ומדובר בעגינות שאינה קלאסית, שכן הבעל ישנו. פס"ד זה מהווה צעד אחד קדימה בשימוש בכלי פסילת העדים להתרת עגונות.</w:t>
      </w:r>
    </w:p>
    <w:p w14:paraId="50A14EA5" w14:textId="77777777" w:rsidR="006B1661" w:rsidRPr="00B04726" w:rsidRDefault="006B1661" w:rsidP="00465590">
      <w:pPr>
        <w:pStyle w:val="ac"/>
        <w:numPr>
          <w:ilvl w:val="1"/>
          <w:numId w:val="11"/>
        </w:numPr>
        <w:bidi/>
        <w:rPr>
          <w:rFonts w:ascii="David" w:hAnsi="David"/>
          <w:rtl/>
        </w:rPr>
      </w:pPr>
      <w:r w:rsidRPr="00B04726">
        <w:rPr>
          <w:rFonts w:ascii="David" w:hAnsi="David"/>
          <w:rtl/>
        </w:rPr>
        <w:t xml:space="preserve">במקרה של </w:t>
      </w:r>
      <w:r w:rsidRPr="00B04726">
        <w:rPr>
          <w:rFonts w:ascii="David" w:hAnsi="David"/>
          <w:highlight w:val="lightGray"/>
          <w:rtl/>
        </w:rPr>
        <w:t>גז</w:t>
      </w:r>
      <w:r w:rsidRPr="00B04726">
        <w:rPr>
          <w:rFonts w:ascii="David" w:hAnsi="David"/>
          <w:rtl/>
        </w:rPr>
        <w:t xml:space="preserve"> (ובהמשך, בג"צ גז) דובר בסרבנות גט קשה אשר בגינה הוטלו עליו סנקציות והרחקות חברתיות – סנקציות שהוטלו לאחר שביה"ד הגיע למסקנה כי הניתוח האישיותי שלו מלמד כי אין סיכוי שייתן גט. הדיון נעשה בביה"ד בחיפה, על מנת שדיין מסוים יטפל בנושא. בסופו של דבר, הקידושין הותרו ע"י פסילת עד, גם כאן ללא נימוקים בפסק הדין. הדבר לא עזר, שכן לאחר פרסום ביטול הנישואין ע"י פסילת עד – כל מי שהייתה לו גישה לפרוטוקולים של ביה"ד הדפיס את הפרוטוקול והחתים עליו רבנים תוך זעקה על מעשי בית הדין (התרת גילוי עריות, ריבוי ממזרים וכו'). באחד הפשקווילים שפורסמו על אותו פס"ד הסיטואציה הוצגה משל היה לדיינים מה להסתיר ועל כן לא נכתבו נימוקים בפס"ד זה. ניתן לראות כי אחת החתימות על פשקוויל זה הוא הרב אברהם שרמן, דיין שהשתייך למערכת הרבנית. </w:t>
      </w:r>
    </w:p>
    <w:p w14:paraId="5752DFAA" w14:textId="77777777" w:rsidR="006B1661" w:rsidRPr="00B04726" w:rsidRDefault="006B1661" w:rsidP="00465590">
      <w:pPr>
        <w:pStyle w:val="ac"/>
        <w:numPr>
          <w:ilvl w:val="1"/>
          <w:numId w:val="11"/>
        </w:numPr>
        <w:bidi/>
        <w:rPr>
          <w:rFonts w:ascii="David" w:hAnsi="David"/>
          <w:rtl/>
        </w:rPr>
      </w:pPr>
      <w:r w:rsidRPr="00B04726">
        <w:rPr>
          <w:rFonts w:ascii="David" w:hAnsi="David"/>
          <w:highlight w:val="cyan"/>
          <w:rtl/>
        </w:rPr>
        <w:t>תיק 1068330/1,</w:t>
      </w:r>
      <w:r w:rsidRPr="00B04726">
        <w:rPr>
          <w:rFonts w:ascii="David" w:hAnsi="David"/>
          <w:rtl/>
        </w:rPr>
        <w:t xml:space="preserve"> בביה"ד האזורי בחיפה: זוג דתי שהבעל נפצע באחד המבצעים בעזה ונותר מחוסר הכרה, האישה מבקשת לבטל את הנישואים. ביה"ד שאל את אבי האישה, אשר קידש את הזוג בחתונה, האם הורה לעדים לחזור בתשובה לפני עדותם בטקס הקידושין. האב השיב שלא עשה כן ואין הוא נוהג לעשות כך בזוגות דתיים. האב נשאל גם האם ניסה לבדוק מיהם העדים והוא השיב כי לא חשב שהם אינם דתיים. הסתבר כי אחד העדים אכן הלך עם כיפה אך לא שמר שבת באותו הזמן – מה שהיווה פתח עבור ביה"ד להתיר את הנישואין. חלק גדול מהדיון הוא בשאלה טכנית פרוצדוראלית – קביעת כשרות עדים, האם ניתן לפסול אדם (אותו עד שלא שמר שבת) שלא בפניו. ביה"ד ומר כי ניתן לעשות זאת אך מנסה לעשות זאת בצורה מצמצמת ביותר, והוא מנהל דיון בסקייפ עם אותו עד. ניתן לראות רצון של ביה"ד להתיר את האישה תוך ביסוס נכון של ביטול הנישואים, שלא ייווצר מצב של התרת אשת איש. בסופו של דבר ביה"ד התיר את האישה, תוך אזכור כי מדובר במקרה קשה של עגינות שאין איך להתירה בצורה רגילה. פסק הדין התפרסם כאשר לפני ההכרעה הבעל נפטר, זאת על מנת שיהיה מעשה בית דין למקרים הבאים שיהיו. </w:t>
      </w:r>
    </w:p>
    <w:p w14:paraId="215B60CA" w14:textId="77777777" w:rsidR="006B1661" w:rsidRPr="00F87718" w:rsidRDefault="006B1661" w:rsidP="00465590">
      <w:pPr>
        <w:pStyle w:val="ac"/>
        <w:numPr>
          <w:ilvl w:val="0"/>
          <w:numId w:val="11"/>
        </w:numPr>
        <w:shd w:val="clear" w:color="auto" w:fill="FFF4CD" w:themeFill="accent1" w:themeFillTint="33"/>
        <w:bidi/>
        <w:rPr>
          <w:rFonts w:ascii="David" w:hAnsi="David"/>
          <w:b/>
          <w:bCs/>
          <w:rtl/>
        </w:rPr>
      </w:pPr>
      <w:r w:rsidRPr="00F87718">
        <w:rPr>
          <w:rFonts w:ascii="David" w:hAnsi="David"/>
          <w:b/>
          <w:bCs/>
          <w:rtl/>
        </w:rPr>
        <w:lastRenderedPageBreak/>
        <w:t>מה יעשו במקרים בהם לא ניתן להצביע על בעיה בעדים?</w:t>
      </w:r>
    </w:p>
    <w:p w14:paraId="499CEBAA" w14:textId="77777777" w:rsidR="006B1661" w:rsidRPr="00B04726" w:rsidRDefault="006B1661" w:rsidP="00465590">
      <w:pPr>
        <w:pStyle w:val="ac"/>
        <w:numPr>
          <w:ilvl w:val="2"/>
          <w:numId w:val="11"/>
        </w:numPr>
        <w:bidi/>
        <w:rPr>
          <w:rFonts w:ascii="David" w:hAnsi="David"/>
          <w:rtl/>
        </w:rPr>
      </w:pPr>
      <w:r w:rsidRPr="00B04726">
        <w:rPr>
          <w:rFonts w:ascii="David" w:hAnsi="David"/>
          <w:highlight w:val="cyan"/>
          <w:rtl/>
        </w:rPr>
        <w:t>תיק 835157/20:</w:t>
      </w:r>
      <w:r w:rsidRPr="00B04726">
        <w:rPr>
          <w:rFonts w:ascii="David" w:hAnsi="David"/>
          <w:rtl/>
        </w:rPr>
        <w:t xml:space="preserve"> סרבן גט שברח לחו"ל בגין סכסוך על החזקת הילדה. האישה הכירה גבר אחר ונכנסה ממנו להריון, והיא הלכה לביה"ד של הרב שפרבר (ביה"ד פרטי) והוא ביטל את הנישואין תוך הסתמכות על העובדה שאחד מעדי הקידושין היה פדופיל מורשה. האישה ניגשה לביה"ד הרבני והציעה לו לקבל את פסק הדין למקרים שיבואו לפתחו. ביה"ד יצא נגד החלטת הרב שפרבר, ומגיע למסקנה כי העד אינו פסול מאחר ובעת היותו עד בקידושין הוא כבר חזר בתשובה – ועל כן עברו אינו פוסל אותו. משכך, לא ניתן לבטל את הקידושין והאישה נחשבת כנשואה. האישה מערערת לביה"ד הגדול שפוסק באותה צורה ודוחה את הערעור, ומציע למצוא אדם שיתווך משא ומתן בין בני הזוג. הוגשה עתירה לבג"צ. ישנם </w:t>
      </w:r>
      <w:r w:rsidRPr="00B04726">
        <w:rPr>
          <w:rFonts w:ascii="David" w:hAnsi="David"/>
          <w:b/>
          <w:bCs/>
          <w:rtl/>
        </w:rPr>
        <w:t>שני שיקולים מערכתיים:</w:t>
      </w:r>
      <w:r w:rsidRPr="00B04726">
        <w:rPr>
          <w:rFonts w:ascii="David" w:hAnsi="David"/>
          <w:rtl/>
        </w:rPr>
        <w:t xml:space="preserve"> (1) ביה"ד לא רוצה להכיר בפתרון הלכתי במוסד שנתפס בעיניו במוסד חתרני ומסוכן, ביה"ד של הרב שפרבר (2) לא מדובר בעד מקרי אלא במישהו שהיה נהג של רב מפורסם אשר שימש כעד קידושין במספר רב של חתונות – מה שיביא לביטול נישואין של זוגות רבים. </w:t>
      </w:r>
    </w:p>
    <w:p w14:paraId="2409C123" w14:textId="77777777" w:rsidR="006B1661" w:rsidRPr="00F87718" w:rsidRDefault="006B1661" w:rsidP="00465590">
      <w:pPr>
        <w:pStyle w:val="ac"/>
        <w:numPr>
          <w:ilvl w:val="0"/>
          <w:numId w:val="11"/>
        </w:numPr>
        <w:shd w:val="clear" w:color="auto" w:fill="FFF4CD" w:themeFill="accent1" w:themeFillTint="33"/>
        <w:bidi/>
        <w:rPr>
          <w:rFonts w:ascii="David" w:hAnsi="David"/>
          <w:b/>
          <w:bCs/>
          <w:rtl/>
        </w:rPr>
      </w:pPr>
      <w:r w:rsidRPr="00F87718">
        <w:rPr>
          <w:rFonts w:ascii="David" w:hAnsi="David"/>
          <w:b/>
          <w:bCs/>
          <w:rtl/>
        </w:rPr>
        <w:t>מהן העבירות אותן ניתן להחשיב כעבירות לפסילת עד?</w:t>
      </w:r>
    </w:p>
    <w:p w14:paraId="4A6CEA13" w14:textId="1F5C932B" w:rsidR="006B1661" w:rsidRPr="00B04726" w:rsidRDefault="006B1661" w:rsidP="00465590">
      <w:pPr>
        <w:pStyle w:val="ac"/>
        <w:numPr>
          <w:ilvl w:val="1"/>
          <w:numId w:val="11"/>
        </w:numPr>
        <w:bidi/>
        <w:rPr>
          <w:rFonts w:ascii="David" w:hAnsi="David"/>
        </w:rPr>
      </w:pPr>
      <w:r w:rsidRPr="00B04726">
        <w:rPr>
          <w:rFonts w:ascii="David" w:hAnsi="David"/>
          <w:rtl/>
        </w:rPr>
        <w:t>פסילת עד בצורה אחרת, דבריו של הרב אברג'ל: זוג שנישא כדמו"י והבעל סרבן גט במשך כמה שנים. לאחר חקירה התברר שאחד העדים הוא אדם דתי שומר מצוות שופט בביהמ"ש – ומשכך עובר על עניין ערכאות של גויים: (1) עובר עם מערכת המנוגדת ליהדות (2) מהווה כגזלן, שכן אם הוציא כסף מכוח החוק בניגוד להלכה הדבר נחשב כגזל. ניתן לראות מוטיבציה של ביה"ד להתיר את האישה, גם במחיר מעשים מרחיבים ומרחיקי לכת. מנגד, ניתן לראות כאן פסילה של עד על עצם היותו שופט במדינת ישראל – מה שמגדיר את כל השופטים בישראל כפסולים, זוהי האמירה המשתמעת. הרב עובדיה ב2012 קבע כי במידה ואחד העדים היה עו"ד, ניתן לפסול את עדותו ולקבוע כי הקידושין לא היו תקפים מעולם (נעשה על מנת להתיר ממזר). הדבר מראה כי בעמידה מול מקרים קשים, ניתן לנסות לבחון את הדרך לבטל את הקידושין – כאשר הדרך המרכזית לכך היא פסילת העדים.</w:t>
      </w:r>
    </w:p>
    <w:p w14:paraId="0BC3272F" w14:textId="6C461E53" w:rsidR="00A44BBF" w:rsidRPr="00A44BBF" w:rsidRDefault="00A44BBF" w:rsidP="00A44BBF">
      <w:pPr>
        <w:pBdr>
          <w:top w:val="single" w:sz="4" w:space="1" w:color="auto"/>
        </w:pBdr>
        <w:rPr>
          <w:rFonts w:ascii="David" w:hAnsi="David"/>
        </w:rPr>
      </w:pPr>
      <w:r w:rsidRPr="00A44BBF">
        <w:rPr>
          <w:rFonts w:ascii="David" w:hAnsi="David" w:hint="cs"/>
          <w:rtl/>
        </w:rPr>
        <w:t>10.04.2022</w:t>
      </w:r>
    </w:p>
    <w:p w14:paraId="6B42263E" w14:textId="50577B9E" w:rsidR="00A82A86" w:rsidRPr="00A82A86" w:rsidRDefault="001A7A43" w:rsidP="001A7A43">
      <w:pPr>
        <w:pStyle w:val="21"/>
        <w:rPr>
          <w:sz w:val="22"/>
        </w:rPr>
      </w:pPr>
      <w:bookmarkStart w:id="11" w:name="_Toc107438158"/>
      <w:r>
        <w:rPr>
          <w:rFonts w:hint="cs"/>
          <w:rtl/>
        </w:rPr>
        <w:t>כושר לנישואין וטקס הנישואין</w:t>
      </w:r>
      <w:bookmarkEnd w:id="11"/>
    </w:p>
    <w:p w14:paraId="0A102DBA" w14:textId="1DB0C2C2" w:rsidR="00A82A86" w:rsidRDefault="00A44BBF" w:rsidP="00465590">
      <w:pPr>
        <w:pStyle w:val="ac"/>
        <w:numPr>
          <w:ilvl w:val="0"/>
          <w:numId w:val="10"/>
        </w:numPr>
        <w:shd w:val="clear" w:color="auto" w:fill="FFF4CD" w:themeFill="accent1" w:themeFillTint="33"/>
        <w:bidi/>
        <w:spacing w:after="0"/>
        <w:rPr>
          <w:rFonts w:ascii="David" w:hAnsi="David"/>
          <w:b/>
          <w:bCs/>
          <w:sz w:val="22"/>
        </w:rPr>
      </w:pPr>
      <w:r>
        <w:rPr>
          <w:rFonts w:ascii="David" w:hAnsi="David" w:hint="cs"/>
          <w:b/>
          <w:bCs/>
          <w:sz w:val="22"/>
          <w:rtl/>
        </w:rPr>
        <w:t>דיון כללי בנו</w:t>
      </w:r>
      <w:r w:rsidR="003E7E09">
        <w:rPr>
          <w:rFonts w:ascii="David" w:hAnsi="David" w:hint="cs"/>
          <w:b/>
          <w:bCs/>
          <w:sz w:val="22"/>
          <w:rtl/>
        </w:rPr>
        <w:t>גע לכל מערכת משפט שיש בה חוק נישואין:</w:t>
      </w:r>
    </w:p>
    <w:p w14:paraId="1F13162D" w14:textId="77777777" w:rsidR="00645CF6" w:rsidRPr="00A00076" w:rsidRDefault="00F269DC" w:rsidP="00465590">
      <w:pPr>
        <w:pStyle w:val="ac"/>
        <w:numPr>
          <w:ilvl w:val="1"/>
          <w:numId w:val="10"/>
        </w:numPr>
        <w:bidi/>
        <w:spacing w:after="0"/>
        <w:rPr>
          <w:rFonts w:ascii="David" w:hAnsi="David"/>
          <w:b/>
          <w:bCs/>
          <w:sz w:val="22"/>
          <w:u w:val="single"/>
        </w:rPr>
      </w:pPr>
      <w:r w:rsidRPr="00A00076">
        <w:rPr>
          <w:rFonts w:ascii="David" w:hAnsi="David" w:hint="cs"/>
          <w:b/>
          <w:bCs/>
          <w:sz w:val="22"/>
          <w:u w:val="single"/>
          <w:rtl/>
        </w:rPr>
        <w:t>בכל חוק נישואין יש שתי סוגיות שחייבות להיות מוסדרות בחוק כזה</w:t>
      </w:r>
      <w:r w:rsidR="004A39BC" w:rsidRPr="00A00076">
        <w:rPr>
          <w:rFonts w:ascii="David" w:hAnsi="David" w:hint="cs"/>
          <w:b/>
          <w:bCs/>
          <w:sz w:val="22"/>
          <w:u w:val="single"/>
          <w:rtl/>
        </w:rPr>
        <w:t>:</w:t>
      </w:r>
    </w:p>
    <w:p w14:paraId="697E56BC" w14:textId="77777777" w:rsidR="00645CF6" w:rsidRPr="00645CF6" w:rsidRDefault="00645CF6" w:rsidP="00465590">
      <w:pPr>
        <w:pStyle w:val="ac"/>
        <w:numPr>
          <w:ilvl w:val="2"/>
          <w:numId w:val="10"/>
        </w:numPr>
        <w:bidi/>
        <w:spacing w:after="0"/>
        <w:rPr>
          <w:rFonts w:ascii="David" w:hAnsi="David"/>
          <w:b/>
          <w:bCs/>
          <w:sz w:val="22"/>
        </w:rPr>
      </w:pPr>
      <w:r>
        <w:rPr>
          <w:rFonts w:ascii="David" w:hAnsi="David" w:hint="cs"/>
          <w:sz w:val="22"/>
          <w:rtl/>
        </w:rPr>
        <w:t>ה</w:t>
      </w:r>
      <w:r w:rsidR="003A670A">
        <w:rPr>
          <w:rFonts w:ascii="David" w:hAnsi="David" w:hint="cs"/>
          <w:sz w:val="22"/>
          <w:rtl/>
        </w:rPr>
        <w:t>כשירות להינשא - מי יכול להינשא</w:t>
      </w:r>
      <w:r w:rsidR="00F269DC">
        <w:rPr>
          <w:rFonts w:ascii="David" w:hAnsi="David" w:hint="cs"/>
          <w:sz w:val="22"/>
          <w:rtl/>
        </w:rPr>
        <w:t>.</w:t>
      </w:r>
      <w:r w:rsidR="003A670A">
        <w:rPr>
          <w:rFonts w:ascii="David" w:hAnsi="David" w:hint="cs"/>
          <w:sz w:val="22"/>
          <w:rtl/>
        </w:rPr>
        <w:t xml:space="preserve"> </w:t>
      </w:r>
    </w:p>
    <w:p w14:paraId="212C4A4B" w14:textId="6583C1E7" w:rsidR="008B0811" w:rsidRDefault="003A670A" w:rsidP="00465590">
      <w:pPr>
        <w:pStyle w:val="ac"/>
        <w:numPr>
          <w:ilvl w:val="2"/>
          <w:numId w:val="10"/>
        </w:numPr>
        <w:bidi/>
        <w:spacing w:after="0"/>
        <w:rPr>
          <w:rFonts w:ascii="David" w:hAnsi="David"/>
          <w:b/>
          <w:bCs/>
          <w:sz w:val="22"/>
        </w:rPr>
      </w:pPr>
      <w:r>
        <w:rPr>
          <w:rFonts w:ascii="David" w:hAnsi="David" w:hint="cs"/>
          <w:sz w:val="22"/>
          <w:rtl/>
        </w:rPr>
        <w:t>איך נישאים - טקס הנישואין.</w:t>
      </w:r>
    </w:p>
    <w:p w14:paraId="0AB29FED" w14:textId="18CA474A" w:rsidR="00A00076" w:rsidRDefault="00A00076" w:rsidP="00465590">
      <w:pPr>
        <w:pStyle w:val="ac"/>
        <w:numPr>
          <w:ilvl w:val="0"/>
          <w:numId w:val="10"/>
        </w:numPr>
        <w:shd w:val="clear" w:color="auto" w:fill="FFF4CD" w:themeFill="accent1" w:themeFillTint="33"/>
        <w:bidi/>
        <w:spacing w:after="0"/>
        <w:rPr>
          <w:rFonts w:ascii="David" w:hAnsi="David"/>
          <w:b/>
          <w:bCs/>
          <w:sz w:val="22"/>
        </w:rPr>
      </w:pPr>
      <w:r>
        <w:rPr>
          <w:rFonts w:ascii="David" w:hAnsi="David" w:hint="cs"/>
          <w:b/>
          <w:bCs/>
          <w:sz w:val="22"/>
          <w:rtl/>
        </w:rPr>
        <w:t>כשירות לנישואין:</w:t>
      </w:r>
    </w:p>
    <w:p w14:paraId="231DA4CC" w14:textId="4EA037A9" w:rsidR="00A00076" w:rsidRPr="00393BB3" w:rsidRDefault="00A00076" w:rsidP="00465590">
      <w:pPr>
        <w:pStyle w:val="ac"/>
        <w:numPr>
          <w:ilvl w:val="1"/>
          <w:numId w:val="10"/>
        </w:numPr>
        <w:bidi/>
        <w:spacing w:after="0"/>
        <w:rPr>
          <w:rFonts w:ascii="David" w:hAnsi="David"/>
          <w:b/>
          <w:bCs/>
          <w:sz w:val="22"/>
        </w:rPr>
      </w:pPr>
      <w:r w:rsidRPr="00393BB3">
        <w:rPr>
          <w:rFonts w:ascii="David" w:hAnsi="David" w:hint="cs"/>
          <w:b/>
          <w:bCs/>
          <w:sz w:val="22"/>
          <w:rtl/>
        </w:rPr>
        <w:t>סוגיית הכשירות להינשא היא סוגייה שכל שיטת משפט צריכה להגביל אותה</w:t>
      </w:r>
      <w:r w:rsidR="00AB58DE" w:rsidRPr="00393BB3">
        <w:rPr>
          <w:rFonts w:ascii="David" w:hAnsi="David" w:hint="cs"/>
          <w:b/>
          <w:bCs/>
          <w:sz w:val="22"/>
          <w:rtl/>
        </w:rPr>
        <w:t xml:space="preserve">. </w:t>
      </w:r>
      <w:r w:rsidR="00AB58DE" w:rsidRPr="00393BB3">
        <w:rPr>
          <w:rFonts w:ascii="David" w:hAnsi="David" w:hint="cs"/>
          <w:b/>
          <w:bCs/>
          <w:sz w:val="22"/>
          <w:u w:val="single"/>
          <w:rtl/>
        </w:rPr>
        <w:t>כל ההגבלות מתחלקות לשני סוגיים</w:t>
      </w:r>
      <w:r w:rsidR="00AB58DE" w:rsidRPr="00393BB3">
        <w:rPr>
          <w:rFonts w:ascii="David" w:hAnsi="David" w:hint="cs"/>
          <w:b/>
          <w:bCs/>
          <w:sz w:val="22"/>
          <w:rtl/>
        </w:rPr>
        <w:t>:</w:t>
      </w:r>
    </w:p>
    <w:p w14:paraId="738440BC" w14:textId="39BB26D7" w:rsidR="00AB58DE" w:rsidRDefault="00AB58DE" w:rsidP="00465590">
      <w:pPr>
        <w:pStyle w:val="ac"/>
        <w:numPr>
          <w:ilvl w:val="2"/>
          <w:numId w:val="10"/>
        </w:numPr>
        <w:bidi/>
        <w:spacing w:after="0"/>
        <w:rPr>
          <w:rFonts w:ascii="David" w:hAnsi="David"/>
          <w:sz w:val="22"/>
        </w:rPr>
      </w:pPr>
      <w:r>
        <w:rPr>
          <w:rFonts w:ascii="David" w:hAnsi="David" w:hint="cs"/>
          <w:sz w:val="22"/>
          <w:rtl/>
        </w:rPr>
        <w:t>מגבלות מוחלטות</w:t>
      </w:r>
      <w:r w:rsidR="00F73B64">
        <w:rPr>
          <w:rFonts w:ascii="David" w:hAnsi="David" w:hint="cs"/>
          <w:sz w:val="22"/>
          <w:rtl/>
        </w:rPr>
        <w:t xml:space="preserve"> - </w:t>
      </w:r>
      <w:r w:rsidR="009A1FB3">
        <w:rPr>
          <w:rFonts w:ascii="David" w:hAnsi="David" w:hint="cs"/>
          <w:sz w:val="22"/>
          <w:rtl/>
        </w:rPr>
        <w:t xml:space="preserve">מצב בו </w:t>
      </w:r>
      <w:r w:rsidR="00F73B64">
        <w:rPr>
          <w:rFonts w:ascii="David" w:hAnsi="David" w:hint="cs"/>
          <w:sz w:val="22"/>
          <w:rtl/>
        </w:rPr>
        <w:t>יש על האדם הספציפי מגבלה מוחלטת להינשא</w:t>
      </w:r>
      <w:r w:rsidR="009A1FB3">
        <w:rPr>
          <w:rFonts w:ascii="David" w:hAnsi="David" w:hint="cs"/>
          <w:sz w:val="22"/>
          <w:rtl/>
        </w:rPr>
        <w:t xml:space="preserve"> ולכן הוא לא יכול להינשא במצב הנתון לאף אחד. מגבלה מוחלטת יכולה להשתמות כמו גיל נישואין</w:t>
      </w:r>
      <w:r w:rsidR="00F73B64">
        <w:rPr>
          <w:rFonts w:ascii="David" w:hAnsi="David" w:hint="cs"/>
          <w:sz w:val="22"/>
          <w:rtl/>
        </w:rPr>
        <w:t xml:space="preserve">. </w:t>
      </w:r>
      <w:r w:rsidR="009A1FB3">
        <w:rPr>
          <w:rFonts w:ascii="David" w:hAnsi="David" w:hint="cs"/>
          <w:sz w:val="22"/>
          <w:rtl/>
        </w:rPr>
        <w:t>דוגמה נוספת,</w:t>
      </w:r>
      <w:r w:rsidR="00F73B64">
        <w:rPr>
          <w:rFonts w:ascii="David" w:hAnsi="David" w:hint="cs"/>
          <w:sz w:val="22"/>
          <w:rtl/>
        </w:rPr>
        <w:t xml:space="preserve"> אדם הנשוי לאדם אחר.</w:t>
      </w:r>
    </w:p>
    <w:p w14:paraId="5C5682A5" w14:textId="7D0958C7" w:rsidR="00AB58DE" w:rsidRDefault="00F73B64" w:rsidP="00465590">
      <w:pPr>
        <w:pStyle w:val="ac"/>
        <w:numPr>
          <w:ilvl w:val="2"/>
          <w:numId w:val="10"/>
        </w:numPr>
        <w:bidi/>
        <w:spacing w:after="0"/>
        <w:rPr>
          <w:rFonts w:ascii="David" w:hAnsi="David"/>
          <w:sz w:val="22"/>
        </w:rPr>
      </w:pPr>
      <w:r>
        <w:rPr>
          <w:rFonts w:ascii="David" w:hAnsi="David" w:hint="cs"/>
          <w:sz w:val="22"/>
          <w:rtl/>
        </w:rPr>
        <w:t>מגב</w:t>
      </w:r>
      <w:r w:rsidR="009A1FB3">
        <w:rPr>
          <w:rFonts w:ascii="David" w:hAnsi="David" w:hint="cs"/>
          <w:sz w:val="22"/>
          <w:rtl/>
        </w:rPr>
        <w:t xml:space="preserve">לות יחסיות - </w:t>
      </w:r>
      <w:r w:rsidR="00393BB3">
        <w:rPr>
          <w:rFonts w:ascii="David" w:hAnsi="David" w:hint="cs"/>
          <w:sz w:val="22"/>
          <w:rtl/>
        </w:rPr>
        <w:t>הגבלה ביחס לדבר מסוימים. לדוג' מגבלה ביחס לאדם אליו אני יכולה להינשא. למשל, להינשא לקרוב משפחה מדרגה ראשונה.</w:t>
      </w:r>
    </w:p>
    <w:p w14:paraId="0528571D" w14:textId="217AA840" w:rsidR="00E908FF" w:rsidRPr="007F0A81" w:rsidRDefault="00393BB3" w:rsidP="00465590">
      <w:pPr>
        <w:pStyle w:val="ac"/>
        <w:numPr>
          <w:ilvl w:val="1"/>
          <w:numId w:val="10"/>
        </w:numPr>
        <w:bidi/>
        <w:spacing w:after="0"/>
        <w:rPr>
          <w:rFonts w:ascii="David" w:hAnsi="David"/>
          <w:sz w:val="22"/>
        </w:rPr>
      </w:pPr>
      <w:r w:rsidRPr="00CA638E">
        <w:rPr>
          <w:rFonts w:ascii="David" w:hAnsi="David" w:hint="cs"/>
          <w:b/>
          <w:bCs/>
          <w:sz w:val="22"/>
          <w:shd w:val="clear" w:color="auto" w:fill="FFF4CD" w:themeFill="accent1" w:themeFillTint="33"/>
          <w:rtl/>
        </w:rPr>
        <w:t>חוק נישואין</w:t>
      </w:r>
      <w:r w:rsidR="0040567C" w:rsidRPr="00CA638E">
        <w:rPr>
          <w:rFonts w:ascii="David" w:hAnsi="David" w:hint="cs"/>
          <w:b/>
          <w:bCs/>
          <w:sz w:val="22"/>
          <w:shd w:val="clear" w:color="auto" w:fill="FFF4CD" w:themeFill="accent1" w:themeFillTint="33"/>
          <w:rtl/>
        </w:rPr>
        <w:t xml:space="preserve"> אזרחי בישראל - "חוק ברית הזוגיות"</w:t>
      </w:r>
      <w:r w:rsidR="0040567C">
        <w:rPr>
          <w:rFonts w:ascii="David" w:hAnsi="David" w:hint="cs"/>
          <w:sz w:val="22"/>
          <w:rtl/>
        </w:rPr>
        <w:t xml:space="preserve"> - חוק המנסה לתת פתרון לאנשים מחוסרי דת שלא יכולים להינשא באף בי"ד דתי</w:t>
      </w:r>
      <w:r w:rsidR="007C23FD">
        <w:rPr>
          <w:rFonts w:ascii="David" w:hAnsi="David" w:hint="cs"/>
          <w:sz w:val="22"/>
          <w:rtl/>
        </w:rPr>
        <w:t>. בחוק זה המנוח נישואין וגירושין אינו מופיע</w:t>
      </w:r>
      <w:r w:rsidR="003C7059">
        <w:rPr>
          <w:rFonts w:ascii="David" w:hAnsi="David" w:hint="cs"/>
          <w:sz w:val="22"/>
          <w:rtl/>
        </w:rPr>
        <w:t xml:space="preserve"> - זוהי מכבשת מילים, והבחירה של הכנסת לא לקרוא לזה כך היא כי הדבר נפיץ פוליטית.</w:t>
      </w:r>
      <w:r w:rsidR="00E908FF">
        <w:rPr>
          <w:rFonts w:ascii="David" w:hAnsi="David" w:hint="cs"/>
          <w:sz w:val="22"/>
          <w:rtl/>
        </w:rPr>
        <w:t xml:space="preserve">  </w:t>
      </w:r>
      <w:r w:rsidR="00E908FF" w:rsidRPr="007F0A81">
        <w:rPr>
          <w:rFonts w:ascii="David" w:hAnsi="David" w:hint="cs"/>
          <w:b/>
          <w:bCs/>
          <w:sz w:val="22"/>
          <w:u w:val="single"/>
          <w:rtl/>
        </w:rPr>
        <w:t>בחוק הזה קיימות מספר בעיות</w:t>
      </w:r>
      <w:r w:rsidR="00E908FF" w:rsidRPr="00F0329E">
        <w:rPr>
          <w:rFonts w:ascii="David" w:hAnsi="David" w:hint="cs"/>
          <w:b/>
          <w:bCs/>
          <w:sz w:val="22"/>
          <w:rtl/>
        </w:rPr>
        <w:t>:</w:t>
      </w:r>
      <w:r w:rsidR="007F0A81">
        <w:rPr>
          <w:rFonts w:ascii="David" w:hAnsi="David" w:hint="cs"/>
          <w:b/>
          <w:bCs/>
          <w:sz w:val="22"/>
          <w:rtl/>
        </w:rPr>
        <w:t xml:space="preserve"> </w:t>
      </w:r>
      <w:r w:rsidR="007F0A81" w:rsidRPr="007F0A81">
        <w:rPr>
          <w:rFonts w:ascii="David" w:hAnsi="David" w:hint="cs"/>
          <w:sz w:val="22"/>
          <w:rtl/>
        </w:rPr>
        <w:t>1)</w:t>
      </w:r>
      <w:r w:rsidR="007F0A81">
        <w:rPr>
          <w:rFonts w:ascii="David" w:hAnsi="David" w:hint="cs"/>
          <w:b/>
          <w:bCs/>
          <w:sz w:val="22"/>
          <w:rtl/>
        </w:rPr>
        <w:t xml:space="preserve"> </w:t>
      </w:r>
      <w:r w:rsidR="00E908FF" w:rsidRPr="007F0A81">
        <w:rPr>
          <w:rFonts w:ascii="David" w:hAnsi="David" w:hint="cs"/>
          <w:rtl/>
        </w:rPr>
        <w:t>הבעיה בחוק זה היא שיש צורך ששני בני הזוג יהיו חסרי דת</w:t>
      </w:r>
      <w:r w:rsidR="007F0A81">
        <w:rPr>
          <w:rFonts w:ascii="David" w:hAnsi="David" w:hint="cs"/>
          <w:rtl/>
        </w:rPr>
        <w:t xml:space="preserve">. 2) </w:t>
      </w:r>
      <w:r w:rsidR="00D66EAA" w:rsidRPr="007F0A81">
        <w:rPr>
          <w:rFonts w:ascii="David" w:hAnsi="David" w:hint="cs"/>
          <w:rtl/>
        </w:rPr>
        <w:t>ראשי העדות הדתיות יכולים להתנגד לנישואיהם אלו ולהגיד כי הם שייכים לדתם שלו.</w:t>
      </w:r>
    </w:p>
    <w:p w14:paraId="46E1865F" w14:textId="799562AF" w:rsidR="00F0329E" w:rsidRDefault="0032431C" w:rsidP="00CA638E">
      <w:pPr>
        <w:pStyle w:val="ac"/>
        <w:bidi/>
        <w:spacing w:after="0"/>
        <w:ind w:left="199"/>
        <w:rPr>
          <w:rFonts w:ascii="David" w:hAnsi="David"/>
          <w:sz w:val="22"/>
        </w:rPr>
      </w:pPr>
      <w:r w:rsidRPr="007F0A81">
        <w:rPr>
          <w:rFonts w:ascii="David" w:hAnsi="David" w:hint="cs"/>
          <w:b/>
          <w:bCs/>
          <w:sz w:val="22"/>
          <w:rtl/>
        </w:rPr>
        <w:t>צור</w:t>
      </w:r>
      <w:r w:rsidR="007F0A81" w:rsidRPr="007F0A81">
        <w:rPr>
          <w:rFonts w:ascii="David" w:hAnsi="David" w:hint="cs"/>
          <w:b/>
          <w:bCs/>
          <w:sz w:val="22"/>
          <w:rtl/>
        </w:rPr>
        <w:t>ת</w:t>
      </w:r>
      <w:r w:rsidRPr="007F0A81">
        <w:rPr>
          <w:rFonts w:ascii="David" w:hAnsi="David" w:hint="cs"/>
          <w:b/>
          <w:bCs/>
          <w:sz w:val="22"/>
          <w:rtl/>
        </w:rPr>
        <w:t xml:space="preserve"> הטקס</w:t>
      </w:r>
      <w:r>
        <w:rPr>
          <w:rFonts w:ascii="David" w:hAnsi="David" w:hint="cs"/>
          <w:sz w:val="22"/>
          <w:rtl/>
        </w:rPr>
        <w:t xml:space="preserve"> - </w:t>
      </w:r>
      <w:r w:rsidR="00F0329E">
        <w:rPr>
          <w:rFonts w:ascii="David" w:hAnsi="David" w:hint="cs"/>
          <w:sz w:val="22"/>
          <w:rtl/>
        </w:rPr>
        <w:t>ס' 8 לחוק ברית הזוגיות</w:t>
      </w:r>
      <w:r>
        <w:rPr>
          <w:rFonts w:ascii="David" w:hAnsi="David" w:hint="cs"/>
          <w:sz w:val="22"/>
          <w:rtl/>
        </w:rPr>
        <w:t xml:space="preserve"> - ללכת לרשם.</w:t>
      </w:r>
    </w:p>
    <w:p w14:paraId="1D05F213" w14:textId="133C8201" w:rsidR="0032431C" w:rsidRDefault="0032431C" w:rsidP="00CA638E">
      <w:pPr>
        <w:pStyle w:val="ac"/>
        <w:bidi/>
        <w:spacing w:after="0"/>
        <w:ind w:left="199"/>
        <w:rPr>
          <w:rFonts w:ascii="David" w:hAnsi="David"/>
          <w:sz w:val="22"/>
        </w:rPr>
      </w:pPr>
      <w:r w:rsidRPr="007F0A81">
        <w:rPr>
          <w:rFonts w:ascii="David" w:hAnsi="David" w:hint="cs"/>
          <w:b/>
          <w:bCs/>
          <w:sz w:val="22"/>
          <w:rtl/>
        </w:rPr>
        <w:t>גירושין</w:t>
      </w:r>
      <w:r>
        <w:rPr>
          <w:rFonts w:ascii="David" w:hAnsi="David" w:hint="cs"/>
          <w:sz w:val="22"/>
          <w:rtl/>
        </w:rPr>
        <w:t xml:space="preserve"> - בהסכמה וכאשר לא הסכמה הולכים לבית הדין לענייני משפחה.</w:t>
      </w:r>
    </w:p>
    <w:p w14:paraId="5F1C8681" w14:textId="017FCBDB" w:rsidR="00D3696C" w:rsidRPr="00A55170" w:rsidRDefault="00D3696C" w:rsidP="00CA638E">
      <w:pPr>
        <w:pStyle w:val="ac"/>
        <w:bidi/>
        <w:spacing w:after="0"/>
        <w:ind w:left="199"/>
        <w:rPr>
          <w:rFonts w:ascii="David" w:hAnsi="David"/>
          <w:sz w:val="22"/>
        </w:rPr>
      </w:pPr>
      <w:r w:rsidRPr="00A55170">
        <w:rPr>
          <w:rFonts w:ascii="David" w:hAnsi="David" w:hint="cs"/>
          <w:b/>
          <w:bCs/>
          <w:sz w:val="22"/>
          <w:rtl/>
        </w:rPr>
        <w:t>כשירות</w:t>
      </w:r>
      <w:r w:rsidRPr="00A55170">
        <w:rPr>
          <w:rFonts w:ascii="David" w:hAnsi="David" w:hint="cs"/>
          <w:sz w:val="22"/>
          <w:rtl/>
        </w:rPr>
        <w:t xml:space="preserve"> - </w:t>
      </w:r>
      <w:r w:rsidRPr="00A55170">
        <w:rPr>
          <w:rFonts w:ascii="David" w:hAnsi="David" w:hint="cs"/>
          <w:sz w:val="22"/>
          <w:u w:val="single"/>
          <w:rtl/>
        </w:rPr>
        <w:t>מגבלות מוחלטות</w:t>
      </w:r>
      <w:r w:rsidR="00A55170" w:rsidRPr="00A55170">
        <w:rPr>
          <w:rFonts w:ascii="David" w:hAnsi="David" w:hint="cs"/>
          <w:sz w:val="22"/>
          <w:u w:val="single"/>
          <w:rtl/>
        </w:rPr>
        <w:t>:</w:t>
      </w:r>
      <w:r w:rsidRPr="00A55170">
        <w:rPr>
          <w:rFonts w:ascii="David" w:hAnsi="David" w:hint="cs"/>
          <w:sz w:val="22"/>
          <w:rtl/>
        </w:rPr>
        <w:t xml:space="preserve"> </w:t>
      </w:r>
      <w:r w:rsidR="00870B14" w:rsidRPr="00A55170">
        <w:rPr>
          <w:rFonts w:ascii="David" w:hAnsi="David" w:hint="cs"/>
          <w:sz w:val="22"/>
          <w:rtl/>
        </w:rPr>
        <w:t xml:space="preserve">מעל גיל 18, אינם נשואים לאחר, </w:t>
      </w:r>
      <w:r w:rsidR="007F0A81" w:rsidRPr="00A55170">
        <w:rPr>
          <w:rFonts w:ascii="David" w:hAnsi="David" w:hint="cs"/>
          <w:sz w:val="22"/>
          <w:rtl/>
        </w:rPr>
        <w:t>שניהם חסרי דת.</w:t>
      </w:r>
      <w:r w:rsidR="00A55170">
        <w:rPr>
          <w:rFonts w:ascii="David" w:hAnsi="David" w:hint="cs"/>
          <w:sz w:val="22"/>
          <w:rtl/>
        </w:rPr>
        <w:t xml:space="preserve"> </w:t>
      </w:r>
      <w:r w:rsidRPr="001E5720">
        <w:rPr>
          <w:rFonts w:ascii="David" w:hAnsi="David" w:hint="cs"/>
          <w:u w:val="single"/>
          <w:rtl/>
        </w:rPr>
        <w:t>מגבלה יחסית</w:t>
      </w:r>
      <w:r w:rsidR="001E5720">
        <w:rPr>
          <w:rFonts w:ascii="David" w:hAnsi="David" w:hint="cs"/>
          <w:rtl/>
        </w:rPr>
        <w:t>:</w:t>
      </w:r>
      <w:r w:rsidRPr="00A55170">
        <w:rPr>
          <w:rFonts w:ascii="David" w:hAnsi="David" w:hint="cs"/>
          <w:rtl/>
        </w:rPr>
        <w:t xml:space="preserve"> הם אינם קרובי משפחה.</w:t>
      </w:r>
    </w:p>
    <w:p w14:paraId="316E424A" w14:textId="4AA71ED7" w:rsidR="009C7239" w:rsidRDefault="00A55170" w:rsidP="00465590">
      <w:pPr>
        <w:pStyle w:val="ac"/>
        <w:numPr>
          <w:ilvl w:val="1"/>
          <w:numId w:val="10"/>
        </w:numPr>
        <w:bidi/>
        <w:spacing w:after="0"/>
        <w:rPr>
          <w:rFonts w:ascii="David" w:hAnsi="David"/>
          <w:sz w:val="22"/>
        </w:rPr>
      </w:pPr>
      <w:r w:rsidRPr="00B9376A">
        <w:rPr>
          <w:rFonts w:ascii="David" w:hAnsi="David" w:hint="cs"/>
          <w:b/>
          <w:bCs/>
          <w:sz w:val="22"/>
          <w:shd w:val="clear" w:color="auto" w:fill="FFF4CD" w:themeFill="accent1" w:themeFillTint="33"/>
          <w:rtl/>
        </w:rPr>
        <w:t>בית הדין הדתי משפיע גם על מהגבלות מוחלטות וגם על המגבלות היחסיות. עם זאת, הוא מורגש הרבה יותר במגבלות היחסיות</w:t>
      </w:r>
      <w:r w:rsidR="00CA638E">
        <w:rPr>
          <w:rFonts w:ascii="David" w:hAnsi="David" w:hint="cs"/>
          <w:b/>
          <w:bCs/>
          <w:sz w:val="22"/>
          <w:rtl/>
        </w:rPr>
        <w:t>:</w:t>
      </w:r>
      <w:r w:rsidR="00D05C2C">
        <w:rPr>
          <w:rFonts w:ascii="David" w:hAnsi="David" w:hint="cs"/>
          <w:sz w:val="22"/>
          <w:rtl/>
        </w:rPr>
        <w:t xml:space="preserve"> </w:t>
      </w:r>
    </w:p>
    <w:p w14:paraId="08570715" w14:textId="319BB146" w:rsidR="00BA29A4" w:rsidRPr="00BA29A4" w:rsidRDefault="00BA29A4" w:rsidP="00465590">
      <w:pPr>
        <w:pStyle w:val="ac"/>
        <w:numPr>
          <w:ilvl w:val="2"/>
          <w:numId w:val="10"/>
        </w:numPr>
        <w:bidi/>
        <w:spacing w:after="0"/>
        <w:rPr>
          <w:rFonts w:ascii="David" w:hAnsi="David"/>
          <w:sz w:val="22"/>
          <w:u w:val="single"/>
        </w:rPr>
      </w:pPr>
      <w:r w:rsidRPr="00BA29A4">
        <w:rPr>
          <w:rFonts w:ascii="David" w:hAnsi="David" w:hint="cs"/>
          <w:sz w:val="22"/>
          <w:u w:val="single"/>
          <w:rtl/>
        </w:rPr>
        <w:t>המגבלות היחסיות הבולטות ביותר:</w:t>
      </w:r>
    </w:p>
    <w:p w14:paraId="1D0AB527" w14:textId="77777777" w:rsidR="00CA638E" w:rsidRDefault="00D05C2C" w:rsidP="00465590">
      <w:pPr>
        <w:pStyle w:val="ac"/>
        <w:numPr>
          <w:ilvl w:val="3"/>
          <w:numId w:val="10"/>
        </w:numPr>
        <w:bidi/>
        <w:spacing w:after="0"/>
        <w:rPr>
          <w:rFonts w:ascii="David" w:hAnsi="David"/>
          <w:sz w:val="22"/>
        </w:rPr>
      </w:pPr>
      <w:r>
        <w:rPr>
          <w:rFonts w:ascii="David" w:hAnsi="David" w:hint="cs"/>
          <w:sz w:val="22"/>
          <w:rtl/>
        </w:rPr>
        <w:t xml:space="preserve">המגבלה הכי קשה היא המגבלה על נישואין בית דתות (חריג - מוסלמי יכול להינשא לבת גת אחרת). </w:t>
      </w:r>
    </w:p>
    <w:p w14:paraId="7430A938" w14:textId="77777777" w:rsidR="00CA638E" w:rsidRDefault="00AF32C3" w:rsidP="00465590">
      <w:pPr>
        <w:pStyle w:val="ac"/>
        <w:numPr>
          <w:ilvl w:val="3"/>
          <w:numId w:val="10"/>
        </w:numPr>
        <w:bidi/>
        <w:spacing w:after="0"/>
        <w:rPr>
          <w:rFonts w:ascii="David" w:hAnsi="David"/>
          <w:sz w:val="22"/>
        </w:rPr>
      </w:pPr>
      <w:r>
        <w:rPr>
          <w:rFonts w:ascii="David" w:hAnsi="David" w:hint="cs"/>
          <w:sz w:val="22"/>
          <w:rtl/>
        </w:rPr>
        <w:lastRenderedPageBreak/>
        <w:t>קבוצה גדולה נוספת היא להטב"ק.</w:t>
      </w:r>
    </w:p>
    <w:p w14:paraId="2879C723" w14:textId="4A9A9A37" w:rsidR="00F0329E" w:rsidRDefault="00AF32C3" w:rsidP="00465590">
      <w:pPr>
        <w:pStyle w:val="ac"/>
        <w:numPr>
          <w:ilvl w:val="3"/>
          <w:numId w:val="10"/>
        </w:numPr>
        <w:bidi/>
        <w:spacing w:after="0"/>
        <w:rPr>
          <w:rFonts w:ascii="David" w:hAnsi="David"/>
          <w:sz w:val="22"/>
        </w:rPr>
      </w:pPr>
      <w:r>
        <w:rPr>
          <w:rFonts w:ascii="David" w:hAnsi="David" w:hint="cs"/>
          <w:sz w:val="22"/>
          <w:rtl/>
        </w:rPr>
        <w:t xml:space="preserve"> הקבוצה הבאה שמוגבלת היא קבוצת </w:t>
      </w:r>
      <w:r w:rsidR="00CA638E">
        <w:rPr>
          <w:rFonts w:ascii="David" w:hAnsi="David" w:hint="cs"/>
          <w:sz w:val="22"/>
          <w:rtl/>
        </w:rPr>
        <w:t>היהודים שאינם יכולים להינשא אחת לשני - כמו כהן וגרושה.</w:t>
      </w:r>
      <w:r w:rsidR="009C7239">
        <w:rPr>
          <w:rFonts w:ascii="David" w:hAnsi="David" w:hint="cs"/>
          <w:sz w:val="22"/>
          <w:rtl/>
        </w:rPr>
        <w:t xml:space="preserve"> בתוך היהודים כוהנים הם המוגבלים ביותר.</w:t>
      </w:r>
    </w:p>
    <w:p w14:paraId="4894150B" w14:textId="41352AC5" w:rsidR="00C44464" w:rsidRDefault="00675A0E" w:rsidP="00465590">
      <w:pPr>
        <w:pStyle w:val="ac"/>
        <w:numPr>
          <w:ilvl w:val="2"/>
          <w:numId w:val="10"/>
        </w:numPr>
        <w:bidi/>
        <w:spacing w:after="0"/>
        <w:rPr>
          <w:rFonts w:ascii="David" w:hAnsi="David"/>
          <w:b/>
          <w:bCs/>
          <w:sz w:val="22"/>
        </w:rPr>
      </w:pPr>
      <w:r>
        <w:rPr>
          <w:rFonts w:ascii="David" w:hAnsi="David" w:hint="cs"/>
          <w:sz w:val="22"/>
          <w:u w:val="single"/>
          <w:rtl/>
        </w:rPr>
        <w:t xml:space="preserve">הפרדוקס של </w:t>
      </w:r>
      <w:r w:rsidR="009C7239" w:rsidRPr="00EB0F4A">
        <w:rPr>
          <w:rFonts w:ascii="David" w:hAnsi="David" w:hint="cs"/>
          <w:sz w:val="22"/>
          <w:u w:val="single"/>
          <w:rtl/>
        </w:rPr>
        <w:t xml:space="preserve">שתי מגבלות מוחלטות </w:t>
      </w:r>
      <w:r w:rsidR="00A00310" w:rsidRPr="00EB0F4A">
        <w:rPr>
          <w:rFonts w:ascii="David" w:hAnsi="David" w:hint="cs"/>
          <w:sz w:val="22"/>
          <w:u w:val="single"/>
          <w:rtl/>
        </w:rPr>
        <w:t>משמעותיות הקיימות בישראל:</w:t>
      </w:r>
      <w:r w:rsidR="009C7239">
        <w:rPr>
          <w:rFonts w:ascii="David" w:hAnsi="David" w:hint="cs"/>
          <w:sz w:val="22"/>
          <w:rtl/>
        </w:rPr>
        <w:t xml:space="preserve"> גיל הנישואין</w:t>
      </w:r>
      <w:r w:rsidR="00BA29A4">
        <w:rPr>
          <w:rFonts w:ascii="David" w:hAnsi="David" w:hint="cs"/>
          <w:sz w:val="22"/>
          <w:rtl/>
        </w:rPr>
        <w:t xml:space="preserve"> וריבוי נישואין.</w:t>
      </w:r>
      <w:r w:rsidR="00A00310">
        <w:rPr>
          <w:rFonts w:ascii="David" w:hAnsi="David" w:hint="cs"/>
          <w:sz w:val="22"/>
          <w:rtl/>
        </w:rPr>
        <w:t xml:space="preserve"> שתי מגבלות אלו</w:t>
      </w:r>
      <w:r w:rsidR="00C44464">
        <w:rPr>
          <w:rFonts w:ascii="David" w:hAnsi="David" w:hint="cs"/>
          <w:sz w:val="22"/>
          <w:rtl/>
        </w:rPr>
        <w:t xml:space="preserve"> מוגבלות על ידי החוק הפלילי במדינת ישראל - אך בפועל</w:t>
      </w:r>
      <w:r w:rsidR="00A74AC8">
        <w:rPr>
          <w:rFonts w:ascii="David" w:hAnsi="David" w:hint="cs"/>
          <w:sz w:val="22"/>
          <w:rtl/>
        </w:rPr>
        <w:t>,</w:t>
      </w:r>
      <w:r w:rsidR="00C44464">
        <w:rPr>
          <w:rFonts w:ascii="David" w:hAnsi="David" w:hint="cs"/>
          <w:sz w:val="22"/>
          <w:rtl/>
        </w:rPr>
        <w:t xml:space="preserve"> לפחות לגבי פוליגמיה </w:t>
      </w:r>
      <w:r w:rsidR="00A74AC8">
        <w:rPr>
          <w:rFonts w:ascii="David" w:hAnsi="David" w:hint="cs"/>
          <w:sz w:val="22"/>
          <w:rtl/>
        </w:rPr>
        <w:t>ו</w:t>
      </w:r>
      <w:r w:rsidR="00C44464">
        <w:rPr>
          <w:rFonts w:ascii="David" w:hAnsi="David" w:hint="cs"/>
          <w:sz w:val="22"/>
          <w:rtl/>
        </w:rPr>
        <w:t>במידה מסוימת גם לגבי גיל הנישואין אין כמעט אכיפה.</w:t>
      </w:r>
      <w:r w:rsidR="007544CC">
        <w:rPr>
          <w:rFonts w:ascii="David" w:hAnsi="David" w:hint="cs"/>
          <w:sz w:val="22"/>
          <w:rtl/>
        </w:rPr>
        <w:t xml:space="preserve"> במישור דיני הנישואין יכול להיות שהנישואים שלך יהיו תקפים, אך אתה עלול לשבת על כך בכלא. </w:t>
      </w:r>
      <w:r w:rsidR="007544CC" w:rsidRPr="00EB0F4A">
        <w:rPr>
          <w:rFonts w:ascii="David" w:hAnsi="David" w:hint="cs"/>
          <w:b/>
          <w:bCs/>
          <w:sz w:val="22"/>
          <w:rtl/>
        </w:rPr>
        <w:t>כלומר, ישנה סתירה בין הדין הפלילי לדי</w:t>
      </w:r>
      <w:r w:rsidR="00EB0F4A" w:rsidRPr="00EB0F4A">
        <w:rPr>
          <w:rFonts w:ascii="David" w:hAnsi="David" w:hint="cs"/>
          <w:b/>
          <w:bCs/>
          <w:sz w:val="22"/>
          <w:rtl/>
        </w:rPr>
        <w:t>ני הנישואין.</w:t>
      </w:r>
      <w:r w:rsidR="00B90A84">
        <w:rPr>
          <w:rFonts w:ascii="David" w:hAnsi="David" w:hint="cs"/>
          <w:b/>
          <w:bCs/>
          <w:sz w:val="22"/>
          <w:rtl/>
        </w:rPr>
        <w:t xml:space="preserve"> </w:t>
      </w:r>
      <w:r w:rsidR="00B90A84">
        <w:rPr>
          <w:rFonts w:ascii="David" w:hAnsi="David" w:hint="cs"/>
          <w:sz w:val="22"/>
          <w:rtl/>
        </w:rPr>
        <w:t xml:space="preserve">לדוג' שני בני 16 שבוחרים להינשא </w:t>
      </w:r>
      <w:r w:rsidR="00982050">
        <w:rPr>
          <w:rFonts w:ascii="David" w:hAnsi="David" w:hint="cs"/>
          <w:sz w:val="22"/>
          <w:rtl/>
        </w:rPr>
        <w:t>אומנם עושים עבירה פלילית אבל הנישואים שלהם תקפים</w:t>
      </w:r>
      <w:r w:rsidR="001414B9">
        <w:rPr>
          <w:rFonts w:ascii="David" w:hAnsi="David" w:hint="cs"/>
          <w:sz w:val="22"/>
          <w:rtl/>
        </w:rPr>
        <w:t xml:space="preserve"> - </w:t>
      </w:r>
      <w:r w:rsidR="00D57EA8">
        <w:rPr>
          <w:rFonts w:ascii="David" w:hAnsi="David" w:hint="cs"/>
          <w:sz w:val="22"/>
          <w:rtl/>
        </w:rPr>
        <w:t xml:space="preserve">דוגמה זו מדגישה </w:t>
      </w:r>
      <w:r w:rsidR="001414B9">
        <w:rPr>
          <w:rFonts w:ascii="David" w:hAnsi="David" w:hint="cs"/>
          <w:sz w:val="22"/>
          <w:rtl/>
        </w:rPr>
        <w:t>את</w:t>
      </w:r>
      <w:r w:rsidR="00982050">
        <w:rPr>
          <w:rFonts w:ascii="David" w:hAnsi="David" w:hint="cs"/>
          <w:sz w:val="22"/>
          <w:rtl/>
        </w:rPr>
        <w:t xml:space="preserve"> ההבדל הכי מהותי בין נישואין אזרחים לנישואים דתיים,</w:t>
      </w:r>
      <w:r w:rsidR="00EC6EF6">
        <w:rPr>
          <w:rFonts w:ascii="David" w:hAnsi="David" w:hint="cs"/>
          <w:sz w:val="22"/>
          <w:rtl/>
        </w:rPr>
        <w:t xml:space="preserve"> </w:t>
      </w:r>
      <w:r w:rsidR="00EC6EF6" w:rsidRPr="001414B9">
        <w:rPr>
          <w:rFonts w:ascii="David" w:hAnsi="David" w:hint="cs"/>
          <w:b/>
          <w:bCs/>
          <w:sz w:val="22"/>
          <w:rtl/>
        </w:rPr>
        <w:t xml:space="preserve">שכן מי שיוצר את הנישואין על פי החוק האזרחי </w:t>
      </w:r>
      <w:r w:rsidR="00D57EA8" w:rsidRPr="001414B9">
        <w:rPr>
          <w:rFonts w:ascii="David" w:hAnsi="David" w:hint="cs"/>
          <w:b/>
          <w:bCs/>
          <w:sz w:val="22"/>
          <w:rtl/>
        </w:rPr>
        <w:t>הוא המדינה בעוד בעל פי הדין הדתי מי שיוצר את הנישואין הוא האנשים עצמם</w:t>
      </w:r>
      <w:r w:rsidR="00D57EA8">
        <w:rPr>
          <w:rFonts w:ascii="David" w:hAnsi="David" w:hint="cs"/>
          <w:sz w:val="22"/>
          <w:rtl/>
        </w:rPr>
        <w:t>.</w:t>
      </w:r>
      <w:r w:rsidR="00EB0F4A">
        <w:rPr>
          <w:rFonts w:ascii="David" w:hAnsi="David" w:hint="cs"/>
          <w:b/>
          <w:bCs/>
          <w:sz w:val="22"/>
          <w:rtl/>
        </w:rPr>
        <w:t xml:space="preserve"> </w:t>
      </w:r>
    </w:p>
    <w:p w14:paraId="0AB74546" w14:textId="016ADE05" w:rsidR="008B5793" w:rsidRPr="00C52DBA" w:rsidRDefault="0004444C" w:rsidP="00465590">
      <w:pPr>
        <w:pStyle w:val="ac"/>
        <w:numPr>
          <w:ilvl w:val="1"/>
          <w:numId w:val="10"/>
        </w:numPr>
        <w:bidi/>
        <w:spacing w:after="0"/>
        <w:rPr>
          <w:rFonts w:ascii="David" w:hAnsi="David"/>
          <w:b/>
          <w:bCs/>
          <w:sz w:val="22"/>
        </w:rPr>
      </w:pPr>
      <w:r w:rsidRPr="00B9376A">
        <w:rPr>
          <w:rFonts w:ascii="David" w:hAnsi="David" w:hint="cs"/>
          <w:b/>
          <w:bCs/>
          <w:sz w:val="22"/>
          <w:shd w:val="clear" w:color="auto" w:fill="FFF4CD" w:themeFill="accent1" w:themeFillTint="33"/>
          <w:rtl/>
        </w:rPr>
        <w:t xml:space="preserve">מה יהיו התוצאות של מצב בו </w:t>
      </w:r>
      <w:r w:rsidR="008B5793" w:rsidRPr="00B9376A">
        <w:rPr>
          <w:rFonts w:ascii="David" w:hAnsi="David" w:hint="cs"/>
          <w:b/>
          <w:bCs/>
          <w:sz w:val="22"/>
          <w:shd w:val="clear" w:color="auto" w:fill="FFF4CD" w:themeFill="accent1" w:themeFillTint="33"/>
          <w:rtl/>
        </w:rPr>
        <w:t>אנשים יתחתנו על אף שבית הדין הרבני יתנגד?</w:t>
      </w:r>
      <w:r w:rsidR="008B5793" w:rsidRPr="00B9376A">
        <w:rPr>
          <w:rFonts w:ascii="David" w:hAnsi="David" w:hint="cs"/>
          <w:b/>
          <w:bCs/>
          <w:sz w:val="22"/>
          <w:u w:val="single"/>
          <w:shd w:val="clear" w:color="auto" w:fill="FFF4CD" w:themeFill="accent1" w:themeFillTint="33"/>
          <w:rtl/>
        </w:rPr>
        <w:t xml:space="preserve"> </w:t>
      </w:r>
      <w:r w:rsidR="008B5793" w:rsidRPr="00C52DBA">
        <w:rPr>
          <w:rFonts w:ascii="David" w:hAnsi="David" w:hint="cs"/>
          <w:b/>
          <w:bCs/>
          <w:sz w:val="22"/>
          <w:u w:val="single"/>
          <w:rtl/>
        </w:rPr>
        <w:t>שלוש תוצאות:</w:t>
      </w:r>
    </w:p>
    <w:p w14:paraId="2AA9D682" w14:textId="357C2EE2" w:rsidR="008B5793" w:rsidRDefault="00C8646D" w:rsidP="00465590">
      <w:pPr>
        <w:pStyle w:val="ac"/>
        <w:numPr>
          <w:ilvl w:val="2"/>
          <w:numId w:val="10"/>
        </w:numPr>
        <w:bidi/>
        <w:spacing w:after="0"/>
        <w:rPr>
          <w:rFonts w:ascii="David" w:hAnsi="David"/>
          <w:sz w:val="22"/>
        </w:rPr>
      </w:pPr>
      <w:r w:rsidRPr="00196781">
        <w:rPr>
          <w:rFonts w:ascii="David" w:hAnsi="David" w:hint="cs"/>
          <w:sz w:val="22"/>
          <w:u w:val="single"/>
          <w:rtl/>
        </w:rPr>
        <w:t xml:space="preserve">אסורים </w:t>
      </w:r>
      <w:r w:rsidR="00CF6856">
        <w:rPr>
          <w:rFonts w:ascii="David" w:hAnsi="David" w:hint="cs"/>
          <w:sz w:val="22"/>
          <w:u w:val="single"/>
          <w:rtl/>
        </w:rPr>
        <w:t>ו</w:t>
      </w:r>
      <w:r w:rsidRPr="00196781">
        <w:rPr>
          <w:rFonts w:ascii="David" w:hAnsi="David" w:hint="cs"/>
          <w:sz w:val="22"/>
          <w:u w:val="single"/>
          <w:rtl/>
        </w:rPr>
        <w:t>בטלים</w:t>
      </w:r>
      <w:r>
        <w:rPr>
          <w:rFonts w:ascii="David" w:hAnsi="David" w:hint="cs"/>
          <w:sz w:val="22"/>
          <w:rtl/>
        </w:rPr>
        <w:t xml:space="preserve"> - </w:t>
      </w:r>
      <w:r w:rsidR="0005769E" w:rsidRPr="00271CDC">
        <w:rPr>
          <w:rFonts w:ascii="David" w:hAnsi="David" w:hint="cs"/>
          <w:sz w:val="22"/>
          <w:rtl/>
        </w:rPr>
        <w:t xml:space="preserve">התוצאה הגיונית ביותר היא שאם אתה מתחתן בניגוד לדין הדתי, אין להם שום תוקף </w:t>
      </w:r>
      <w:r w:rsidR="00881D9B">
        <w:rPr>
          <w:rFonts w:ascii="David" w:hAnsi="David" w:hint="cs"/>
          <w:sz w:val="22"/>
          <w:rtl/>
        </w:rPr>
        <w:t>(</w:t>
      </w:r>
      <w:r w:rsidR="00A46F17">
        <w:rPr>
          <w:rFonts w:ascii="David" w:hAnsi="David"/>
          <w:sz w:val="22"/>
        </w:rPr>
        <w:t>void</w:t>
      </w:r>
      <w:r w:rsidR="00A46F17">
        <w:rPr>
          <w:rFonts w:ascii="David" w:hAnsi="David" w:hint="cs"/>
          <w:sz w:val="22"/>
          <w:rtl/>
        </w:rPr>
        <w:t xml:space="preserve">) </w:t>
      </w:r>
      <w:r w:rsidR="0005769E" w:rsidRPr="00271CDC">
        <w:rPr>
          <w:rFonts w:ascii="David" w:hAnsi="David" w:hint="cs"/>
          <w:sz w:val="22"/>
          <w:rtl/>
        </w:rPr>
        <w:t xml:space="preserve">גם אם הטקס היה </w:t>
      </w:r>
      <w:r w:rsidR="00033FCC" w:rsidRPr="00271CDC">
        <w:rPr>
          <w:rFonts w:ascii="David" w:hAnsi="David" w:hint="cs"/>
          <w:sz w:val="22"/>
          <w:rtl/>
        </w:rPr>
        <w:t>מאה אחוז. לדוג' יהודי ש</w:t>
      </w:r>
      <w:r w:rsidR="00CF6856">
        <w:rPr>
          <w:rFonts w:ascii="David" w:hAnsi="David" w:hint="cs"/>
          <w:sz w:val="22"/>
          <w:rtl/>
        </w:rPr>
        <w:t>מ</w:t>
      </w:r>
      <w:r w:rsidR="00033FCC" w:rsidRPr="00271CDC">
        <w:rPr>
          <w:rFonts w:ascii="David" w:hAnsi="David" w:hint="cs"/>
          <w:sz w:val="22"/>
          <w:rtl/>
        </w:rPr>
        <w:t>תחתן עם גויה או גבר שמתחתן עם גבר.</w:t>
      </w:r>
    </w:p>
    <w:p w14:paraId="0290CC29" w14:textId="6940AA90" w:rsidR="00751232" w:rsidRDefault="00C8646D" w:rsidP="00465590">
      <w:pPr>
        <w:pStyle w:val="ac"/>
        <w:numPr>
          <w:ilvl w:val="2"/>
          <w:numId w:val="10"/>
        </w:numPr>
        <w:bidi/>
        <w:spacing w:after="0"/>
        <w:rPr>
          <w:rFonts w:ascii="David" w:hAnsi="David"/>
          <w:sz w:val="22"/>
        </w:rPr>
      </w:pPr>
      <w:r w:rsidRPr="00196781">
        <w:rPr>
          <w:rFonts w:ascii="David" w:hAnsi="David" w:hint="cs"/>
          <w:sz w:val="22"/>
          <w:u w:val="single"/>
          <w:rtl/>
        </w:rPr>
        <w:t>אסורים מלכתחילה ותופסים בדיעבד</w:t>
      </w:r>
      <w:r>
        <w:rPr>
          <w:rFonts w:ascii="David" w:hAnsi="David" w:hint="cs"/>
          <w:sz w:val="22"/>
          <w:rtl/>
        </w:rPr>
        <w:t xml:space="preserve"> -</w:t>
      </w:r>
      <w:r w:rsidR="00DB34FE" w:rsidRPr="00DB34FE">
        <w:rPr>
          <w:rFonts w:ascii="David" w:hAnsi="David" w:hint="cs"/>
          <w:sz w:val="22"/>
          <w:rtl/>
        </w:rPr>
        <w:t xml:space="preserve"> </w:t>
      </w:r>
      <w:r w:rsidR="00DB34FE">
        <w:rPr>
          <w:rFonts w:ascii="David" w:hAnsi="David" w:hint="cs"/>
          <w:sz w:val="22"/>
          <w:rtl/>
        </w:rPr>
        <w:t>לדוג' כהן וגרושה.</w:t>
      </w:r>
      <w:r>
        <w:rPr>
          <w:rFonts w:ascii="David" w:hAnsi="David" w:hint="cs"/>
          <w:sz w:val="22"/>
          <w:rtl/>
        </w:rPr>
        <w:t xml:space="preserve"> </w:t>
      </w:r>
      <w:r w:rsidR="00AC7924">
        <w:rPr>
          <w:rFonts w:ascii="David" w:hAnsi="David" w:hint="cs"/>
          <w:sz w:val="22"/>
          <w:rtl/>
        </w:rPr>
        <w:t>איך אפשר לדעת שיש תוקף?</w:t>
      </w:r>
      <w:r w:rsidR="00715152">
        <w:rPr>
          <w:rFonts w:ascii="David" w:hAnsi="David" w:hint="cs"/>
          <w:sz w:val="22"/>
          <w:rtl/>
        </w:rPr>
        <w:t xml:space="preserve"> כאשר בני זוג האלה צריכים גט</w:t>
      </w:r>
      <w:r w:rsidR="007E3F56">
        <w:rPr>
          <w:rFonts w:ascii="David" w:hAnsi="David" w:hint="cs"/>
          <w:sz w:val="22"/>
          <w:rtl/>
        </w:rPr>
        <w:t xml:space="preserve"> - לא מדובר בגט מספק או לחומרא</w:t>
      </w:r>
      <w:r w:rsidR="00715152">
        <w:rPr>
          <w:rFonts w:ascii="David" w:hAnsi="David" w:hint="cs"/>
          <w:sz w:val="22"/>
          <w:rtl/>
        </w:rPr>
        <w:t xml:space="preserve">. </w:t>
      </w:r>
      <w:r w:rsidR="00DB34FE">
        <w:rPr>
          <w:rFonts w:ascii="David" w:hAnsi="David" w:hint="cs"/>
          <w:sz w:val="22"/>
          <w:rtl/>
        </w:rPr>
        <w:t>רוב המקרים של ספק נישואין קשורים בעיקר לטקס ולא לכשרות להינשא.</w:t>
      </w:r>
      <w:r w:rsidR="00751232">
        <w:rPr>
          <w:rFonts w:ascii="David" w:hAnsi="David" w:hint="cs"/>
          <w:sz w:val="22"/>
          <w:rtl/>
        </w:rPr>
        <w:t xml:space="preserve"> </w:t>
      </w:r>
    </w:p>
    <w:p w14:paraId="70DC3791" w14:textId="26207A26" w:rsidR="00476097" w:rsidRDefault="00476097" w:rsidP="00465590">
      <w:pPr>
        <w:pStyle w:val="ac"/>
        <w:numPr>
          <w:ilvl w:val="2"/>
          <w:numId w:val="10"/>
        </w:numPr>
        <w:bidi/>
        <w:spacing w:after="0"/>
        <w:rPr>
          <w:rFonts w:ascii="David" w:hAnsi="David"/>
          <w:sz w:val="22"/>
        </w:rPr>
      </w:pPr>
      <w:r>
        <w:rPr>
          <w:rFonts w:ascii="David" w:hAnsi="David" w:hint="cs"/>
          <w:sz w:val="22"/>
          <w:u w:val="single"/>
          <w:rtl/>
        </w:rPr>
        <w:t xml:space="preserve">ספק </w:t>
      </w:r>
      <w:r w:rsidRPr="00476097">
        <w:rPr>
          <w:rFonts w:ascii="David" w:hAnsi="David" w:hint="cs"/>
          <w:sz w:val="22"/>
          <w:rtl/>
        </w:rPr>
        <w:t>-</w:t>
      </w:r>
      <w:r>
        <w:rPr>
          <w:rFonts w:ascii="David" w:hAnsi="David" w:hint="cs"/>
          <w:sz w:val="22"/>
          <w:rtl/>
        </w:rPr>
        <w:t xml:space="preserve"> </w:t>
      </w:r>
      <w:r w:rsidR="00217630">
        <w:rPr>
          <w:rFonts w:ascii="David" w:hAnsi="David" w:hint="cs"/>
          <w:sz w:val="22"/>
          <w:rtl/>
        </w:rPr>
        <w:t>השארת הדין ללא הכרעה</w:t>
      </w:r>
      <w:r w:rsidR="00881D9B">
        <w:rPr>
          <w:rFonts w:ascii="David" w:hAnsi="David" w:hint="cs"/>
          <w:sz w:val="22"/>
          <w:rtl/>
        </w:rPr>
        <w:t xml:space="preserve"> - נדיר יחסית</w:t>
      </w:r>
      <w:r w:rsidR="00217630">
        <w:rPr>
          <w:rFonts w:ascii="David" w:hAnsi="David" w:hint="cs"/>
          <w:sz w:val="22"/>
          <w:rtl/>
        </w:rPr>
        <w:t xml:space="preserve">. </w:t>
      </w:r>
      <w:r>
        <w:rPr>
          <w:rFonts w:ascii="David" w:hAnsi="David" w:hint="cs"/>
          <w:sz w:val="22"/>
          <w:rtl/>
        </w:rPr>
        <w:t xml:space="preserve">בשונה </w:t>
      </w:r>
      <w:r w:rsidR="00217630">
        <w:rPr>
          <w:rFonts w:ascii="David" w:hAnsi="David" w:hint="cs"/>
          <w:sz w:val="22"/>
          <w:rtl/>
        </w:rPr>
        <w:t>מהמערכת האזרחית</w:t>
      </w:r>
      <w:r>
        <w:rPr>
          <w:rFonts w:ascii="David" w:hAnsi="David" w:hint="cs"/>
          <w:sz w:val="22"/>
          <w:rtl/>
        </w:rPr>
        <w:t xml:space="preserve"> ספק יכול להיות תוצאה משפטית</w:t>
      </w:r>
      <w:r w:rsidR="00217630">
        <w:rPr>
          <w:rFonts w:ascii="David" w:hAnsi="David" w:hint="cs"/>
          <w:sz w:val="22"/>
          <w:rtl/>
        </w:rPr>
        <w:t>- בדין האזרחי לא ניתן להשאיר תוצאה משפטית ללא הכרעה</w:t>
      </w:r>
      <w:r w:rsidR="00011733">
        <w:rPr>
          <w:rFonts w:ascii="David" w:hAnsi="David" w:hint="cs"/>
          <w:sz w:val="22"/>
          <w:rtl/>
        </w:rPr>
        <w:t xml:space="preserve">. </w:t>
      </w:r>
      <w:r w:rsidR="00306523">
        <w:rPr>
          <w:rFonts w:ascii="David" w:hAnsi="David" w:hint="cs"/>
          <w:sz w:val="22"/>
          <w:rtl/>
        </w:rPr>
        <w:t>המקרה הכי מוכר של ספק נישואין הוא של בני זוג שהתגרשו והמשיכו לגור יחד.</w:t>
      </w:r>
    </w:p>
    <w:p w14:paraId="459F0953" w14:textId="15F8899A" w:rsidR="00684C7F" w:rsidRDefault="00A46F17" w:rsidP="00465590">
      <w:pPr>
        <w:pStyle w:val="ac"/>
        <w:numPr>
          <w:ilvl w:val="1"/>
          <w:numId w:val="10"/>
        </w:numPr>
        <w:bidi/>
        <w:spacing w:after="0"/>
        <w:rPr>
          <w:rFonts w:ascii="David" w:hAnsi="David"/>
          <w:sz w:val="22"/>
        </w:rPr>
      </w:pPr>
      <w:r>
        <w:rPr>
          <w:rFonts w:ascii="David" w:hAnsi="David" w:hint="cs"/>
          <w:sz w:val="22"/>
          <w:rtl/>
        </w:rPr>
        <w:t xml:space="preserve">למה ההלכה מאפשרת תוצאה של </w:t>
      </w:r>
      <w:r w:rsidR="009D6B1D">
        <w:rPr>
          <w:rFonts w:ascii="David" w:hAnsi="David" w:hint="cs"/>
          <w:sz w:val="22"/>
          <w:rtl/>
        </w:rPr>
        <w:t>נישואין שתופסים בדיעבד? עקרונית בהלכה</w:t>
      </w:r>
      <w:r w:rsidR="00645051">
        <w:rPr>
          <w:rFonts w:ascii="David" w:hAnsi="David" w:hint="cs"/>
          <w:sz w:val="22"/>
          <w:rtl/>
        </w:rPr>
        <w:t xml:space="preserve"> גם</w:t>
      </w:r>
      <w:r w:rsidR="008C098D">
        <w:rPr>
          <w:rFonts w:ascii="David" w:hAnsi="David" w:hint="cs"/>
          <w:sz w:val="22"/>
          <w:rtl/>
        </w:rPr>
        <w:t xml:space="preserve"> בתחום </w:t>
      </w:r>
      <w:r w:rsidR="00645051">
        <w:rPr>
          <w:rFonts w:ascii="David" w:hAnsi="David" w:hint="cs"/>
          <w:sz w:val="22"/>
          <w:rtl/>
        </w:rPr>
        <w:t xml:space="preserve">דיני </w:t>
      </w:r>
      <w:r w:rsidR="008C098D">
        <w:rPr>
          <w:rFonts w:ascii="David" w:hAnsi="David" w:hint="cs"/>
          <w:sz w:val="22"/>
          <w:rtl/>
        </w:rPr>
        <w:t>ה</w:t>
      </w:r>
      <w:r w:rsidR="00645051">
        <w:rPr>
          <w:rFonts w:ascii="David" w:hAnsi="David" w:hint="cs"/>
          <w:sz w:val="22"/>
          <w:rtl/>
        </w:rPr>
        <w:t>חוזים ישנם חוזים אסורים אך תקפים בדיעבד.</w:t>
      </w:r>
      <w:r w:rsidR="00684C7F">
        <w:rPr>
          <w:rFonts w:ascii="David" w:hAnsi="David" w:hint="cs"/>
          <w:sz w:val="22"/>
          <w:rtl/>
        </w:rPr>
        <w:t xml:space="preserve"> עם זאת, אין לכך הסבר פשוט וזו התוצאה.</w:t>
      </w:r>
    </w:p>
    <w:p w14:paraId="3BCC847F" w14:textId="77777777" w:rsidR="00833857" w:rsidRPr="00A72B7F" w:rsidRDefault="00180FE3" w:rsidP="00465590">
      <w:pPr>
        <w:pStyle w:val="ac"/>
        <w:numPr>
          <w:ilvl w:val="1"/>
          <w:numId w:val="10"/>
        </w:numPr>
        <w:bidi/>
        <w:spacing w:after="0"/>
        <w:rPr>
          <w:rFonts w:ascii="David" w:hAnsi="David"/>
          <w:b/>
          <w:bCs/>
          <w:sz w:val="22"/>
        </w:rPr>
      </w:pPr>
      <w:r w:rsidRPr="00A72B7F">
        <w:rPr>
          <w:rFonts w:ascii="David" w:hAnsi="David" w:hint="cs"/>
          <w:b/>
          <w:bCs/>
          <w:sz w:val="22"/>
          <w:rtl/>
        </w:rPr>
        <w:t>כיצד המדינה מתמודדת עם ההגבלות שהיהדות יוצרת על הכשירות להינשא</w:t>
      </w:r>
      <w:r w:rsidR="00833857" w:rsidRPr="00A72B7F">
        <w:rPr>
          <w:rFonts w:ascii="David" w:hAnsi="David" w:hint="cs"/>
          <w:b/>
          <w:bCs/>
          <w:sz w:val="22"/>
          <w:rtl/>
        </w:rPr>
        <w:t>:</w:t>
      </w:r>
    </w:p>
    <w:p w14:paraId="116875A4" w14:textId="59EB87FB" w:rsidR="000D3FC8" w:rsidRDefault="00180FE3" w:rsidP="00465590">
      <w:pPr>
        <w:pStyle w:val="ac"/>
        <w:numPr>
          <w:ilvl w:val="2"/>
          <w:numId w:val="10"/>
        </w:numPr>
        <w:bidi/>
        <w:spacing w:after="0"/>
        <w:rPr>
          <w:rFonts w:ascii="David" w:hAnsi="David"/>
          <w:sz w:val="22"/>
        </w:rPr>
      </w:pPr>
      <w:r>
        <w:rPr>
          <w:rFonts w:ascii="David" w:hAnsi="David" w:hint="cs"/>
          <w:sz w:val="22"/>
          <w:rtl/>
        </w:rPr>
        <w:t xml:space="preserve"> </w:t>
      </w:r>
      <w:r w:rsidR="002915BE" w:rsidRPr="002915BE">
        <w:rPr>
          <w:rFonts w:ascii="David" w:hAnsi="David" w:hint="cs"/>
          <w:sz w:val="22"/>
          <w:highlight w:val="cyan"/>
          <w:u w:val="single"/>
          <w:rtl/>
        </w:rPr>
        <w:t>פס"ד רודניצקי</w:t>
      </w:r>
      <w:r w:rsidR="002915BE">
        <w:rPr>
          <w:rFonts w:ascii="David" w:hAnsi="David" w:hint="cs"/>
          <w:sz w:val="22"/>
          <w:rtl/>
        </w:rPr>
        <w:t xml:space="preserve">: לנדוי - מורה למשרד הפנים לרשום את הכהן והגרושה כנשואים. </w:t>
      </w:r>
      <w:r w:rsidR="008129A4">
        <w:rPr>
          <w:rFonts w:ascii="David" w:hAnsi="David" w:hint="cs"/>
          <w:sz w:val="22"/>
          <w:rtl/>
        </w:rPr>
        <w:t>החוק הישראלי מקבל רק את החלק הפוזיטיביסט</w:t>
      </w:r>
      <w:r w:rsidR="008129A4">
        <w:rPr>
          <w:rFonts w:ascii="David" w:hAnsi="David" w:hint="eastAsia"/>
          <w:sz w:val="22"/>
          <w:rtl/>
        </w:rPr>
        <w:t>י</w:t>
      </w:r>
      <w:r w:rsidR="008129A4">
        <w:rPr>
          <w:rFonts w:ascii="David" w:hAnsi="David" w:hint="cs"/>
          <w:sz w:val="22"/>
          <w:rtl/>
        </w:rPr>
        <w:t xml:space="preserve"> ולא האיסורי.</w:t>
      </w:r>
      <w:r w:rsidR="002E0205">
        <w:rPr>
          <w:rFonts w:ascii="David" w:hAnsi="David" w:hint="cs"/>
          <w:sz w:val="22"/>
          <w:rtl/>
        </w:rPr>
        <w:t xml:space="preserve"> </w:t>
      </w:r>
    </w:p>
    <w:p w14:paraId="720080C7" w14:textId="59B0D917" w:rsidR="000D3FC8" w:rsidRDefault="00290730" w:rsidP="00465590">
      <w:pPr>
        <w:pStyle w:val="ac"/>
        <w:numPr>
          <w:ilvl w:val="2"/>
          <w:numId w:val="10"/>
        </w:numPr>
        <w:bidi/>
        <w:spacing w:after="0"/>
        <w:rPr>
          <w:rFonts w:ascii="David" w:hAnsi="David"/>
          <w:sz w:val="22"/>
        </w:rPr>
      </w:pPr>
      <w:r>
        <w:rPr>
          <w:rFonts w:ascii="David" w:hAnsi="David" w:hint="cs"/>
          <w:sz w:val="22"/>
          <w:rtl/>
        </w:rPr>
        <w:t>ישנם מקרים ש</w:t>
      </w:r>
      <w:r w:rsidR="00B302E6">
        <w:rPr>
          <w:rFonts w:ascii="David" w:hAnsi="David" w:hint="cs"/>
          <w:sz w:val="22"/>
          <w:rtl/>
        </w:rPr>
        <w:t>לדין האזרחי קל לקבל כמו נישואי אח ואחות.</w:t>
      </w:r>
      <w:r w:rsidR="00833857">
        <w:rPr>
          <w:rFonts w:ascii="David" w:hAnsi="David" w:hint="cs"/>
          <w:sz w:val="22"/>
          <w:rtl/>
        </w:rPr>
        <w:t xml:space="preserve"> אולם, צריך לזכור שלא תמיד ישנה הלימה בין הכשירות להינשא על פי היהדות לבין </w:t>
      </w:r>
      <w:r w:rsidR="00543CBA">
        <w:rPr>
          <w:rFonts w:ascii="David" w:hAnsi="David" w:hint="cs"/>
          <w:sz w:val="22"/>
          <w:rtl/>
        </w:rPr>
        <w:t>העולם המודרני.</w:t>
      </w:r>
      <w:r w:rsidR="00B302E6">
        <w:rPr>
          <w:rFonts w:ascii="David" w:hAnsi="David" w:hint="cs"/>
          <w:sz w:val="22"/>
          <w:rtl/>
        </w:rPr>
        <w:t xml:space="preserve"> לדוג' אדם שרוצה להינשא לאח</w:t>
      </w:r>
      <w:r w:rsidR="002A2CE3">
        <w:rPr>
          <w:rFonts w:ascii="David" w:hAnsi="David" w:hint="cs"/>
          <w:sz w:val="22"/>
          <w:rtl/>
        </w:rPr>
        <w:t xml:space="preserve">ות גרושתו - על פי היהדות הנישואין האלו הם </w:t>
      </w:r>
      <w:r w:rsidR="002A2CE3">
        <w:rPr>
          <w:rFonts w:ascii="David" w:hAnsi="David"/>
          <w:sz w:val="22"/>
        </w:rPr>
        <w:t>void</w:t>
      </w:r>
      <w:r w:rsidR="002A2CE3">
        <w:rPr>
          <w:rFonts w:ascii="David" w:hAnsi="David" w:hint="cs"/>
          <w:sz w:val="22"/>
          <w:rtl/>
        </w:rPr>
        <w:t xml:space="preserve"> והילדים שלהם יהיו ממזרים.</w:t>
      </w:r>
      <w:r w:rsidR="00661FCB">
        <w:rPr>
          <w:rFonts w:ascii="David" w:hAnsi="David" w:hint="cs"/>
          <w:sz w:val="22"/>
          <w:rtl/>
        </w:rPr>
        <w:t xml:space="preserve"> לעומת זאת, אדם שמתחתן עם סבתא שלו</w:t>
      </w:r>
      <w:r w:rsidR="001367D7">
        <w:rPr>
          <w:rFonts w:ascii="David" w:hAnsi="David" w:hint="cs"/>
          <w:sz w:val="22"/>
          <w:rtl/>
        </w:rPr>
        <w:t xml:space="preserve"> אסור אבל תקף.</w:t>
      </w:r>
      <w:r w:rsidR="00543CBA">
        <w:rPr>
          <w:rFonts w:ascii="David" w:hAnsi="David" w:hint="cs"/>
          <w:sz w:val="22"/>
          <w:rtl/>
        </w:rPr>
        <w:t xml:space="preserve"> על פי האדם המודרני </w:t>
      </w:r>
      <w:r w:rsidR="001367D7">
        <w:rPr>
          <w:rFonts w:ascii="David" w:hAnsi="David" w:hint="cs"/>
          <w:sz w:val="22"/>
          <w:rtl/>
        </w:rPr>
        <w:t>המקר</w:t>
      </w:r>
      <w:r w:rsidR="00543CBA">
        <w:rPr>
          <w:rFonts w:ascii="David" w:hAnsi="David" w:hint="cs"/>
          <w:sz w:val="22"/>
          <w:rtl/>
        </w:rPr>
        <w:t>ה</w:t>
      </w:r>
      <w:r w:rsidR="001367D7">
        <w:rPr>
          <w:rFonts w:ascii="David" w:hAnsi="David" w:hint="cs"/>
          <w:sz w:val="22"/>
          <w:rtl/>
        </w:rPr>
        <w:t xml:space="preserve"> הראשון</w:t>
      </w:r>
      <w:r w:rsidR="00543CBA">
        <w:rPr>
          <w:rFonts w:ascii="David" w:hAnsi="David" w:hint="cs"/>
          <w:sz w:val="22"/>
          <w:rtl/>
        </w:rPr>
        <w:t xml:space="preserve"> נשמע מאוד הגיוני</w:t>
      </w:r>
      <w:r w:rsidR="001367D7">
        <w:rPr>
          <w:rFonts w:ascii="David" w:hAnsi="David" w:hint="cs"/>
          <w:sz w:val="22"/>
          <w:rtl/>
        </w:rPr>
        <w:t xml:space="preserve"> לעומת המקרה השני שנשמע הזוי</w:t>
      </w:r>
      <w:r w:rsidR="00A72B7F">
        <w:rPr>
          <w:rFonts w:ascii="David" w:hAnsi="David" w:hint="cs"/>
          <w:sz w:val="22"/>
          <w:rtl/>
        </w:rPr>
        <w:t xml:space="preserve"> -דבר זה מעיד כי</w:t>
      </w:r>
      <w:r w:rsidR="00135244">
        <w:rPr>
          <w:rFonts w:ascii="David" w:hAnsi="David" w:hint="cs"/>
          <w:sz w:val="22"/>
          <w:rtl/>
        </w:rPr>
        <w:t xml:space="preserve"> אין מתאם בין מה שהוא אסור ובטל לבין מה שלנו נראה הגיוני שיהיה בטל ואסור לבין מה שאסור אבל תקף למה שאנחנו היינו חושבים.</w:t>
      </w:r>
    </w:p>
    <w:p w14:paraId="637E91CD" w14:textId="79E1F4A3" w:rsidR="004A7221" w:rsidRPr="000810A3" w:rsidRDefault="00C9327A" w:rsidP="00465590">
      <w:pPr>
        <w:pStyle w:val="ac"/>
        <w:numPr>
          <w:ilvl w:val="1"/>
          <w:numId w:val="10"/>
        </w:numPr>
        <w:bidi/>
        <w:spacing w:after="0"/>
        <w:rPr>
          <w:rFonts w:ascii="David" w:hAnsi="David"/>
          <w:sz w:val="22"/>
          <w:u w:val="single"/>
        </w:rPr>
      </w:pPr>
      <w:r w:rsidRPr="00C9327A">
        <w:rPr>
          <w:rFonts w:ascii="David" w:hAnsi="David" w:hint="cs"/>
          <w:b/>
          <w:bCs/>
          <w:sz w:val="22"/>
          <w:shd w:val="clear" w:color="auto" w:fill="FFF4CD" w:themeFill="accent1" w:themeFillTint="33"/>
          <w:rtl/>
        </w:rPr>
        <w:t xml:space="preserve">סוגייה של </w:t>
      </w:r>
      <w:r w:rsidR="00630523" w:rsidRPr="00C9327A">
        <w:rPr>
          <w:rFonts w:ascii="David" w:hAnsi="David" w:hint="cs"/>
          <w:b/>
          <w:bCs/>
          <w:sz w:val="22"/>
          <w:shd w:val="clear" w:color="auto" w:fill="FFF4CD" w:themeFill="accent1" w:themeFillTint="33"/>
          <w:rtl/>
        </w:rPr>
        <w:t xml:space="preserve">כהן שרוצה להינשא </w:t>
      </w:r>
      <w:r w:rsidRPr="00C9327A">
        <w:rPr>
          <w:rFonts w:ascii="David" w:hAnsi="David" w:hint="cs"/>
          <w:b/>
          <w:bCs/>
          <w:sz w:val="22"/>
          <w:shd w:val="clear" w:color="auto" w:fill="FFF4CD" w:themeFill="accent1" w:themeFillTint="33"/>
          <w:rtl/>
        </w:rPr>
        <w:t>לאישה שאמא יהודייה ואביה לא יהודי</w:t>
      </w:r>
      <w:r>
        <w:rPr>
          <w:rFonts w:ascii="David" w:hAnsi="David" w:hint="cs"/>
          <w:sz w:val="22"/>
          <w:rtl/>
        </w:rPr>
        <w:t xml:space="preserve">: </w:t>
      </w:r>
      <w:r w:rsidR="004C593B">
        <w:rPr>
          <w:rFonts w:ascii="David" w:hAnsi="David" w:hint="cs"/>
          <w:sz w:val="22"/>
          <w:rtl/>
        </w:rPr>
        <w:t>מ</w:t>
      </w:r>
      <w:r>
        <w:rPr>
          <w:rFonts w:ascii="David" w:hAnsi="David" w:hint="cs"/>
          <w:sz w:val="22"/>
          <w:rtl/>
        </w:rPr>
        <w:t>דובר במ</w:t>
      </w:r>
      <w:r w:rsidR="004C593B">
        <w:rPr>
          <w:rFonts w:ascii="David" w:hAnsi="David" w:hint="cs"/>
          <w:sz w:val="22"/>
          <w:rtl/>
        </w:rPr>
        <w:t xml:space="preserve">גבלה יחסית - </w:t>
      </w:r>
      <w:r w:rsidR="00630523">
        <w:rPr>
          <w:rFonts w:ascii="David" w:hAnsi="David" w:hint="cs"/>
          <w:sz w:val="22"/>
          <w:rtl/>
        </w:rPr>
        <w:t>יש בסוגיה עמדות שונות בשונה ממגבלות יחסיות אחרות שבהם יש עמדה די ברורה, כמו כהן וגרושה.</w:t>
      </w:r>
      <w:r w:rsidR="007F672F">
        <w:rPr>
          <w:rFonts w:ascii="David" w:hAnsi="David" w:hint="cs"/>
          <w:sz w:val="22"/>
          <w:rtl/>
        </w:rPr>
        <w:t xml:space="preserve"> כדי להתחתן ברבנות יש צורך להביא אישור שאתה לא כהן</w:t>
      </w:r>
      <w:r w:rsidR="008F7BD9">
        <w:rPr>
          <w:rFonts w:ascii="David" w:hAnsi="David" w:hint="cs"/>
          <w:sz w:val="22"/>
          <w:rtl/>
        </w:rPr>
        <w:t>.</w:t>
      </w:r>
      <w:r w:rsidR="00BC478D">
        <w:rPr>
          <w:rFonts w:ascii="David" w:hAnsi="David" w:hint="cs"/>
          <w:sz w:val="22"/>
          <w:rtl/>
        </w:rPr>
        <w:t xml:space="preserve"> ברוב המקרים יתנו לכהן להינשא למישהי שהיא בת של אדם שאינו יהודי</w:t>
      </w:r>
      <w:r w:rsidR="00DB3F8B">
        <w:rPr>
          <w:rFonts w:ascii="David" w:hAnsi="David" w:hint="cs"/>
          <w:sz w:val="22"/>
          <w:rtl/>
        </w:rPr>
        <w:t xml:space="preserve"> במדינת ישראל</w:t>
      </w:r>
      <w:r w:rsidR="00BC478D">
        <w:rPr>
          <w:rFonts w:ascii="David" w:hAnsi="David" w:hint="cs"/>
          <w:sz w:val="22"/>
          <w:rtl/>
        </w:rPr>
        <w:t xml:space="preserve">. למה כאן יש גמישות? כי בשונה מהמקרים האחרים שהם כתובים במפורש בתורה, לגבי המקרה הזה אין אמירה </w:t>
      </w:r>
      <w:r w:rsidR="00F4540F">
        <w:rPr>
          <w:rFonts w:ascii="David" w:hAnsi="David" w:hint="cs"/>
          <w:sz w:val="22"/>
          <w:rtl/>
        </w:rPr>
        <w:t>ברורה בתלמוד והיה דיון על כך בימי הביניים. השו"ע טוען שזה אסור</w:t>
      </w:r>
      <w:r w:rsidR="00DB3F8B">
        <w:rPr>
          <w:rFonts w:ascii="David" w:hAnsi="David" w:hint="cs"/>
          <w:sz w:val="22"/>
          <w:rtl/>
        </w:rPr>
        <w:t xml:space="preserve">. </w:t>
      </w:r>
    </w:p>
    <w:p w14:paraId="7A30E7C0" w14:textId="77073659" w:rsidR="0039398E" w:rsidRDefault="0010084C" w:rsidP="00465590">
      <w:pPr>
        <w:pStyle w:val="ac"/>
        <w:numPr>
          <w:ilvl w:val="2"/>
          <w:numId w:val="10"/>
        </w:numPr>
        <w:bidi/>
        <w:rPr>
          <w:rFonts w:ascii="David" w:hAnsi="David"/>
          <w:sz w:val="22"/>
        </w:rPr>
      </w:pPr>
      <w:r w:rsidRPr="000810A3">
        <w:rPr>
          <w:rFonts w:ascii="David" w:hAnsi="David" w:hint="cs"/>
          <w:b/>
          <w:bCs/>
          <w:sz w:val="22"/>
          <w:highlight w:val="cyan"/>
          <w:u w:val="single"/>
          <w:rtl/>
        </w:rPr>
        <w:t xml:space="preserve">פס"ד </w:t>
      </w:r>
      <w:r w:rsidR="00247C73" w:rsidRPr="000810A3">
        <w:rPr>
          <w:rFonts w:ascii="David" w:hAnsi="David" w:hint="cs"/>
          <w:b/>
          <w:bCs/>
          <w:sz w:val="22"/>
          <w:highlight w:val="cyan"/>
          <w:u w:val="single"/>
          <w:rtl/>
        </w:rPr>
        <w:t>של בית הדין האזורי בחיפה (850310/1)</w:t>
      </w:r>
      <w:r w:rsidR="00247C73" w:rsidRPr="000810A3">
        <w:rPr>
          <w:rFonts w:ascii="David" w:hAnsi="David" w:hint="cs"/>
          <w:sz w:val="22"/>
          <w:u w:val="single"/>
          <w:rtl/>
        </w:rPr>
        <w:t>:</w:t>
      </w:r>
      <w:r w:rsidR="000810A3">
        <w:rPr>
          <w:rFonts w:ascii="David" w:hAnsi="David" w:hint="cs"/>
          <w:sz w:val="22"/>
          <w:u w:val="single"/>
          <w:rtl/>
        </w:rPr>
        <w:t xml:space="preserve"> </w:t>
      </w:r>
      <w:r w:rsidR="000810A3">
        <w:rPr>
          <w:rFonts w:ascii="David" w:hAnsi="David" w:hint="cs"/>
          <w:sz w:val="22"/>
          <w:rtl/>
        </w:rPr>
        <w:t xml:space="preserve"> מקרה של כהן ואישה שהיא בת של גוי</w:t>
      </w:r>
      <w:r w:rsidR="00EA4ED8">
        <w:rPr>
          <w:rFonts w:ascii="David" w:hAnsi="David" w:hint="cs"/>
          <w:sz w:val="22"/>
          <w:rtl/>
        </w:rPr>
        <w:t xml:space="preserve"> ויהוד</w:t>
      </w:r>
      <w:r w:rsidR="001E7D55">
        <w:rPr>
          <w:rFonts w:ascii="David" w:hAnsi="David" w:hint="cs"/>
          <w:sz w:val="22"/>
          <w:rtl/>
        </w:rPr>
        <w:t>י</w:t>
      </w:r>
      <w:r w:rsidR="00EA4ED8">
        <w:rPr>
          <w:rFonts w:ascii="David" w:hAnsi="David" w:hint="cs"/>
          <w:sz w:val="22"/>
          <w:rtl/>
        </w:rPr>
        <w:t>יה</w:t>
      </w:r>
      <w:r w:rsidR="000810A3">
        <w:rPr>
          <w:rFonts w:ascii="David" w:hAnsi="David" w:hint="cs"/>
          <w:sz w:val="22"/>
          <w:rtl/>
        </w:rPr>
        <w:t>. בית הדין עשה מאמץ מאוד גדול כדי לא לאפשר להם להינשא. כיצד ניתן לראות זאת? בית הדין מצי</w:t>
      </w:r>
      <w:r w:rsidR="009D6393">
        <w:rPr>
          <w:rFonts w:ascii="David" w:hAnsi="David" w:hint="cs"/>
          <w:sz w:val="22"/>
          <w:rtl/>
        </w:rPr>
        <w:t>ג</w:t>
      </w:r>
      <w:r w:rsidR="000810A3">
        <w:rPr>
          <w:rFonts w:ascii="David" w:hAnsi="David" w:hint="cs"/>
          <w:sz w:val="22"/>
          <w:rtl/>
        </w:rPr>
        <w:t xml:space="preserve"> מעל 20 נימוקים </w:t>
      </w:r>
      <w:r w:rsidR="009D6393">
        <w:rPr>
          <w:rFonts w:ascii="David" w:hAnsi="David" w:hint="cs"/>
          <w:sz w:val="22"/>
          <w:rtl/>
        </w:rPr>
        <w:t>מדוע אסור לחתן אותם ואין לו נימוק אחד מכריע.</w:t>
      </w:r>
      <w:r w:rsidR="00E74105">
        <w:rPr>
          <w:rFonts w:ascii="David" w:hAnsi="David" w:hint="cs"/>
          <w:sz w:val="22"/>
          <w:rtl/>
        </w:rPr>
        <w:t xml:space="preserve"> </w:t>
      </w:r>
      <w:r w:rsidR="00762C02">
        <w:rPr>
          <w:rFonts w:ascii="David" w:hAnsi="David" w:hint="cs"/>
          <w:sz w:val="22"/>
          <w:u w:val="single"/>
          <w:rtl/>
        </w:rPr>
        <w:t>הרב יצחק אושנסקי: "</w:t>
      </w:r>
      <w:r w:rsidR="00762C02" w:rsidRPr="00762C02">
        <w:rPr>
          <w:rFonts w:ascii="David" w:hAnsi="David"/>
          <w:sz w:val="22"/>
          <w:rtl/>
        </w:rPr>
        <w:t>אני מצטרף למסקנה דלעיל. אמנם בעבר כתבתי להתיר בנסיבות אחרות כאשר היה קיים סיכוי רב לפי ראות עיני</w:t>
      </w:r>
      <w:r w:rsidR="00762C02">
        <w:rPr>
          <w:rFonts w:ascii="David" w:hAnsi="David" w:hint="cs"/>
          <w:rtl/>
        </w:rPr>
        <w:t xml:space="preserve"> </w:t>
      </w:r>
      <w:r w:rsidR="00762C02" w:rsidRPr="00762C02">
        <w:rPr>
          <w:rFonts w:ascii="David" w:hAnsi="David"/>
          <w:rtl/>
        </w:rPr>
        <w:t xml:space="preserve">ביה"ד שאם </w:t>
      </w:r>
      <w:r w:rsidR="00762C02">
        <w:rPr>
          <w:rFonts w:ascii="David" w:hAnsi="David" w:hint="cs"/>
          <w:rtl/>
        </w:rPr>
        <w:t>י</w:t>
      </w:r>
      <w:r w:rsidR="00762C02" w:rsidRPr="00762C02">
        <w:rPr>
          <w:rFonts w:ascii="David" w:hAnsi="David"/>
          <w:rtl/>
        </w:rPr>
        <w:t>ינשאו כדמו"י ישמרו טהרת המשפחה, וזאת לא התרשמותי בנידון דידן, ולכן אין מקום להתיר</w:t>
      </w:r>
      <w:r w:rsidR="00762C02">
        <w:rPr>
          <w:rFonts w:ascii="David" w:hAnsi="David" w:hint="cs"/>
          <w:rtl/>
        </w:rPr>
        <w:t>"</w:t>
      </w:r>
      <w:r w:rsidR="00762C02" w:rsidRPr="00762C02">
        <w:rPr>
          <w:rFonts w:ascii="David" w:hAnsi="David"/>
          <w:rtl/>
        </w:rPr>
        <w:t>.</w:t>
      </w:r>
      <w:r w:rsidR="009E28B0">
        <w:rPr>
          <w:rFonts w:ascii="David" w:hAnsi="David" w:hint="cs"/>
          <w:sz w:val="22"/>
          <w:rtl/>
        </w:rPr>
        <w:t xml:space="preserve"> - הנימוק הזה מעיד שאין כאן תשובה חד משמעית והיה אפשר להתיר והיה אפשר לאסור. מדובר בשלושה דיינים אשכזנים ורוב הפסיקה המתירה היא ספרדית.</w:t>
      </w:r>
    </w:p>
    <w:p w14:paraId="22ACD559" w14:textId="7283B1F6" w:rsidR="009E28B0" w:rsidRDefault="00EA4ED8" w:rsidP="00465590">
      <w:pPr>
        <w:pStyle w:val="ac"/>
        <w:numPr>
          <w:ilvl w:val="2"/>
          <w:numId w:val="10"/>
        </w:numPr>
        <w:bidi/>
        <w:rPr>
          <w:rFonts w:ascii="David" w:hAnsi="David"/>
          <w:sz w:val="22"/>
        </w:rPr>
      </w:pPr>
      <w:r w:rsidRPr="0032287D">
        <w:rPr>
          <w:rFonts w:ascii="David" w:hAnsi="David" w:hint="cs"/>
          <w:b/>
          <w:bCs/>
          <w:sz w:val="22"/>
          <w:highlight w:val="cyan"/>
          <w:u w:val="single"/>
          <w:rtl/>
        </w:rPr>
        <w:t>פס"ד של בית הדין באשקלון (853346/1):</w:t>
      </w:r>
      <w:r>
        <w:rPr>
          <w:rFonts w:ascii="David" w:hAnsi="David" w:hint="cs"/>
          <w:b/>
          <w:bCs/>
          <w:sz w:val="22"/>
          <w:u w:val="single"/>
          <w:rtl/>
        </w:rPr>
        <w:t xml:space="preserve"> </w:t>
      </w:r>
      <w:r>
        <w:rPr>
          <w:rFonts w:ascii="David" w:hAnsi="David" w:hint="cs"/>
          <w:sz w:val="22"/>
          <w:rtl/>
        </w:rPr>
        <w:t>מקרה של כהן ואישה שהיא בת של גוי ויהודי</w:t>
      </w:r>
      <w:r w:rsidR="001E7D55">
        <w:rPr>
          <w:rFonts w:ascii="David" w:hAnsi="David" w:hint="cs"/>
          <w:sz w:val="22"/>
          <w:rtl/>
        </w:rPr>
        <w:t>י</w:t>
      </w:r>
      <w:r>
        <w:rPr>
          <w:rFonts w:ascii="David" w:hAnsi="David" w:hint="cs"/>
          <w:sz w:val="22"/>
          <w:rtl/>
        </w:rPr>
        <w:t>ה</w:t>
      </w:r>
      <w:r w:rsidR="001E7D55">
        <w:rPr>
          <w:rFonts w:ascii="David" w:hAnsi="David" w:hint="cs"/>
          <w:sz w:val="22"/>
          <w:rtl/>
        </w:rPr>
        <w:t xml:space="preserve">. בדיון הזה היו שני דיינים ספרדים. בית הדין אומר </w:t>
      </w:r>
      <w:r w:rsidR="00E4566C">
        <w:rPr>
          <w:rFonts w:ascii="David" w:hAnsi="David" w:hint="cs"/>
          <w:sz w:val="22"/>
          <w:rtl/>
        </w:rPr>
        <w:t>שזה בדיבעבד, שכן בני הזוג האלה ימשיכו לחיות יחד בין אם נאשר את נישואין ובין אם לא. אם אני לא אאשר את הנישואין הם ילכו להתחתן אזרחית, לכן כאשר יש כאן פתח ראוי להסתמך עליו.</w:t>
      </w:r>
    </w:p>
    <w:p w14:paraId="414F210E" w14:textId="2DD9FA3E" w:rsidR="0032287D" w:rsidRDefault="0032287D" w:rsidP="00465590">
      <w:pPr>
        <w:pStyle w:val="ac"/>
        <w:numPr>
          <w:ilvl w:val="2"/>
          <w:numId w:val="10"/>
        </w:numPr>
        <w:bidi/>
        <w:rPr>
          <w:rFonts w:ascii="David" w:hAnsi="David"/>
          <w:sz w:val="22"/>
        </w:rPr>
      </w:pPr>
      <w:r w:rsidRPr="0032287D">
        <w:rPr>
          <w:rFonts w:ascii="David" w:hAnsi="David" w:hint="cs"/>
          <w:b/>
          <w:bCs/>
          <w:sz w:val="22"/>
          <w:highlight w:val="cyan"/>
          <w:u w:val="single"/>
          <w:rtl/>
        </w:rPr>
        <w:t>פס"ד שניתן בבית הדין ברחובות (מרץ שנה שעברה</w:t>
      </w:r>
      <w:r>
        <w:rPr>
          <w:rFonts w:ascii="David" w:hAnsi="David" w:hint="cs"/>
          <w:b/>
          <w:bCs/>
          <w:sz w:val="22"/>
          <w:u w:val="single"/>
          <w:rtl/>
        </w:rPr>
        <w:t>):</w:t>
      </w:r>
      <w:r>
        <w:rPr>
          <w:rFonts w:ascii="David" w:hAnsi="David" w:hint="cs"/>
          <w:sz w:val="22"/>
          <w:rtl/>
        </w:rPr>
        <w:t xml:space="preserve"> מקרה של כהן ואישה שהיא בת של גוי ויהודייה. גם פה ישנם שני דיינים ספרדיים. הדיינים מוצאים דרך להתיר - הם סומכים על הרב עובדיה יוסף ומתירים.</w:t>
      </w:r>
      <w:r w:rsidR="00981A08">
        <w:rPr>
          <w:rFonts w:ascii="David" w:hAnsi="David" w:hint="cs"/>
          <w:sz w:val="22"/>
          <w:rtl/>
        </w:rPr>
        <w:t xml:space="preserve"> הדיין האשכנזי מתיר, אך לא שמח על ההיתר הזה וזה בדיעבד בעיניו.</w:t>
      </w:r>
    </w:p>
    <w:p w14:paraId="1E61F22B" w14:textId="13B8BC07" w:rsidR="003E3DB6" w:rsidRPr="003E3DB6" w:rsidRDefault="003E3DB6" w:rsidP="003E3DB6">
      <w:pPr>
        <w:pBdr>
          <w:top w:val="single" w:sz="4" w:space="1" w:color="auto"/>
        </w:pBdr>
        <w:rPr>
          <w:rFonts w:ascii="David" w:hAnsi="David"/>
        </w:rPr>
      </w:pPr>
      <w:r>
        <w:rPr>
          <w:rFonts w:ascii="David" w:hAnsi="David" w:hint="cs"/>
          <w:rtl/>
        </w:rPr>
        <w:lastRenderedPageBreak/>
        <w:t>24.04.2022</w:t>
      </w:r>
    </w:p>
    <w:p w14:paraId="13D250DF" w14:textId="612738DD" w:rsidR="007036E3" w:rsidRPr="007036E3" w:rsidRDefault="0031440F" w:rsidP="007036E3">
      <w:pPr>
        <w:pStyle w:val="21"/>
      </w:pPr>
      <w:bookmarkStart w:id="12" w:name="_Toc107438159"/>
      <w:r>
        <w:rPr>
          <w:rFonts w:hint="cs"/>
          <w:rtl/>
        </w:rPr>
        <w:t>גיל הנישואין</w:t>
      </w:r>
      <w:bookmarkEnd w:id="12"/>
    </w:p>
    <w:p w14:paraId="3A7ECF0D" w14:textId="7671E7A0" w:rsidR="003E3DB6" w:rsidRDefault="00EA47FD" w:rsidP="00F57C22">
      <w:pPr>
        <w:pStyle w:val="ac"/>
        <w:numPr>
          <w:ilvl w:val="1"/>
          <w:numId w:val="10"/>
        </w:numPr>
        <w:bidi/>
        <w:rPr>
          <w:rFonts w:ascii="David" w:hAnsi="David"/>
          <w:sz w:val="22"/>
        </w:rPr>
      </w:pPr>
      <w:r w:rsidRPr="00A43D6B">
        <w:rPr>
          <w:rFonts w:ascii="David" w:hAnsi="David" w:hint="cs"/>
          <w:b/>
          <w:bCs/>
          <w:sz w:val="22"/>
          <w:rtl/>
        </w:rPr>
        <w:t xml:space="preserve">מהו גיל הנישואין </w:t>
      </w:r>
      <w:r w:rsidR="00E729B6" w:rsidRPr="00A43D6B">
        <w:rPr>
          <w:rFonts w:ascii="David" w:hAnsi="David" w:hint="cs"/>
          <w:b/>
          <w:bCs/>
          <w:sz w:val="22"/>
          <w:rtl/>
        </w:rPr>
        <w:t>במדינת ישראל?</w:t>
      </w:r>
      <w:r w:rsidR="00E729B6">
        <w:rPr>
          <w:rFonts w:ascii="David" w:hAnsi="David" w:hint="cs"/>
          <w:sz w:val="22"/>
          <w:rtl/>
        </w:rPr>
        <w:t xml:space="preserve"> כביכול האוטומט אומר לנו להגיד 18, אך בפועל גם ההלכה היא החוק במדינת ישראל. לכן יש חלוקה לשתיים:</w:t>
      </w:r>
    </w:p>
    <w:p w14:paraId="0ACFDB37" w14:textId="6E3A83E3" w:rsidR="00E729B6" w:rsidRDefault="00E729B6" w:rsidP="00E729B6">
      <w:pPr>
        <w:pStyle w:val="ac"/>
        <w:numPr>
          <w:ilvl w:val="2"/>
          <w:numId w:val="10"/>
        </w:numPr>
        <w:bidi/>
        <w:rPr>
          <w:rFonts w:ascii="David" w:hAnsi="David"/>
          <w:sz w:val="22"/>
        </w:rPr>
      </w:pPr>
      <w:r>
        <w:rPr>
          <w:rFonts w:ascii="David" w:hAnsi="David" w:hint="cs"/>
          <w:sz w:val="22"/>
          <w:rtl/>
        </w:rPr>
        <w:t>תוקף הנישואין יכול להיות מגיל בר</w:t>
      </w:r>
      <w:r w:rsidR="00B24E01">
        <w:rPr>
          <w:rFonts w:ascii="David" w:hAnsi="David" w:hint="cs"/>
          <w:sz w:val="22"/>
          <w:rtl/>
        </w:rPr>
        <w:t>\בת</w:t>
      </w:r>
      <w:r>
        <w:rPr>
          <w:rFonts w:ascii="David" w:hAnsi="David" w:hint="cs"/>
          <w:sz w:val="22"/>
          <w:rtl/>
        </w:rPr>
        <w:t xml:space="preserve"> מצווה שכן ההלכה היא זו שקובעת</w:t>
      </w:r>
      <w:r w:rsidR="00B24E01">
        <w:rPr>
          <w:rFonts w:ascii="David" w:hAnsi="David" w:hint="cs"/>
          <w:sz w:val="22"/>
          <w:rtl/>
        </w:rPr>
        <w:t xml:space="preserve"> תוקף</w:t>
      </w:r>
      <w:r>
        <w:rPr>
          <w:rFonts w:ascii="David" w:hAnsi="David" w:hint="cs"/>
          <w:sz w:val="22"/>
          <w:rtl/>
        </w:rPr>
        <w:t>.</w:t>
      </w:r>
    </w:p>
    <w:p w14:paraId="3B122830" w14:textId="66C0FD2B" w:rsidR="00E729B6" w:rsidRDefault="00E729B6" w:rsidP="00E729B6">
      <w:pPr>
        <w:pStyle w:val="ac"/>
        <w:numPr>
          <w:ilvl w:val="2"/>
          <w:numId w:val="10"/>
        </w:numPr>
        <w:bidi/>
        <w:rPr>
          <w:rFonts w:ascii="David" w:hAnsi="David"/>
          <w:sz w:val="22"/>
        </w:rPr>
      </w:pPr>
      <w:r>
        <w:rPr>
          <w:rFonts w:ascii="David" w:hAnsi="David" w:hint="cs"/>
          <w:sz w:val="22"/>
          <w:rtl/>
        </w:rPr>
        <w:t>האיסור הפלילי</w:t>
      </w:r>
      <w:r w:rsidR="00234EA3">
        <w:rPr>
          <w:rFonts w:ascii="David" w:hAnsi="David" w:hint="cs"/>
          <w:sz w:val="22"/>
          <w:rtl/>
        </w:rPr>
        <w:t xml:space="preserve"> (</w:t>
      </w:r>
      <w:r>
        <w:rPr>
          <w:rFonts w:ascii="David" w:hAnsi="David" w:hint="cs"/>
          <w:sz w:val="22"/>
          <w:rtl/>
        </w:rPr>
        <w:t>החוק האזרחי</w:t>
      </w:r>
      <w:r w:rsidR="00B24E01">
        <w:rPr>
          <w:rFonts w:ascii="David" w:hAnsi="David" w:hint="cs"/>
          <w:sz w:val="22"/>
          <w:rtl/>
        </w:rPr>
        <w:t xml:space="preserve">) </w:t>
      </w:r>
      <w:r w:rsidR="00234EA3">
        <w:rPr>
          <w:rFonts w:ascii="David" w:hAnsi="David" w:hint="cs"/>
          <w:sz w:val="22"/>
          <w:rtl/>
        </w:rPr>
        <w:t>- קובע איסור להינשא לפני גיל 18.</w:t>
      </w:r>
    </w:p>
    <w:p w14:paraId="7993A249" w14:textId="0842B5C2" w:rsidR="00514246" w:rsidRDefault="0075428B" w:rsidP="00514246">
      <w:pPr>
        <w:pStyle w:val="ac"/>
        <w:numPr>
          <w:ilvl w:val="1"/>
          <w:numId w:val="10"/>
        </w:numPr>
        <w:bidi/>
        <w:rPr>
          <w:rFonts w:ascii="David" w:hAnsi="David"/>
          <w:sz w:val="22"/>
        </w:rPr>
      </w:pPr>
      <w:r w:rsidRPr="00F04F1E">
        <w:rPr>
          <w:rFonts w:ascii="David" w:hAnsi="David" w:hint="cs"/>
          <w:sz w:val="22"/>
          <w:highlight w:val="cyan"/>
          <w:u w:val="single"/>
          <w:rtl/>
        </w:rPr>
        <w:t>פס"ד של בית הדין האזורי ירושלים:</w:t>
      </w:r>
      <w:r w:rsidR="003A4CCE">
        <w:rPr>
          <w:rFonts w:ascii="David" w:hAnsi="David" w:hint="cs"/>
          <w:sz w:val="22"/>
          <w:rtl/>
        </w:rPr>
        <w:t xml:space="preserve"> </w:t>
      </w:r>
      <w:r w:rsidR="00510A0E">
        <w:rPr>
          <w:rFonts w:ascii="David" w:hAnsi="David" w:hint="cs"/>
          <w:b/>
          <w:bCs/>
          <w:sz w:val="22"/>
          <w:rtl/>
        </w:rPr>
        <w:t xml:space="preserve">היתר נישואין לקטינה שעמדה תת החופה. </w:t>
      </w:r>
      <w:r w:rsidR="003A4CCE">
        <w:rPr>
          <w:rFonts w:ascii="David" w:hAnsi="David" w:hint="cs"/>
          <w:sz w:val="22"/>
          <w:rtl/>
        </w:rPr>
        <w:t>נישואים של חתן בן 17 וילדה בת 13</w:t>
      </w:r>
      <w:r w:rsidR="00C24B8D">
        <w:rPr>
          <w:rFonts w:ascii="David" w:hAnsi="David" w:hint="cs"/>
          <w:sz w:val="22"/>
          <w:rtl/>
        </w:rPr>
        <w:t>- הכוונה היא היתר לאחר שכבר נישאה, כי ביד"ר לא יכול להביא היתר מראש. לדעת פרופ' רדזינר זה לא היתר שכן הקטינה לא ביקשה רשות וכבר נישאה</w:t>
      </w:r>
      <w:r w:rsidR="00F04F1E">
        <w:rPr>
          <w:rFonts w:ascii="David" w:hAnsi="David" w:hint="cs"/>
          <w:sz w:val="22"/>
          <w:rtl/>
        </w:rPr>
        <w:t xml:space="preserve"> וזה כינוי לא מוצלח</w:t>
      </w:r>
      <w:r w:rsidR="00C24B8D">
        <w:rPr>
          <w:rFonts w:ascii="David" w:hAnsi="David" w:hint="cs"/>
          <w:sz w:val="22"/>
          <w:rtl/>
        </w:rPr>
        <w:t>.</w:t>
      </w:r>
      <w:r w:rsidR="00F04F1E">
        <w:rPr>
          <w:rFonts w:ascii="David" w:hAnsi="David" w:hint="cs"/>
          <w:sz w:val="22"/>
          <w:rtl/>
        </w:rPr>
        <w:t xml:space="preserve"> רק </w:t>
      </w:r>
      <w:r w:rsidR="00A43D6B">
        <w:rPr>
          <w:rFonts w:ascii="David" w:hAnsi="David" w:hint="cs"/>
          <w:sz w:val="22"/>
          <w:rtl/>
        </w:rPr>
        <w:t>החוק האזרחי יכול לאפשר היתר מראש להינשא.</w:t>
      </w:r>
      <w:r w:rsidR="00E9072C">
        <w:rPr>
          <w:rFonts w:ascii="David" w:hAnsi="David" w:hint="cs"/>
          <w:sz w:val="22"/>
          <w:rtl/>
        </w:rPr>
        <w:t xml:space="preserve"> במקרה: השוטרים פרצו למקום בו הייתה החתונה ועצרו את החתונה. השוטרים סיפרו כי הילדה לא ענדה טבעת </w:t>
      </w:r>
      <w:r w:rsidR="00594D30">
        <w:rPr>
          <w:rFonts w:ascii="David" w:hAnsi="David" w:hint="cs"/>
          <w:sz w:val="22"/>
          <w:rtl/>
        </w:rPr>
        <w:t xml:space="preserve">על ידה ולא הייתה ברשותה טבעת. אבי הילדה </w:t>
      </w:r>
      <w:r w:rsidR="00A03B0D">
        <w:rPr>
          <w:rFonts w:ascii="David" w:hAnsi="David" w:hint="cs"/>
          <w:sz w:val="22"/>
          <w:rtl/>
        </w:rPr>
        <w:t>פנה לבית הדין בבקשה לברר את מעמדה האישי של הילדה. בית הדין בשורה התחתונה קובע כי הנישואין האלו לא היו תקפים (על סמך עדויות נשים</w:t>
      </w:r>
      <w:r w:rsidR="006C61D0">
        <w:rPr>
          <w:rFonts w:ascii="David" w:hAnsi="David" w:hint="cs"/>
          <w:sz w:val="22"/>
          <w:rtl/>
        </w:rPr>
        <w:t xml:space="preserve"> שהעידו שהילדה לא קיבלה טבעת).</w:t>
      </w:r>
      <w:r w:rsidR="00055A71">
        <w:rPr>
          <w:rFonts w:ascii="David" w:hAnsi="David" w:hint="cs"/>
          <w:sz w:val="22"/>
          <w:rtl/>
        </w:rPr>
        <w:t xml:space="preserve"> בסוף פס"ד הם מתירים אין הנישואין ללא גט ומציין כי פנה לדיין בדימוס </w:t>
      </w:r>
      <w:r w:rsidR="00514246">
        <w:rPr>
          <w:rFonts w:ascii="David" w:hAnsi="David" w:hint="cs"/>
          <w:sz w:val="22"/>
          <w:rtl/>
        </w:rPr>
        <w:t xml:space="preserve">רבי גדליה צימבליסט שאמר שהדברים נשמעים לו. </w:t>
      </w:r>
    </w:p>
    <w:p w14:paraId="02439531" w14:textId="36C0B51C" w:rsidR="00514246" w:rsidRDefault="00514246" w:rsidP="00514246">
      <w:pPr>
        <w:pStyle w:val="ac"/>
        <w:bidi/>
        <w:ind w:left="199"/>
        <w:rPr>
          <w:rFonts w:ascii="David" w:hAnsi="David"/>
          <w:sz w:val="22"/>
        </w:rPr>
      </w:pPr>
      <w:r w:rsidRPr="00514246">
        <w:rPr>
          <w:rFonts w:ascii="David" w:hAnsi="David" w:hint="cs"/>
          <w:sz w:val="22"/>
          <w:rtl/>
        </w:rPr>
        <w:t>בית הדין בעצם אומר שהגיל הוא אינו פרמטר ובודק את טקס הקידושין כרגיל, ללא התייחסות לגיל.</w:t>
      </w:r>
      <w:r>
        <w:rPr>
          <w:rFonts w:ascii="David" w:hAnsi="David" w:hint="cs"/>
          <w:sz w:val="22"/>
          <w:rtl/>
        </w:rPr>
        <w:t xml:space="preserve"> בית הדין מתייחס לילדה </w:t>
      </w:r>
      <w:r w:rsidR="00D43D55">
        <w:rPr>
          <w:rFonts w:ascii="David" w:hAnsi="David" w:hint="cs"/>
          <w:sz w:val="22"/>
          <w:rtl/>
        </w:rPr>
        <w:t xml:space="preserve">"גדולה בת 13" שכן זהו גיל הבגירות ההלכה. עם זאת, היחס לגיל ניתן לראות במאמץ </w:t>
      </w:r>
      <w:r w:rsidR="00B24E01">
        <w:rPr>
          <w:rFonts w:ascii="David" w:hAnsi="David" w:hint="cs"/>
          <w:sz w:val="22"/>
          <w:rtl/>
        </w:rPr>
        <w:t>של בית הדין למצוא פגמים בטקס הנישואין</w:t>
      </w:r>
      <w:r w:rsidR="00752967">
        <w:rPr>
          <w:rFonts w:ascii="David" w:hAnsi="David" w:hint="cs"/>
          <w:sz w:val="22"/>
          <w:rtl/>
        </w:rPr>
        <w:t xml:space="preserve"> (אך זה לא נאמר)</w:t>
      </w:r>
      <w:r w:rsidR="00B24E01">
        <w:rPr>
          <w:rFonts w:ascii="David" w:hAnsi="David" w:hint="cs"/>
          <w:sz w:val="22"/>
          <w:rtl/>
        </w:rPr>
        <w:t>.</w:t>
      </w:r>
    </w:p>
    <w:p w14:paraId="70D06AFB" w14:textId="3A7A25F6" w:rsidR="00514246" w:rsidRPr="003A1296" w:rsidRDefault="003A1296" w:rsidP="003A1296">
      <w:pPr>
        <w:pStyle w:val="ac"/>
        <w:numPr>
          <w:ilvl w:val="0"/>
          <w:numId w:val="12"/>
        </w:numPr>
        <w:shd w:val="clear" w:color="auto" w:fill="FFF4CD" w:themeFill="accent1" w:themeFillTint="33"/>
        <w:bidi/>
        <w:rPr>
          <w:rFonts w:ascii="David" w:hAnsi="David"/>
          <w:b/>
          <w:bCs/>
          <w:sz w:val="22"/>
        </w:rPr>
      </w:pPr>
      <w:r w:rsidRPr="003A1296">
        <w:rPr>
          <w:rFonts w:ascii="David" w:hAnsi="David" w:hint="cs"/>
          <w:b/>
          <w:bCs/>
          <w:sz w:val="22"/>
          <w:rtl/>
        </w:rPr>
        <w:t xml:space="preserve">מה אומרת ההלכה על </w:t>
      </w:r>
      <w:r>
        <w:rPr>
          <w:rFonts w:ascii="David" w:hAnsi="David" w:hint="cs"/>
          <w:b/>
          <w:bCs/>
          <w:sz w:val="22"/>
          <w:rtl/>
        </w:rPr>
        <w:t>גי</w:t>
      </w:r>
      <w:r w:rsidRPr="003A1296">
        <w:rPr>
          <w:rFonts w:ascii="David" w:hAnsi="David" w:hint="cs"/>
          <w:b/>
          <w:bCs/>
          <w:sz w:val="22"/>
          <w:rtl/>
        </w:rPr>
        <w:t>ל הנישואין:</w:t>
      </w:r>
    </w:p>
    <w:p w14:paraId="135AEB86" w14:textId="06F6FD86" w:rsidR="0065660B" w:rsidRPr="00CF2624" w:rsidRDefault="003955B4" w:rsidP="00CF2624">
      <w:pPr>
        <w:pStyle w:val="ac"/>
        <w:numPr>
          <w:ilvl w:val="1"/>
          <w:numId w:val="12"/>
        </w:numPr>
        <w:bidi/>
        <w:rPr>
          <w:rFonts w:ascii="David" w:hAnsi="David"/>
          <w:sz w:val="22"/>
        </w:rPr>
      </w:pPr>
      <w:r w:rsidRPr="003955B4">
        <w:rPr>
          <w:rFonts w:ascii="David" w:hAnsi="David" w:hint="cs"/>
          <w:b/>
          <w:bCs/>
          <w:sz w:val="22"/>
          <w:shd w:val="clear" w:color="auto" w:fill="FFF4CD" w:themeFill="accent1" w:themeFillTint="33"/>
          <w:rtl/>
        </w:rPr>
        <w:t>גיל הנישואין של ה</w:t>
      </w:r>
      <w:r w:rsidR="004A18F9" w:rsidRPr="003955B4">
        <w:rPr>
          <w:rFonts w:ascii="David" w:hAnsi="David" w:hint="cs"/>
          <w:b/>
          <w:bCs/>
          <w:sz w:val="22"/>
          <w:shd w:val="clear" w:color="auto" w:fill="FFF4CD" w:themeFill="accent1" w:themeFillTint="33"/>
          <w:rtl/>
        </w:rPr>
        <w:t>בן</w:t>
      </w:r>
      <w:r w:rsidR="004A18F9" w:rsidRPr="00266BB2">
        <w:rPr>
          <w:rFonts w:ascii="David" w:hAnsi="David" w:hint="cs"/>
          <w:b/>
          <w:bCs/>
          <w:sz w:val="22"/>
          <w:rtl/>
        </w:rPr>
        <w:t xml:space="preserve">: </w:t>
      </w:r>
      <w:r w:rsidRPr="003955B4">
        <w:rPr>
          <w:noProof/>
          <w:shd w:val="clear" w:color="auto" w:fill="FFF4CD" w:themeFill="accent1" w:themeFillTint="33"/>
          <w:rtl/>
        </w:rPr>
        <w:drawing>
          <wp:anchor distT="0" distB="0" distL="114300" distR="114300" simplePos="0" relativeHeight="251659264" behindDoc="0" locked="0" layoutInCell="1" allowOverlap="1" wp14:anchorId="071C8801" wp14:editId="15F40F98">
            <wp:simplePos x="0" y="0"/>
            <wp:positionH relativeFrom="margin">
              <wp:align>right</wp:align>
            </wp:positionH>
            <wp:positionV relativeFrom="paragraph">
              <wp:posOffset>228783</wp:posOffset>
            </wp:positionV>
            <wp:extent cx="5220152" cy="1234547"/>
            <wp:effectExtent l="19050" t="19050" r="19050" b="22860"/>
            <wp:wrapTopAndBottom/>
            <wp:docPr id="2" name="תמונה 2" descr="תמונה שמכילה טקסט, מקור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תמונה שמכילה טקסט, מקורה, צילום מסך&#10;&#10;התיאור נוצר באופן אוטומטי"/>
                    <pic:cNvPicPr/>
                  </pic:nvPicPr>
                  <pic:blipFill>
                    <a:blip r:embed="rId9">
                      <a:extLst>
                        <a:ext uri="{28A0092B-C50C-407E-A947-70E740481C1C}">
                          <a14:useLocalDpi xmlns:a14="http://schemas.microsoft.com/office/drawing/2010/main" val="0"/>
                        </a:ext>
                      </a:extLst>
                    </a:blip>
                    <a:stretch>
                      <a:fillRect/>
                    </a:stretch>
                  </pic:blipFill>
                  <pic:spPr>
                    <a:xfrm>
                      <a:off x="0" y="0"/>
                      <a:ext cx="5220152" cy="12345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81436" w:rsidRPr="003955B4">
        <w:rPr>
          <w:rFonts w:ascii="David" w:hAnsi="David" w:hint="cs"/>
          <w:b/>
          <w:bCs/>
          <w:rtl/>
        </w:rPr>
        <w:t>אין קידושין על קטן</w:t>
      </w:r>
      <w:r w:rsidR="006523ED" w:rsidRPr="003955B4">
        <w:rPr>
          <w:rFonts w:ascii="David" w:hAnsi="David" w:hint="cs"/>
          <w:b/>
          <w:bCs/>
          <w:rtl/>
        </w:rPr>
        <w:t>- הקו מאוד ברור, לפני גיל 13 אין קידושין לאחר גיל 13 יש.</w:t>
      </w:r>
    </w:p>
    <w:p w14:paraId="7807F57D" w14:textId="3FF3C4F4" w:rsidR="006523ED" w:rsidRPr="003955B4" w:rsidRDefault="003955B4" w:rsidP="003955B4">
      <w:pPr>
        <w:pStyle w:val="ac"/>
        <w:numPr>
          <w:ilvl w:val="1"/>
          <w:numId w:val="12"/>
        </w:numPr>
        <w:bidi/>
        <w:rPr>
          <w:rFonts w:ascii="David" w:hAnsi="David"/>
          <w:b/>
          <w:bCs/>
          <w:sz w:val="22"/>
        </w:rPr>
      </w:pPr>
      <w:r w:rsidRPr="003955B4">
        <w:rPr>
          <w:rFonts w:ascii="David" w:hAnsi="David" w:hint="cs"/>
          <w:b/>
          <w:bCs/>
          <w:sz w:val="22"/>
          <w:shd w:val="clear" w:color="auto" w:fill="FFF4CD" w:themeFill="accent1" w:themeFillTint="33"/>
          <w:rtl/>
        </w:rPr>
        <w:t xml:space="preserve">גיל הנישואין של </w:t>
      </w:r>
      <w:r w:rsidR="00266BB2" w:rsidRPr="003955B4">
        <w:rPr>
          <w:rFonts w:ascii="David" w:hAnsi="David" w:hint="cs"/>
          <w:b/>
          <w:bCs/>
          <w:sz w:val="22"/>
          <w:shd w:val="clear" w:color="auto" w:fill="FFF4CD" w:themeFill="accent1" w:themeFillTint="33"/>
          <w:rtl/>
        </w:rPr>
        <w:t>בת</w:t>
      </w:r>
      <w:r w:rsidR="00266BB2">
        <w:rPr>
          <w:rFonts w:ascii="David" w:hAnsi="David" w:hint="cs"/>
          <w:b/>
          <w:bCs/>
          <w:sz w:val="22"/>
          <w:rtl/>
        </w:rPr>
        <w:t xml:space="preserve">: </w:t>
      </w:r>
      <w:r w:rsidR="00111146" w:rsidRPr="00982E9B">
        <w:rPr>
          <w:rFonts w:ascii="David" w:hAnsi="David" w:hint="cs"/>
          <w:rtl/>
        </w:rPr>
        <w:t>כאשר מדובר בילדה הסיפור יותר מורכב, בעוד על ידי ילד השולחן ערוך סיים בכמה מילים אצל ילדה זה מעט אחרת.</w:t>
      </w:r>
      <w:r w:rsidR="00982E9B">
        <w:rPr>
          <w:rFonts w:ascii="David" w:hAnsi="David" w:hint="cs"/>
          <w:b/>
          <w:bCs/>
          <w:sz w:val="22"/>
          <w:rtl/>
        </w:rPr>
        <w:t xml:space="preserve"> עד 12.5 ברשות אביה מגיל 12.5 ברשות עצמה.</w:t>
      </w:r>
    </w:p>
    <w:p w14:paraId="13504AC9" w14:textId="1ACD87EE" w:rsidR="00B85B00" w:rsidRDefault="00C06F94" w:rsidP="00D248AF">
      <w:pPr>
        <w:pStyle w:val="ac"/>
        <w:numPr>
          <w:ilvl w:val="3"/>
          <w:numId w:val="12"/>
        </w:numPr>
        <w:bidi/>
        <w:rPr>
          <w:rFonts w:ascii="David" w:hAnsi="David"/>
          <w:sz w:val="22"/>
        </w:rPr>
      </w:pPr>
      <w:r>
        <w:rPr>
          <w:rFonts w:ascii="David" w:hAnsi="David" w:hint="cs"/>
          <w:sz w:val="22"/>
          <w:rtl/>
        </w:rPr>
        <w:t xml:space="preserve">ס' א: </w:t>
      </w:r>
      <w:r w:rsidR="007C4D87">
        <w:rPr>
          <w:rFonts w:ascii="David" w:hAnsi="David" w:hint="cs"/>
          <w:sz w:val="22"/>
          <w:rtl/>
        </w:rPr>
        <w:t xml:space="preserve">מלידתה </w:t>
      </w:r>
      <w:r w:rsidR="00B85B00">
        <w:rPr>
          <w:rFonts w:ascii="David" w:hAnsi="David" w:hint="cs"/>
          <w:sz w:val="22"/>
          <w:rtl/>
        </w:rPr>
        <w:t>עד גיל 12.5 האב יכול לקדש את ביתו</w:t>
      </w:r>
      <w:r w:rsidR="005A3DA0">
        <w:rPr>
          <w:rFonts w:ascii="David" w:hAnsi="David" w:hint="cs"/>
          <w:sz w:val="22"/>
          <w:rtl/>
        </w:rPr>
        <w:t xml:space="preserve"> שלא על דעתה</w:t>
      </w:r>
      <w:r w:rsidR="0065660B">
        <w:rPr>
          <w:rFonts w:ascii="David" w:hAnsi="David" w:hint="cs"/>
          <w:sz w:val="22"/>
          <w:rtl/>
        </w:rPr>
        <w:t>.</w:t>
      </w:r>
      <w:r>
        <w:rPr>
          <w:rFonts w:ascii="David" w:hAnsi="David" w:hint="cs"/>
          <w:sz w:val="22"/>
          <w:rtl/>
        </w:rPr>
        <w:t xml:space="preserve"> </w:t>
      </w:r>
      <w:r w:rsidR="00D248AF">
        <w:rPr>
          <w:rFonts w:ascii="David" w:hAnsi="David" w:hint="cs"/>
          <w:sz w:val="22"/>
          <w:rtl/>
        </w:rPr>
        <w:t xml:space="preserve">סעיף ד: </w:t>
      </w:r>
      <w:r>
        <w:rPr>
          <w:rFonts w:ascii="David" w:hAnsi="David" w:hint="cs"/>
          <w:sz w:val="22"/>
          <w:rtl/>
        </w:rPr>
        <w:t>אם התקדשה קודם שתתגבר, אינה מקודשת.</w:t>
      </w:r>
    </w:p>
    <w:p w14:paraId="241E8ED4" w14:textId="3077C28E" w:rsidR="005A3DA0" w:rsidRDefault="00D248AF" w:rsidP="00D248AF">
      <w:pPr>
        <w:pStyle w:val="ac"/>
        <w:numPr>
          <w:ilvl w:val="3"/>
          <w:numId w:val="12"/>
        </w:numPr>
        <w:bidi/>
        <w:rPr>
          <w:rFonts w:ascii="David" w:hAnsi="David"/>
          <w:sz w:val="22"/>
        </w:rPr>
      </w:pPr>
      <w:r>
        <w:rPr>
          <w:rFonts w:ascii="David" w:hAnsi="David" w:hint="cs"/>
          <w:sz w:val="22"/>
          <w:rtl/>
        </w:rPr>
        <w:t xml:space="preserve">סעיף ב: </w:t>
      </w:r>
      <w:r w:rsidR="005A3DA0">
        <w:rPr>
          <w:rFonts w:ascii="David" w:hAnsi="David" w:hint="cs"/>
          <w:sz w:val="22"/>
          <w:rtl/>
        </w:rPr>
        <w:t>מגיל 12.5 האב לא יכול לקדש את ביתו</w:t>
      </w:r>
      <w:r w:rsidR="007C4D87">
        <w:rPr>
          <w:rFonts w:ascii="David" w:hAnsi="David" w:hint="cs"/>
          <w:sz w:val="22"/>
          <w:rtl/>
        </w:rPr>
        <w:t>, היא בוגרת מבחינה משפטית הלכתית.</w:t>
      </w:r>
      <w:r w:rsidR="0000480C">
        <w:rPr>
          <w:rFonts w:ascii="David" w:hAnsi="David" w:hint="cs"/>
          <w:sz w:val="22"/>
          <w:rtl/>
        </w:rPr>
        <w:t xml:space="preserve"> הקידושין יכולים להיות אך אם זו דעתה.</w:t>
      </w:r>
    </w:p>
    <w:p w14:paraId="093C2AB7" w14:textId="1B1EF0F4" w:rsidR="00D248AF" w:rsidRDefault="00D248AF" w:rsidP="00D248AF">
      <w:pPr>
        <w:pStyle w:val="ac"/>
        <w:numPr>
          <w:ilvl w:val="3"/>
          <w:numId w:val="12"/>
        </w:numPr>
        <w:bidi/>
        <w:rPr>
          <w:rFonts w:ascii="David" w:hAnsi="David"/>
          <w:sz w:val="22"/>
        </w:rPr>
      </w:pPr>
      <w:r>
        <w:rPr>
          <w:rFonts w:ascii="David" w:hAnsi="David" w:hint="cs"/>
          <w:sz w:val="22"/>
          <w:rtl/>
        </w:rPr>
        <w:t xml:space="preserve">סעיף ח: מצווה שלא יקדש אישה כל עוד היא קטנה, עד שהיא בוגרת ותחליט בעצמה. </w:t>
      </w:r>
      <w:r w:rsidR="004A18F9">
        <w:rPr>
          <w:rFonts w:ascii="David" w:hAnsi="David" w:hint="cs"/>
          <w:sz w:val="22"/>
          <w:rtl/>
        </w:rPr>
        <w:t xml:space="preserve">עם זאת, מדובר במצווה ולכן זה פחות מחיוב. </w:t>
      </w:r>
    </w:p>
    <w:p w14:paraId="0D3E60B6" w14:textId="77777777" w:rsidR="00BD35C3" w:rsidRDefault="003955B4" w:rsidP="00B65BED">
      <w:pPr>
        <w:pStyle w:val="ac"/>
        <w:numPr>
          <w:ilvl w:val="3"/>
          <w:numId w:val="12"/>
        </w:numPr>
        <w:bidi/>
        <w:rPr>
          <w:rFonts w:ascii="David" w:hAnsi="David"/>
          <w:sz w:val="22"/>
        </w:rPr>
      </w:pPr>
      <w:r w:rsidRPr="008C098D">
        <w:rPr>
          <w:rFonts w:ascii="David" w:hAnsi="David" w:hint="cs"/>
          <w:sz w:val="22"/>
          <w:rtl/>
        </w:rPr>
        <w:t xml:space="preserve">הרמ"א: </w:t>
      </w:r>
      <w:r w:rsidR="009946E8" w:rsidRPr="008C098D">
        <w:rPr>
          <w:rFonts w:ascii="David" w:hAnsi="David" w:hint="cs"/>
          <w:sz w:val="22"/>
          <w:rtl/>
        </w:rPr>
        <w:t>כיוון שאנחנו בגלות ועניים אז אנחנו לא מקפידים על סעיף ח'</w:t>
      </w:r>
      <w:r w:rsidR="009C5118" w:rsidRPr="008C098D">
        <w:rPr>
          <w:rFonts w:ascii="David" w:hAnsi="David" w:hint="cs"/>
          <w:sz w:val="22"/>
          <w:rtl/>
        </w:rPr>
        <w:t>.</w:t>
      </w:r>
    </w:p>
    <w:p w14:paraId="484617FF" w14:textId="141A9350" w:rsidR="001906C1" w:rsidRPr="008C098D" w:rsidRDefault="00BD35C3" w:rsidP="00BD35C3">
      <w:pPr>
        <w:pStyle w:val="ac"/>
        <w:numPr>
          <w:ilvl w:val="3"/>
          <w:numId w:val="12"/>
        </w:numPr>
        <w:bidi/>
        <w:rPr>
          <w:rFonts w:ascii="David" w:hAnsi="David"/>
          <w:sz w:val="22"/>
        </w:rPr>
      </w:pPr>
      <w:r w:rsidRPr="003955B4">
        <w:rPr>
          <w:rFonts w:ascii="David" w:hAnsi="David"/>
          <w:noProof/>
          <w:shd w:val="clear" w:color="auto" w:fill="FFF4CD" w:themeFill="accent1" w:themeFillTint="33"/>
          <w:rtl/>
        </w:rPr>
        <w:lastRenderedPageBreak/>
        <w:drawing>
          <wp:anchor distT="0" distB="0" distL="114300" distR="114300" simplePos="0" relativeHeight="251660288" behindDoc="0" locked="0" layoutInCell="1" allowOverlap="1" wp14:anchorId="74DE9300" wp14:editId="1A956FCB">
            <wp:simplePos x="0" y="0"/>
            <wp:positionH relativeFrom="margin">
              <wp:posOffset>29099</wp:posOffset>
            </wp:positionH>
            <wp:positionV relativeFrom="paragraph">
              <wp:posOffset>377825</wp:posOffset>
            </wp:positionV>
            <wp:extent cx="6104149" cy="3048264"/>
            <wp:effectExtent l="19050" t="19050" r="11430" b="19050"/>
            <wp:wrapTopAndBottom/>
            <wp:docPr id="3" name="תמונה 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טקסט&#10;&#10;התיאור נוצר באופן אוטומטי"/>
                    <pic:cNvPicPr/>
                  </pic:nvPicPr>
                  <pic:blipFill>
                    <a:blip r:embed="rId10">
                      <a:extLst>
                        <a:ext uri="{28A0092B-C50C-407E-A947-70E740481C1C}">
                          <a14:useLocalDpi xmlns:a14="http://schemas.microsoft.com/office/drawing/2010/main" val="0"/>
                        </a:ext>
                      </a:extLst>
                    </a:blip>
                    <a:stretch>
                      <a:fillRect/>
                    </a:stretch>
                  </pic:blipFill>
                  <pic:spPr>
                    <a:xfrm>
                      <a:off x="0" y="0"/>
                      <a:ext cx="6104149" cy="30482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207FE" w:rsidRPr="008C098D">
        <w:rPr>
          <w:rFonts w:ascii="David" w:hAnsi="David" w:hint="cs"/>
          <w:sz w:val="22"/>
          <w:rtl/>
        </w:rPr>
        <w:t xml:space="preserve">ילדה יתומה שחיתנו לפני בגרותה אפשר לבטל את הנישואין אם לא הסכימה - היה מקרים כאלו בראשית המדינה, היום זה לא רלוונטי. </w:t>
      </w:r>
    </w:p>
    <w:p w14:paraId="1F03010E" w14:textId="14F19CD7" w:rsidR="00982E9B" w:rsidRPr="00956A42" w:rsidRDefault="00956A42" w:rsidP="00956A42">
      <w:pPr>
        <w:pStyle w:val="ac"/>
        <w:numPr>
          <w:ilvl w:val="0"/>
          <w:numId w:val="12"/>
        </w:numPr>
        <w:shd w:val="clear" w:color="auto" w:fill="FFF4CD" w:themeFill="accent1" w:themeFillTint="33"/>
        <w:bidi/>
        <w:spacing w:before="240"/>
        <w:rPr>
          <w:rFonts w:ascii="David" w:hAnsi="David"/>
          <w:b/>
          <w:bCs/>
          <w:sz w:val="22"/>
        </w:rPr>
      </w:pPr>
      <w:r w:rsidRPr="00956A42">
        <w:rPr>
          <w:rFonts w:ascii="David" w:hAnsi="David" w:hint="cs"/>
          <w:b/>
          <w:bCs/>
          <w:sz w:val="22"/>
          <w:rtl/>
        </w:rPr>
        <w:t>התמודדות מדינת ישראל אם המציאות ההלכתית של גיל הנישואין:</w:t>
      </w:r>
    </w:p>
    <w:p w14:paraId="4B9769E2" w14:textId="50E17F31" w:rsidR="00A12330" w:rsidRDefault="00A12330" w:rsidP="00A12330">
      <w:pPr>
        <w:pStyle w:val="ac"/>
        <w:numPr>
          <w:ilvl w:val="1"/>
          <w:numId w:val="12"/>
        </w:numPr>
        <w:bidi/>
        <w:spacing w:before="240"/>
        <w:rPr>
          <w:rFonts w:ascii="David" w:hAnsi="David"/>
          <w:sz w:val="22"/>
        </w:rPr>
      </w:pPr>
      <w:r>
        <w:rPr>
          <w:rFonts w:ascii="David" w:hAnsi="David" w:hint="cs"/>
          <w:sz w:val="22"/>
          <w:rtl/>
        </w:rPr>
        <w:t xml:space="preserve">בשנת 1950 כנסת ישראל מחוקקת חוק </w:t>
      </w:r>
      <w:r w:rsidR="00E23E6E">
        <w:rPr>
          <w:rFonts w:ascii="David" w:hAnsi="David" w:hint="cs"/>
          <w:sz w:val="22"/>
          <w:rtl/>
        </w:rPr>
        <w:t>שנקרא</w:t>
      </w:r>
      <w:r>
        <w:rPr>
          <w:rFonts w:ascii="David" w:hAnsi="David" w:hint="cs"/>
          <w:sz w:val="22"/>
          <w:rtl/>
        </w:rPr>
        <w:t xml:space="preserve"> "</w:t>
      </w:r>
      <w:r w:rsidRPr="005A65ED">
        <w:rPr>
          <w:rFonts w:ascii="David" w:hAnsi="David" w:hint="cs"/>
          <w:sz w:val="22"/>
          <w:highlight w:val="green"/>
          <w:rtl/>
        </w:rPr>
        <w:t>חוק גיל הנישואין</w:t>
      </w:r>
      <w:r>
        <w:rPr>
          <w:rFonts w:ascii="David" w:hAnsi="David" w:hint="cs"/>
          <w:sz w:val="22"/>
          <w:rtl/>
        </w:rPr>
        <w:t xml:space="preserve">"  </w:t>
      </w:r>
      <w:r w:rsidR="00B05E01">
        <w:rPr>
          <w:rFonts w:ascii="David" w:hAnsi="David" w:hint="cs"/>
          <w:sz w:val="22"/>
          <w:rtl/>
        </w:rPr>
        <w:t>מתוך</w:t>
      </w:r>
      <w:r>
        <w:rPr>
          <w:rFonts w:ascii="David" w:hAnsi="David" w:hint="cs"/>
          <w:sz w:val="22"/>
          <w:rtl/>
        </w:rPr>
        <w:t xml:space="preserve"> הבנה שהיא לא יכולה לשנות את ההלכה ולקבוע אם הנישואין הם תקפים או לא תקפים, אבל אני יכולה להפוך את זה לעבירה פלילית.</w:t>
      </w:r>
      <w:r w:rsidR="00B05E01">
        <w:rPr>
          <w:rFonts w:ascii="David" w:hAnsi="David" w:hint="cs"/>
          <w:sz w:val="22"/>
          <w:rtl/>
        </w:rPr>
        <w:t xml:space="preserve"> גיל הנישואין כיום הוא 18.</w:t>
      </w:r>
      <w:r w:rsidR="005A65ED">
        <w:rPr>
          <w:rFonts w:ascii="David" w:hAnsi="David" w:hint="cs"/>
          <w:sz w:val="22"/>
          <w:rtl/>
        </w:rPr>
        <w:t xml:space="preserve"> ס' 5 לחוק קובע שבית המשפט</w:t>
      </w:r>
      <w:r w:rsidR="001B46F6">
        <w:rPr>
          <w:rFonts w:ascii="David" w:hAnsi="David" w:hint="cs"/>
          <w:sz w:val="22"/>
          <w:rtl/>
        </w:rPr>
        <w:t xml:space="preserve"> לענייני משפחה (לא בית הדין הרבני)</w:t>
      </w:r>
      <w:r w:rsidR="005A65ED">
        <w:rPr>
          <w:rFonts w:ascii="David" w:hAnsi="David" w:hint="cs"/>
          <w:sz w:val="22"/>
          <w:rtl/>
        </w:rPr>
        <w:t xml:space="preserve"> רשאי </w:t>
      </w:r>
      <w:r w:rsidR="003F79EE">
        <w:rPr>
          <w:rFonts w:ascii="David" w:hAnsi="David" w:hint="cs"/>
          <w:sz w:val="22"/>
          <w:rtl/>
        </w:rPr>
        <w:t>לתת היתר נישואין לקטינים מעל גיל 16.</w:t>
      </w:r>
    </w:p>
    <w:p w14:paraId="7A98DBE8" w14:textId="4BFB87A6" w:rsidR="00FB7B34" w:rsidRDefault="00FB7B34" w:rsidP="00B075B6">
      <w:pPr>
        <w:pStyle w:val="ac"/>
        <w:numPr>
          <w:ilvl w:val="1"/>
          <w:numId w:val="12"/>
        </w:numPr>
        <w:bidi/>
        <w:spacing w:before="240"/>
        <w:rPr>
          <w:rFonts w:ascii="David" w:hAnsi="David"/>
          <w:sz w:val="22"/>
        </w:rPr>
      </w:pPr>
      <w:r>
        <w:rPr>
          <w:rFonts w:ascii="David" w:hAnsi="David" w:hint="cs"/>
          <w:sz w:val="22"/>
          <w:rtl/>
        </w:rPr>
        <w:t xml:space="preserve">החוק המקורי </w:t>
      </w:r>
      <w:r w:rsidR="00622BAC">
        <w:rPr>
          <w:rFonts w:ascii="David" w:hAnsi="David" w:hint="cs"/>
          <w:sz w:val="22"/>
          <w:rtl/>
        </w:rPr>
        <w:t>עד 1998</w:t>
      </w:r>
      <w:r w:rsidR="00EC19CD">
        <w:rPr>
          <w:rFonts w:ascii="David" w:hAnsi="David" w:hint="cs"/>
          <w:sz w:val="22"/>
          <w:rtl/>
        </w:rPr>
        <w:t xml:space="preserve"> לא קבע גיל נישואין מינימלי לגברים.</w:t>
      </w:r>
      <w:r w:rsidR="00B075B6">
        <w:rPr>
          <w:rFonts w:ascii="David" w:hAnsi="David" w:hint="cs"/>
          <w:sz w:val="22"/>
          <w:rtl/>
        </w:rPr>
        <w:t xml:space="preserve">  הסיבה הברורה לכך היא שהבעיה הייתה ר</w:t>
      </w:r>
      <w:r w:rsidR="00E23E6E">
        <w:rPr>
          <w:rFonts w:ascii="David" w:hAnsi="David" w:hint="cs"/>
          <w:sz w:val="22"/>
          <w:rtl/>
        </w:rPr>
        <w:t>ק לגבי קטינות. בשנת 1998 ח"כים החליטו שזה לא סביר השחוק לא אוסר גם ע גברים להינשא בגיל צעיר (לא מחשש לנישואין טין עם  בגירה), לכן שונה.</w:t>
      </w:r>
    </w:p>
    <w:p w14:paraId="0B8FDB7A" w14:textId="739EDF78" w:rsidR="00A53D16" w:rsidRDefault="00A53D16" w:rsidP="00A53D16">
      <w:pPr>
        <w:pStyle w:val="ac"/>
        <w:numPr>
          <w:ilvl w:val="1"/>
          <w:numId w:val="12"/>
        </w:numPr>
        <w:bidi/>
        <w:spacing w:before="240"/>
        <w:rPr>
          <w:rFonts w:ascii="David" w:hAnsi="David"/>
          <w:sz w:val="22"/>
        </w:rPr>
      </w:pPr>
      <w:r w:rsidRPr="00A53D16">
        <w:rPr>
          <w:rFonts w:ascii="David" w:hAnsi="David" w:hint="cs"/>
          <w:sz w:val="22"/>
          <w:highlight w:val="green"/>
          <w:rtl/>
        </w:rPr>
        <w:t>סעיף 2 לחוק</w:t>
      </w:r>
      <w:r>
        <w:rPr>
          <w:rFonts w:ascii="David" w:hAnsi="David" w:hint="cs"/>
          <w:sz w:val="22"/>
          <w:rtl/>
        </w:rPr>
        <w:t>:</w:t>
      </w:r>
      <w:r w:rsidR="00332D6E">
        <w:rPr>
          <w:rFonts w:ascii="David" w:hAnsi="David" w:hint="cs"/>
          <w:sz w:val="22"/>
          <w:rtl/>
        </w:rPr>
        <w:t xml:space="preserve"> שלוש גורמים שיקבלו עונש פלילי בנישואי קטינים-</w:t>
      </w:r>
    </w:p>
    <w:p w14:paraId="1EB4D2F3" w14:textId="798A836A" w:rsidR="00A53D16" w:rsidRDefault="00A53D16" w:rsidP="00A53D16">
      <w:pPr>
        <w:pStyle w:val="ac"/>
        <w:bidi/>
        <w:spacing w:before="240"/>
        <w:ind w:left="199"/>
        <w:rPr>
          <w:rFonts w:ascii="David" w:hAnsi="David"/>
          <w:sz w:val="22"/>
        </w:rPr>
      </w:pPr>
      <w:r w:rsidRPr="00A53D16">
        <w:rPr>
          <w:rFonts w:ascii="David" w:hAnsi="David"/>
          <w:noProof/>
          <w:sz w:val="22"/>
          <w:rtl/>
        </w:rPr>
        <w:drawing>
          <wp:inline distT="0" distB="0" distL="0" distR="0" wp14:anchorId="51E061CF" wp14:editId="2815160C">
            <wp:extent cx="4320914" cy="1280271"/>
            <wp:effectExtent l="0" t="0" r="3810" b="0"/>
            <wp:docPr id="5" name="תמונה 5" descr="תמונה שמכילה טקסט,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תמונה שמכילה טקסט, מקורה&#10;&#10;התיאור נוצר באופן אוטומטי"/>
                    <pic:cNvPicPr/>
                  </pic:nvPicPr>
                  <pic:blipFill>
                    <a:blip r:embed="rId11"/>
                    <a:stretch>
                      <a:fillRect/>
                    </a:stretch>
                  </pic:blipFill>
                  <pic:spPr>
                    <a:xfrm>
                      <a:off x="0" y="0"/>
                      <a:ext cx="4320914" cy="1280271"/>
                    </a:xfrm>
                    <a:prstGeom prst="rect">
                      <a:avLst/>
                    </a:prstGeom>
                  </pic:spPr>
                </pic:pic>
              </a:graphicData>
            </a:graphic>
          </wp:inline>
        </w:drawing>
      </w:r>
    </w:p>
    <w:p w14:paraId="5A6CB50B" w14:textId="46214EAA" w:rsidR="00115BC1" w:rsidRDefault="00115BC1" w:rsidP="00115BC1">
      <w:pPr>
        <w:pStyle w:val="ac"/>
        <w:numPr>
          <w:ilvl w:val="1"/>
          <w:numId w:val="12"/>
        </w:numPr>
        <w:bidi/>
        <w:spacing w:before="240"/>
        <w:rPr>
          <w:rFonts w:ascii="David" w:hAnsi="David"/>
          <w:sz w:val="22"/>
        </w:rPr>
      </w:pPr>
      <w:r>
        <w:rPr>
          <w:rFonts w:ascii="David" w:hAnsi="David" w:hint="cs"/>
          <w:sz w:val="22"/>
          <w:rtl/>
        </w:rPr>
        <w:t xml:space="preserve">בפועל מדינת ישראל בוחרת שלא לעמיד לדין אנשים שעוברים על איסור זה. זאת על אף, </w:t>
      </w:r>
      <w:r w:rsidR="00A53D16">
        <w:rPr>
          <w:rFonts w:ascii="David" w:hAnsi="David" w:hint="cs"/>
          <w:sz w:val="22"/>
          <w:rtl/>
        </w:rPr>
        <w:t>שמדובר בתופעה לא נדירה</w:t>
      </w:r>
      <w:r w:rsidR="00D662F5">
        <w:rPr>
          <w:rFonts w:ascii="David" w:hAnsi="David" w:hint="cs"/>
          <w:sz w:val="22"/>
          <w:rtl/>
        </w:rPr>
        <w:t xml:space="preserve"> בכלל</w:t>
      </w:r>
      <w:r w:rsidR="00A53D16">
        <w:rPr>
          <w:rFonts w:ascii="David" w:hAnsi="David" w:hint="cs"/>
          <w:sz w:val="22"/>
          <w:rtl/>
        </w:rPr>
        <w:t>.</w:t>
      </w:r>
      <w:r w:rsidR="00D662F5">
        <w:rPr>
          <w:rFonts w:ascii="David" w:hAnsi="David" w:hint="cs"/>
          <w:sz w:val="22"/>
          <w:rtl/>
        </w:rPr>
        <w:t xml:space="preserve"> </w:t>
      </w:r>
    </w:p>
    <w:p w14:paraId="06D3B6CA" w14:textId="3B9CCE57" w:rsidR="00291F91" w:rsidRDefault="00291F91" w:rsidP="00291F91">
      <w:pPr>
        <w:pStyle w:val="ac"/>
        <w:numPr>
          <w:ilvl w:val="1"/>
          <w:numId w:val="12"/>
        </w:numPr>
        <w:bidi/>
        <w:spacing w:before="240"/>
        <w:rPr>
          <w:rFonts w:ascii="David" w:hAnsi="David"/>
          <w:sz w:val="22"/>
        </w:rPr>
      </w:pPr>
      <w:r w:rsidRPr="003A39B4">
        <w:rPr>
          <w:rFonts w:ascii="David" w:hAnsi="David" w:hint="cs"/>
          <w:sz w:val="22"/>
          <w:highlight w:val="green"/>
          <w:rtl/>
        </w:rPr>
        <w:t>סעיף 3(א)</w:t>
      </w:r>
      <w:r w:rsidR="003A39B4" w:rsidRPr="003A39B4">
        <w:rPr>
          <w:rFonts w:ascii="David" w:hAnsi="David" w:hint="cs"/>
          <w:sz w:val="22"/>
          <w:highlight w:val="green"/>
          <w:rtl/>
        </w:rPr>
        <w:t xml:space="preserve"> לחוק</w:t>
      </w:r>
      <w:r w:rsidR="003A39B4">
        <w:rPr>
          <w:rFonts w:ascii="David" w:hAnsi="David" w:hint="cs"/>
          <w:sz w:val="22"/>
          <w:rtl/>
        </w:rPr>
        <w:t xml:space="preserve">: </w:t>
      </w:r>
      <w:r w:rsidR="00071ECF">
        <w:rPr>
          <w:rFonts w:ascii="David" w:hAnsi="David" w:hint="cs"/>
          <w:sz w:val="22"/>
          <w:rtl/>
        </w:rPr>
        <w:t xml:space="preserve">זה המקום היחיד בחוק בו הכנסת התערבה בהלכה ובעצם המציאה עילת גירושין. </w:t>
      </w:r>
      <w:r w:rsidR="005F5D03">
        <w:rPr>
          <w:rFonts w:ascii="David" w:hAnsi="David" w:hint="cs"/>
          <w:sz w:val="22"/>
          <w:rtl/>
        </w:rPr>
        <w:t>בפועל סעיף זה לא נאכף מסיבות ברורות.</w:t>
      </w:r>
    </w:p>
    <w:p w14:paraId="7B1BB2CB" w14:textId="5011FEDC" w:rsidR="003A39B4" w:rsidRDefault="003A39B4" w:rsidP="003A39B4">
      <w:pPr>
        <w:pStyle w:val="ac"/>
        <w:bidi/>
        <w:spacing w:before="240"/>
        <w:ind w:left="199"/>
        <w:rPr>
          <w:rFonts w:ascii="David" w:hAnsi="David"/>
          <w:sz w:val="22"/>
        </w:rPr>
      </w:pPr>
      <w:r w:rsidRPr="003A39B4">
        <w:rPr>
          <w:rFonts w:ascii="David" w:hAnsi="David"/>
          <w:noProof/>
          <w:sz w:val="22"/>
          <w:rtl/>
        </w:rPr>
        <w:drawing>
          <wp:inline distT="0" distB="0" distL="0" distR="0" wp14:anchorId="5D6B16B6" wp14:editId="70532752">
            <wp:extent cx="4473328" cy="655377"/>
            <wp:effectExtent l="0" t="0" r="3810" b="0"/>
            <wp:docPr id="6" name="תמונה 6"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מכילה טקסט&#10;&#10;התיאור נוצר באופן אוטומטי"/>
                    <pic:cNvPicPr/>
                  </pic:nvPicPr>
                  <pic:blipFill>
                    <a:blip r:embed="rId12"/>
                    <a:stretch>
                      <a:fillRect/>
                    </a:stretch>
                  </pic:blipFill>
                  <pic:spPr>
                    <a:xfrm>
                      <a:off x="0" y="0"/>
                      <a:ext cx="4473328" cy="655377"/>
                    </a:xfrm>
                    <a:prstGeom prst="rect">
                      <a:avLst/>
                    </a:prstGeom>
                  </pic:spPr>
                </pic:pic>
              </a:graphicData>
            </a:graphic>
          </wp:inline>
        </w:drawing>
      </w:r>
    </w:p>
    <w:p w14:paraId="1C0C9C7F" w14:textId="2ADC8703" w:rsidR="00BD35C3" w:rsidRDefault="00BD35C3" w:rsidP="00BD35C3">
      <w:pPr>
        <w:pStyle w:val="ac"/>
        <w:bidi/>
        <w:spacing w:before="240"/>
        <w:ind w:left="360"/>
        <w:rPr>
          <w:rFonts w:ascii="David" w:hAnsi="David"/>
          <w:b/>
          <w:bCs/>
          <w:sz w:val="22"/>
          <w:rtl/>
        </w:rPr>
      </w:pPr>
    </w:p>
    <w:p w14:paraId="69343B27" w14:textId="13CE48CC" w:rsidR="00BD35C3" w:rsidRDefault="00BD35C3" w:rsidP="00BD35C3">
      <w:pPr>
        <w:pStyle w:val="ac"/>
        <w:bidi/>
        <w:spacing w:before="240"/>
        <w:ind w:left="360"/>
        <w:rPr>
          <w:rFonts w:ascii="David" w:hAnsi="David"/>
          <w:b/>
          <w:bCs/>
          <w:sz w:val="22"/>
          <w:rtl/>
        </w:rPr>
      </w:pPr>
    </w:p>
    <w:p w14:paraId="6BCB76B9" w14:textId="77969562" w:rsidR="00BD35C3" w:rsidRDefault="00BD35C3" w:rsidP="00BD35C3">
      <w:pPr>
        <w:pStyle w:val="ac"/>
        <w:bidi/>
        <w:spacing w:before="240"/>
        <w:ind w:left="360"/>
        <w:rPr>
          <w:rFonts w:ascii="David" w:hAnsi="David"/>
          <w:b/>
          <w:bCs/>
          <w:sz w:val="22"/>
          <w:rtl/>
        </w:rPr>
      </w:pPr>
    </w:p>
    <w:p w14:paraId="66EDCC4E" w14:textId="4BC3C858" w:rsidR="00BD35C3" w:rsidRDefault="00BD35C3" w:rsidP="00BD35C3">
      <w:pPr>
        <w:pStyle w:val="ac"/>
        <w:bidi/>
        <w:spacing w:before="240"/>
        <w:ind w:left="360"/>
        <w:rPr>
          <w:rFonts w:ascii="David" w:hAnsi="David"/>
          <w:b/>
          <w:bCs/>
          <w:sz w:val="22"/>
          <w:rtl/>
        </w:rPr>
      </w:pPr>
    </w:p>
    <w:p w14:paraId="30E9A30C" w14:textId="0E20DD5A" w:rsidR="00BD35C3" w:rsidRDefault="00BD35C3" w:rsidP="00BD35C3">
      <w:pPr>
        <w:pStyle w:val="ac"/>
        <w:bidi/>
        <w:spacing w:before="240"/>
        <w:ind w:left="360"/>
        <w:rPr>
          <w:rFonts w:ascii="David" w:hAnsi="David"/>
          <w:b/>
          <w:bCs/>
          <w:sz w:val="22"/>
          <w:rtl/>
        </w:rPr>
      </w:pPr>
    </w:p>
    <w:p w14:paraId="1DD87EF1" w14:textId="77777777" w:rsidR="00BD35C3" w:rsidRDefault="00BD35C3" w:rsidP="00BD35C3">
      <w:pPr>
        <w:pStyle w:val="ac"/>
        <w:bidi/>
        <w:spacing w:before="240"/>
        <w:ind w:left="360"/>
        <w:rPr>
          <w:rFonts w:ascii="David" w:hAnsi="David"/>
          <w:b/>
          <w:bCs/>
          <w:sz w:val="22"/>
        </w:rPr>
      </w:pPr>
    </w:p>
    <w:p w14:paraId="0E613748" w14:textId="001761B9" w:rsidR="00291F91" w:rsidRPr="001E31FB" w:rsidRDefault="003E7CF9" w:rsidP="00BD35C3">
      <w:pPr>
        <w:pStyle w:val="ac"/>
        <w:numPr>
          <w:ilvl w:val="0"/>
          <w:numId w:val="12"/>
        </w:numPr>
        <w:shd w:val="clear" w:color="auto" w:fill="FFF4CD" w:themeFill="accent1" w:themeFillTint="33"/>
        <w:bidi/>
        <w:spacing w:before="240"/>
        <w:rPr>
          <w:rFonts w:ascii="David" w:hAnsi="David"/>
          <w:b/>
          <w:bCs/>
          <w:sz w:val="22"/>
        </w:rPr>
      </w:pPr>
      <w:r w:rsidRPr="001E31FB">
        <w:rPr>
          <w:rFonts w:ascii="David" w:hAnsi="David" w:hint="cs"/>
          <w:b/>
          <w:bCs/>
          <w:sz w:val="22"/>
          <w:rtl/>
        </w:rPr>
        <w:lastRenderedPageBreak/>
        <w:t>התמודדות הרבנות עם גיל הנישואין</w:t>
      </w:r>
      <w:r w:rsidR="00F54D07">
        <w:rPr>
          <w:rFonts w:ascii="David" w:hAnsi="David" w:hint="cs"/>
          <w:b/>
          <w:bCs/>
          <w:sz w:val="22"/>
          <w:rtl/>
        </w:rPr>
        <w:t xml:space="preserve"> ההלכתי ביחס למציאות כיום</w:t>
      </w:r>
      <w:r w:rsidRPr="001E31FB">
        <w:rPr>
          <w:rFonts w:ascii="David" w:hAnsi="David" w:hint="cs"/>
          <w:b/>
          <w:bCs/>
          <w:sz w:val="22"/>
          <w:rtl/>
        </w:rPr>
        <w:t>:</w:t>
      </w:r>
    </w:p>
    <w:p w14:paraId="143FF9EA" w14:textId="632D94BC" w:rsidR="003E7CF9" w:rsidRDefault="001E31FB" w:rsidP="003E7CF9">
      <w:pPr>
        <w:pStyle w:val="ac"/>
        <w:numPr>
          <w:ilvl w:val="1"/>
          <w:numId w:val="12"/>
        </w:numPr>
        <w:bidi/>
        <w:spacing w:before="240"/>
        <w:rPr>
          <w:rFonts w:ascii="David" w:hAnsi="David"/>
          <w:sz w:val="22"/>
        </w:rPr>
      </w:pPr>
      <w:r>
        <w:rPr>
          <w:rFonts w:ascii="David" w:hAnsi="David" w:hint="cs"/>
          <w:sz w:val="22"/>
          <w:rtl/>
        </w:rPr>
        <w:t>מה אפשר לעשות מבחינה הלכתית כדי להתמודד עם הפער בין גיל הנישואין הלכתי למציאות בה אחנו חיים כיום. הרי גם ברוב החברות המ</w:t>
      </w:r>
      <w:r w:rsidR="003C1150">
        <w:rPr>
          <w:rFonts w:ascii="David" w:hAnsi="David" w:hint="cs"/>
          <w:sz w:val="22"/>
          <w:rtl/>
        </w:rPr>
        <w:t>סורתיות לא מחתנים בגיל כול כך צעיר</w:t>
      </w:r>
      <w:r w:rsidR="007C1D12">
        <w:rPr>
          <w:rFonts w:ascii="David" w:hAnsi="David" w:hint="cs"/>
          <w:sz w:val="22"/>
          <w:rtl/>
        </w:rPr>
        <w:t>.</w:t>
      </w:r>
    </w:p>
    <w:p w14:paraId="4DFC4A5B" w14:textId="77777777" w:rsidR="00960FD8" w:rsidRPr="00BD35C3" w:rsidRDefault="00960FD8" w:rsidP="00BD35C3">
      <w:pPr>
        <w:pStyle w:val="ac"/>
        <w:bidi/>
        <w:spacing w:before="240"/>
        <w:ind w:left="199"/>
        <w:rPr>
          <w:rFonts w:ascii="David" w:hAnsi="David"/>
          <w:b/>
          <w:bCs/>
          <w:sz w:val="22"/>
        </w:rPr>
      </w:pPr>
      <w:r w:rsidRPr="00BD35C3">
        <w:rPr>
          <w:rFonts w:ascii="David" w:hAnsi="David" w:hint="cs"/>
          <w:b/>
          <w:bCs/>
          <w:sz w:val="22"/>
          <w:shd w:val="clear" w:color="auto" w:fill="FFF4CD" w:themeFill="accent1" w:themeFillTint="33"/>
          <w:rtl/>
        </w:rPr>
        <w:t>הפתרונות האפשריים</w:t>
      </w:r>
      <w:r w:rsidRPr="00BD35C3">
        <w:rPr>
          <w:rFonts w:ascii="David" w:hAnsi="David" w:hint="cs"/>
          <w:b/>
          <w:bCs/>
          <w:sz w:val="22"/>
          <w:rtl/>
        </w:rPr>
        <w:t>:</w:t>
      </w:r>
    </w:p>
    <w:p w14:paraId="3D704E26" w14:textId="2E70173D" w:rsidR="003C1150" w:rsidRDefault="00960FD8" w:rsidP="00BD35C3">
      <w:pPr>
        <w:pStyle w:val="ac"/>
        <w:numPr>
          <w:ilvl w:val="1"/>
          <w:numId w:val="12"/>
        </w:numPr>
        <w:bidi/>
        <w:spacing w:before="240"/>
        <w:rPr>
          <w:rFonts w:ascii="David" w:hAnsi="David"/>
          <w:sz w:val="22"/>
        </w:rPr>
      </w:pPr>
      <w:r w:rsidRPr="008D10EA">
        <w:rPr>
          <w:rFonts w:ascii="David" w:hAnsi="David" w:hint="cs"/>
          <w:b/>
          <w:bCs/>
          <w:sz w:val="22"/>
          <w:rtl/>
        </w:rPr>
        <w:t>פתרון אזרחי</w:t>
      </w:r>
      <w:r>
        <w:rPr>
          <w:rFonts w:ascii="David" w:hAnsi="David" w:hint="cs"/>
          <w:sz w:val="22"/>
          <w:rtl/>
        </w:rPr>
        <w:t xml:space="preserve"> - </w:t>
      </w:r>
      <w:r w:rsidR="003C1150">
        <w:rPr>
          <w:rFonts w:ascii="David" w:hAnsi="David" w:hint="cs"/>
          <w:sz w:val="22"/>
          <w:rtl/>
        </w:rPr>
        <w:t>ראשית הרבנות לא יכולה לאפשר לילדים מתחת לגיל 18 להינשא, שגכם היא גוף של המדינה. הוראות הרבנות קובעות שהם קובעים</w:t>
      </w:r>
      <w:r w:rsidR="001F1903">
        <w:rPr>
          <w:rFonts w:ascii="David" w:hAnsi="David" w:hint="cs"/>
          <w:sz w:val="22"/>
          <w:rtl/>
        </w:rPr>
        <w:t xml:space="preserve"> כפופים לחוק גיל הנישואין.</w:t>
      </w:r>
      <w:r w:rsidR="00F54D07">
        <w:rPr>
          <w:rFonts w:ascii="David" w:hAnsi="David" w:hint="cs"/>
          <w:sz w:val="22"/>
          <w:rtl/>
        </w:rPr>
        <w:t xml:space="preserve"> עם זאת, זה לא פתר את הבעיה שכן לרוב מי שרוצה להתחתן לפני גיל 18 לא </w:t>
      </w:r>
      <w:r w:rsidR="007C1D12">
        <w:rPr>
          <w:rFonts w:ascii="David" w:hAnsi="David" w:hint="cs"/>
          <w:sz w:val="22"/>
          <w:rtl/>
        </w:rPr>
        <w:t>יגיע להירשם ברבנות.</w:t>
      </w:r>
    </w:p>
    <w:p w14:paraId="111E7433" w14:textId="77777777" w:rsidR="00A5730C" w:rsidRPr="00A5730C" w:rsidRDefault="00960FD8" w:rsidP="007C1D12">
      <w:pPr>
        <w:pStyle w:val="ac"/>
        <w:numPr>
          <w:ilvl w:val="1"/>
          <w:numId w:val="12"/>
        </w:numPr>
        <w:bidi/>
        <w:spacing w:before="240"/>
        <w:rPr>
          <w:rFonts w:ascii="David" w:hAnsi="David"/>
          <w:sz w:val="22"/>
        </w:rPr>
      </w:pPr>
      <w:r w:rsidRPr="008D10EA">
        <w:rPr>
          <w:rFonts w:ascii="David" w:hAnsi="David" w:hint="cs"/>
          <w:b/>
          <w:bCs/>
          <w:sz w:val="22"/>
          <w:rtl/>
        </w:rPr>
        <w:t>פתרון הלכתי</w:t>
      </w:r>
      <w:r>
        <w:rPr>
          <w:rFonts w:ascii="David" w:hAnsi="David" w:hint="cs"/>
          <w:sz w:val="22"/>
          <w:rtl/>
        </w:rPr>
        <w:t xml:space="preserve"> - </w:t>
      </w:r>
      <w:r>
        <w:rPr>
          <w:rFonts w:ascii="David" w:hAnsi="David" w:hint="cs"/>
          <w:b/>
          <w:bCs/>
          <w:sz w:val="22"/>
          <w:rtl/>
        </w:rPr>
        <w:t>תקנ</w:t>
      </w:r>
      <w:r w:rsidR="00024EB8">
        <w:rPr>
          <w:rFonts w:ascii="David" w:hAnsi="David" w:hint="cs"/>
          <w:b/>
          <w:bCs/>
          <w:sz w:val="22"/>
          <w:rtl/>
        </w:rPr>
        <w:t>ות הרבנות הראשית תש"י</w:t>
      </w:r>
      <w:r w:rsidR="00A5730C">
        <w:rPr>
          <w:rFonts w:ascii="David" w:hAnsi="David" w:hint="cs"/>
          <w:b/>
          <w:bCs/>
          <w:sz w:val="22"/>
          <w:rtl/>
        </w:rPr>
        <w:t xml:space="preserve"> (1950)</w:t>
      </w:r>
      <w:r w:rsidR="00024EB8">
        <w:rPr>
          <w:rFonts w:ascii="David" w:hAnsi="David" w:hint="cs"/>
          <w:b/>
          <w:bCs/>
          <w:sz w:val="22"/>
          <w:rtl/>
        </w:rPr>
        <w:t>:</w:t>
      </w:r>
    </w:p>
    <w:p w14:paraId="541C31B8" w14:textId="528E03BE" w:rsidR="007C1D12" w:rsidRDefault="006578C9" w:rsidP="00B2042A">
      <w:pPr>
        <w:pStyle w:val="ac"/>
        <w:numPr>
          <w:ilvl w:val="2"/>
          <w:numId w:val="12"/>
        </w:numPr>
        <w:bidi/>
        <w:spacing w:before="240"/>
        <w:rPr>
          <w:rFonts w:ascii="David" w:hAnsi="David"/>
          <w:sz w:val="22"/>
        </w:rPr>
      </w:pPr>
      <w:r>
        <w:rPr>
          <w:rFonts w:ascii="David" w:hAnsi="David" w:hint="cs"/>
          <w:b/>
          <w:bCs/>
          <w:sz w:val="22"/>
          <w:rtl/>
        </w:rPr>
        <w:t>מה קרה ב1950 שגרם גם לכנס</w:t>
      </w:r>
      <w:r w:rsidR="00456FD2">
        <w:rPr>
          <w:rFonts w:ascii="David" w:hAnsi="David" w:hint="cs"/>
          <w:b/>
          <w:bCs/>
          <w:sz w:val="22"/>
          <w:rtl/>
        </w:rPr>
        <w:t>ת</w:t>
      </w:r>
      <w:r>
        <w:rPr>
          <w:rFonts w:ascii="David" w:hAnsi="David" w:hint="cs"/>
          <w:b/>
          <w:bCs/>
          <w:sz w:val="22"/>
          <w:rtl/>
        </w:rPr>
        <w:t xml:space="preserve"> וגם לרבנות לקבוע חוקים לגבי גיל הנישואין?</w:t>
      </w:r>
      <w:r w:rsidR="00024EB8">
        <w:rPr>
          <w:rFonts w:ascii="David" w:hAnsi="David" w:hint="cs"/>
          <w:b/>
          <w:bCs/>
          <w:sz w:val="22"/>
          <w:rtl/>
        </w:rPr>
        <w:t xml:space="preserve"> </w:t>
      </w:r>
      <w:r w:rsidR="00456FD2">
        <w:rPr>
          <w:rFonts w:ascii="David" w:hAnsi="David" w:hint="cs"/>
          <w:sz w:val="22"/>
          <w:rtl/>
        </w:rPr>
        <w:t xml:space="preserve">לחנך את הציבור שהגיע מהגלות </w:t>
      </w:r>
      <w:r w:rsidR="008D10EA">
        <w:rPr>
          <w:rFonts w:ascii="David" w:hAnsi="David" w:hint="cs"/>
          <w:sz w:val="22"/>
          <w:rtl/>
        </w:rPr>
        <w:t>מה הוא כיל הנישואין הראוי לדעתם. בפועל התקנות היו כישלון.</w:t>
      </w:r>
    </w:p>
    <w:p w14:paraId="2D326C09" w14:textId="5AABAC14" w:rsidR="00574D6B" w:rsidRDefault="00574D6B" w:rsidP="00B2042A">
      <w:pPr>
        <w:pStyle w:val="ac"/>
        <w:numPr>
          <w:ilvl w:val="2"/>
          <w:numId w:val="12"/>
        </w:numPr>
        <w:bidi/>
        <w:spacing w:before="240"/>
        <w:rPr>
          <w:rFonts w:ascii="David" w:hAnsi="David"/>
          <w:sz w:val="22"/>
        </w:rPr>
      </w:pPr>
      <w:r>
        <w:rPr>
          <w:rFonts w:ascii="David" w:hAnsi="David" w:hint="cs"/>
          <w:b/>
          <w:bCs/>
          <w:sz w:val="22"/>
          <w:rtl/>
        </w:rPr>
        <w:t>מבוא לתקנות הרבנות הראשית -</w:t>
      </w:r>
      <w:r>
        <w:rPr>
          <w:rFonts w:ascii="David" w:hAnsi="David" w:hint="cs"/>
          <w:sz w:val="22"/>
          <w:rtl/>
        </w:rPr>
        <w:t xml:space="preserve"> </w:t>
      </w:r>
      <w:r w:rsidRPr="00574D6B">
        <w:rPr>
          <w:rFonts w:ascii="David" w:hAnsi="David" w:hint="cs"/>
          <w:sz w:val="22"/>
          <w:rtl/>
        </w:rPr>
        <w:t>הרקע ליצירת התקנות הוא קיבוץ הגלויות</w:t>
      </w:r>
      <w:r>
        <w:rPr>
          <w:rFonts w:ascii="David" w:hAnsi="David" w:hint="cs"/>
          <w:sz w:val="22"/>
          <w:rtl/>
        </w:rPr>
        <w:t>.</w:t>
      </w:r>
      <w:r w:rsidR="000B294A">
        <w:rPr>
          <w:rFonts w:ascii="David" w:hAnsi="David" w:hint="cs"/>
          <w:sz w:val="22"/>
          <w:rtl/>
        </w:rPr>
        <w:t xml:space="preserve"> בשל קיבוץ הגלויות ישנם ריבוי מנהגים והלכות שונות וזה יוצר בעיה. כל עוד מדובר בנוסח שונה בתפילה, שחיטה, פסח וכד' זה בסדר. אך כאשר מדובר בענייני נישואין זה בעייתי</w:t>
      </w:r>
      <w:r w:rsidR="001848C7">
        <w:rPr>
          <w:rFonts w:ascii="David" w:hAnsi="David" w:hint="cs"/>
          <w:sz w:val="22"/>
          <w:rtl/>
        </w:rPr>
        <w:t>, כי לא ברור מה יהיה הדין בארץ</w:t>
      </w:r>
      <w:r w:rsidR="000B294A">
        <w:rPr>
          <w:rFonts w:ascii="David" w:hAnsi="David" w:hint="cs"/>
          <w:sz w:val="22"/>
          <w:rtl/>
        </w:rPr>
        <w:t>.</w:t>
      </w:r>
      <w:r w:rsidR="001848C7">
        <w:rPr>
          <w:rFonts w:ascii="David" w:hAnsi="David" w:hint="cs"/>
          <w:sz w:val="22"/>
          <w:rtl/>
        </w:rPr>
        <w:t xml:space="preserve"> ההלכות שיהודי הגולה מביאים אינם תואמים את המנהגים של גדולי התורה בארץ ישראל</w:t>
      </w:r>
      <w:r w:rsidR="00297EC1">
        <w:rPr>
          <w:rFonts w:ascii="David" w:hAnsi="David" w:hint="cs"/>
          <w:sz w:val="22"/>
          <w:rtl/>
        </w:rPr>
        <w:t xml:space="preserve"> ולכן יש צורך להתקין תקנות.</w:t>
      </w:r>
      <w:r w:rsidR="00FF414F">
        <w:rPr>
          <w:rFonts w:ascii="David" w:hAnsi="David" w:hint="cs"/>
          <w:sz w:val="22"/>
          <w:rtl/>
        </w:rPr>
        <w:t xml:space="preserve"> איך ייקבע אלו מנהגים יתקבלו</w:t>
      </w:r>
      <w:r w:rsidR="0043763A">
        <w:rPr>
          <w:rFonts w:ascii="David" w:hAnsi="David" w:hint="cs"/>
          <w:sz w:val="22"/>
          <w:rtl/>
        </w:rPr>
        <w:t xml:space="preserve"> - </w:t>
      </w:r>
      <w:r w:rsidR="00FF414F">
        <w:rPr>
          <w:rFonts w:ascii="David" w:hAnsi="David" w:hint="cs"/>
          <w:sz w:val="22"/>
          <w:rtl/>
        </w:rPr>
        <w:t>למה דווקא לקבל את נוהג המקום</w:t>
      </w:r>
      <w:r w:rsidR="0043763A">
        <w:rPr>
          <w:rFonts w:ascii="David" w:hAnsi="David" w:hint="cs"/>
          <w:sz w:val="22"/>
          <w:rtl/>
        </w:rPr>
        <w:t>?</w:t>
      </w:r>
      <w:r w:rsidR="009F0E67">
        <w:rPr>
          <w:rFonts w:ascii="David" w:hAnsi="David" w:hint="cs"/>
          <w:sz w:val="22"/>
          <w:rtl/>
        </w:rPr>
        <w:t xml:space="preserve"> הרבנות הראשית אומרת שמי שמגיע צריך לקבל את מנהג המקום. הבעיה</w:t>
      </w:r>
      <w:r w:rsidR="000A1F32">
        <w:rPr>
          <w:rFonts w:ascii="David" w:hAnsi="David" w:hint="cs"/>
          <w:sz w:val="22"/>
          <w:rtl/>
        </w:rPr>
        <w:t xml:space="preserve"> היא בפועל בארץ ישראל את קהילה אחת ואת מנהג מקום ברור.</w:t>
      </w:r>
    </w:p>
    <w:p w14:paraId="06F559AE" w14:textId="21B1F5A6" w:rsidR="00B866F4" w:rsidRPr="00750660" w:rsidRDefault="00B866F4" w:rsidP="00B2042A">
      <w:pPr>
        <w:pStyle w:val="ac"/>
        <w:numPr>
          <w:ilvl w:val="2"/>
          <w:numId w:val="12"/>
        </w:numPr>
        <w:bidi/>
        <w:spacing w:before="240"/>
        <w:rPr>
          <w:rFonts w:ascii="David" w:hAnsi="David"/>
          <w:b/>
          <w:bCs/>
          <w:sz w:val="22"/>
        </w:rPr>
      </w:pPr>
      <w:r w:rsidRPr="00750660">
        <w:rPr>
          <w:rFonts w:ascii="David" w:hAnsi="David" w:hint="cs"/>
          <w:b/>
          <w:bCs/>
          <w:sz w:val="22"/>
          <w:rtl/>
        </w:rPr>
        <w:t>התקנות לגופן - 4 תקנות:</w:t>
      </w:r>
    </w:p>
    <w:p w14:paraId="7AC3C0FF" w14:textId="77777777" w:rsidR="00B2042A" w:rsidRDefault="004C2476" w:rsidP="00B2042A">
      <w:pPr>
        <w:pStyle w:val="ac"/>
        <w:numPr>
          <w:ilvl w:val="2"/>
          <w:numId w:val="12"/>
        </w:numPr>
        <w:bidi/>
        <w:spacing w:before="240"/>
        <w:rPr>
          <w:rFonts w:ascii="David" w:hAnsi="David"/>
          <w:sz w:val="22"/>
        </w:rPr>
      </w:pPr>
      <w:r w:rsidRPr="006F4AC0">
        <w:rPr>
          <w:rFonts w:ascii="David" w:hAnsi="David" w:hint="cs"/>
          <w:sz w:val="22"/>
          <w:u w:val="single"/>
          <w:rtl/>
        </w:rPr>
        <w:t>התקנה השנייה</w:t>
      </w:r>
      <w:r w:rsidR="006F4AC0">
        <w:rPr>
          <w:rFonts w:ascii="David" w:hAnsi="David" w:hint="cs"/>
          <w:sz w:val="22"/>
          <w:rtl/>
        </w:rPr>
        <w:t xml:space="preserve"> (ה</w:t>
      </w:r>
      <w:r w:rsidR="0092656E">
        <w:rPr>
          <w:rFonts w:ascii="David" w:hAnsi="David" w:hint="cs"/>
          <w:sz w:val="22"/>
          <w:rtl/>
        </w:rPr>
        <w:t>רלוונטי לענייננו)</w:t>
      </w:r>
      <w:r>
        <w:rPr>
          <w:rFonts w:ascii="David" w:hAnsi="David" w:hint="cs"/>
          <w:sz w:val="22"/>
          <w:rtl/>
        </w:rPr>
        <w:t xml:space="preserve">: </w:t>
      </w:r>
      <w:r w:rsidR="006F4AC0">
        <w:rPr>
          <w:rFonts w:ascii="David" w:hAnsi="David" w:hint="cs"/>
          <w:sz w:val="22"/>
          <w:rtl/>
        </w:rPr>
        <w:t>"</w:t>
      </w:r>
      <w:r w:rsidRPr="00B2042A">
        <w:rPr>
          <w:rFonts w:ascii="David" w:hAnsi="David" w:hint="cs"/>
          <w:b/>
          <w:bCs/>
          <w:sz w:val="22"/>
          <w:rtl/>
        </w:rPr>
        <w:t>אסור לו לאדם מישראל לקדש לו אישה שהיא קטנה מגיל 16 ויום אחד</w:t>
      </w:r>
      <w:r w:rsidR="00F61161" w:rsidRPr="00B2042A">
        <w:rPr>
          <w:rFonts w:ascii="David" w:hAnsi="David" w:hint="cs"/>
          <w:b/>
          <w:bCs/>
          <w:sz w:val="22"/>
          <w:rtl/>
        </w:rPr>
        <w:t xml:space="preserve">, הואיל וקטנה מכיל זה היא מסתכנת בהריונה, סכנת מות לאם ולעובר, בזמננו </w:t>
      </w:r>
      <w:r w:rsidR="00F511AF" w:rsidRPr="00B2042A">
        <w:rPr>
          <w:rFonts w:ascii="David" w:hAnsi="David" w:hint="cs"/>
          <w:b/>
          <w:bCs/>
          <w:sz w:val="22"/>
          <w:rtl/>
        </w:rPr>
        <w:t>שנתמעטו</w:t>
      </w:r>
      <w:r w:rsidR="00F61161" w:rsidRPr="00B2042A">
        <w:rPr>
          <w:rFonts w:ascii="David" w:hAnsi="David" w:hint="cs"/>
          <w:b/>
          <w:bCs/>
          <w:sz w:val="22"/>
          <w:rtl/>
        </w:rPr>
        <w:t xml:space="preserve"> הדורות ונחלשו ה</w:t>
      </w:r>
      <w:r w:rsidR="00F511AF" w:rsidRPr="00B2042A">
        <w:rPr>
          <w:rFonts w:ascii="David" w:hAnsi="David" w:hint="cs"/>
          <w:b/>
          <w:bCs/>
          <w:sz w:val="22"/>
          <w:rtl/>
        </w:rPr>
        <w:t>כוחות, והואיל מנישואין אלו עלולות תקלות ועיגון</w:t>
      </w:r>
      <w:r w:rsidR="006F4AC0" w:rsidRPr="00B2042A">
        <w:rPr>
          <w:rFonts w:ascii="David" w:hAnsi="David" w:hint="cs"/>
          <w:b/>
          <w:bCs/>
          <w:sz w:val="22"/>
          <w:rtl/>
        </w:rPr>
        <w:t>. כמו שהוכח במקרים רבים. איסור זה חל על אבי הנערה של לקדש בתו כשהיא לטה מהגיל הנ"ל</w:t>
      </w:r>
      <w:r w:rsidR="006F4AC0">
        <w:rPr>
          <w:rFonts w:ascii="David" w:hAnsi="David" w:hint="cs"/>
          <w:sz w:val="22"/>
          <w:rtl/>
        </w:rPr>
        <w:t>"</w:t>
      </w:r>
      <w:r w:rsidR="00750660">
        <w:rPr>
          <w:rFonts w:ascii="David" w:hAnsi="David" w:hint="cs"/>
          <w:sz w:val="22"/>
          <w:rtl/>
        </w:rPr>
        <w:t>.</w:t>
      </w:r>
    </w:p>
    <w:p w14:paraId="0AEB8A6E" w14:textId="44D3572A" w:rsidR="00CB2226" w:rsidRPr="00B2042A" w:rsidRDefault="00CB2226" w:rsidP="00B2042A">
      <w:pPr>
        <w:pStyle w:val="ac"/>
        <w:numPr>
          <w:ilvl w:val="3"/>
          <w:numId w:val="12"/>
        </w:numPr>
        <w:bidi/>
        <w:spacing w:before="240"/>
        <w:rPr>
          <w:rFonts w:ascii="David" w:hAnsi="David"/>
          <w:sz w:val="22"/>
        </w:rPr>
      </w:pPr>
      <w:r w:rsidRPr="00B2042A">
        <w:rPr>
          <w:rFonts w:ascii="David" w:hAnsi="David" w:hint="cs"/>
          <w:rtl/>
        </w:rPr>
        <w:t>התקנה נותנת שני נימוקים לאיסור</w:t>
      </w:r>
      <w:r w:rsidR="0092656E" w:rsidRPr="00B2042A">
        <w:rPr>
          <w:rFonts w:ascii="David" w:hAnsi="David" w:hint="cs"/>
          <w:rtl/>
        </w:rPr>
        <w:t xml:space="preserve">: א) סכנה לאם ולעובר. ב) </w:t>
      </w:r>
      <w:r w:rsidRPr="00B2042A">
        <w:rPr>
          <w:rFonts w:ascii="David" w:hAnsi="David" w:hint="cs"/>
          <w:rtl/>
        </w:rPr>
        <w:t>עלול להוביל לתקלות ועיגון.</w:t>
      </w:r>
      <w:r w:rsidR="00750660" w:rsidRPr="00B2042A">
        <w:rPr>
          <w:rFonts w:ascii="David" w:hAnsi="David" w:hint="cs"/>
          <w:rtl/>
        </w:rPr>
        <w:t xml:space="preserve"> </w:t>
      </w:r>
      <w:r w:rsidRPr="00B2042A">
        <w:rPr>
          <w:rFonts w:ascii="David" w:hAnsi="David" w:hint="cs"/>
          <w:rtl/>
        </w:rPr>
        <w:t>סכנה לעובר ולאם נשמע כמו גבר מאוד לא הגיוני, שכן מה הסיבה שפעם לא הייתה סכנה. ואפילו להפך כנראה שפעם הייתה יותר סכנה.</w:t>
      </w:r>
      <w:r w:rsidR="00750660" w:rsidRPr="00B2042A">
        <w:rPr>
          <w:rFonts w:ascii="David" w:hAnsi="David" w:hint="cs"/>
          <w:rtl/>
        </w:rPr>
        <w:t xml:space="preserve"> לדעת פרופ' רדזינר מדובר בנימוק </w:t>
      </w:r>
      <w:r w:rsidR="00D02304" w:rsidRPr="00B2042A">
        <w:rPr>
          <w:rFonts w:ascii="David" w:hAnsi="David" w:hint="cs"/>
          <w:rtl/>
        </w:rPr>
        <w:t>מ</w:t>
      </w:r>
      <w:r w:rsidR="00750660" w:rsidRPr="00B2042A">
        <w:rPr>
          <w:rFonts w:ascii="David" w:hAnsi="David" w:hint="cs"/>
          <w:rtl/>
        </w:rPr>
        <w:t xml:space="preserve">ודרני בו ילדה לא צריכה להתחתן כקטינה </w:t>
      </w:r>
      <w:r w:rsidR="00D02304" w:rsidRPr="00B2042A">
        <w:rPr>
          <w:rFonts w:ascii="David" w:hAnsi="David" w:hint="cs"/>
          <w:rtl/>
        </w:rPr>
        <w:t>והוא מוסווה שתוך נימוק של סכנת מוות לאם ולעובר.</w:t>
      </w:r>
    </w:p>
    <w:p w14:paraId="6E06EC59" w14:textId="3CC6B9C7" w:rsidR="00CB2226" w:rsidRDefault="00B2042A" w:rsidP="00BD35C3">
      <w:pPr>
        <w:pStyle w:val="ac"/>
        <w:numPr>
          <w:ilvl w:val="3"/>
          <w:numId w:val="12"/>
        </w:numPr>
        <w:bidi/>
        <w:spacing w:before="240" w:after="0"/>
        <w:rPr>
          <w:rFonts w:ascii="David" w:hAnsi="David"/>
          <w:sz w:val="22"/>
        </w:rPr>
      </w:pPr>
      <w:r>
        <w:rPr>
          <w:rFonts w:ascii="David" w:hAnsi="David" w:hint="cs"/>
          <w:sz w:val="22"/>
          <w:rtl/>
        </w:rPr>
        <w:t xml:space="preserve">בתקנה חסרה סנקציה לגבי נישואי קטינה - </w:t>
      </w:r>
      <w:r w:rsidR="00BF5133">
        <w:rPr>
          <w:rFonts w:ascii="David" w:hAnsi="David" w:hint="cs"/>
          <w:sz w:val="22"/>
          <w:rtl/>
        </w:rPr>
        <w:t>הרבנות לא יכולה לתת סנקציה אזרחית מבחינה חוקית והרבנות מפחדת להטיל סנקציה הלכתית ורק קובעת שמדובר ב"אסורים אבל תקפים בדיעבד" (כמו שכהן וגרושה, כמו חרם דרבנו גרשום).</w:t>
      </w:r>
    </w:p>
    <w:p w14:paraId="2ED1D1A0" w14:textId="3D0D1A5E" w:rsidR="00E64DCB" w:rsidRDefault="00E64DCB" w:rsidP="00E64DCB">
      <w:pPr>
        <w:pBdr>
          <w:top w:val="single" w:sz="4" w:space="1" w:color="auto"/>
        </w:pBdr>
        <w:spacing w:before="240"/>
        <w:rPr>
          <w:rFonts w:ascii="David" w:hAnsi="David"/>
          <w:rtl/>
        </w:rPr>
      </w:pPr>
      <w:r>
        <w:rPr>
          <w:rFonts w:ascii="David" w:hAnsi="David" w:hint="cs"/>
          <w:rtl/>
        </w:rPr>
        <w:t>26.04.2022</w:t>
      </w:r>
    </w:p>
    <w:p w14:paraId="1FE5BEAC" w14:textId="48C38587" w:rsidR="00E64DCB" w:rsidRPr="00E64DCB" w:rsidRDefault="00E64DCB" w:rsidP="00E64DCB">
      <w:pPr>
        <w:pStyle w:val="21"/>
        <w:spacing w:before="0"/>
        <w:rPr>
          <w:sz w:val="22"/>
        </w:rPr>
      </w:pPr>
      <w:bookmarkStart w:id="13" w:name="_Toc107438160"/>
      <w:r>
        <w:rPr>
          <w:rFonts w:hint="cs"/>
          <w:rtl/>
        </w:rPr>
        <w:t>ריבוי נישואין</w:t>
      </w:r>
      <w:bookmarkEnd w:id="13"/>
    </w:p>
    <w:p w14:paraId="69174534" w14:textId="162A0C3D" w:rsidR="00E64DCB" w:rsidRDefault="00E64DCB" w:rsidP="00E64DCB">
      <w:pPr>
        <w:pStyle w:val="ac"/>
        <w:numPr>
          <w:ilvl w:val="1"/>
          <w:numId w:val="13"/>
        </w:numPr>
        <w:bidi/>
        <w:rPr>
          <w:rFonts w:ascii="David" w:hAnsi="David"/>
          <w:sz w:val="22"/>
        </w:rPr>
      </w:pPr>
      <w:r w:rsidRPr="007E7046">
        <w:rPr>
          <w:rFonts w:ascii="David" w:hAnsi="David" w:hint="cs"/>
          <w:sz w:val="22"/>
          <w:u w:val="single"/>
          <w:rtl/>
        </w:rPr>
        <w:t>המקרה של שולי רנד</w:t>
      </w:r>
      <w:r>
        <w:rPr>
          <w:rFonts w:ascii="David" w:hAnsi="David" w:hint="cs"/>
          <w:sz w:val="22"/>
          <w:rtl/>
        </w:rPr>
        <w:t xml:space="preserve"> - מקרה מאוד חריג לטענת פרופ' רדזינר. מכיוון שמספר ההיתרים להינשא שוב לאישה הוא נמוך. ומספר ההיתרים בסרבנות גט של אישה לעומת מקרים של חוסר יכולת של האישה מעטים עוד יותר. עם זאת, המקרה של שולי רנד חריג בעוד מובן, </w:t>
      </w:r>
      <w:r w:rsidR="007E7046">
        <w:rPr>
          <w:rFonts w:ascii="David" w:hAnsi="David" w:hint="cs"/>
          <w:sz w:val="22"/>
          <w:rtl/>
        </w:rPr>
        <w:t>מכיוון שלשולי רנד חיכה בת זוג שרצתה להינשא לו ברגע שיקבל גט/היתר. לדוגמה - מקרה של סרבנות גט של אישה שהגיע לעליון קבע כי האישה צריכה להביא לגבר פיצוי גם לאחר היתר הנישואין, שכן על אף ההיתר הסיכוי שיצליח להינשא שנית קטן מאוד.</w:t>
      </w:r>
    </w:p>
    <w:p w14:paraId="01EB55EF" w14:textId="291FF9D4" w:rsidR="007E7046" w:rsidRDefault="007E7046" w:rsidP="007E7046">
      <w:pPr>
        <w:pStyle w:val="ac"/>
        <w:numPr>
          <w:ilvl w:val="1"/>
          <w:numId w:val="13"/>
        </w:numPr>
        <w:bidi/>
        <w:rPr>
          <w:rFonts w:ascii="David" w:hAnsi="David"/>
          <w:sz w:val="22"/>
        </w:rPr>
      </w:pPr>
      <w:r>
        <w:rPr>
          <w:rFonts w:ascii="David" w:hAnsi="David" w:hint="cs"/>
          <w:sz w:val="22"/>
          <w:u w:val="single"/>
          <w:rtl/>
        </w:rPr>
        <w:t xml:space="preserve">נתונים סטטיסטים </w:t>
      </w:r>
      <w:r w:rsidRPr="007E7046">
        <w:rPr>
          <w:rFonts w:ascii="David" w:hAnsi="David" w:hint="cs"/>
          <w:sz w:val="22"/>
          <w:rtl/>
        </w:rPr>
        <w:t>-</w:t>
      </w:r>
      <w:r>
        <w:rPr>
          <w:rFonts w:ascii="David" w:hAnsi="David" w:hint="cs"/>
          <w:sz w:val="22"/>
          <w:rtl/>
        </w:rPr>
        <w:t xml:space="preserve"> נשים משפחה 2020  מכון רקמן: היתר נישואין לאישה שנייה - </w:t>
      </w:r>
      <w:r w:rsidR="005240A6">
        <w:rPr>
          <w:rFonts w:ascii="David" w:hAnsi="David" w:hint="cs"/>
          <w:sz w:val="22"/>
          <w:rtl/>
        </w:rPr>
        <w:t>דוח מצוין שלרוב היתר נישואין ניתן לגברים שנשותיהם לא יכולות לתת להם גט (מחמת אי שפיות או חולי). בכל שנה יש בערך כ-40 בקשות להיתר נישואין ומתקבלים כעשרה.</w:t>
      </w:r>
    </w:p>
    <w:p w14:paraId="7C2E3DC1" w14:textId="5B9B4D24" w:rsidR="00B6630E" w:rsidRDefault="005240A6" w:rsidP="00B6630E">
      <w:pPr>
        <w:pStyle w:val="ac"/>
        <w:numPr>
          <w:ilvl w:val="1"/>
          <w:numId w:val="13"/>
        </w:numPr>
        <w:bidi/>
        <w:rPr>
          <w:rFonts w:ascii="David" w:hAnsi="David"/>
          <w:sz w:val="22"/>
        </w:rPr>
      </w:pPr>
      <w:r>
        <w:rPr>
          <w:rFonts w:ascii="David" w:hAnsi="David" w:hint="cs"/>
          <w:sz w:val="22"/>
          <w:u w:val="single"/>
          <w:rtl/>
        </w:rPr>
        <w:t xml:space="preserve">חשוב לזכור שגם אם לא ניתן היתר </w:t>
      </w:r>
      <w:r w:rsidR="0031639F">
        <w:rPr>
          <w:rFonts w:ascii="David" w:hAnsi="David" w:hint="cs"/>
          <w:sz w:val="22"/>
          <w:u w:val="single"/>
          <w:rtl/>
        </w:rPr>
        <w:t>לגבר, עצם בקשת ההיתר היא כוח מסוים עברו</w:t>
      </w:r>
      <w:r>
        <w:rPr>
          <w:rFonts w:ascii="David" w:hAnsi="David" w:hint="cs"/>
          <w:sz w:val="22"/>
          <w:u w:val="single"/>
          <w:rtl/>
        </w:rPr>
        <w:t xml:space="preserve"> </w:t>
      </w:r>
      <w:r w:rsidRPr="005240A6">
        <w:rPr>
          <w:rFonts w:ascii="David" w:hAnsi="David" w:hint="cs"/>
          <w:sz w:val="22"/>
          <w:rtl/>
        </w:rPr>
        <w:t>-</w:t>
      </w:r>
      <w:r>
        <w:rPr>
          <w:rFonts w:ascii="David" w:hAnsi="David" w:hint="cs"/>
          <w:sz w:val="22"/>
          <w:rtl/>
        </w:rPr>
        <w:t xml:space="preserve"> לעיתים גברים מגישים בקשה להיתר על אף שהסיכוי שיקבלו נמוך על מנת להפחיד את האישה. לפעמים זה עובד, שכן ברגע שהגבר יקבל היתר היא לא תוכל להתחתן והוא יוכל</w:t>
      </w:r>
      <w:r w:rsidR="00952B20">
        <w:rPr>
          <w:rFonts w:ascii="David" w:hAnsi="David" w:hint="cs"/>
          <w:sz w:val="22"/>
          <w:rtl/>
        </w:rPr>
        <w:t xml:space="preserve"> ולכן היא לא השיגה את מה שהיא רצתה וככול הנראה תרצה להתגרש</w:t>
      </w:r>
      <w:r w:rsidR="00B6630E">
        <w:rPr>
          <w:rFonts w:ascii="David" w:hAnsi="David" w:hint="cs"/>
          <w:sz w:val="22"/>
          <w:rtl/>
        </w:rPr>
        <w:t>.</w:t>
      </w:r>
    </w:p>
    <w:p w14:paraId="3AC59E2C" w14:textId="7FB1CDC9" w:rsidR="00E64DCB" w:rsidRPr="00B6630E" w:rsidRDefault="00C42042" w:rsidP="00B6630E">
      <w:pPr>
        <w:pStyle w:val="ac"/>
        <w:numPr>
          <w:ilvl w:val="1"/>
          <w:numId w:val="13"/>
        </w:numPr>
        <w:bidi/>
        <w:rPr>
          <w:rFonts w:ascii="David" w:hAnsi="David"/>
          <w:sz w:val="22"/>
        </w:rPr>
      </w:pPr>
      <w:r w:rsidRPr="00B6630E">
        <w:rPr>
          <w:rFonts w:ascii="David" w:hAnsi="David" w:hint="cs"/>
          <w:highlight w:val="green"/>
          <w:u w:val="single"/>
          <w:rtl/>
        </w:rPr>
        <w:t>תקנות רבנות הראשית 1950 - תקנה ב' (השנייה)</w:t>
      </w:r>
      <w:r w:rsidRPr="00B6630E">
        <w:rPr>
          <w:rFonts w:ascii="David" w:hAnsi="David" w:hint="cs"/>
          <w:rtl/>
        </w:rPr>
        <w:t xml:space="preserve"> - </w:t>
      </w:r>
      <w:r w:rsidR="00DF62C5" w:rsidRPr="00B6630E">
        <w:rPr>
          <w:rFonts w:ascii="David" w:hAnsi="David" w:hint="cs"/>
          <w:rtl/>
        </w:rPr>
        <w:t>"</w:t>
      </w:r>
      <w:r w:rsidR="00DF62C5" w:rsidRPr="00B6630E">
        <w:rPr>
          <w:rFonts w:ascii="David" w:hAnsi="David" w:hint="cs"/>
          <w:b/>
          <w:bCs/>
          <w:rtl/>
        </w:rPr>
        <w:t>אסור לאישה ואשה מישראל לארס או להתארס עם אישה שניה על אשתו הראשונה, אם בהיתר נישואין מאושר בחתימת הרבניים הראשיים לישראל</w:t>
      </w:r>
      <w:r w:rsidR="00DF62C5" w:rsidRPr="00B6630E">
        <w:rPr>
          <w:rFonts w:ascii="David" w:hAnsi="David" w:hint="cs"/>
          <w:rtl/>
        </w:rPr>
        <w:t xml:space="preserve">". האיסור להינשא בשנית הוא גם על </w:t>
      </w:r>
      <w:r w:rsidR="00DF62C5" w:rsidRPr="00B6630E">
        <w:rPr>
          <w:rFonts w:ascii="David" w:hAnsi="David" w:hint="cs"/>
          <w:rtl/>
        </w:rPr>
        <w:lastRenderedPageBreak/>
        <w:t xml:space="preserve">הגבר וגם העל האישה השנייה. לאיסור זה אין סנקציה - אם כך למה הם חשבו שזה יעזור? מכיוון שבאותו זמן יש כבר ס' מתקופת המנדט שאוסר ביגמיה וקובע עונש מאסר כבד על גבר שיישא אישה שנייה. </w:t>
      </w:r>
      <w:r w:rsidR="00DF62C5" w:rsidRPr="00B6630E">
        <w:rPr>
          <w:rFonts w:ascii="David" w:hAnsi="David" w:hint="cs"/>
          <w:b/>
          <w:bCs/>
          <w:rtl/>
        </w:rPr>
        <w:t>חשוב לשים לב שמי שצריך להיות חתום על ההיתר הזה הם שני הרבניים הראשים (לא כמו החוק הישראלי היום).</w:t>
      </w:r>
      <w:r w:rsidR="00B6630E">
        <w:rPr>
          <w:rFonts w:ascii="David" w:hAnsi="David" w:hint="cs"/>
          <w:rtl/>
        </w:rPr>
        <w:t xml:space="preserve"> </w:t>
      </w:r>
      <w:r w:rsidR="00DF62C5" w:rsidRPr="00B6630E">
        <w:rPr>
          <w:rFonts w:ascii="David" w:hAnsi="David" w:hint="cs"/>
          <w:u w:val="single"/>
          <w:rtl/>
        </w:rPr>
        <w:t xml:space="preserve">מטרת התקנה </w:t>
      </w:r>
      <w:r w:rsidR="00DF62C5" w:rsidRPr="00B6630E">
        <w:rPr>
          <w:rFonts w:ascii="David" w:hAnsi="David" w:hint="cs"/>
          <w:rtl/>
        </w:rPr>
        <w:t>- יהודי הגולה שהגיעו ממקומות בהן מותר להינשא לשתי נשים לא יוכלו לעשות זאת ללא אישור הרבניים הראשיים.</w:t>
      </w:r>
    </w:p>
    <w:p w14:paraId="58AEA713" w14:textId="567C15BE" w:rsidR="00B6630E" w:rsidRDefault="00DF62C5" w:rsidP="00B6630E">
      <w:pPr>
        <w:pStyle w:val="ac"/>
        <w:numPr>
          <w:ilvl w:val="1"/>
          <w:numId w:val="15"/>
        </w:numPr>
        <w:bidi/>
        <w:rPr>
          <w:rFonts w:ascii="David" w:hAnsi="David"/>
          <w:sz w:val="22"/>
        </w:rPr>
      </w:pPr>
      <w:r w:rsidRPr="0031639F">
        <w:rPr>
          <w:rFonts w:ascii="David" w:hAnsi="David" w:hint="cs"/>
          <w:sz w:val="22"/>
          <w:highlight w:val="green"/>
          <w:u w:val="single"/>
          <w:rtl/>
        </w:rPr>
        <w:t xml:space="preserve">פקודת החוק הפלילי </w:t>
      </w:r>
      <w:r w:rsidR="0031639F" w:rsidRPr="0031639F">
        <w:rPr>
          <w:rFonts w:ascii="David" w:hAnsi="David" w:hint="cs"/>
          <w:sz w:val="22"/>
          <w:highlight w:val="green"/>
          <w:u w:val="single"/>
          <w:rtl/>
        </w:rPr>
        <w:t>בתקופת המנדט הבריטי:</w:t>
      </w:r>
      <w:r w:rsidR="0031639F" w:rsidRPr="0031639F">
        <w:rPr>
          <w:rFonts w:ascii="David" w:hAnsi="David" w:hint="cs"/>
          <w:sz w:val="22"/>
          <w:u w:val="single"/>
          <w:rtl/>
        </w:rPr>
        <w:t xml:space="preserve"> </w:t>
      </w:r>
      <w:r>
        <w:rPr>
          <w:rFonts w:ascii="David" w:hAnsi="David" w:hint="cs"/>
          <w:sz w:val="22"/>
          <w:rtl/>
        </w:rPr>
        <w:t xml:space="preserve"> יש איסור להינשא לשתי נשים בארץ ישראל. עם זאת לבריטים היה נוהל שהם מנסים להתערב כמה שפחות בדין הדתי</w:t>
      </w:r>
      <w:r w:rsidR="00B6630E">
        <w:rPr>
          <w:rFonts w:ascii="David" w:hAnsi="David" w:hint="cs"/>
          <w:sz w:val="22"/>
          <w:rtl/>
        </w:rPr>
        <w:t xml:space="preserve"> המהותי. לכן, הם רצו להתחשב בקבוצות דתיות שמאפשרות ריבוי נשים. </w:t>
      </w:r>
      <w:r w:rsidR="00B6630E" w:rsidRPr="00B6630E">
        <w:rPr>
          <w:rFonts w:ascii="David" w:hAnsi="David" w:hint="cs"/>
          <w:sz w:val="22"/>
          <w:u w:val="single"/>
          <w:rtl/>
        </w:rPr>
        <w:t>החוק קבע ש</w:t>
      </w:r>
      <w:r w:rsidR="00B6630E" w:rsidRPr="00B6630E">
        <w:rPr>
          <w:rFonts w:ascii="David" w:hAnsi="David" w:hint="cs"/>
          <w:u w:val="single"/>
          <w:rtl/>
        </w:rPr>
        <w:t xml:space="preserve">מי שנישואין השניים בטלים על פי החוק הדתי שלו יישא בעונש מאסר </w:t>
      </w:r>
      <w:r w:rsidR="00B6630E" w:rsidRPr="00B6630E">
        <w:rPr>
          <w:rFonts w:ascii="David" w:hAnsi="David" w:hint="cs"/>
          <w:rtl/>
        </w:rPr>
        <w:t>- כלומר החוק לא חל על גברים יהודיים שכן, על אף שמלכתחילה בשל חרם דרבנו גרשום</w:t>
      </w:r>
      <w:r w:rsidR="0031639F">
        <w:rPr>
          <w:rFonts w:ascii="David" w:hAnsi="David" w:hint="cs"/>
          <w:rtl/>
        </w:rPr>
        <w:t xml:space="preserve"> (לפחות לגבי גברים אשכנזים)</w:t>
      </w:r>
      <w:r w:rsidR="00B6630E" w:rsidRPr="00B6630E">
        <w:rPr>
          <w:rFonts w:ascii="David" w:hAnsi="David" w:hint="cs"/>
          <w:rtl/>
        </w:rPr>
        <w:t xml:space="preserve"> אסור לגבר להינשא לאישה שנייה, אם בכול זאת הוא נישא אליה</w:t>
      </w:r>
      <w:r w:rsidR="0031639F">
        <w:rPr>
          <w:rFonts w:ascii="David" w:hAnsi="David" w:hint="cs"/>
          <w:rtl/>
        </w:rPr>
        <w:t>,</w:t>
      </w:r>
      <w:r w:rsidR="00B6630E" w:rsidRPr="00B6630E">
        <w:rPr>
          <w:rFonts w:ascii="David" w:hAnsi="David" w:hint="cs"/>
          <w:rtl/>
        </w:rPr>
        <w:t xml:space="preserve"> הקידושין תקפים ואינם בטילים על פי ההלכה.</w:t>
      </w:r>
      <w:r w:rsidR="0031639F">
        <w:rPr>
          <w:rFonts w:ascii="David" w:hAnsi="David" w:hint="cs"/>
          <w:sz w:val="22"/>
          <w:rtl/>
        </w:rPr>
        <w:t xml:space="preserve"> בשל הפלונטר הזה בשנת 1947 שונה החוק כך שהוא יכול גם על יהודים בכלל. כיצד שיהיה ניתן ליצור מנגנון שקובע איסור פלילי על אף שההלכה מתירה נישואין אלו נוצרו תקנות הרבנות הראשית ונקבע ששני הרבניים הראשים צריכים לתת אישור. בגלל שתמיד אחד הרבניים הוא אשכנזי זה מקשה מאוד על קבלת היתר. מה שקרה בפועל הוא שהכפיפו את כל ההלכה האשכנזית על כלל היהודים בארץ ישראל - לימים הייתה תרעומת רבה על כך.</w:t>
      </w:r>
    </w:p>
    <w:p w14:paraId="715AECE4" w14:textId="227F160B" w:rsidR="00D925D0" w:rsidRPr="00D925D0" w:rsidRDefault="00D925D0" w:rsidP="00D925D0">
      <w:pPr>
        <w:pStyle w:val="ac"/>
        <w:numPr>
          <w:ilvl w:val="0"/>
          <w:numId w:val="16"/>
        </w:numPr>
        <w:shd w:val="clear" w:color="auto" w:fill="FFF4CD" w:themeFill="accent1" w:themeFillTint="33"/>
        <w:bidi/>
        <w:rPr>
          <w:rFonts w:ascii="David" w:hAnsi="David"/>
          <w:b/>
          <w:bCs/>
          <w:sz w:val="22"/>
        </w:rPr>
      </w:pPr>
      <w:r w:rsidRPr="00D925D0">
        <w:rPr>
          <w:rFonts w:ascii="David" w:hAnsi="David" w:hint="cs"/>
          <w:b/>
          <w:bCs/>
          <w:sz w:val="22"/>
          <w:rtl/>
        </w:rPr>
        <w:t>רקע - כיצד נוצר הפיצול העדתי בעם ישראל:</w:t>
      </w:r>
    </w:p>
    <w:p w14:paraId="007D7BBE" w14:textId="404C6F64" w:rsidR="00D925D0" w:rsidRDefault="00D925D0" w:rsidP="00D925D0">
      <w:pPr>
        <w:pStyle w:val="ac"/>
        <w:numPr>
          <w:ilvl w:val="1"/>
          <w:numId w:val="16"/>
        </w:numPr>
        <w:bidi/>
        <w:rPr>
          <w:rFonts w:ascii="David" w:hAnsi="David"/>
          <w:sz w:val="22"/>
        </w:rPr>
      </w:pPr>
      <w:r>
        <w:rPr>
          <w:rFonts w:ascii="David" w:hAnsi="David" w:hint="cs"/>
          <w:sz w:val="22"/>
          <w:rtl/>
        </w:rPr>
        <w:t xml:space="preserve">מאמרו של ווסטריך - להשלים. גם </w:t>
      </w:r>
      <w:r w:rsidR="00FF295E">
        <w:rPr>
          <w:rFonts w:ascii="David" w:hAnsi="David" w:hint="cs"/>
          <w:sz w:val="22"/>
          <w:rtl/>
        </w:rPr>
        <w:t>ב</w:t>
      </w:r>
      <w:r>
        <w:rPr>
          <w:rFonts w:ascii="David" w:hAnsi="David" w:hint="cs"/>
          <w:sz w:val="22"/>
          <w:rtl/>
        </w:rPr>
        <w:t>בל לעומת ארץ ישראל היה הבדלים.</w:t>
      </w:r>
    </w:p>
    <w:p w14:paraId="648A6029" w14:textId="77777777" w:rsidR="00D13531" w:rsidRDefault="00D925D0" w:rsidP="00D925D0">
      <w:pPr>
        <w:pStyle w:val="ac"/>
        <w:numPr>
          <w:ilvl w:val="1"/>
          <w:numId w:val="16"/>
        </w:numPr>
        <w:bidi/>
        <w:rPr>
          <w:rFonts w:ascii="David" w:hAnsi="David"/>
          <w:sz w:val="22"/>
        </w:rPr>
      </w:pPr>
      <w:r w:rsidRPr="00D13531">
        <w:rPr>
          <w:rFonts w:ascii="David" w:hAnsi="David" w:hint="cs"/>
          <w:b/>
          <w:bCs/>
          <w:sz w:val="22"/>
          <w:shd w:val="clear" w:color="auto" w:fill="FFF4CD" w:themeFill="accent1" w:themeFillTint="33"/>
          <w:rtl/>
        </w:rPr>
        <w:t>תקופת ימי הביניים</w:t>
      </w:r>
      <w:r w:rsidR="00D13531">
        <w:rPr>
          <w:rFonts w:ascii="David" w:hAnsi="David" w:hint="cs"/>
          <w:sz w:val="22"/>
          <w:rtl/>
        </w:rPr>
        <w:t>:</w:t>
      </w:r>
    </w:p>
    <w:p w14:paraId="0443A888" w14:textId="7A7E1C39" w:rsidR="00D925D0" w:rsidRDefault="00094097" w:rsidP="00D13531">
      <w:pPr>
        <w:pStyle w:val="ac"/>
        <w:numPr>
          <w:ilvl w:val="2"/>
          <w:numId w:val="16"/>
        </w:numPr>
        <w:bidi/>
        <w:rPr>
          <w:rFonts w:ascii="David" w:hAnsi="David"/>
          <w:sz w:val="22"/>
        </w:rPr>
      </w:pPr>
      <w:r>
        <w:rPr>
          <w:rFonts w:ascii="David" w:hAnsi="David" w:hint="cs"/>
          <w:b/>
          <w:bCs/>
          <w:sz w:val="22"/>
          <w:rtl/>
        </w:rPr>
        <w:t>חרם דרבנו גרשום</w:t>
      </w:r>
      <w:r w:rsidR="00DE7570">
        <w:rPr>
          <w:rFonts w:ascii="David" w:hAnsi="David" w:hint="cs"/>
          <w:b/>
          <w:bCs/>
          <w:sz w:val="22"/>
          <w:rtl/>
        </w:rPr>
        <w:t xml:space="preserve">: </w:t>
      </w:r>
      <w:r w:rsidR="00D925D0">
        <w:rPr>
          <w:rFonts w:ascii="David" w:hAnsi="David" w:hint="cs"/>
          <w:sz w:val="22"/>
          <w:rtl/>
        </w:rPr>
        <w:t xml:space="preserve">בעולם האשכנזי יש חרם שמייחסים אותו לרבנו גרשום שאוסר על נישואים לשתי נשים. חרם זה נקבע בתקופת ימי הביניים (יש מחלוקת עם באמת נקבע על ידי רבנו גרשום). בנוסף לכך, מייחסים חרם נוסף לרבנו גרשום שזה האיסור לגרש אישה בעל כורחה. מדובר בחרם שעושה השלמה לחרם הראשון. שגבר שנמאס לו מאשתו לא ייתן לה גט וילך להתחתן עם אחרת כי כעת לא יכול להינשא לאישה נוספת. </w:t>
      </w:r>
    </w:p>
    <w:p w14:paraId="57F06897" w14:textId="77777777" w:rsidR="00237E5B" w:rsidRDefault="00D13531" w:rsidP="00C7566D">
      <w:pPr>
        <w:pStyle w:val="ac"/>
        <w:numPr>
          <w:ilvl w:val="2"/>
          <w:numId w:val="16"/>
        </w:numPr>
        <w:bidi/>
        <w:rPr>
          <w:rFonts w:ascii="David" w:hAnsi="David"/>
          <w:sz w:val="22"/>
        </w:rPr>
      </w:pPr>
      <w:r w:rsidRPr="00D13531">
        <w:rPr>
          <w:rFonts w:ascii="David" w:hAnsi="David" w:hint="cs"/>
          <w:b/>
          <w:bCs/>
          <w:sz w:val="22"/>
          <w:u w:val="single"/>
          <w:rtl/>
        </w:rPr>
        <w:t>שולחן ערוך אבן העזר סימן א</w:t>
      </w:r>
      <w:r>
        <w:rPr>
          <w:rFonts w:ascii="David" w:hAnsi="David" w:hint="cs"/>
          <w:sz w:val="22"/>
          <w:rtl/>
        </w:rPr>
        <w:t>:</w:t>
      </w:r>
      <w:r w:rsidR="00C7566D">
        <w:rPr>
          <w:rFonts w:ascii="David" w:hAnsi="David" w:hint="cs"/>
          <w:sz w:val="22"/>
          <w:rtl/>
        </w:rPr>
        <w:t xml:space="preserve"> </w:t>
      </w:r>
    </w:p>
    <w:p w14:paraId="4B85C7E5" w14:textId="7B2FE251" w:rsidR="00C7566D" w:rsidRPr="00C7566D" w:rsidRDefault="00D13531" w:rsidP="00237E5B">
      <w:pPr>
        <w:pStyle w:val="ac"/>
        <w:numPr>
          <w:ilvl w:val="3"/>
          <w:numId w:val="16"/>
        </w:numPr>
        <w:bidi/>
        <w:rPr>
          <w:rFonts w:ascii="David" w:hAnsi="David"/>
          <w:sz w:val="22"/>
        </w:rPr>
      </w:pPr>
      <w:r w:rsidRPr="00237E5B">
        <w:rPr>
          <w:rFonts w:ascii="David" w:hAnsi="David" w:hint="cs"/>
          <w:b/>
          <w:bCs/>
          <w:u w:val="single"/>
          <w:rtl/>
        </w:rPr>
        <w:t>סעיף ט'</w:t>
      </w:r>
      <w:r w:rsidRPr="00C7566D">
        <w:rPr>
          <w:rFonts w:ascii="David" w:hAnsi="David" w:hint="cs"/>
          <w:rtl/>
        </w:rPr>
        <w:t xml:space="preserve">: קובע רבי יוסף קארו את הדין התלמודי - </w:t>
      </w:r>
      <w:r w:rsidRPr="001F4ABA">
        <w:rPr>
          <w:rFonts w:ascii="David" w:hAnsi="David" w:hint="cs"/>
          <w:b/>
          <w:bCs/>
          <w:rtl/>
        </w:rPr>
        <w:t>גבר יכול לשאת שתי נשים במידה והוא יכול לפרנס את שתיהן באותה הרמה</w:t>
      </w:r>
      <w:r w:rsidRPr="00C7566D">
        <w:rPr>
          <w:rFonts w:ascii="David" w:hAnsi="David" w:hint="cs"/>
          <w:rtl/>
        </w:rPr>
        <w:t xml:space="preserve">. המניעה היחידה היא מניעה כלכלית. אולם נתנו חכמים עצה לשאת רק עד ארבע נשים בגלל המצווה לקיום יחסים בין בני הזוג. </w:t>
      </w:r>
      <w:r w:rsidRPr="001F4ABA">
        <w:rPr>
          <w:rFonts w:ascii="David" w:hAnsi="David" w:hint="cs"/>
          <w:b/>
          <w:bCs/>
          <w:rtl/>
        </w:rPr>
        <w:t>חריג - במקום בו נהוג לשאת אישה אחת אסור לך לשאת יותר מאישה אחת</w:t>
      </w:r>
      <w:r w:rsidRPr="00C7566D">
        <w:rPr>
          <w:rFonts w:ascii="David" w:hAnsi="David" w:hint="cs"/>
          <w:rtl/>
        </w:rPr>
        <w:t>.</w:t>
      </w:r>
      <w:r w:rsidR="005455FF">
        <w:rPr>
          <w:rStyle w:val="af1"/>
          <w:rFonts w:ascii="David" w:hAnsi="David"/>
          <w:rtl/>
        </w:rPr>
        <w:footnoteReference w:id="1"/>
      </w:r>
      <w:r w:rsidRPr="00C7566D">
        <w:rPr>
          <w:rFonts w:ascii="David" w:hAnsi="David" w:hint="cs"/>
          <w:rtl/>
        </w:rPr>
        <w:t xml:space="preserve"> </w:t>
      </w:r>
    </w:p>
    <w:p w14:paraId="5AEFE100" w14:textId="4D775889" w:rsidR="00237E5B" w:rsidRPr="005455FF" w:rsidRDefault="00237E5B" w:rsidP="005455FF">
      <w:pPr>
        <w:pStyle w:val="ac"/>
        <w:numPr>
          <w:ilvl w:val="3"/>
          <w:numId w:val="16"/>
        </w:numPr>
        <w:bidi/>
        <w:rPr>
          <w:rFonts w:ascii="David" w:hAnsi="David"/>
          <w:sz w:val="22"/>
        </w:rPr>
      </w:pPr>
      <w:r w:rsidRPr="00237E5B">
        <w:rPr>
          <w:rFonts w:ascii="David" w:hAnsi="David" w:hint="cs"/>
          <w:u w:val="single"/>
          <w:rtl/>
        </w:rPr>
        <w:t>סעיף יא</w:t>
      </w:r>
      <w:r w:rsidRPr="00237E5B">
        <w:rPr>
          <w:rFonts w:ascii="David" w:hAnsi="David" w:hint="cs"/>
          <w:rtl/>
        </w:rPr>
        <w:t xml:space="preserve">: דעתו האישית של רבי יוסף קארו על ריבוי נישואין, אשר אומר כי טוב להחרים ולנדות את מי שיישא אישה נוספת. ההמלצה לחרמות ונידויים מראה כי לדעתו </w:t>
      </w:r>
      <w:r w:rsidR="005455FF" w:rsidRPr="005455FF">
        <w:rPr>
          <w:rFonts w:ascii="David" w:hAnsi="David" w:hint="cs"/>
          <w:rtl/>
        </w:rPr>
        <w:t xml:space="preserve">חרם דרבנו גרשום אינה תקף במקרים של ביגמיה. אך גישתו לגבי ביגמיה והרצון לחרמות ונידויים מעידה כי </w:t>
      </w:r>
      <w:r w:rsidR="00DA565B" w:rsidRPr="005455FF">
        <w:rPr>
          <w:rFonts w:ascii="David" w:hAnsi="David" w:hint="cs"/>
          <w:rtl/>
        </w:rPr>
        <w:t xml:space="preserve">הדיכוטומיה ביחס לריבוי נשים בין אשכנזים לספרדים היא לא כזו גדולה. </w:t>
      </w:r>
    </w:p>
    <w:p w14:paraId="4D517C26" w14:textId="0C6B94B0" w:rsidR="00454210" w:rsidRPr="00094097" w:rsidRDefault="00454210" w:rsidP="00454210">
      <w:pPr>
        <w:pStyle w:val="ac"/>
        <w:numPr>
          <w:ilvl w:val="2"/>
          <w:numId w:val="16"/>
        </w:numPr>
        <w:bidi/>
        <w:rPr>
          <w:rFonts w:ascii="David" w:hAnsi="David"/>
          <w:sz w:val="22"/>
          <w:u w:val="single"/>
        </w:rPr>
      </w:pPr>
      <w:r w:rsidRPr="00094097">
        <w:rPr>
          <w:rFonts w:ascii="David" w:hAnsi="David" w:hint="cs"/>
          <w:b/>
          <w:bCs/>
          <w:sz w:val="22"/>
          <w:u w:val="single"/>
          <w:rtl/>
        </w:rPr>
        <w:t>ישנ</w:t>
      </w:r>
      <w:r w:rsidR="005455FF">
        <w:rPr>
          <w:rFonts w:ascii="David" w:hAnsi="David" w:hint="cs"/>
          <w:b/>
          <w:bCs/>
          <w:sz w:val="22"/>
          <w:u w:val="single"/>
          <w:rtl/>
        </w:rPr>
        <w:t>ן</w:t>
      </w:r>
      <w:r w:rsidRPr="00094097">
        <w:rPr>
          <w:rFonts w:ascii="David" w:hAnsi="David" w:hint="cs"/>
          <w:b/>
          <w:bCs/>
          <w:sz w:val="22"/>
          <w:u w:val="single"/>
          <w:rtl/>
        </w:rPr>
        <w:t xml:space="preserve"> שלו</w:t>
      </w:r>
      <w:r w:rsidR="009C6BB1">
        <w:rPr>
          <w:rFonts w:ascii="David" w:hAnsi="David" w:hint="cs"/>
          <w:b/>
          <w:bCs/>
          <w:sz w:val="22"/>
          <w:u w:val="single"/>
          <w:rtl/>
        </w:rPr>
        <w:t xml:space="preserve"> גישות </w:t>
      </w:r>
      <w:r w:rsidR="00C7566D" w:rsidRPr="00094097">
        <w:rPr>
          <w:rFonts w:ascii="David" w:hAnsi="David" w:hint="cs"/>
          <w:b/>
          <w:bCs/>
          <w:sz w:val="22"/>
          <w:u w:val="single"/>
          <w:rtl/>
        </w:rPr>
        <w:t>בנוגע לביגמיה בימי הביניים</w:t>
      </w:r>
      <w:r w:rsidR="00C7566D" w:rsidRPr="00094097">
        <w:rPr>
          <w:rFonts w:ascii="David" w:hAnsi="David" w:hint="cs"/>
          <w:sz w:val="22"/>
          <w:u w:val="single"/>
          <w:rtl/>
        </w:rPr>
        <w:t>:</w:t>
      </w:r>
      <w:r w:rsidRPr="00094097">
        <w:rPr>
          <w:rFonts w:ascii="David" w:hAnsi="David" w:hint="cs"/>
          <w:sz w:val="22"/>
          <w:u w:val="single"/>
          <w:rtl/>
        </w:rPr>
        <w:t xml:space="preserve"> </w:t>
      </w:r>
    </w:p>
    <w:p w14:paraId="4F4EE674" w14:textId="5D6E23F5" w:rsidR="00454210" w:rsidRDefault="00454210" w:rsidP="00454210">
      <w:pPr>
        <w:pStyle w:val="ac"/>
        <w:numPr>
          <w:ilvl w:val="3"/>
          <w:numId w:val="16"/>
        </w:numPr>
        <w:bidi/>
        <w:rPr>
          <w:rFonts w:ascii="David" w:hAnsi="David"/>
          <w:sz w:val="22"/>
        </w:rPr>
      </w:pPr>
      <w:r>
        <w:rPr>
          <w:rFonts w:ascii="David" w:hAnsi="David" w:hint="cs"/>
          <w:sz w:val="22"/>
          <w:rtl/>
        </w:rPr>
        <w:t>אשכנזים - ביגמיה אסורה בגלל חרם דרבנו גרשום.</w:t>
      </w:r>
    </w:p>
    <w:p w14:paraId="6032FEC5" w14:textId="5C2EBBB1" w:rsidR="00454210" w:rsidRDefault="00454210" w:rsidP="00454210">
      <w:pPr>
        <w:pStyle w:val="ac"/>
        <w:numPr>
          <w:ilvl w:val="3"/>
          <w:numId w:val="16"/>
        </w:numPr>
        <w:bidi/>
        <w:rPr>
          <w:rFonts w:ascii="David" w:hAnsi="David"/>
          <w:sz w:val="22"/>
        </w:rPr>
      </w:pPr>
      <w:r>
        <w:rPr>
          <w:rFonts w:ascii="David" w:hAnsi="David" w:hint="cs"/>
          <w:sz w:val="22"/>
          <w:rtl/>
        </w:rPr>
        <w:t>מזרחיים אשר לא מושפעים מההלכה הספרדית עד מאוד מאוחר - ביגמיה מותר מלבד המגבלה הכלכלית.</w:t>
      </w:r>
    </w:p>
    <w:p w14:paraId="07E362C6" w14:textId="3520474D" w:rsidR="00454210" w:rsidRDefault="00454210" w:rsidP="00454210">
      <w:pPr>
        <w:pStyle w:val="ac"/>
        <w:numPr>
          <w:ilvl w:val="3"/>
          <w:numId w:val="16"/>
        </w:numPr>
        <w:bidi/>
        <w:rPr>
          <w:rFonts w:ascii="David" w:hAnsi="David"/>
          <w:b/>
          <w:bCs/>
          <w:sz w:val="22"/>
        </w:rPr>
      </w:pPr>
      <w:r>
        <w:rPr>
          <w:rFonts w:ascii="David" w:hAnsi="David" w:hint="cs"/>
          <w:sz w:val="22"/>
          <w:rtl/>
        </w:rPr>
        <w:t xml:space="preserve">ספרדיים במובן הפשוט (הגיעו מספרד) - הביגמיה הוא דבר לא טוב שצריך לאסור אותו, אך מעולם לא הותקנה תקנה כזו כמו אצל האשכנזים. </w:t>
      </w:r>
      <w:r w:rsidRPr="00454210">
        <w:rPr>
          <w:rFonts w:ascii="David" w:hAnsi="David" w:hint="cs"/>
          <w:sz w:val="22"/>
          <w:u w:val="single"/>
          <w:rtl/>
        </w:rPr>
        <w:t>איך מונעים את הביגמיה אם כך</w:t>
      </w:r>
      <w:r>
        <w:rPr>
          <w:rFonts w:ascii="David" w:hAnsi="David" w:hint="cs"/>
          <w:sz w:val="22"/>
          <w:rtl/>
        </w:rPr>
        <w:t xml:space="preserve">? </w:t>
      </w:r>
      <w:r w:rsidR="00C7566D">
        <w:rPr>
          <w:rFonts w:ascii="David" w:hAnsi="David" w:hint="cs"/>
          <w:sz w:val="22"/>
          <w:rtl/>
        </w:rPr>
        <w:t xml:space="preserve">בעזרת חוזה, דהיינו כתובה. </w:t>
      </w:r>
      <w:r w:rsidR="00C7566D">
        <w:rPr>
          <w:rFonts w:ascii="David" w:hAnsi="David" w:hint="cs"/>
          <w:b/>
          <w:bCs/>
          <w:sz w:val="22"/>
          <w:rtl/>
        </w:rPr>
        <w:t xml:space="preserve">תניית מונוגמיה - </w:t>
      </w:r>
      <w:r w:rsidR="00C7566D" w:rsidRPr="00C7566D">
        <w:rPr>
          <w:rFonts w:ascii="David" w:hAnsi="David" w:hint="cs"/>
          <w:b/>
          <w:bCs/>
          <w:sz w:val="22"/>
          <w:rtl/>
        </w:rPr>
        <w:t>מוסיפים בכתובה איסור לשאת אישה שנייה אלא ברשות בית הדין. כלומר לא תקנה כללית אלא התחייבות של כל חתן וחתן.</w:t>
      </w:r>
      <w:r w:rsidR="00C7566D">
        <w:rPr>
          <w:rFonts w:ascii="David" w:hAnsi="David" w:hint="cs"/>
          <w:b/>
          <w:bCs/>
          <w:sz w:val="22"/>
          <w:rtl/>
        </w:rPr>
        <w:t xml:space="preserve"> </w:t>
      </w:r>
      <w:r w:rsidR="00C7566D">
        <w:rPr>
          <w:rFonts w:ascii="David" w:hAnsi="David" w:hint="cs"/>
          <w:sz w:val="22"/>
          <w:rtl/>
        </w:rPr>
        <w:t>בנוסף, יש גם הנוהגים להישבע בחופה עצמה שלא לשאת אישה שנייה.</w:t>
      </w:r>
    </w:p>
    <w:p w14:paraId="325C2BE4" w14:textId="0F27B9FC" w:rsidR="00C7566D" w:rsidRPr="00BA0505" w:rsidRDefault="00C7566D" w:rsidP="00C7566D">
      <w:pPr>
        <w:pStyle w:val="ac"/>
        <w:numPr>
          <w:ilvl w:val="2"/>
          <w:numId w:val="16"/>
        </w:numPr>
        <w:bidi/>
        <w:rPr>
          <w:rFonts w:ascii="David" w:hAnsi="David"/>
          <w:sz w:val="22"/>
          <w:u w:val="single"/>
        </w:rPr>
      </w:pPr>
      <w:r w:rsidRPr="00D13531">
        <w:rPr>
          <w:rFonts w:ascii="David" w:hAnsi="David" w:hint="cs"/>
          <w:b/>
          <w:bCs/>
          <w:sz w:val="22"/>
          <w:u w:val="single"/>
          <w:rtl/>
        </w:rPr>
        <w:t>שולחן ערוך אבן העזר סימן א</w:t>
      </w:r>
      <w:r>
        <w:rPr>
          <w:rFonts w:ascii="David" w:hAnsi="David" w:hint="cs"/>
          <w:sz w:val="22"/>
          <w:rtl/>
        </w:rPr>
        <w:t xml:space="preserve">: </w:t>
      </w:r>
      <w:r w:rsidRPr="00C7566D">
        <w:rPr>
          <w:rFonts w:ascii="David" w:hAnsi="David" w:hint="cs"/>
          <w:b/>
          <w:bCs/>
          <w:rtl/>
        </w:rPr>
        <w:t xml:space="preserve">סעיף </w:t>
      </w:r>
      <w:r>
        <w:rPr>
          <w:rFonts w:ascii="David" w:hAnsi="David" w:hint="cs"/>
          <w:b/>
          <w:bCs/>
          <w:rtl/>
        </w:rPr>
        <w:t xml:space="preserve">י' </w:t>
      </w:r>
      <w:r w:rsidRPr="00C7566D">
        <w:rPr>
          <w:rFonts w:ascii="David" w:hAnsi="David" w:hint="cs"/>
          <w:rtl/>
        </w:rPr>
        <w:t xml:space="preserve">(זה הסעיף שהוא לב המחלוקת בין </w:t>
      </w:r>
      <w:r w:rsidR="00A15503" w:rsidRPr="00C7566D">
        <w:rPr>
          <w:rFonts w:ascii="David" w:hAnsi="David" w:hint="cs"/>
          <w:rtl/>
        </w:rPr>
        <w:t>האשכנזים</w:t>
      </w:r>
      <w:r w:rsidRPr="00C7566D">
        <w:rPr>
          <w:rFonts w:ascii="David" w:hAnsi="David" w:hint="cs"/>
          <w:rtl/>
        </w:rPr>
        <w:t xml:space="preserve"> לספרדים) - רבי יוסף קארו כותב </w:t>
      </w:r>
      <w:r w:rsidRPr="00BA0505">
        <w:rPr>
          <w:rFonts w:ascii="David" w:hAnsi="David" w:hint="cs"/>
          <w:u w:val="single"/>
          <w:shd w:val="clear" w:color="auto" w:fill="FFF4CD" w:themeFill="accent1" w:themeFillTint="33"/>
          <w:rtl/>
        </w:rPr>
        <w:t>שלושה צמצומים ביחס לחרם דרבנו גרשום</w:t>
      </w:r>
      <w:r w:rsidR="00BA0505" w:rsidRPr="00BA0505">
        <w:rPr>
          <w:rFonts w:ascii="David" w:hAnsi="David" w:hint="cs"/>
          <w:u w:val="single"/>
          <w:rtl/>
        </w:rPr>
        <w:t>:</w:t>
      </w:r>
    </w:p>
    <w:p w14:paraId="647FB2D0" w14:textId="06380034" w:rsidR="00A15503" w:rsidRDefault="00A15503" w:rsidP="00C7566D">
      <w:pPr>
        <w:pStyle w:val="ac"/>
        <w:numPr>
          <w:ilvl w:val="3"/>
          <w:numId w:val="16"/>
        </w:numPr>
        <w:bidi/>
        <w:rPr>
          <w:rFonts w:ascii="David" w:hAnsi="David"/>
          <w:sz w:val="22"/>
        </w:rPr>
      </w:pPr>
      <w:r w:rsidRPr="00A15503">
        <w:rPr>
          <w:rFonts w:ascii="David" w:hAnsi="David" w:hint="cs"/>
          <w:b/>
          <w:bCs/>
          <w:sz w:val="22"/>
          <w:rtl/>
        </w:rPr>
        <w:t>חרם דרבנו גרשום לא חל במקום מצווה</w:t>
      </w:r>
      <w:r>
        <w:rPr>
          <w:rFonts w:ascii="David" w:hAnsi="David" w:hint="cs"/>
          <w:sz w:val="22"/>
          <w:rtl/>
        </w:rPr>
        <w:t xml:space="preserve">. </w:t>
      </w:r>
      <w:r w:rsidR="007C4668">
        <w:rPr>
          <w:rFonts w:ascii="David" w:hAnsi="David" w:hint="cs"/>
          <w:sz w:val="22"/>
          <w:rtl/>
        </w:rPr>
        <w:t>רבי יוסף קארו</w:t>
      </w:r>
      <w:r>
        <w:rPr>
          <w:rFonts w:ascii="David" w:hAnsi="David" w:hint="cs"/>
          <w:sz w:val="22"/>
          <w:rtl/>
        </w:rPr>
        <w:t xml:space="preserve"> מביא את הדוגמה של ייבום- אישה שהתאלמנה ללא ילדה, האח יכול לשאת אותה על אף שהוא כבר נשוי. </w:t>
      </w:r>
    </w:p>
    <w:p w14:paraId="425D6A9F" w14:textId="4EFD7B1A" w:rsidR="00C7566D" w:rsidRDefault="007C4668" w:rsidP="00A15503">
      <w:pPr>
        <w:pStyle w:val="ac"/>
        <w:bidi/>
        <w:ind w:left="597"/>
        <w:rPr>
          <w:rFonts w:ascii="David" w:hAnsi="David"/>
          <w:sz w:val="22"/>
        </w:rPr>
      </w:pPr>
      <w:r>
        <w:rPr>
          <w:rFonts w:ascii="David" w:hAnsi="David" w:hint="cs"/>
          <w:sz w:val="22"/>
          <w:rtl/>
        </w:rPr>
        <w:t>הרמ"א</w:t>
      </w:r>
      <w:r w:rsidR="00A15503">
        <w:rPr>
          <w:rFonts w:ascii="David" w:hAnsi="David" w:hint="cs"/>
          <w:sz w:val="22"/>
          <w:rtl/>
        </w:rPr>
        <w:t xml:space="preserve">: מסכים עם </w:t>
      </w:r>
      <w:r>
        <w:rPr>
          <w:rFonts w:ascii="David" w:hAnsi="David" w:hint="cs"/>
          <w:sz w:val="22"/>
          <w:rtl/>
        </w:rPr>
        <w:t>רבי יוסף קארו</w:t>
      </w:r>
      <w:r w:rsidR="00A15503">
        <w:rPr>
          <w:rFonts w:ascii="David" w:hAnsi="David" w:hint="cs"/>
          <w:sz w:val="22"/>
          <w:rtl/>
        </w:rPr>
        <w:t xml:space="preserve"> גבר שנשוי לאישה מעל עשר שנים ולא היה להם ילדים רשאי לשאת אישה שנייה שכן חרם לא גובר על מצווה. אולם, הוא מציין שיש פוסקים בעולם האשכנזי הרואים את חרם דרבנו גרשום כגובר על מצווה.</w:t>
      </w:r>
    </w:p>
    <w:p w14:paraId="2CC58662" w14:textId="60382104" w:rsidR="00A15503" w:rsidRDefault="00A15503" w:rsidP="00A15503">
      <w:pPr>
        <w:pStyle w:val="ac"/>
        <w:numPr>
          <w:ilvl w:val="3"/>
          <w:numId w:val="16"/>
        </w:numPr>
        <w:bidi/>
        <w:rPr>
          <w:rFonts w:ascii="David" w:hAnsi="David"/>
          <w:sz w:val="22"/>
        </w:rPr>
      </w:pPr>
      <w:r w:rsidRPr="00A15503">
        <w:rPr>
          <w:rFonts w:ascii="David" w:hAnsi="David" w:hint="cs"/>
          <w:b/>
          <w:bCs/>
          <w:sz w:val="22"/>
          <w:rtl/>
        </w:rPr>
        <w:lastRenderedPageBreak/>
        <w:t>גאוגרפיה</w:t>
      </w:r>
      <w:r>
        <w:rPr>
          <w:rFonts w:ascii="David" w:hAnsi="David" w:hint="cs"/>
          <w:sz w:val="22"/>
          <w:rtl/>
        </w:rPr>
        <w:t xml:space="preserve"> - חרם דרבנו גרשום חל רק במרחב בו הוא התקבל, דהיינו העולם האשכנזי. הוא קובע כי במקום שלא ידוע אם החרם התקבל </w:t>
      </w:r>
      <w:r w:rsidR="007C4668">
        <w:rPr>
          <w:rFonts w:ascii="David" w:hAnsi="David" w:hint="cs"/>
          <w:sz w:val="22"/>
          <w:rtl/>
        </w:rPr>
        <w:t>אז החרם לא חל.</w:t>
      </w:r>
    </w:p>
    <w:p w14:paraId="64577EFA" w14:textId="2A3F9CE1" w:rsidR="007C4668" w:rsidRDefault="007C4668" w:rsidP="007C4668">
      <w:pPr>
        <w:pStyle w:val="ac"/>
        <w:bidi/>
        <w:ind w:left="597"/>
        <w:rPr>
          <w:rFonts w:ascii="David" w:hAnsi="David"/>
          <w:sz w:val="22"/>
        </w:rPr>
      </w:pPr>
      <w:r w:rsidRPr="007C4668">
        <w:rPr>
          <w:rFonts w:ascii="David" w:hAnsi="David" w:hint="cs"/>
          <w:sz w:val="22"/>
          <w:rtl/>
        </w:rPr>
        <w:t>הרמ"א:</w:t>
      </w:r>
      <w:r>
        <w:rPr>
          <w:rFonts w:ascii="David" w:hAnsi="David" w:hint="cs"/>
          <w:sz w:val="22"/>
          <w:rtl/>
        </w:rPr>
        <w:t xml:space="preserve"> החרם לא חל במקום שידוע שלא קיבלו את החרם. כלומר ברירת המחדל היא החרם. ורק בקהילות שבאופן אקטיבי לא קיבלו את החרם, כמו ספרד- אין חובה לקיימו. </w:t>
      </w:r>
    </w:p>
    <w:p w14:paraId="6572267F" w14:textId="140044D8" w:rsidR="007C4668" w:rsidRDefault="007C4668" w:rsidP="007C4668">
      <w:pPr>
        <w:pStyle w:val="ac"/>
        <w:numPr>
          <w:ilvl w:val="3"/>
          <w:numId w:val="16"/>
        </w:numPr>
        <w:bidi/>
        <w:rPr>
          <w:rFonts w:ascii="David" w:hAnsi="David"/>
          <w:sz w:val="22"/>
        </w:rPr>
      </w:pPr>
      <w:r>
        <w:rPr>
          <w:rFonts w:ascii="David" w:hAnsi="David" w:hint="cs"/>
          <w:b/>
          <w:bCs/>
          <w:sz w:val="22"/>
          <w:rtl/>
        </w:rPr>
        <w:t>הגבלה בזמן - "</w:t>
      </w:r>
      <w:r>
        <w:rPr>
          <w:rFonts w:ascii="David" w:hAnsi="David" w:hint="cs"/>
          <w:sz w:val="22"/>
          <w:rtl/>
        </w:rPr>
        <w:t>ולא החרים אלא עד סוף האלף החמישי" - אזור אמצע המאה ה-13. כלומר, לדעת רבי יוסף קארו החרם לא חל כיום גם על האשכנזים כי גם מי שתיקן אותו הגביל אותו בזמן (על פי מסורות מימי הביניים).</w:t>
      </w:r>
    </w:p>
    <w:p w14:paraId="695DCB43" w14:textId="28DD7A00" w:rsidR="00BA0505" w:rsidRDefault="00BA0505" w:rsidP="00BA0505">
      <w:pPr>
        <w:pStyle w:val="ac"/>
        <w:bidi/>
        <w:ind w:left="597"/>
        <w:rPr>
          <w:rFonts w:ascii="David" w:hAnsi="David"/>
          <w:sz w:val="22"/>
        </w:rPr>
      </w:pPr>
      <w:r>
        <w:rPr>
          <w:rFonts w:ascii="David" w:hAnsi="David" w:hint="cs"/>
          <w:sz w:val="22"/>
          <w:rtl/>
        </w:rPr>
        <w:t>הרמ"א: לא מקבל את הצמצום השלישי, החרם קיים היום לגמרי וזה מה שנוהג.</w:t>
      </w:r>
    </w:p>
    <w:p w14:paraId="539E210C" w14:textId="310EBF88" w:rsidR="00BA0505" w:rsidRDefault="00BA0505" w:rsidP="00BA0505">
      <w:pPr>
        <w:pStyle w:val="ac"/>
        <w:numPr>
          <w:ilvl w:val="2"/>
          <w:numId w:val="16"/>
        </w:numPr>
        <w:bidi/>
        <w:rPr>
          <w:rFonts w:ascii="David" w:hAnsi="David"/>
          <w:sz w:val="22"/>
        </w:rPr>
      </w:pPr>
      <w:r w:rsidRPr="001F4ABA">
        <w:rPr>
          <w:rFonts w:ascii="David" w:hAnsi="David" w:hint="cs"/>
          <w:b/>
          <w:bCs/>
          <w:sz w:val="22"/>
          <w:rtl/>
        </w:rPr>
        <w:t xml:space="preserve">שו"ת המהר"ם מרוטנברג - </w:t>
      </w:r>
      <w:r w:rsidR="001F4ABA" w:rsidRPr="001F4ABA">
        <w:rPr>
          <w:rFonts w:ascii="David" w:hAnsi="David" w:hint="cs"/>
          <w:b/>
          <w:bCs/>
          <w:sz w:val="22"/>
          <w:rtl/>
        </w:rPr>
        <w:t>מקור קדום המאפשר היתר נישואין על אף החרם</w:t>
      </w:r>
      <w:r w:rsidR="001F4ABA">
        <w:rPr>
          <w:rFonts w:ascii="David" w:hAnsi="David" w:hint="cs"/>
          <w:sz w:val="22"/>
          <w:rtl/>
        </w:rPr>
        <w:t>: ניתן להתיר נישואין, אבל זה כפוף לפרוצדורה מורכבת מאוד. חתימה של אנשים מאזור מאוד גדול (פירשו את המילה אנשים כתלמידי חכמים). יש אפשרות להתיר אבל היא כול כך קשה שהסיכוי שמישהו יעשה מסע שכזה נמוך ביותר.</w:t>
      </w:r>
      <w:r w:rsidR="008332F2">
        <w:rPr>
          <w:rFonts w:ascii="David" w:hAnsi="David" w:hint="cs"/>
          <w:sz w:val="22"/>
          <w:rtl/>
        </w:rPr>
        <w:t xml:space="preserve"> אבל לא רק זה, יש צורך להפקיד את שווי הכתובה </w:t>
      </w:r>
      <w:r w:rsidR="005F59C9">
        <w:rPr>
          <w:rFonts w:ascii="David" w:hAnsi="David" w:hint="cs"/>
          <w:sz w:val="22"/>
          <w:rtl/>
        </w:rPr>
        <w:t>או במשכון או בכסף ממש</w:t>
      </w:r>
      <w:r w:rsidR="008332F2">
        <w:rPr>
          <w:rFonts w:ascii="David" w:hAnsi="David" w:hint="cs"/>
          <w:sz w:val="22"/>
          <w:rtl/>
        </w:rPr>
        <w:t>- כדי להראות שהוא יכול לפרנס אותה.</w:t>
      </w:r>
    </w:p>
    <w:p w14:paraId="1DD68D2A" w14:textId="56E75798" w:rsidR="005F59C9" w:rsidRDefault="005F59C9" w:rsidP="005F59C9">
      <w:pPr>
        <w:pStyle w:val="ac"/>
        <w:numPr>
          <w:ilvl w:val="4"/>
          <w:numId w:val="16"/>
        </w:numPr>
        <w:bidi/>
        <w:rPr>
          <w:rFonts w:ascii="David" w:hAnsi="David"/>
          <w:sz w:val="22"/>
        </w:rPr>
      </w:pPr>
      <w:r>
        <w:rPr>
          <w:rFonts w:ascii="David" w:hAnsi="David" w:hint="cs"/>
          <w:b/>
          <w:bCs/>
          <w:sz w:val="22"/>
          <w:rtl/>
        </w:rPr>
        <w:t xml:space="preserve">פורמאלית הדרישה של מאה הרבניים זהה גם כיום </w:t>
      </w:r>
      <w:r w:rsidRPr="005F59C9">
        <w:rPr>
          <w:rFonts w:ascii="David" w:hAnsi="David" w:hint="cs"/>
          <w:sz w:val="22"/>
          <w:rtl/>
        </w:rPr>
        <w:t>(עבור גברים אשכנזים)-</w:t>
      </w:r>
      <w:r>
        <w:rPr>
          <w:rFonts w:ascii="David" w:hAnsi="David" w:hint="cs"/>
          <w:sz w:val="22"/>
          <w:rtl/>
        </w:rPr>
        <w:t xml:space="preserve"> אך בפועל המהות שונה לגמרי. ראשית, הרבנות משיגה את החתימות ושנית, היכולות להשיג חתימות מכול העולם היום היא מהירה ביותר ולא קשה כלל. כלומר, בכלל לא קשה להשיג חתימה של מאה רבניים אבל פורמלית הדרישה עדיין קיימת.</w:t>
      </w:r>
    </w:p>
    <w:p w14:paraId="2C8F0A80" w14:textId="77777777" w:rsidR="00094097" w:rsidRDefault="005F59C9" w:rsidP="00094097">
      <w:pPr>
        <w:pStyle w:val="ac"/>
        <w:numPr>
          <w:ilvl w:val="4"/>
          <w:numId w:val="16"/>
        </w:numPr>
        <w:bidi/>
        <w:rPr>
          <w:rFonts w:ascii="David" w:hAnsi="David"/>
          <w:sz w:val="22"/>
        </w:rPr>
      </w:pPr>
      <w:r w:rsidRPr="005F59C9">
        <w:rPr>
          <w:rFonts w:ascii="David" w:hAnsi="David" w:hint="cs"/>
          <w:sz w:val="22"/>
          <w:rtl/>
        </w:rPr>
        <w:t>ספרות ההלכה מלאה בדיונים האם באמת צריך להקשות על מתן היתרים או שזה אם רואים שצריך לתת היתר אין צורך להקשות. שכן כבר בתקופת הדואר היה באופן משמעותי יותר קל להשיג את כול החתימות.</w:t>
      </w:r>
    </w:p>
    <w:p w14:paraId="3C7BC87B" w14:textId="3EB9BDD3" w:rsidR="00DE3232" w:rsidRPr="004033A6" w:rsidRDefault="00094097" w:rsidP="00094097">
      <w:pPr>
        <w:pStyle w:val="ac"/>
        <w:numPr>
          <w:ilvl w:val="2"/>
          <w:numId w:val="16"/>
        </w:numPr>
        <w:bidi/>
        <w:rPr>
          <w:rFonts w:ascii="David" w:hAnsi="David"/>
          <w:sz w:val="22"/>
        </w:rPr>
      </w:pPr>
      <w:r w:rsidRPr="00094097">
        <w:rPr>
          <w:rFonts w:ascii="David" w:hAnsi="David" w:hint="cs"/>
          <w:b/>
          <w:bCs/>
          <w:u w:val="single"/>
          <w:rtl/>
        </w:rPr>
        <w:t xml:space="preserve">עמדה נגד מכתב מאה הרבנים: </w:t>
      </w:r>
      <w:r w:rsidR="00DE3232" w:rsidRPr="00094097">
        <w:rPr>
          <w:rFonts w:ascii="David" w:hAnsi="David" w:hint="cs"/>
          <w:rtl/>
        </w:rPr>
        <w:t xml:space="preserve">עמדה מאוד מעניינת שכבר רואים אותה במאה ה-19 אבל מנוסחת מאוד יפה במאה ה-20 על ידי הרב משה פיינשטיין: אין לחתום על היתר כזה בשום מקרה, מכיוון שגורל אחד צריך להיות לבעל ולאישה. הרב </w:t>
      </w:r>
      <w:r w:rsidR="00DE3232" w:rsidRPr="004033A6">
        <w:rPr>
          <w:rFonts w:ascii="David" w:hAnsi="David" w:hint="cs"/>
          <w:rtl/>
        </w:rPr>
        <w:t>פיינשטיין אומר דעה זאת בעקבות פס"ד שטרייק בא"י שהתיר לגבר להינשא לאישה שנייה בעזרת חתימת מאה רבניים.</w:t>
      </w:r>
    </w:p>
    <w:p w14:paraId="776CC8E0" w14:textId="2783972C" w:rsidR="004033A6" w:rsidRPr="004033A6" w:rsidRDefault="00094097" w:rsidP="004033A6">
      <w:pPr>
        <w:pBdr>
          <w:top w:val="single" w:sz="4" w:space="1" w:color="auto"/>
        </w:pBdr>
        <w:rPr>
          <w:rFonts w:ascii="David" w:hAnsi="David"/>
          <w:rtl/>
        </w:rPr>
      </w:pPr>
      <w:r w:rsidRPr="004033A6">
        <w:rPr>
          <w:rFonts w:ascii="David" w:hAnsi="David" w:hint="cs"/>
          <w:rtl/>
        </w:rPr>
        <w:t>01.05.2022</w:t>
      </w:r>
    </w:p>
    <w:p w14:paraId="2F0E5F60" w14:textId="7B31A445" w:rsidR="004033A6" w:rsidRPr="004033A6" w:rsidRDefault="004033A6" w:rsidP="004033A6">
      <w:pPr>
        <w:pStyle w:val="ac"/>
        <w:numPr>
          <w:ilvl w:val="0"/>
          <w:numId w:val="16"/>
        </w:numPr>
        <w:shd w:val="clear" w:color="auto" w:fill="FFF4CD" w:themeFill="accent1" w:themeFillTint="33"/>
        <w:bidi/>
        <w:rPr>
          <w:rFonts w:ascii="David" w:hAnsi="David"/>
          <w:b/>
          <w:bCs/>
          <w:sz w:val="22"/>
        </w:rPr>
      </w:pPr>
      <w:r w:rsidRPr="004033A6">
        <w:rPr>
          <w:rFonts w:ascii="David" w:hAnsi="David" w:hint="cs"/>
          <w:b/>
          <w:bCs/>
          <w:shd w:val="clear" w:color="auto" w:fill="FFF4CD" w:themeFill="accent1" w:themeFillTint="33"/>
          <w:rtl/>
        </w:rPr>
        <w:t>החוק האזרחי</w:t>
      </w:r>
      <w:r w:rsidR="00BD35C3">
        <w:rPr>
          <w:rFonts w:ascii="David" w:hAnsi="David" w:hint="cs"/>
          <w:b/>
          <w:bCs/>
          <w:sz w:val="22"/>
          <w:rtl/>
        </w:rPr>
        <w:t xml:space="preserve"> </w:t>
      </w:r>
      <w:r w:rsidR="00BD35C3">
        <w:rPr>
          <w:rFonts w:ascii="David" w:hAnsi="David"/>
          <w:b/>
          <w:bCs/>
          <w:sz w:val="22"/>
          <w:rtl/>
        </w:rPr>
        <w:t>–</w:t>
      </w:r>
      <w:r w:rsidR="00BD35C3">
        <w:rPr>
          <w:rFonts w:ascii="David" w:hAnsi="David" w:hint="cs"/>
          <w:b/>
          <w:bCs/>
          <w:sz w:val="22"/>
          <w:rtl/>
        </w:rPr>
        <w:t xml:space="preserve"> ריבוי נישואין</w:t>
      </w:r>
    </w:p>
    <w:p w14:paraId="40D4BD5A" w14:textId="45BE429D" w:rsidR="00094097" w:rsidRPr="004033A6" w:rsidRDefault="00DE7570" w:rsidP="004033A6">
      <w:pPr>
        <w:pStyle w:val="ac"/>
        <w:numPr>
          <w:ilvl w:val="1"/>
          <w:numId w:val="16"/>
        </w:numPr>
        <w:bidi/>
        <w:rPr>
          <w:rFonts w:ascii="David" w:hAnsi="David"/>
          <w:b/>
          <w:bCs/>
          <w:sz w:val="22"/>
          <w:highlight w:val="green"/>
          <w:u w:val="single"/>
        </w:rPr>
      </w:pPr>
      <w:r w:rsidRPr="004033A6">
        <w:rPr>
          <w:rFonts w:ascii="David" w:hAnsi="David" w:hint="cs"/>
          <w:b/>
          <w:bCs/>
          <w:sz w:val="22"/>
          <w:highlight w:val="green"/>
          <w:u w:val="single"/>
          <w:rtl/>
        </w:rPr>
        <w:t>סימן ח' בחוק העונשין:</w:t>
      </w:r>
    </w:p>
    <w:p w14:paraId="3B9D4E60" w14:textId="759BD38B" w:rsidR="00DE7570" w:rsidRDefault="00DE7570" w:rsidP="00FF295E">
      <w:pPr>
        <w:pStyle w:val="ac"/>
        <w:numPr>
          <w:ilvl w:val="2"/>
          <w:numId w:val="16"/>
        </w:numPr>
        <w:bidi/>
        <w:rPr>
          <w:rFonts w:ascii="David" w:hAnsi="David"/>
          <w:sz w:val="22"/>
        </w:rPr>
      </w:pPr>
      <w:r w:rsidRPr="00DE7570">
        <w:rPr>
          <w:rFonts w:ascii="David" w:hAnsi="David" w:hint="cs"/>
          <w:b/>
          <w:bCs/>
          <w:sz w:val="22"/>
          <w:rtl/>
        </w:rPr>
        <w:t xml:space="preserve">ס' 175: </w:t>
      </w:r>
      <w:r>
        <w:rPr>
          <w:rFonts w:ascii="David" w:hAnsi="David" w:hint="cs"/>
          <w:b/>
          <w:bCs/>
          <w:sz w:val="22"/>
          <w:rtl/>
        </w:rPr>
        <w:t>"</w:t>
      </w:r>
      <w:r w:rsidRPr="00DE7570">
        <w:rPr>
          <w:rFonts w:ascii="David" w:hAnsi="David" w:hint="cs"/>
          <w:b/>
          <w:bCs/>
          <w:sz w:val="22"/>
          <w:rtl/>
        </w:rPr>
        <w:t>נישואין - לרבות קידושין</w:t>
      </w:r>
      <w:r>
        <w:rPr>
          <w:rFonts w:ascii="David" w:hAnsi="David" w:hint="cs"/>
          <w:b/>
          <w:bCs/>
          <w:sz w:val="22"/>
          <w:rtl/>
        </w:rPr>
        <w:t>"</w:t>
      </w:r>
      <w:r>
        <w:rPr>
          <w:rFonts w:ascii="David" w:hAnsi="David" w:hint="cs"/>
          <w:sz w:val="22"/>
          <w:rtl/>
        </w:rPr>
        <w:t>. למה היה חשוב לציין שנישואין זה לרבות קידושין? מכיוון שנישואין וקידושין זה לא אותו דבר על פי ההלכה היהודית. מה שמוביל לבעיה נוספת - כתוצאה מהגדרה זו היא העובדה שהס' פונה רק ליהודים ולא לבני דתות אחרות. זה מאוד בעייתי כיוון שלא סביר שהחוק הפלילי יעשה הבחנות אתניות.</w:t>
      </w:r>
    </w:p>
    <w:p w14:paraId="760F72C7" w14:textId="59D13483" w:rsidR="00DE7570" w:rsidRDefault="00DE7570" w:rsidP="00FF295E">
      <w:pPr>
        <w:pStyle w:val="ac"/>
        <w:numPr>
          <w:ilvl w:val="2"/>
          <w:numId w:val="16"/>
        </w:numPr>
        <w:bidi/>
        <w:rPr>
          <w:rFonts w:ascii="David" w:hAnsi="David"/>
          <w:sz w:val="22"/>
        </w:rPr>
      </w:pPr>
      <w:r w:rsidRPr="00DE7570">
        <w:rPr>
          <w:rFonts w:ascii="David" w:hAnsi="David" w:hint="cs"/>
          <w:b/>
          <w:bCs/>
          <w:sz w:val="22"/>
          <w:rtl/>
        </w:rPr>
        <w:t>ס' 176: "</w:t>
      </w:r>
      <w:r w:rsidRPr="00DE7570">
        <w:rPr>
          <w:rFonts w:ascii="David" w:hAnsi="David"/>
          <w:b/>
          <w:bCs/>
          <w:sz w:val="22"/>
        </w:rPr>
        <w:t xml:space="preserve"> </w:t>
      </w:r>
      <w:r w:rsidRPr="00DE7570">
        <w:rPr>
          <w:rFonts w:ascii="David" w:hAnsi="David"/>
          <w:b/>
          <w:bCs/>
          <w:sz w:val="22"/>
          <w:rtl/>
        </w:rPr>
        <w:t>נשוי הנושא אשה אחרת, ונשואה הנישאת לאיש אחר, דינם - מאסר חמש שנים</w:t>
      </w:r>
      <w:r w:rsidRPr="00DE7570">
        <w:rPr>
          <w:rFonts w:ascii="David" w:hAnsi="David" w:hint="cs"/>
          <w:b/>
          <w:bCs/>
          <w:sz w:val="22"/>
          <w:rtl/>
        </w:rPr>
        <w:t>".</w:t>
      </w:r>
      <w:r>
        <w:rPr>
          <w:rFonts w:ascii="David" w:hAnsi="David" w:hint="cs"/>
          <w:sz w:val="22"/>
          <w:rtl/>
        </w:rPr>
        <w:t xml:space="preserve"> ס' זה אומר שיש פה בעיית כושר מוחלט, לאדם נשוי אסור להינשא לאדם נוסף.</w:t>
      </w:r>
      <w:r w:rsidR="00FF295E">
        <w:rPr>
          <w:rFonts w:ascii="David" w:hAnsi="David" w:hint="cs"/>
          <w:sz w:val="22"/>
          <w:rtl/>
        </w:rPr>
        <w:t xml:space="preserve"> אומנם הס' הזה פונה לשני המינים, אולם בפועל בגלל שחל חוק דתי במדינה אין אפשרות מעשית לאישה להינשא לשני גברים. כל הדתות הרשמיות בישראל אוסרות על נשים להינשא לאדם נוסף. בפועל המציאות של אישה נשואה הנישאת לאדם אחר, בהנחה שהיא לא מרמה אף אחד האפשרות הזו היא די זניחה במדינת ישראל. אולם, מהצד השני האפשרות של גבר להינשא לאישה נוספת אינה זניחה כלל ואפילו ישנם אלפי גברים הנשואים לאישה נוספת. פרופ' רדזינר מכיר מקרה אחד שרצו להאשים אישה בביגמיה, היא התחנה עם בריטי ועזבה ללא הליך גירושין. הגיעה לבית הדין הרבני ורצתה להתחתן עם יהודי. בית הדין הרבני רצה לתת לה להתחתן כי ממילא אינו מכיר בנישואין לגוי.</w:t>
      </w:r>
      <w:r w:rsidR="00EF6D45">
        <w:rPr>
          <w:rFonts w:ascii="David" w:hAnsi="David" w:hint="cs"/>
          <w:sz w:val="22"/>
          <w:rtl/>
        </w:rPr>
        <w:t xml:space="preserve"> המשטרה רצתה להעמידה לדין ולבסוף זה לא קרה.</w:t>
      </w:r>
    </w:p>
    <w:p w14:paraId="65C6E605" w14:textId="11A3DB43" w:rsidR="00FF295E" w:rsidRDefault="00EF6D45" w:rsidP="00EF6D45">
      <w:pPr>
        <w:pStyle w:val="ac"/>
        <w:numPr>
          <w:ilvl w:val="2"/>
          <w:numId w:val="16"/>
        </w:numPr>
        <w:bidi/>
        <w:rPr>
          <w:rFonts w:ascii="David" w:hAnsi="David"/>
          <w:sz w:val="22"/>
        </w:rPr>
      </w:pPr>
      <w:r>
        <w:rPr>
          <w:rFonts w:ascii="David" w:hAnsi="David" w:hint="cs"/>
          <w:sz w:val="22"/>
          <w:rtl/>
        </w:rPr>
        <w:t xml:space="preserve">ס' 181: </w:t>
      </w:r>
      <w:r w:rsidRPr="00EF6D45">
        <w:rPr>
          <w:rFonts w:ascii="David" w:hAnsi="David" w:hint="cs"/>
          <w:b/>
          <w:bCs/>
          <w:sz w:val="22"/>
          <w:rtl/>
        </w:rPr>
        <w:t>"</w:t>
      </w:r>
      <w:r w:rsidRPr="00EF6D45">
        <w:rPr>
          <w:rFonts w:ascii="David" w:hAnsi="David"/>
          <w:b/>
          <w:bCs/>
          <w:sz w:val="22"/>
          <w:rtl/>
        </w:rPr>
        <w:t>התיר איש את קשר הנישואין על כרחה של האשה, באין בשעת התרת הקשר פסק דין סופי של</w:t>
      </w:r>
      <w:r w:rsidRPr="00EF6D45">
        <w:rPr>
          <w:rFonts w:ascii="David" w:hAnsi="David" w:hint="cs"/>
          <w:b/>
          <w:bCs/>
          <w:sz w:val="22"/>
          <w:rtl/>
        </w:rPr>
        <w:t xml:space="preserve"> </w:t>
      </w:r>
      <w:r w:rsidRPr="00EF6D45">
        <w:rPr>
          <w:rFonts w:ascii="David" w:hAnsi="David"/>
          <w:b/>
          <w:bCs/>
          <w:rtl/>
        </w:rPr>
        <w:t>בית המשפט או של בית הדין המוסמך המחייב את האשה להתרה זו, דינו - מאסר חמש שנים</w:t>
      </w:r>
      <w:r w:rsidRPr="00EF6D45">
        <w:rPr>
          <w:rFonts w:ascii="David" w:hAnsi="David" w:hint="cs"/>
          <w:b/>
          <w:bCs/>
          <w:rtl/>
        </w:rPr>
        <w:t>"</w:t>
      </w:r>
      <w:r w:rsidRPr="00EF6D45">
        <w:rPr>
          <w:rFonts w:ascii="David" w:hAnsi="David"/>
          <w:b/>
          <w:bCs/>
          <w:rtl/>
        </w:rPr>
        <w:t>.</w:t>
      </w:r>
      <w:r>
        <w:rPr>
          <w:rFonts w:ascii="David" w:hAnsi="David" w:hint="cs"/>
          <w:sz w:val="22"/>
          <w:rtl/>
        </w:rPr>
        <w:t xml:space="preserve"> כמו חרם דרבנו גרשום יש כאן הוראת חוק משלימה. כמו שאי אפשר להינשא לשתי נשים, יש רצון שלא יהיה אפשר לגרש אישה בעל כורחה על מנת לשאת אישה אחרת. בפועל, הס' הזה מופעל כמעט רק כנגד מוסלמים</w:t>
      </w:r>
      <w:r w:rsidR="001845E2">
        <w:rPr>
          <w:rFonts w:ascii="David" w:hAnsi="David" w:hint="cs"/>
          <w:sz w:val="22"/>
          <w:rtl/>
        </w:rPr>
        <w:t xml:space="preserve">, שכן על פי הדת המוסלמית אפשר לגרש אישה על כרוחה. לעומת זאת, </w:t>
      </w:r>
      <w:r>
        <w:rPr>
          <w:rFonts w:ascii="David" w:hAnsi="David" w:hint="cs"/>
          <w:sz w:val="22"/>
          <w:rtl/>
        </w:rPr>
        <w:t xml:space="preserve">מאוד בעייתי מבחינת הדת היהודית לגרש אישה </w:t>
      </w:r>
      <w:r w:rsidR="001845E2">
        <w:rPr>
          <w:rFonts w:ascii="David" w:hAnsi="David" w:hint="cs"/>
          <w:sz w:val="22"/>
          <w:rtl/>
        </w:rPr>
        <w:t xml:space="preserve">ללא סיוע של בית דין. ישנם פוסקים שרואים גט שלא ניתן ע"י בית דיו המומחה בגירושין כי גט בעייתי ואולי לא תקף. </w:t>
      </w:r>
    </w:p>
    <w:p w14:paraId="0A53FCF2" w14:textId="64B8A23D" w:rsidR="00183986" w:rsidRDefault="001845E2" w:rsidP="001845E2">
      <w:pPr>
        <w:pStyle w:val="ac"/>
        <w:numPr>
          <w:ilvl w:val="2"/>
          <w:numId w:val="16"/>
        </w:numPr>
        <w:bidi/>
        <w:rPr>
          <w:rFonts w:ascii="David" w:hAnsi="David"/>
        </w:rPr>
      </w:pPr>
      <w:r w:rsidRPr="0083406D">
        <w:rPr>
          <w:rFonts w:ascii="David" w:hAnsi="David" w:hint="cs"/>
          <w:b/>
          <w:bCs/>
          <w:sz w:val="22"/>
          <w:rtl/>
        </w:rPr>
        <w:t>ס' 179:</w:t>
      </w:r>
      <w:r>
        <w:rPr>
          <w:rFonts w:ascii="David" w:hAnsi="David" w:hint="cs"/>
          <w:sz w:val="22"/>
          <w:rtl/>
        </w:rPr>
        <w:t xml:space="preserve"> "</w:t>
      </w:r>
      <w:r w:rsidRPr="001845E2">
        <w:rPr>
          <w:rFonts w:ascii="David" w:hAnsi="David"/>
          <w:b/>
          <w:bCs/>
          <w:rtl/>
        </w:rPr>
        <w:t xml:space="preserve">היה הדין החל על הנישואין החדשים דין התורה, לא יורשע אדם על עבירה לפי סעיף </w:t>
      </w:r>
      <w:r w:rsidRPr="001845E2">
        <w:rPr>
          <w:rFonts w:ascii="David" w:hAnsi="David" w:hint="cs"/>
          <w:b/>
          <w:bCs/>
          <w:rtl/>
        </w:rPr>
        <w:t>176</w:t>
      </w:r>
      <w:r w:rsidRPr="001845E2">
        <w:rPr>
          <w:rFonts w:ascii="David" w:hAnsi="David"/>
          <w:b/>
          <w:bCs/>
          <w:rtl/>
        </w:rPr>
        <w:t xml:space="preserve"> אם</w:t>
      </w:r>
      <w:r w:rsidRPr="001845E2">
        <w:rPr>
          <w:rFonts w:ascii="David" w:hAnsi="David" w:hint="cs"/>
          <w:b/>
          <w:bCs/>
          <w:rtl/>
        </w:rPr>
        <w:t xml:space="preserve"> </w:t>
      </w:r>
      <w:r w:rsidRPr="001845E2">
        <w:rPr>
          <w:rFonts w:ascii="David" w:hAnsi="David"/>
          <w:b/>
          <w:bCs/>
          <w:rtl/>
        </w:rPr>
        <w:t>הנישואין החדשים נערכו לאחר שניתן לו היתר נישואין לפי פסק דין סופי של בית דין רבני ופסק הדין</w:t>
      </w:r>
      <w:r w:rsidRPr="001845E2">
        <w:rPr>
          <w:rFonts w:ascii="David" w:hAnsi="David" w:hint="cs"/>
          <w:b/>
          <w:bCs/>
          <w:rtl/>
        </w:rPr>
        <w:t xml:space="preserve"> </w:t>
      </w:r>
      <w:r w:rsidRPr="001845E2">
        <w:rPr>
          <w:rFonts w:ascii="David" w:hAnsi="David"/>
          <w:b/>
          <w:bCs/>
          <w:rtl/>
        </w:rPr>
        <w:t>אושר בידי נשיא בית הדין הרבני הגדול</w:t>
      </w:r>
      <w:r>
        <w:rPr>
          <w:rFonts w:ascii="David" w:hAnsi="David" w:hint="cs"/>
          <w:rtl/>
        </w:rPr>
        <w:t xml:space="preserve">". </w:t>
      </w:r>
    </w:p>
    <w:p w14:paraId="053C60D0" w14:textId="0E270769" w:rsidR="001845E2" w:rsidRDefault="001845E2" w:rsidP="00183986">
      <w:pPr>
        <w:pStyle w:val="ac"/>
        <w:bidi/>
        <w:ind w:left="369"/>
        <w:rPr>
          <w:rFonts w:ascii="David" w:hAnsi="David"/>
        </w:rPr>
      </w:pPr>
      <w:r>
        <w:rPr>
          <w:rFonts w:ascii="David" w:hAnsi="David" w:hint="cs"/>
          <w:rtl/>
        </w:rPr>
        <w:lastRenderedPageBreak/>
        <w:t>זה חלק רק על יהודים (במנדט הבריטי היה כתוב במפורש שס' זה מייעוד ליהודים.</w:t>
      </w:r>
      <w:r w:rsidR="0083406D">
        <w:rPr>
          <w:rFonts w:ascii="David" w:hAnsi="David" w:hint="cs"/>
          <w:rtl/>
        </w:rPr>
        <w:t xml:space="preserve"> מדובר בס' מפלה כיוון שהוא מפלה את היהודים לעומת הלא יהודים (לא מקבל את ההקלות של 180). וגם מפלה נשים יהודיות לעומת גברים יהודיים</w:t>
      </w:r>
      <w:r w:rsidR="00183986">
        <w:rPr>
          <w:rFonts w:ascii="David" w:hAnsi="David" w:hint="cs"/>
          <w:rtl/>
        </w:rPr>
        <w:t xml:space="preserve"> - שכן לגברים שישנם יותר פתרונות הלכתיים.</w:t>
      </w:r>
    </w:p>
    <w:p w14:paraId="4FA1DCB1" w14:textId="77777777" w:rsidR="00C33EE7" w:rsidRDefault="00183986" w:rsidP="00183986">
      <w:pPr>
        <w:pStyle w:val="ac"/>
        <w:bidi/>
        <w:ind w:left="369"/>
        <w:rPr>
          <w:rFonts w:ascii="David" w:hAnsi="David"/>
          <w:rtl/>
        </w:rPr>
      </w:pPr>
      <w:r w:rsidRPr="00183986">
        <w:rPr>
          <w:rFonts w:ascii="David" w:hAnsi="David" w:hint="cs"/>
          <w:sz w:val="22"/>
          <w:rtl/>
        </w:rPr>
        <w:t>ס' זה דורש את חתימתו של נשיא בית הדין הגדול</w:t>
      </w:r>
      <w:r>
        <w:rPr>
          <w:rFonts w:ascii="David" w:hAnsi="David" w:hint="cs"/>
          <w:sz w:val="22"/>
          <w:rtl/>
        </w:rPr>
        <w:t>, לעומת זאת התקנות של בית הדין הרבניים קובע שיש צורך בשתי הרבניים הראשיים ולא אחד כמו שהחוק קובע</w:t>
      </w:r>
      <w:r w:rsidRPr="00C33EE7">
        <w:rPr>
          <w:rFonts w:ascii="David" w:hAnsi="David" w:hint="cs"/>
          <w:sz w:val="22"/>
          <w:u w:val="single"/>
          <w:rtl/>
        </w:rPr>
        <w:t>. איך קרה השינוי הזה?</w:t>
      </w:r>
      <w:r>
        <w:rPr>
          <w:rFonts w:ascii="David" w:hAnsi="David" w:hint="cs"/>
          <w:sz w:val="22"/>
          <w:rtl/>
        </w:rPr>
        <w:t xml:space="preserve"> בשנת 1980 היה תיקון לחוק</w:t>
      </w:r>
      <w:r w:rsidR="00C33EE7">
        <w:rPr>
          <w:rFonts w:ascii="David" w:hAnsi="David" w:hint="cs"/>
          <w:rtl/>
        </w:rPr>
        <w:t xml:space="preserve"> שנקרא חוק הרבנות הראשית שהוסיף הקלה. תקנות הרבנות הראשית מטרתם הייתה להקשות על היתר נישואין שכן להשיג שתי חתימות זה יותר קשה - לכן התיקון הקל על הדרך של גברים יהודיים לקבל היתר. היינו מצפים שזה יהיה יותר קשה ככול שהמדינה התפתחה ותמנע כמה שיותר מתן היתר נישואין. </w:t>
      </w:r>
    </w:p>
    <w:p w14:paraId="63F38953" w14:textId="0C2AC133" w:rsidR="00183986" w:rsidRDefault="00C33EE7" w:rsidP="00183986">
      <w:pPr>
        <w:pStyle w:val="ac"/>
        <w:bidi/>
        <w:ind w:left="369"/>
        <w:rPr>
          <w:rFonts w:ascii="David" w:hAnsi="David"/>
          <w:rtl/>
        </w:rPr>
      </w:pPr>
      <w:r w:rsidRPr="00C33EE7">
        <w:rPr>
          <w:rFonts w:ascii="David" w:hAnsi="David" w:hint="cs"/>
          <w:u w:val="single"/>
          <w:rtl/>
        </w:rPr>
        <w:t>אפשר ללמוד על הסיבה לתיקון החוק ההיסטוריה של אותה תקופה</w:t>
      </w:r>
      <w:r>
        <w:rPr>
          <w:rFonts w:ascii="David" w:hAnsi="David" w:hint="cs"/>
          <w:rtl/>
        </w:rPr>
        <w:t>: חוק הרבנות הראשית נחקק כיוון שהרבניים הראשים שכיהנו באותם שנים לא כול כך הסתדרו ביניה</w:t>
      </w:r>
      <w:r>
        <w:rPr>
          <w:rFonts w:ascii="David" w:hAnsi="David" w:hint="eastAsia"/>
          <w:rtl/>
        </w:rPr>
        <w:t>ם</w:t>
      </w:r>
      <w:r>
        <w:rPr>
          <w:rFonts w:ascii="David" w:hAnsi="David" w:hint="cs"/>
          <w:rtl/>
        </w:rPr>
        <w:t xml:space="preserve"> בלשון המעטה. בעקבות כך, נעשה ניסיון ליצור כמה שפחות ממש</w:t>
      </w:r>
      <w:r w:rsidR="00867177">
        <w:rPr>
          <w:rFonts w:ascii="David" w:hAnsi="David" w:hint="cs"/>
          <w:rtl/>
        </w:rPr>
        <w:t>ק</w:t>
      </w:r>
      <w:r>
        <w:rPr>
          <w:rFonts w:ascii="David" w:hAnsi="David" w:hint="cs"/>
          <w:rtl/>
        </w:rPr>
        <w:t xml:space="preserve"> בין השניים - חוק הרבנות הראשית קבע שנשיא בית הדין הגדול יהיה ברוטציה בין שני הרבניים הראשיים</w:t>
      </w:r>
      <w:r w:rsidR="00867177">
        <w:rPr>
          <w:rFonts w:ascii="David" w:hAnsi="David" w:hint="cs"/>
          <w:rtl/>
        </w:rPr>
        <w:t xml:space="preserve"> ושלא יכהנו שניים באותו זמן</w:t>
      </w:r>
      <w:r>
        <w:rPr>
          <w:rFonts w:ascii="David" w:hAnsi="David" w:hint="cs"/>
          <w:rtl/>
        </w:rPr>
        <w:t>. בנוסף נקבע שהכהונה מוגבלת ל-10 שנים</w:t>
      </w:r>
      <w:r w:rsidR="00867177">
        <w:rPr>
          <w:rFonts w:ascii="David" w:hAnsi="David" w:hint="cs"/>
          <w:rtl/>
        </w:rPr>
        <w:t>. בהתאם לרוטציה שבה רק רב אחד הוא נשיא בית הדין, נקבע שהיתר הנישואין יכול להינתן על ידי נשיא בית הדין ולא על ידי שני הרבניים הראשיים.</w:t>
      </w:r>
    </w:p>
    <w:p w14:paraId="4AA04790" w14:textId="7C2D55B3" w:rsidR="0083406D" w:rsidRPr="0083406D" w:rsidRDefault="0083406D" w:rsidP="0083406D">
      <w:pPr>
        <w:pStyle w:val="ac"/>
        <w:numPr>
          <w:ilvl w:val="2"/>
          <w:numId w:val="16"/>
        </w:numPr>
        <w:bidi/>
        <w:rPr>
          <w:rFonts w:ascii="David" w:hAnsi="David"/>
          <w:sz w:val="22"/>
        </w:rPr>
      </w:pPr>
      <w:r>
        <w:rPr>
          <w:rFonts w:ascii="David" w:hAnsi="David" w:hint="cs"/>
          <w:b/>
          <w:bCs/>
          <w:rtl/>
        </w:rPr>
        <w:t>ס' 189:</w:t>
      </w:r>
      <w:r w:rsidR="001845E2" w:rsidRPr="0083406D">
        <w:rPr>
          <w:rFonts w:ascii="David" w:hAnsi="David" w:hint="cs"/>
          <w:b/>
          <w:bCs/>
          <w:rtl/>
        </w:rPr>
        <w:t xml:space="preserve"> </w:t>
      </w:r>
      <w:r w:rsidR="001845E2" w:rsidRPr="001845E2">
        <w:rPr>
          <w:rFonts w:ascii="David" w:hAnsi="David"/>
          <w:b/>
          <w:bCs/>
          <w:rtl/>
        </w:rPr>
        <w:t xml:space="preserve">לא היה הדין החל על הנישואין החדשים דין התורה, לא יורשע אדם על עבירה לפי סעיף </w:t>
      </w:r>
      <w:r w:rsidR="001845E2" w:rsidRPr="0083406D">
        <w:rPr>
          <w:rFonts w:ascii="David" w:hAnsi="David" w:hint="cs"/>
          <w:b/>
          <w:bCs/>
          <w:rtl/>
        </w:rPr>
        <w:t>176</w:t>
      </w:r>
      <w:r w:rsidR="001845E2" w:rsidRPr="001845E2">
        <w:rPr>
          <w:rFonts w:ascii="David" w:hAnsi="David"/>
          <w:b/>
          <w:bCs/>
          <w:rtl/>
        </w:rPr>
        <w:t xml:space="preserve"> אם</w:t>
      </w:r>
      <w:r w:rsidR="001845E2" w:rsidRPr="0083406D">
        <w:rPr>
          <w:rFonts w:ascii="David" w:hAnsi="David" w:hint="cs"/>
          <w:b/>
          <w:bCs/>
          <w:rtl/>
        </w:rPr>
        <w:t xml:space="preserve"> </w:t>
      </w:r>
      <w:r w:rsidR="001845E2" w:rsidRPr="0083406D">
        <w:rPr>
          <w:rFonts w:ascii="David" w:hAnsi="David"/>
          <w:b/>
          <w:bCs/>
          <w:rtl/>
        </w:rPr>
        <w:t>הנישואין החדשים נערכו לאחר שהותרו לפי פסק דין סופי של בית הדין המוסמך על סמך אחת מאלה</w:t>
      </w:r>
      <w:r w:rsidR="001845E2" w:rsidRPr="0083406D">
        <w:rPr>
          <w:rFonts w:ascii="David" w:hAnsi="David"/>
          <w:b/>
          <w:bCs/>
        </w:rPr>
        <w:t>:</w:t>
      </w:r>
      <w:r w:rsidR="001845E2" w:rsidRPr="0083406D">
        <w:rPr>
          <w:rFonts w:ascii="David" w:hAnsi="David" w:hint="cs"/>
          <w:b/>
          <w:bCs/>
          <w:rtl/>
        </w:rPr>
        <w:t xml:space="preserve"> </w:t>
      </w:r>
    </w:p>
    <w:p w14:paraId="50DBF754" w14:textId="77777777" w:rsidR="0083406D" w:rsidRDefault="001845E2" w:rsidP="0083406D">
      <w:pPr>
        <w:pStyle w:val="ac"/>
        <w:bidi/>
        <w:ind w:left="369"/>
        <w:rPr>
          <w:rFonts w:ascii="David" w:hAnsi="David"/>
          <w:b/>
          <w:bCs/>
          <w:rtl/>
        </w:rPr>
      </w:pPr>
      <w:r w:rsidRPr="0083406D">
        <w:rPr>
          <w:rFonts w:ascii="David" w:hAnsi="David" w:hint="cs"/>
          <w:b/>
          <w:bCs/>
          <w:rtl/>
        </w:rPr>
        <w:t>(1)</w:t>
      </w:r>
      <w:r w:rsidRPr="0083406D">
        <w:rPr>
          <w:rFonts w:ascii="David" w:hAnsi="David"/>
          <w:b/>
          <w:bCs/>
        </w:rPr>
        <w:t xml:space="preserve"> </w:t>
      </w:r>
      <w:r w:rsidRPr="0083406D">
        <w:rPr>
          <w:rFonts w:ascii="David" w:hAnsi="David"/>
          <w:b/>
          <w:bCs/>
          <w:rtl/>
        </w:rPr>
        <w:t>בן זוגו מנישואיו הקודמים אינו מסוגל, מחמת מחלת נפש שלקה בה, להסכים להפקעת</w:t>
      </w:r>
      <w:r w:rsidRPr="0083406D">
        <w:rPr>
          <w:rFonts w:ascii="David" w:hAnsi="David"/>
          <w:b/>
          <w:bCs/>
        </w:rPr>
        <w:t xml:space="preserve"> (</w:t>
      </w:r>
      <w:r w:rsidRPr="0083406D">
        <w:rPr>
          <w:rFonts w:ascii="David" w:hAnsi="David"/>
          <w:b/>
          <w:bCs/>
          <w:rtl/>
        </w:rPr>
        <w:t>הנישואין או לביטולם או להשתתף בהליך או בפעולה להפקעתם או לביטולם</w:t>
      </w:r>
      <w:r w:rsidRPr="0083406D">
        <w:rPr>
          <w:rFonts w:ascii="David" w:hAnsi="David"/>
          <w:b/>
          <w:bCs/>
        </w:rPr>
        <w:t>;</w:t>
      </w:r>
      <w:r w:rsidR="0083406D" w:rsidRPr="0083406D">
        <w:rPr>
          <w:rFonts w:ascii="David" w:hAnsi="David" w:hint="cs"/>
          <w:b/>
          <w:bCs/>
          <w:rtl/>
        </w:rPr>
        <w:t xml:space="preserve"> </w:t>
      </w:r>
    </w:p>
    <w:p w14:paraId="40D7372F" w14:textId="77777777" w:rsidR="0083406D" w:rsidRDefault="0083406D" w:rsidP="0083406D">
      <w:pPr>
        <w:pStyle w:val="ac"/>
        <w:bidi/>
        <w:ind w:left="369"/>
        <w:rPr>
          <w:rFonts w:ascii="David" w:hAnsi="David"/>
          <w:sz w:val="22"/>
          <w:rtl/>
        </w:rPr>
      </w:pPr>
      <w:r w:rsidRPr="0083406D">
        <w:rPr>
          <w:rFonts w:ascii="David" w:hAnsi="David" w:hint="cs"/>
          <w:b/>
          <w:bCs/>
          <w:rtl/>
        </w:rPr>
        <w:t xml:space="preserve">(2) </w:t>
      </w:r>
      <w:r w:rsidR="001845E2" w:rsidRPr="0083406D">
        <w:rPr>
          <w:rFonts w:ascii="David" w:hAnsi="David"/>
          <w:b/>
          <w:bCs/>
          <w:rtl/>
        </w:rPr>
        <w:t>בן זוגו מנישואיו הקודמים נעדר בנסיבות המעוררות חשש סביר לחייו ולא נודעו</w:t>
      </w:r>
      <w:r w:rsidR="001845E2" w:rsidRPr="0083406D">
        <w:rPr>
          <w:rFonts w:ascii="David" w:hAnsi="David"/>
          <w:b/>
          <w:bCs/>
        </w:rPr>
        <w:t xml:space="preserve"> (</w:t>
      </w:r>
      <w:r w:rsidR="001845E2" w:rsidRPr="0083406D">
        <w:rPr>
          <w:rFonts w:ascii="David" w:hAnsi="David"/>
          <w:b/>
          <w:bCs/>
          <w:sz w:val="22"/>
          <w:rtl/>
        </w:rPr>
        <w:t>עקבותיו לפחות שבע שנים</w:t>
      </w:r>
      <w:r w:rsidRPr="0083406D">
        <w:rPr>
          <w:rFonts w:ascii="David" w:hAnsi="David" w:hint="cs"/>
          <w:b/>
          <w:bCs/>
          <w:sz w:val="22"/>
          <w:rtl/>
        </w:rPr>
        <w:t>"</w:t>
      </w:r>
      <w:r w:rsidRPr="0083406D">
        <w:rPr>
          <w:rFonts w:ascii="David" w:hAnsi="David" w:hint="cs"/>
          <w:sz w:val="22"/>
          <w:rtl/>
        </w:rPr>
        <w:t xml:space="preserve"> </w:t>
      </w:r>
    </w:p>
    <w:p w14:paraId="0C143077" w14:textId="03626AC3" w:rsidR="0083406D" w:rsidRDefault="0083406D" w:rsidP="0083406D">
      <w:pPr>
        <w:pStyle w:val="ac"/>
        <w:bidi/>
        <w:ind w:left="369"/>
        <w:rPr>
          <w:rFonts w:ascii="David" w:hAnsi="David"/>
          <w:sz w:val="22"/>
          <w:rtl/>
        </w:rPr>
      </w:pPr>
      <w:r w:rsidRPr="0083406D">
        <w:rPr>
          <w:rFonts w:ascii="David" w:hAnsi="David" w:hint="cs"/>
          <w:sz w:val="22"/>
          <w:rtl/>
        </w:rPr>
        <w:t xml:space="preserve"> סעיף זה חלק רק על מוסלמים ונותן שתי הקלות בנוגע לס' 176: (1) מי שאינו מסוגל מחמת מחלת נפש לבטל נישואין. (2) מי שנעלמה על יותר מ-7 שנים.</w:t>
      </w:r>
      <w:r>
        <w:rPr>
          <w:rFonts w:ascii="David" w:hAnsi="David" w:hint="cs"/>
          <w:sz w:val="22"/>
          <w:rtl/>
        </w:rPr>
        <w:t xml:space="preserve"> הסיבה להחרגת יהודים מחוק זה הוא בגלל שמבחינה הלכתית לא רצו לתת אופציה כזו. ורצו שהאפשרות ללתת לה להתחתן פעם נוספת תהיה ע"י בית הדין הרבני. ההקלה הראשונה - עם זה גבר יתנו לו היתר נישואין. </w:t>
      </w:r>
      <w:r w:rsidR="00183986">
        <w:rPr>
          <w:rFonts w:ascii="David" w:hAnsi="David" w:hint="cs"/>
          <w:sz w:val="22"/>
          <w:rtl/>
        </w:rPr>
        <w:t>ואישה תהיה עגונה. ההקלה השנייה - לגבר היתר נישואין ולאישה במקרים נדרים יכריזו על מות הגבר.</w:t>
      </w:r>
    </w:p>
    <w:p w14:paraId="71A677C1" w14:textId="77CAD3BF" w:rsidR="00183986" w:rsidRPr="0083406D" w:rsidRDefault="00183986" w:rsidP="00183986">
      <w:pPr>
        <w:pStyle w:val="ac"/>
        <w:bidi/>
        <w:ind w:left="369"/>
        <w:rPr>
          <w:rFonts w:ascii="David" w:hAnsi="David"/>
          <w:sz w:val="22"/>
        </w:rPr>
      </w:pPr>
      <w:r>
        <w:rPr>
          <w:rFonts w:ascii="David" w:hAnsi="David" w:hint="cs"/>
          <w:sz w:val="22"/>
          <w:rtl/>
        </w:rPr>
        <w:t xml:space="preserve">ביהמ"ש העליון קובע שההיתר שניתן </w:t>
      </w:r>
      <w:r w:rsidRPr="00183986">
        <w:rPr>
          <w:rFonts w:ascii="David" w:hAnsi="David" w:hint="cs"/>
          <w:sz w:val="22"/>
          <w:highlight w:val="cyan"/>
          <w:rtl/>
        </w:rPr>
        <w:t>בפס"ד שטרייט</w:t>
      </w:r>
      <w:r>
        <w:rPr>
          <w:rFonts w:ascii="David" w:hAnsi="David" w:hint="cs"/>
          <w:sz w:val="22"/>
          <w:rtl/>
        </w:rPr>
        <w:t xml:space="preserve"> ניתן שלא כדין - איך זה הגיוני? הרי ס' 179 לא מגביל את בתי הדין הרבניים. ביהמ"ש העליון קובע שניתן לתת היתר נישואין רק למקרים המופיעים בס' 180. לאחר מספר שנים ביהמ"ש העליון הופך את ההלכה ב</w:t>
      </w:r>
      <w:r w:rsidRPr="00183986">
        <w:rPr>
          <w:rFonts w:ascii="David" w:hAnsi="David" w:hint="cs"/>
          <w:sz w:val="22"/>
          <w:highlight w:val="cyan"/>
          <w:rtl/>
        </w:rPr>
        <w:t>פס"ד בורקובסקי</w:t>
      </w:r>
      <w:r>
        <w:rPr>
          <w:rFonts w:ascii="David" w:hAnsi="David" w:hint="cs"/>
          <w:sz w:val="22"/>
          <w:rtl/>
        </w:rPr>
        <w:t xml:space="preserve"> - וקובע שלבתי הדין יש שיקול דעת רחב שאינו מצומצם רק לשני ההקלות של ס' 180 - זו ההלכה כיום!</w:t>
      </w:r>
    </w:p>
    <w:p w14:paraId="30174483" w14:textId="017C2C99" w:rsidR="00EB6D5A" w:rsidRDefault="00867177" w:rsidP="008454FD">
      <w:pPr>
        <w:pStyle w:val="ac"/>
        <w:numPr>
          <w:ilvl w:val="1"/>
          <w:numId w:val="16"/>
        </w:numPr>
        <w:bidi/>
        <w:rPr>
          <w:rFonts w:ascii="David" w:hAnsi="David"/>
          <w:sz w:val="22"/>
        </w:rPr>
      </w:pPr>
      <w:r w:rsidRPr="00EB6D5A">
        <w:rPr>
          <w:rFonts w:ascii="David" w:hAnsi="David" w:hint="cs"/>
          <w:sz w:val="22"/>
          <w:highlight w:val="cyan"/>
          <w:u w:val="single"/>
          <w:rtl/>
        </w:rPr>
        <w:t>בג"ץ 160/75 - מכלוף נ' הרב הראשי לישראל שלמה גורן</w:t>
      </w:r>
      <w:r w:rsidRPr="00EB6D5A">
        <w:rPr>
          <w:rFonts w:ascii="David" w:hAnsi="David" w:hint="cs"/>
          <w:sz w:val="22"/>
          <w:rtl/>
        </w:rPr>
        <w:t xml:space="preserve">: </w:t>
      </w:r>
      <w:r w:rsidR="00EB6D5A" w:rsidRPr="00EB6D5A">
        <w:rPr>
          <w:rFonts w:ascii="David" w:hAnsi="David" w:hint="cs"/>
          <w:sz w:val="22"/>
          <w:rtl/>
        </w:rPr>
        <w:t>באותו מקרה גבר רוצה להינשא לאישה שנייה, הרב עובדיה יוסף נותן היתר ואילו הרב גורן לא נותן היתר.</w:t>
      </w:r>
      <w:r w:rsidR="00EB6D5A">
        <w:rPr>
          <w:rFonts w:ascii="David" w:hAnsi="David" w:hint="cs"/>
          <w:sz w:val="22"/>
          <w:u w:val="single"/>
          <w:rtl/>
        </w:rPr>
        <w:t xml:space="preserve"> </w:t>
      </w:r>
      <w:r w:rsidR="00EB6D5A" w:rsidRPr="00EB6D5A">
        <w:rPr>
          <w:rFonts w:ascii="David" w:hAnsi="David" w:hint="cs"/>
          <w:sz w:val="22"/>
          <w:u w:val="single"/>
          <w:rtl/>
        </w:rPr>
        <w:t>שלוש</w:t>
      </w:r>
      <w:r w:rsidR="00440925">
        <w:rPr>
          <w:rFonts w:ascii="David" w:hAnsi="David" w:hint="cs"/>
          <w:sz w:val="22"/>
          <w:u w:val="single"/>
          <w:rtl/>
        </w:rPr>
        <w:t xml:space="preserve"> דברים מרכזיים בסיפור</w:t>
      </w:r>
      <w:r w:rsidR="00EB6D5A" w:rsidRPr="00EB6D5A">
        <w:rPr>
          <w:rFonts w:ascii="David" w:hAnsi="David" w:hint="cs"/>
          <w:sz w:val="22"/>
          <w:rtl/>
        </w:rPr>
        <w:t xml:space="preserve"> 1)</w:t>
      </w:r>
      <w:r w:rsidR="00EB6D5A" w:rsidRPr="00EB6D5A">
        <w:rPr>
          <w:rFonts w:ascii="David" w:hAnsi="David" w:hint="cs"/>
          <w:sz w:val="22"/>
        </w:rPr>
        <w:t xml:space="preserve"> </w:t>
      </w:r>
      <w:r w:rsidR="00EB6D5A" w:rsidRPr="00EB6D5A">
        <w:rPr>
          <w:rFonts w:ascii="David" w:hAnsi="David" w:hint="cs"/>
          <w:sz w:val="22"/>
          <w:rtl/>
        </w:rPr>
        <w:t>התחתנו במרוקו, שאז באותה תקופה הייתה מותרת ביגמיה. 2)</w:t>
      </w:r>
      <w:r w:rsidR="00EB6D5A" w:rsidRPr="00EB6D5A">
        <w:rPr>
          <w:rFonts w:ascii="David" w:hAnsi="David" w:hint="cs"/>
          <w:sz w:val="22"/>
        </w:rPr>
        <w:t xml:space="preserve"> </w:t>
      </w:r>
      <w:r w:rsidR="00EB6D5A" w:rsidRPr="00EB6D5A">
        <w:rPr>
          <w:rFonts w:ascii="David" w:hAnsi="David" w:hint="cs"/>
          <w:sz w:val="22"/>
          <w:rtl/>
        </w:rPr>
        <w:t>אין להם ילדים, בגלל שהאישה אינה יכולה ללדת - עברו 16 שנה ללא ילדים (יותר מ-10 שנקבעו פעם בהלכה). 3) האישה הראשונה מסכימה לנישואין שניים</w:t>
      </w:r>
      <w:r w:rsidR="00EB6D5A">
        <w:rPr>
          <w:rFonts w:ascii="David" w:hAnsi="David" w:hint="cs"/>
          <w:sz w:val="22"/>
          <w:rtl/>
        </w:rPr>
        <w:t>- בבחינת האישה להתגרש זה יותר גרוע ולכן היא מעדיפה נישואין לאישה שנייה.</w:t>
      </w:r>
    </w:p>
    <w:p w14:paraId="409AB037" w14:textId="77777777" w:rsidR="00440925" w:rsidRDefault="00440925" w:rsidP="008454FD">
      <w:pPr>
        <w:pStyle w:val="ac"/>
        <w:bidi/>
        <w:ind w:left="199"/>
        <w:rPr>
          <w:rFonts w:ascii="David" w:hAnsi="David"/>
          <w:sz w:val="22"/>
          <w:rtl/>
        </w:rPr>
      </w:pPr>
      <w:r>
        <w:rPr>
          <w:rFonts w:ascii="David" w:hAnsi="David" w:hint="cs"/>
          <w:sz w:val="22"/>
          <w:u w:val="single"/>
          <w:rtl/>
        </w:rPr>
        <w:t>טענות העותר</w:t>
      </w:r>
      <w:r w:rsidRPr="00440925">
        <w:rPr>
          <w:rFonts w:ascii="David" w:hAnsi="David" w:hint="cs"/>
          <w:sz w:val="22"/>
          <w:rtl/>
        </w:rPr>
        <w:t>:</w:t>
      </w:r>
      <w:r>
        <w:rPr>
          <w:rFonts w:ascii="David" w:hAnsi="David" w:hint="cs"/>
          <w:sz w:val="22"/>
          <w:rtl/>
        </w:rPr>
        <w:t xml:space="preserve"> </w:t>
      </w:r>
    </w:p>
    <w:p w14:paraId="54734875" w14:textId="77777777" w:rsidR="00440925" w:rsidRDefault="00440925" w:rsidP="008454FD">
      <w:pPr>
        <w:pStyle w:val="ac"/>
        <w:bidi/>
        <w:ind w:left="199"/>
        <w:rPr>
          <w:rFonts w:ascii="David" w:hAnsi="David"/>
          <w:sz w:val="22"/>
          <w:rtl/>
        </w:rPr>
      </w:pPr>
      <w:r>
        <w:rPr>
          <w:rFonts w:ascii="David" w:hAnsi="David" w:hint="cs"/>
          <w:sz w:val="22"/>
          <w:rtl/>
        </w:rPr>
        <w:t xml:space="preserve">1) </w:t>
      </w:r>
      <w:r w:rsidR="00EB6D5A">
        <w:rPr>
          <w:rFonts w:ascii="David" w:hAnsi="David" w:hint="cs"/>
          <w:sz w:val="22"/>
          <w:rtl/>
        </w:rPr>
        <w:t xml:space="preserve">העותר טוען שמדובר בהחלטה שרירותית </w:t>
      </w:r>
      <w:r>
        <w:rPr>
          <w:rFonts w:ascii="David" w:hAnsi="David" w:hint="cs"/>
          <w:sz w:val="22"/>
          <w:rtl/>
        </w:rPr>
        <w:t xml:space="preserve">בשל הסכסוך של הרב גורן עם הרב עובדיה יוסף פשוט פוסק ההפך ממנו. </w:t>
      </w:r>
    </w:p>
    <w:p w14:paraId="19B26B40" w14:textId="77777777" w:rsidR="00440925" w:rsidRDefault="00440925" w:rsidP="008454FD">
      <w:pPr>
        <w:pStyle w:val="ac"/>
        <w:bidi/>
        <w:ind w:left="199"/>
        <w:rPr>
          <w:rFonts w:ascii="David" w:hAnsi="David"/>
          <w:sz w:val="22"/>
          <w:rtl/>
        </w:rPr>
      </w:pPr>
      <w:r>
        <w:rPr>
          <w:rFonts w:ascii="David" w:hAnsi="David" w:hint="cs"/>
          <w:sz w:val="22"/>
          <w:rtl/>
        </w:rPr>
        <w:t xml:space="preserve">2) הוא ספרדי ולכן לא חל עליו חרדם דרבנו גרשום. </w:t>
      </w:r>
    </w:p>
    <w:p w14:paraId="00E42E41" w14:textId="462A9C9A" w:rsidR="00EB6D5A" w:rsidRDefault="00440925" w:rsidP="008454FD">
      <w:pPr>
        <w:pStyle w:val="ac"/>
        <w:bidi/>
        <w:ind w:left="199"/>
        <w:rPr>
          <w:rFonts w:ascii="David" w:hAnsi="David"/>
          <w:sz w:val="22"/>
          <w:rtl/>
        </w:rPr>
      </w:pPr>
      <w:r>
        <w:rPr>
          <w:rFonts w:ascii="David" w:hAnsi="David" w:hint="cs"/>
          <w:sz w:val="22"/>
          <w:rtl/>
        </w:rPr>
        <w:t>3) גם אם הייתי אשכנזי היה צריך לתת לי היתר כי חרם דרבנו גרשום לא דוחה מצווה, ויש מצווה לשאת אישה נוספת אם האישה הראשונה לא מביאה ילדים תוך 10 שנים.</w:t>
      </w:r>
    </w:p>
    <w:p w14:paraId="25246A64" w14:textId="2518ADAB" w:rsidR="00440925" w:rsidRPr="00440925" w:rsidRDefault="00440925" w:rsidP="008454FD">
      <w:pPr>
        <w:pStyle w:val="ac"/>
        <w:bidi/>
        <w:ind w:left="199"/>
        <w:rPr>
          <w:rFonts w:ascii="David" w:hAnsi="David"/>
          <w:sz w:val="22"/>
          <w:u w:val="single"/>
          <w:rtl/>
        </w:rPr>
      </w:pPr>
      <w:r>
        <w:rPr>
          <w:rFonts w:ascii="David" w:hAnsi="David" w:hint="cs"/>
          <w:sz w:val="22"/>
          <w:u w:val="single"/>
          <w:rtl/>
        </w:rPr>
        <w:t>תגובת הרב גורן:</w:t>
      </w:r>
    </w:p>
    <w:p w14:paraId="468159E0" w14:textId="573E289C" w:rsidR="00440925" w:rsidRDefault="00440925" w:rsidP="008454FD">
      <w:pPr>
        <w:pStyle w:val="ac"/>
        <w:bidi/>
        <w:ind w:left="199"/>
        <w:rPr>
          <w:rFonts w:ascii="David" w:hAnsi="David"/>
          <w:sz w:val="22"/>
          <w:rtl/>
        </w:rPr>
      </w:pPr>
      <w:r>
        <w:rPr>
          <w:rFonts w:ascii="David" w:hAnsi="David" w:hint="cs"/>
          <w:sz w:val="22"/>
          <w:rtl/>
        </w:rPr>
        <w:t>למה כאן הרב גורן לא היה מוכן לחתום על היתר נישואין ואילו ישנם מקרים אחרים כמו במקרה של סרבנות גט על ידי אישה הוא כן מתיר? מכיוון שכאן מדובר בביגמיה מהותית, האדם מבקש לחיות עם שתי נשים יחד. לעומת היתר נישואין בו האישה לא חיה עם הגבר ואז זו ביגמיה רק בצורה ולא במהות. הרב גורן נותן נימוק</w:t>
      </w:r>
      <w:r w:rsidR="008454FD">
        <w:rPr>
          <w:rFonts w:ascii="David" w:hAnsi="David" w:hint="cs"/>
          <w:sz w:val="22"/>
          <w:rtl/>
        </w:rPr>
        <w:t xml:space="preserve"> </w:t>
      </w:r>
      <w:r>
        <w:rPr>
          <w:rFonts w:ascii="David" w:hAnsi="David" w:hint="cs"/>
          <w:sz w:val="22"/>
          <w:rtl/>
        </w:rPr>
        <w:t>הלכתי</w:t>
      </w:r>
      <w:r w:rsidR="008454FD">
        <w:rPr>
          <w:rFonts w:ascii="David" w:hAnsi="David" w:hint="cs"/>
          <w:sz w:val="22"/>
          <w:rtl/>
        </w:rPr>
        <w:t xml:space="preserve"> </w:t>
      </w:r>
      <w:r>
        <w:rPr>
          <w:rFonts w:ascii="David" w:hAnsi="David" w:hint="cs"/>
          <w:sz w:val="22"/>
          <w:rtl/>
        </w:rPr>
        <w:t>לכך:</w:t>
      </w:r>
      <w:r w:rsidR="008454FD">
        <w:rPr>
          <w:rFonts w:ascii="David" w:hAnsi="David" w:hint="cs"/>
          <w:sz w:val="22"/>
          <w:rtl/>
        </w:rPr>
        <w:t xml:space="preserve"> </w:t>
      </w:r>
      <w:r w:rsidR="008454FD" w:rsidRPr="008454FD">
        <w:rPr>
          <w:rFonts w:ascii="David" w:hAnsi="David" w:hint="cs"/>
          <w:sz w:val="22"/>
          <w:rtl/>
        </w:rPr>
        <w:t>מביא את תשובתו של הרב חיים פלג'י (ככל הנראה הביא תשובה זו כי הוא ספרדי) - באותו מקרה הרב פלג'י פוסק שגבר שאשתו לא הצליחה להביא ילדים לא יכול לשאת אישה נוספת, שכן זה עלול לערער את מוסד המשפחה.</w:t>
      </w:r>
      <w:r w:rsidR="008454FD">
        <w:rPr>
          <w:rFonts w:ascii="David" w:hAnsi="David" w:hint="cs"/>
          <w:sz w:val="22"/>
          <w:rtl/>
        </w:rPr>
        <w:t xml:space="preserve"> </w:t>
      </w:r>
    </w:p>
    <w:p w14:paraId="06A8DE50" w14:textId="3B84F0FC" w:rsidR="008454FD" w:rsidRPr="008454FD" w:rsidRDefault="008454FD" w:rsidP="008454FD">
      <w:pPr>
        <w:pStyle w:val="ac"/>
        <w:bidi/>
        <w:ind w:left="199"/>
        <w:rPr>
          <w:rFonts w:ascii="David" w:hAnsi="David"/>
          <w:b/>
          <w:bCs/>
          <w:sz w:val="22"/>
          <w:rtl/>
        </w:rPr>
      </w:pPr>
      <w:r w:rsidRPr="008454FD">
        <w:rPr>
          <w:rFonts w:ascii="David" w:hAnsi="David" w:hint="cs"/>
          <w:b/>
          <w:bCs/>
          <w:sz w:val="22"/>
          <w:rtl/>
        </w:rPr>
        <w:t>חשין קובע שהנימוק ההלכתי של הרב גורן מספק ואין לחשוש שפסק כך מסיבה שרירותית.</w:t>
      </w:r>
    </w:p>
    <w:p w14:paraId="7C166F76" w14:textId="79BD277F" w:rsidR="009E7A39" w:rsidRDefault="009E7A39" w:rsidP="009E7A39">
      <w:pPr>
        <w:pStyle w:val="ac"/>
        <w:numPr>
          <w:ilvl w:val="1"/>
          <w:numId w:val="16"/>
        </w:numPr>
        <w:bidi/>
        <w:rPr>
          <w:rFonts w:ascii="David" w:hAnsi="David"/>
          <w:sz w:val="22"/>
          <w:u w:val="single"/>
        </w:rPr>
      </w:pPr>
      <w:r>
        <w:rPr>
          <w:rFonts w:ascii="David" w:hAnsi="David" w:hint="cs"/>
          <w:sz w:val="22"/>
          <w:u w:val="single"/>
          <w:rtl/>
        </w:rPr>
        <w:lastRenderedPageBreak/>
        <w:t xml:space="preserve">תגובת הרב עובדיה יוסף: </w:t>
      </w:r>
      <w:r w:rsidRPr="009E7A39">
        <w:rPr>
          <w:rFonts w:ascii="David" w:hAnsi="David" w:hint="cs"/>
          <w:b/>
          <w:bCs/>
          <w:u w:val="single"/>
          <w:rtl/>
        </w:rPr>
        <w:t>שו"ת יביע אומר לק ז-אה"ע סימן ב ד"ה ח</w:t>
      </w:r>
      <w:r>
        <w:rPr>
          <w:rFonts w:ascii="David" w:hAnsi="David" w:hint="cs"/>
          <w:rtl/>
        </w:rPr>
        <w:t xml:space="preserve"> (אומנם אין שמות אבל די ברור שמדובר על פס"ד): הרב עובדיה יוסף כותב כי הרב חיים פלאג'י הוא הפוסק הספרדי היחיד שפסק ככה. אולם, כל שאר הפוסקים הספרדיים תומכים בגישתו של הרב עובדיה יוסף. הוא עוד מוסיף שעל פי החוק החילוני במדינת ישראל אין הבעל רשאי לשאת אישה נוספת אלא אם שני הרבניים הראשיים אישרו (המקרה היה לפני תיקון החוק).</w:t>
      </w:r>
      <w:r w:rsidR="00BC2A90">
        <w:rPr>
          <w:rFonts w:ascii="David" w:hAnsi="David" w:hint="cs"/>
          <w:rtl/>
        </w:rPr>
        <w:t xml:space="preserve"> לדעת הרב עובדיה יוסף, רב שמונע היתר נישואים במקרים כאלו, מונע מצוות פריה ורביה בחסות החוק החילוני.</w:t>
      </w:r>
      <w:r w:rsidR="00C548F2">
        <w:rPr>
          <w:rFonts w:ascii="David" w:hAnsi="David" w:hint="cs"/>
          <w:sz w:val="22"/>
          <w:rtl/>
        </w:rPr>
        <w:t xml:space="preserve"> הוא פונה לרב גורן ואומר לו שגישתו אפילו חריגה לפי הגישה האשכנזית, וגם חריגה יותר מאלו שתיקנו את התקנה (הרב עוזיאל) שמדברת על היתר נישואין. </w:t>
      </w:r>
    </w:p>
    <w:p w14:paraId="27DA7CB4" w14:textId="41F22E0A" w:rsidR="00C548F2" w:rsidRDefault="00C548F2" w:rsidP="004A58CB">
      <w:pPr>
        <w:pStyle w:val="ac"/>
        <w:numPr>
          <w:ilvl w:val="4"/>
          <w:numId w:val="16"/>
        </w:numPr>
        <w:bidi/>
        <w:rPr>
          <w:rFonts w:ascii="David" w:hAnsi="David"/>
          <w:sz w:val="22"/>
          <w:rtl/>
        </w:rPr>
      </w:pPr>
      <w:r w:rsidRPr="00C548F2">
        <w:rPr>
          <w:rFonts w:ascii="David" w:hAnsi="David" w:hint="cs"/>
          <w:sz w:val="22"/>
          <w:rtl/>
        </w:rPr>
        <w:t>הרב קוק קבע שהוא לא מתערב בפסיקה הספרדית ולא הייתה לו שאיפה לאחד את הדין הדתי.</w:t>
      </w:r>
    </w:p>
    <w:p w14:paraId="646282A7" w14:textId="443B93EB" w:rsidR="004A58CB" w:rsidRDefault="004A58CB" w:rsidP="004A58CB">
      <w:pPr>
        <w:pStyle w:val="ac"/>
        <w:numPr>
          <w:ilvl w:val="4"/>
          <w:numId w:val="16"/>
        </w:numPr>
        <w:bidi/>
        <w:rPr>
          <w:rFonts w:ascii="David" w:hAnsi="David"/>
          <w:sz w:val="22"/>
        </w:rPr>
      </w:pPr>
      <w:r>
        <w:rPr>
          <w:rFonts w:ascii="David" w:hAnsi="David" w:hint="cs"/>
          <w:sz w:val="22"/>
          <w:rtl/>
        </w:rPr>
        <w:t>הרב עוזיאל, אומנם ספרדי אבל הוא תיקן את תקנות הרבנות הראשית.</w:t>
      </w:r>
    </w:p>
    <w:p w14:paraId="108BA87F" w14:textId="2B2743DE" w:rsidR="003D1629" w:rsidRPr="00FB087E" w:rsidRDefault="004A58CB" w:rsidP="00FB087E">
      <w:pPr>
        <w:pStyle w:val="ac"/>
        <w:bidi/>
        <w:ind w:left="199"/>
        <w:rPr>
          <w:rFonts w:ascii="David" w:hAnsi="David"/>
          <w:sz w:val="22"/>
        </w:rPr>
      </w:pPr>
      <w:r>
        <w:rPr>
          <w:rFonts w:ascii="David" w:hAnsi="David" w:hint="cs"/>
          <w:sz w:val="22"/>
          <w:rtl/>
        </w:rPr>
        <w:t>הרב עובדיה יוסף מוסיף כי לאחר מספר שנים השתנה החוק החילוני של המדינה וקבע שמספיק רק ראשי אחד כדי לתת היתר נישואין. לכן, הוא לקח את כל המקרים כאשר השתנה החוק ונתן להם היתר נישואין. המקרה הזה מראה כי כדי לקיים את ההלכה היה צורך בשינוי החוק החילוני</w:t>
      </w:r>
      <w:r w:rsidR="00FB087E">
        <w:rPr>
          <w:rFonts w:ascii="David" w:hAnsi="David" w:hint="cs"/>
          <w:sz w:val="22"/>
          <w:rtl/>
        </w:rPr>
        <w:t>.</w:t>
      </w:r>
    </w:p>
    <w:p w14:paraId="2FE53697" w14:textId="705007D7" w:rsidR="00EB6D5A" w:rsidRPr="000533BB" w:rsidRDefault="00FB087E" w:rsidP="004033A6">
      <w:pPr>
        <w:pStyle w:val="ac"/>
        <w:numPr>
          <w:ilvl w:val="0"/>
          <w:numId w:val="16"/>
        </w:numPr>
        <w:shd w:val="clear" w:color="auto" w:fill="FFF4CD" w:themeFill="accent1" w:themeFillTint="33"/>
        <w:bidi/>
        <w:rPr>
          <w:rFonts w:ascii="David" w:hAnsi="David"/>
          <w:b/>
          <w:bCs/>
          <w:sz w:val="22"/>
        </w:rPr>
      </w:pPr>
      <w:r w:rsidRPr="00FB087E">
        <w:rPr>
          <w:rFonts w:ascii="David" w:hAnsi="David" w:hint="cs"/>
          <w:b/>
          <w:bCs/>
          <w:sz w:val="22"/>
          <w:shd w:val="clear" w:color="auto" w:fill="FFF4CD" w:themeFill="accent1" w:themeFillTint="33"/>
          <w:rtl/>
        </w:rPr>
        <w:t xml:space="preserve">פסקי שדין מהשנים האחרונות של היתר </w:t>
      </w:r>
      <w:r w:rsidRPr="000533BB">
        <w:rPr>
          <w:rFonts w:ascii="David" w:hAnsi="David" w:hint="cs"/>
          <w:b/>
          <w:bCs/>
          <w:sz w:val="22"/>
          <w:shd w:val="clear" w:color="auto" w:fill="FFF4CD" w:themeFill="accent1" w:themeFillTint="33"/>
          <w:rtl/>
        </w:rPr>
        <w:t>נישואין</w:t>
      </w:r>
      <w:r w:rsidRPr="000533BB">
        <w:rPr>
          <w:rFonts w:ascii="David" w:hAnsi="David" w:hint="cs"/>
          <w:b/>
          <w:bCs/>
          <w:sz w:val="22"/>
          <w:rtl/>
        </w:rPr>
        <w:t>:</w:t>
      </w:r>
    </w:p>
    <w:p w14:paraId="4949A75C" w14:textId="62376B34" w:rsidR="00FB087E" w:rsidRDefault="00FB087E" w:rsidP="00FB087E">
      <w:pPr>
        <w:pStyle w:val="ac"/>
        <w:numPr>
          <w:ilvl w:val="2"/>
          <w:numId w:val="16"/>
        </w:numPr>
        <w:bidi/>
        <w:rPr>
          <w:rFonts w:ascii="David" w:hAnsi="David"/>
          <w:sz w:val="22"/>
        </w:rPr>
      </w:pPr>
      <w:r w:rsidRPr="000533BB">
        <w:rPr>
          <w:rFonts w:ascii="David" w:hAnsi="David" w:hint="cs"/>
          <w:b/>
          <w:bCs/>
          <w:sz w:val="22"/>
          <w:rtl/>
        </w:rPr>
        <w:t>סוג ראשון - ביגמיה מהותית כמו ביטון</w:t>
      </w:r>
      <w:r>
        <w:rPr>
          <w:rFonts w:ascii="David" w:hAnsi="David" w:hint="cs"/>
          <w:sz w:val="22"/>
          <w:rtl/>
        </w:rPr>
        <w:t xml:space="preserve">: מקרה משנת 2011, בני זוג ללא ילדים מקבלים היתר נישואין ומחפשים אישה נוספת שהגבר </w:t>
      </w:r>
      <w:r w:rsidR="00AD03C1">
        <w:rPr>
          <w:rFonts w:ascii="David" w:hAnsi="David" w:hint="cs"/>
          <w:sz w:val="22"/>
          <w:rtl/>
        </w:rPr>
        <w:t>יתחתן איתה (</w:t>
      </w:r>
      <w:r>
        <w:rPr>
          <w:rFonts w:ascii="David" w:hAnsi="David" w:hint="cs"/>
          <w:sz w:val="22"/>
          <w:rtl/>
        </w:rPr>
        <w:t>פס"ד פורסם בעקבות כתבה בערוץ 10). פס"ד פורסם מיד לאחר שפורסמה הכתבה - בי"ד פרסם את פס"ד כדי להראות שהיה ניסיון לשכנע את האישה לא לאפשר לגבר לשאת אישה שנייה. האישה בוחרת להתעקש להסכים לו לשאת אישה שנייה ולכן בית הדין נותן להם.</w:t>
      </w:r>
      <w:r w:rsidR="000533BB">
        <w:rPr>
          <w:rFonts w:ascii="David" w:hAnsi="David" w:hint="cs"/>
          <w:sz w:val="22"/>
          <w:rtl/>
        </w:rPr>
        <w:t xml:space="preserve"> בית הדין נותן שלושה נימוקים לאיסור לשאת אישה שנייה: 1) בגלל חרם דרבנו גרשום. 2) כמנהג המקום - גם רבי יוסף קארו טוען שאם מנהג המקום הוא אין להינשא לאישה שנייה אז אסור. 3) מצד שבועה שנשבע - ישנם ספרדים בטקס הנישואין שנשבעים לא לשאת אישה שנייה.</w:t>
      </w:r>
    </w:p>
    <w:p w14:paraId="4461836A" w14:textId="73916CA9" w:rsidR="000533BB" w:rsidRDefault="000533BB" w:rsidP="000533BB">
      <w:pPr>
        <w:pStyle w:val="ac"/>
        <w:bidi/>
        <w:ind w:left="369"/>
        <w:rPr>
          <w:rFonts w:ascii="David" w:hAnsi="David"/>
          <w:sz w:val="22"/>
          <w:rtl/>
        </w:rPr>
      </w:pPr>
      <w:r>
        <w:rPr>
          <w:rFonts w:ascii="David" w:hAnsi="David" w:hint="cs"/>
          <w:sz w:val="22"/>
          <w:rtl/>
        </w:rPr>
        <w:t>הם לא מציינים את תקנות הרבנות הראשית כי ביניהם אין לה תוקף. בית הדין מצליח לפתור את שלושת הבעיות ומעביר את הפס"ד לאישור הנשיא.</w:t>
      </w:r>
    </w:p>
    <w:p w14:paraId="085C468C" w14:textId="4BD49DF7" w:rsidR="003B28F5" w:rsidRDefault="000533BB" w:rsidP="00BD35C3">
      <w:pPr>
        <w:pStyle w:val="ac"/>
        <w:bidi/>
        <w:spacing w:after="0"/>
        <w:ind w:left="369"/>
        <w:rPr>
          <w:rFonts w:ascii="David" w:hAnsi="David"/>
          <w:sz w:val="22"/>
          <w:rtl/>
        </w:rPr>
      </w:pPr>
      <w:r>
        <w:rPr>
          <w:rFonts w:ascii="David" w:hAnsi="David" w:hint="cs"/>
          <w:sz w:val="22"/>
          <w:rtl/>
        </w:rPr>
        <w:t>הנשיא קובע שכדי לאשר זאת יש צורך בסידור גט ומזונות לאישה שלא יהיה מקרה של סרבנות במידה והאישה תחליט להתגרש או לתבוע מזונות.</w:t>
      </w:r>
    </w:p>
    <w:p w14:paraId="36BCF196" w14:textId="3A5FCA97" w:rsidR="003B28F5" w:rsidRPr="003B28F5" w:rsidRDefault="003B28F5" w:rsidP="003B28F5">
      <w:pPr>
        <w:pBdr>
          <w:top w:val="single" w:sz="4" w:space="1" w:color="auto"/>
        </w:pBdr>
        <w:rPr>
          <w:rFonts w:ascii="David" w:hAnsi="David"/>
        </w:rPr>
      </w:pPr>
      <w:r>
        <w:rPr>
          <w:rFonts w:ascii="David" w:hAnsi="David" w:hint="cs"/>
          <w:rtl/>
        </w:rPr>
        <w:t>03.05.2022</w:t>
      </w:r>
    </w:p>
    <w:p w14:paraId="35FF2A6A" w14:textId="77777777" w:rsidR="00897D2C" w:rsidRDefault="00FB087E" w:rsidP="00FB087E">
      <w:pPr>
        <w:pStyle w:val="ac"/>
        <w:numPr>
          <w:ilvl w:val="2"/>
          <w:numId w:val="16"/>
        </w:numPr>
        <w:bidi/>
        <w:rPr>
          <w:rFonts w:ascii="David" w:hAnsi="David"/>
          <w:b/>
          <w:bCs/>
          <w:sz w:val="22"/>
        </w:rPr>
      </w:pPr>
      <w:r w:rsidRPr="000533BB">
        <w:rPr>
          <w:rFonts w:ascii="David" w:hAnsi="David" w:hint="cs"/>
          <w:b/>
          <w:bCs/>
          <w:sz w:val="22"/>
          <w:rtl/>
        </w:rPr>
        <w:t>סוג שני - גבר מסורב גט</w:t>
      </w:r>
      <w:r w:rsidR="00857452">
        <w:rPr>
          <w:rFonts w:ascii="David" w:hAnsi="David" w:hint="cs"/>
          <w:b/>
          <w:bCs/>
          <w:sz w:val="22"/>
          <w:rtl/>
        </w:rPr>
        <w:t xml:space="preserve"> (פחות נדיר, אך לא נפוץ)</w:t>
      </w:r>
      <w:r w:rsidRPr="000533BB">
        <w:rPr>
          <w:rFonts w:ascii="David" w:hAnsi="David" w:hint="cs"/>
          <w:b/>
          <w:bCs/>
          <w:sz w:val="22"/>
          <w:rtl/>
        </w:rPr>
        <w:t>:</w:t>
      </w:r>
      <w:r w:rsidR="00857452">
        <w:rPr>
          <w:rFonts w:ascii="David" w:hAnsi="David" w:hint="cs"/>
          <w:b/>
          <w:bCs/>
          <w:sz w:val="22"/>
          <w:rtl/>
        </w:rPr>
        <w:t xml:space="preserve"> </w:t>
      </w:r>
    </w:p>
    <w:p w14:paraId="1DA869FA" w14:textId="22E36F61" w:rsidR="00FB087E" w:rsidRDefault="00857452" w:rsidP="00A43185">
      <w:pPr>
        <w:pStyle w:val="ac"/>
        <w:numPr>
          <w:ilvl w:val="3"/>
          <w:numId w:val="16"/>
        </w:numPr>
        <w:bidi/>
        <w:rPr>
          <w:rFonts w:ascii="David" w:hAnsi="David"/>
          <w:b/>
          <w:bCs/>
          <w:sz w:val="22"/>
        </w:rPr>
      </w:pPr>
      <w:r>
        <w:rPr>
          <w:rFonts w:ascii="David" w:hAnsi="David" w:hint="cs"/>
          <w:sz w:val="22"/>
          <w:rtl/>
        </w:rPr>
        <w:t>מקרה של גבר מסורב גט שמקבל היתר נישואין. צריך לומר שישנו פער מאוד גדול בין מספר ההי</w:t>
      </w:r>
      <w:r w:rsidR="00AD03C1">
        <w:rPr>
          <w:rFonts w:ascii="David" w:hAnsi="David" w:hint="cs"/>
          <w:sz w:val="22"/>
          <w:rtl/>
        </w:rPr>
        <w:t>תרים למספר הבקשות (יחס של אחד לארבע). הסיבה האפשרית לכך היא כי ישנם המון בקשות שמטרתן היא כוח מיקוח אל מול האישה במקום שימוש בהרחקות כנגדה.</w:t>
      </w:r>
      <w:r>
        <w:rPr>
          <w:rFonts w:ascii="David" w:hAnsi="David" w:hint="cs"/>
          <w:b/>
          <w:bCs/>
          <w:sz w:val="22"/>
          <w:rtl/>
        </w:rPr>
        <w:t xml:space="preserve"> </w:t>
      </w:r>
      <w:r w:rsidR="00AD03C1">
        <w:rPr>
          <w:rFonts w:ascii="David" w:hAnsi="David" w:hint="cs"/>
          <w:sz w:val="22"/>
          <w:rtl/>
        </w:rPr>
        <w:t xml:space="preserve">עובדות פס"ד - האישה חויבה בגט </w:t>
      </w:r>
      <w:r w:rsidR="00464E6F">
        <w:rPr>
          <w:rFonts w:ascii="David" w:hAnsi="David" w:hint="cs"/>
          <w:sz w:val="22"/>
          <w:rtl/>
        </w:rPr>
        <w:t>והיא</w:t>
      </w:r>
      <w:r w:rsidR="00AD03C1">
        <w:rPr>
          <w:rFonts w:ascii="David" w:hAnsi="David" w:hint="cs"/>
          <w:sz w:val="22"/>
          <w:rtl/>
        </w:rPr>
        <w:t xml:space="preserve"> מסרבת לקבל אותו. הבעל תובע היתר נישואין וטוען שהאישה מסרבת לקבל את הגט לא בגלל שהיא מאמינה בשלום בית אלא מכיוון שנוח לה מבחינה כלכלית והיא פוחדת להתרסק כלכלית בגירושין.</w:t>
      </w:r>
      <w:r w:rsidR="00AD03C1">
        <w:rPr>
          <w:rFonts w:ascii="David" w:hAnsi="David" w:hint="cs"/>
          <w:b/>
          <w:bCs/>
          <w:sz w:val="22"/>
          <w:rtl/>
        </w:rPr>
        <w:t xml:space="preserve"> </w:t>
      </w:r>
      <w:r w:rsidR="00AD03C1">
        <w:rPr>
          <w:rFonts w:ascii="David" w:hAnsi="David" w:hint="cs"/>
          <w:sz w:val="22"/>
          <w:rtl/>
        </w:rPr>
        <w:t>בית הדין מקבל את הטענה שלו</w:t>
      </w:r>
      <w:r w:rsidR="00B63AB2">
        <w:rPr>
          <w:rFonts w:ascii="David" w:hAnsi="David" w:hint="cs"/>
          <w:sz w:val="22"/>
          <w:rtl/>
        </w:rPr>
        <w:t xml:space="preserve"> והאישה סרבנית גט</w:t>
      </w:r>
      <w:r w:rsidR="00AD03C1">
        <w:rPr>
          <w:rFonts w:ascii="David" w:hAnsi="David" w:hint="cs"/>
          <w:sz w:val="22"/>
          <w:rtl/>
        </w:rPr>
        <w:t>.</w:t>
      </w:r>
      <w:r w:rsidR="00B63AB2">
        <w:rPr>
          <w:rFonts w:ascii="David" w:hAnsi="David" w:hint="cs"/>
          <w:sz w:val="22"/>
          <w:rtl/>
        </w:rPr>
        <w:t xml:space="preserve"> </w:t>
      </w:r>
      <w:r w:rsidR="00B63AB2">
        <w:rPr>
          <w:rFonts w:ascii="David" w:hAnsi="David" w:hint="cs"/>
          <w:b/>
          <w:bCs/>
          <w:sz w:val="22"/>
          <w:rtl/>
        </w:rPr>
        <w:t xml:space="preserve"> </w:t>
      </w:r>
      <w:r w:rsidR="00B63AB2">
        <w:rPr>
          <w:rFonts w:ascii="David" w:hAnsi="David" w:hint="cs"/>
          <w:sz w:val="22"/>
          <w:rtl/>
        </w:rPr>
        <w:t xml:space="preserve">בי"ד בוחר בפתרון שרבים יגידו שהוא פתרון עקום, הם בוחרים לתת לו היתר נישואין ולא נותנים לאישה הרחקות במטרה לגרום לה לתת גט. היינו מניחים שקודם כול יהיה ניסיון לעשות שימוש בהרחקות ורק במקרה שהן לא צלחו אז היתר נישואין, הרי ברור שהגבר מעדיף לא להישאר נשוי לה. </w:t>
      </w:r>
      <w:r w:rsidR="00897D2C">
        <w:rPr>
          <w:rFonts w:ascii="David" w:hAnsi="David" w:hint="cs"/>
          <w:sz w:val="22"/>
          <w:rtl/>
        </w:rPr>
        <w:t xml:space="preserve">בנוסף, בסוף פס"ד הדין נקבע שהגבר צריך להפקיד את הגט שלו אצל בית הדין. העובדה שבית הדין קבע שיש לתת היתר נישואין אין זה אומר שהגבר אכן יקבל היתר נישואין בגלל שיש צורך בחתימה של נשיא בית הדין הגדול. המטרה של בית הדין היא לא באמת שינתן היתר אלא לגרום לאישה להפסיק לסרב לתת גט. </w:t>
      </w:r>
    </w:p>
    <w:p w14:paraId="425F9411" w14:textId="77777777" w:rsidR="00A43185" w:rsidRDefault="00897D2C" w:rsidP="00A43185">
      <w:pPr>
        <w:pStyle w:val="ac"/>
        <w:numPr>
          <w:ilvl w:val="3"/>
          <w:numId w:val="16"/>
        </w:numPr>
        <w:bidi/>
        <w:rPr>
          <w:rFonts w:ascii="David" w:hAnsi="David"/>
          <w:sz w:val="22"/>
        </w:rPr>
      </w:pPr>
      <w:r>
        <w:rPr>
          <w:rFonts w:ascii="David" w:hAnsi="David" w:hint="cs"/>
          <w:sz w:val="22"/>
          <w:rtl/>
        </w:rPr>
        <w:t xml:space="preserve">מקרה נוסף של היתר נישואין במקרה של סרבנות גט - מקרה קיצוני ביותר ונדיר ביותר: </w:t>
      </w:r>
      <w:r w:rsidR="00B67C9B">
        <w:rPr>
          <w:rFonts w:ascii="David" w:hAnsi="David" w:hint="cs"/>
          <w:sz w:val="22"/>
          <w:rtl/>
        </w:rPr>
        <w:t xml:space="preserve">מדובר בזוג חרדי שזמן קצר לאחר הנישואין האישה עוזבת כאשר היא בהריון. היא לבסוף יולדת בת והיא לא מאפשרת לבעל לפגוש את בתו. הבעל מחליט להגיש תביעת גירושין והיא מסרבת גט ומתחמקת מבתי הדין. לאחר שנים רבות בבתי הדין, בית הדין מחליט לתת לגבר היתר נישואין לגבר. בית הדין מוסיף שבגלל שיש לו רק ילדה ואין לו גם בן אז הוא לא קיים מצוות פרו ורבו ולכן גם זה סיבה מספקת לתת לו היתר. נקבע שהבעל צריך להפקיד את הגט והכתובה בבית הדין. </w:t>
      </w:r>
    </w:p>
    <w:p w14:paraId="5465F29D" w14:textId="77777777" w:rsidR="00A43185" w:rsidRPr="00A43185" w:rsidRDefault="00B67C9B" w:rsidP="00A43185">
      <w:pPr>
        <w:pStyle w:val="ac"/>
        <w:numPr>
          <w:ilvl w:val="4"/>
          <w:numId w:val="16"/>
        </w:numPr>
        <w:bidi/>
        <w:rPr>
          <w:rFonts w:ascii="David" w:hAnsi="David"/>
          <w:sz w:val="22"/>
        </w:rPr>
      </w:pPr>
      <w:r>
        <w:rPr>
          <w:rFonts w:ascii="David" w:hAnsi="David" w:hint="cs"/>
          <w:sz w:val="22"/>
          <w:rtl/>
        </w:rPr>
        <w:t xml:space="preserve">האישה מערערת לבית הדין הרבני הגדול והוא דוחה את הערעור. </w:t>
      </w:r>
    </w:p>
    <w:p w14:paraId="70EBADB2" w14:textId="7D1B439C" w:rsidR="00A43185" w:rsidRDefault="00B67C9B" w:rsidP="00A43185">
      <w:pPr>
        <w:pStyle w:val="ac"/>
        <w:numPr>
          <w:ilvl w:val="4"/>
          <w:numId w:val="16"/>
        </w:numPr>
        <w:bidi/>
        <w:rPr>
          <w:rFonts w:ascii="David" w:hAnsi="David"/>
          <w:sz w:val="22"/>
        </w:rPr>
      </w:pPr>
      <w:r w:rsidRPr="00B67C9B">
        <w:rPr>
          <w:rFonts w:ascii="David" w:hAnsi="David" w:hint="cs"/>
          <w:rtl/>
        </w:rPr>
        <w:t>בג"ץ 5289/09 - האישה מערערת לבג"ץ על ההחלטה של בית הדין הגדול והוא דוחה את הערעור שלה</w:t>
      </w:r>
      <w:r w:rsidR="003B28F5">
        <w:rPr>
          <w:rFonts w:ascii="David" w:hAnsi="David" w:hint="cs"/>
          <w:rtl/>
        </w:rPr>
        <w:t xml:space="preserve"> על הסף</w:t>
      </w:r>
      <w:r w:rsidRPr="00B67C9B">
        <w:rPr>
          <w:rFonts w:ascii="David" w:hAnsi="David" w:hint="cs"/>
          <w:rtl/>
        </w:rPr>
        <w:t>.</w:t>
      </w:r>
      <w:r>
        <w:rPr>
          <w:rFonts w:ascii="David" w:hAnsi="David" w:hint="cs"/>
          <w:sz w:val="22"/>
          <w:rtl/>
        </w:rPr>
        <w:t xml:space="preserve"> </w:t>
      </w:r>
    </w:p>
    <w:p w14:paraId="1705E5D9" w14:textId="0159B7BD" w:rsidR="00A43185" w:rsidRDefault="00B67C9B" w:rsidP="00A43185">
      <w:pPr>
        <w:pStyle w:val="ac"/>
        <w:numPr>
          <w:ilvl w:val="4"/>
          <w:numId w:val="16"/>
        </w:numPr>
        <w:bidi/>
        <w:rPr>
          <w:rFonts w:ascii="David" w:hAnsi="David"/>
          <w:sz w:val="22"/>
        </w:rPr>
      </w:pPr>
      <w:r>
        <w:rPr>
          <w:rFonts w:ascii="David" w:hAnsi="David" w:hint="cs"/>
          <w:sz w:val="22"/>
          <w:rtl/>
        </w:rPr>
        <w:lastRenderedPageBreak/>
        <w:t xml:space="preserve">לבסוף פס"ד מגיע לנשיא בית הדין הגדול והוא מנהל דיון באישור למתן היתר, ומנסה לשכנע את האישה להגיע להסדר. האישה לא מסכימה </w:t>
      </w:r>
      <w:r w:rsidR="00464E6F">
        <w:rPr>
          <w:rFonts w:ascii="David" w:hAnsi="David" w:hint="cs"/>
          <w:sz w:val="22"/>
          <w:rtl/>
        </w:rPr>
        <w:t>ו</w:t>
      </w:r>
      <w:r>
        <w:rPr>
          <w:rFonts w:ascii="David" w:hAnsi="David" w:hint="cs"/>
          <w:sz w:val="22"/>
          <w:rtl/>
        </w:rPr>
        <w:t>לבסוף הוא נותן לגבר היתר.</w:t>
      </w:r>
      <w:r w:rsidR="00464E6F">
        <w:rPr>
          <w:rFonts w:ascii="David" w:hAnsi="David" w:hint="cs"/>
          <w:sz w:val="22"/>
          <w:rtl/>
        </w:rPr>
        <w:t xml:space="preserve"> בסוף פס"ד </w:t>
      </w:r>
      <w:r w:rsidR="00464E6F" w:rsidRPr="00464E6F">
        <w:rPr>
          <w:rFonts w:ascii="David" w:hAnsi="David" w:hint="cs"/>
          <w:sz w:val="22"/>
          <w:rtl/>
        </w:rPr>
        <w:t xml:space="preserve">נשיא בית הדין הגדול, הרב הראשי הספרדי אומר כי </w:t>
      </w:r>
      <w:r w:rsidR="00464E6F">
        <w:rPr>
          <w:rFonts w:ascii="David" w:hAnsi="David" w:hint="cs"/>
          <w:sz w:val="22"/>
          <w:rtl/>
        </w:rPr>
        <w:t>איסור על אישה שנייה הוא</w:t>
      </w:r>
      <w:r w:rsidR="00464E6F" w:rsidRPr="00464E6F">
        <w:rPr>
          <w:rFonts w:ascii="David" w:hAnsi="David" w:hint="cs"/>
          <w:sz w:val="22"/>
          <w:rtl/>
        </w:rPr>
        <w:t xml:space="preserve"> המנהג של כל עדות ישראל בארץ ישראל</w:t>
      </w:r>
      <w:r w:rsidR="00464E6F">
        <w:rPr>
          <w:rFonts w:ascii="David" w:hAnsi="David" w:hint="cs"/>
          <w:sz w:val="22"/>
          <w:rtl/>
        </w:rPr>
        <w:t>.</w:t>
      </w:r>
      <w:r w:rsidR="00464E6F">
        <w:rPr>
          <w:rStyle w:val="af1"/>
          <w:rFonts w:ascii="David" w:hAnsi="David"/>
          <w:sz w:val="22"/>
          <w:rtl/>
        </w:rPr>
        <w:footnoteReference w:id="2"/>
      </w:r>
    </w:p>
    <w:p w14:paraId="50EDE5C6" w14:textId="77777777" w:rsidR="00A43185" w:rsidRDefault="00464E6F" w:rsidP="00A43185">
      <w:pPr>
        <w:pStyle w:val="ac"/>
        <w:numPr>
          <w:ilvl w:val="4"/>
          <w:numId w:val="16"/>
        </w:numPr>
        <w:bidi/>
        <w:rPr>
          <w:rFonts w:ascii="David" w:hAnsi="David"/>
          <w:sz w:val="22"/>
        </w:rPr>
      </w:pPr>
      <w:r>
        <w:rPr>
          <w:rFonts w:ascii="David" w:hAnsi="David" w:hint="cs"/>
          <w:sz w:val="22"/>
          <w:rtl/>
        </w:rPr>
        <w:t>האישה הגישה עתירה נוספת לבג"ץ על ההחלטה של הרב הראשי ובג"ץ דוחה אותה על הסף.</w:t>
      </w:r>
      <w:r w:rsidR="00BB4F7A">
        <w:rPr>
          <w:rFonts w:ascii="David" w:hAnsi="David" w:hint="cs"/>
          <w:sz w:val="22"/>
          <w:rtl/>
        </w:rPr>
        <w:t xml:space="preserve"> </w:t>
      </w:r>
    </w:p>
    <w:p w14:paraId="528A85D9" w14:textId="77777777" w:rsidR="00A43185" w:rsidRDefault="00BB4F7A" w:rsidP="00A43185">
      <w:pPr>
        <w:pStyle w:val="ac"/>
        <w:numPr>
          <w:ilvl w:val="4"/>
          <w:numId w:val="16"/>
        </w:numPr>
        <w:bidi/>
        <w:rPr>
          <w:rFonts w:ascii="David" w:hAnsi="David"/>
          <w:sz w:val="22"/>
        </w:rPr>
      </w:pPr>
      <w:r>
        <w:rPr>
          <w:rFonts w:ascii="David" w:hAnsi="David" w:hint="cs"/>
          <w:sz w:val="22"/>
          <w:rtl/>
        </w:rPr>
        <w:t xml:space="preserve">האישה לא מגיעה לקחת את הגט על אף שניתן היתר והגבר נשיא בשנית. לכן, הגבר מגיש כנגדה תביעה נזיקית. בימ"ש השלום קובע לבעל פיצוי של 400,000 שקל. </w:t>
      </w:r>
    </w:p>
    <w:p w14:paraId="05B6FD95" w14:textId="77777777" w:rsidR="00A43185" w:rsidRDefault="00BB4F7A" w:rsidP="00A43185">
      <w:pPr>
        <w:pStyle w:val="ac"/>
        <w:numPr>
          <w:ilvl w:val="4"/>
          <w:numId w:val="16"/>
        </w:numPr>
        <w:bidi/>
        <w:rPr>
          <w:rFonts w:ascii="David" w:hAnsi="David"/>
          <w:sz w:val="22"/>
        </w:rPr>
      </w:pPr>
      <w:r>
        <w:rPr>
          <w:rFonts w:ascii="David" w:hAnsi="David" w:hint="cs"/>
          <w:sz w:val="22"/>
          <w:rtl/>
        </w:rPr>
        <w:t xml:space="preserve">היא מגישה ערעור לבית הדין המחוזי - ביהמ"ש המחוזי משאיר את הפיצוי אך מוריד את גובהו ל-230,000. </w:t>
      </w:r>
    </w:p>
    <w:p w14:paraId="0E2C3AFA" w14:textId="7313D628" w:rsidR="00464E6F" w:rsidRPr="00464E6F" w:rsidRDefault="00BB4F7A" w:rsidP="00A43185">
      <w:pPr>
        <w:pStyle w:val="ac"/>
        <w:numPr>
          <w:ilvl w:val="4"/>
          <w:numId w:val="16"/>
        </w:numPr>
        <w:bidi/>
        <w:rPr>
          <w:rFonts w:ascii="David" w:hAnsi="David"/>
          <w:sz w:val="22"/>
        </w:rPr>
      </w:pPr>
      <w:r>
        <w:rPr>
          <w:rFonts w:ascii="David" w:hAnsi="David" w:hint="cs"/>
          <w:sz w:val="22"/>
          <w:rtl/>
        </w:rPr>
        <w:t xml:space="preserve">האישה מגישה </w:t>
      </w:r>
      <w:r w:rsidR="00A43185">
        <w:rPr>
          <w:rFonts w:ascii="David" w:hAnsi="David" w:hint="cs"/>
          <w:sz w:val="22"/>
          <w:rtl/>
        </w:rPr>
        <w:t xml:space="preserve">ערעור לגבי החלטה פרוצדוראלית לבית המשפט העליון. בע"מ 997/15: פס"ד מאוד חשוב הנוגע לעילה נזיקית של סרבנות גט - בפועל ביהמ"ש לא מכריע בשאלה זו. מלצר טוען שמגיע לגבר פיצוי רק עד הרגע בו הוא התחתן. לעומתו שופטי הרוב טוענים שאין להפסיק לתת פיצוי לאחר שהגבר נישא, כיוון העובדה שניתן היתר נישואין </w:t>
      </w:r>
      <w:r w:rsidR="003B28F5">
        <w:rPr>
          <w:rFonts w:ascii="David" w:hAnsi="David" w:hint="cs"/>
          <w:sz w:val="22"/>
          <w:rtl/>
        </w:rPr>
        <w:t>לא אומרת שאישה עדיין לא סרבנית גט. יתר על כן, היתר נישואין לא בהכרח נותן פתרון לגבר שרוצה להינשא כיוון שהרבה פעמים על אף ההיתר הוא לא מצליח להינשא.</w:t>
      </w:r>
    </w:p>
    <w:p w14:paraId="6925DA15" w14:textId="1F57F40D" w:rsidR="00FB087E" w:rsidRDefault="00FB087E" w:rsidP="00FB087E">
      <w:pPr>
        <w:pStyle w:val="ac"/>
        <w:numPr>
          <w:ilvl w:val="2"/>
          <w:numId w:val="16"/>
        </w:numPr>
        <w:bidi/>
        <w:rPr>
          <w:rFonts w:ascii="David" w:hAnsi="David"/>
          <w:b/>
          <w:bCs/>
          <w:sz w:val="22"/>
        </w:rPr>
      </w:pPr>
      <w:r w:rsidRPr="00857452">
        <w:rPr>
          <w:rFonts w:ascii="David" w:hAnsi="David" w:hint="cs"/>
          <w:b/>
          <w:bCs/>
          <w:sz w:val="22"/>
          <w:rtl/>
        </w:rPr>
        <w:t>סוג שלישי - גבר שאשתו חולה ולא יכולה לקבל גט (השכיח ביותר):</w:t>
      </w:r>
      <w:r w:rsidR="00897D2C">
        <w:rPr>
          <w:rFonts w:ascii="David" w:hAnsi="David" w:hint="cs"/>
          <w:b/>
          <w:bCs/>
          <w:sz w:val="22"/>
          <w:rtl/>
        </w:rPr>
        <w:t xml:space="preserve"> </w:t>
      </w:r>
      <w:r w:rsidR="003B28F5">
        <w:rPr>
          <w:rFonts w:ascii="David" w:hAnsi="David" w:hint="cs"/>
          <w:sz w:val="22"/>
          <w:rtl/>
        </w:rPr>
        <w:t>מקרים בהם הגבר מבקש היתר כאשתו חולה ולא מתפקדת. זה המקרה שממחיש באופן הכי בולט את פערי הכוחות בין נשים לגברים ביכולתם לצאת מנישואין.</w:t>
      </w:r>
    </w:p>
    <w:p w14:paraId="0C3A537E" w14:textId="3F7AC68D" w:rsidR="003B28F5" w:rsidRPr="00240D42" w:rsidRDefault="003B28F5" w:rsidP="003B28F5">
      <w:pPr>
        <w:pStyle w:val="ac"/>
        <w:numPr>
          <w:ilvl w:val="3"/>
          <w:numId w:val="16"/>
        </w:numPr>
        <w:bidi/>
        <w:rPr>
          <w:rFonts w:ascii="David" w:hAnsi="David"/>
          <w:b/>
          <w:bCs/>
          <w:sz w:val="22"/>
        </w:rPr>
      </w:pPr>
      <w:r>
        <w:rPr>
          <w:rFonts w:ascii="David" w:hAnsi="David" w:hint="cs"/>
          <w:sz w:val="22"/>
          <w:rtl/>
        </w:rPr>
        <w:t>מקרה של בני עדות המזרח - גבר שאשתו חולה בת 64 עם אלצהיימ</w:t>
      </w:r>
      <w:r>
        <w:rPr>
          <w:rFonts w:ascii="David" w:hAnsi="David" w:hint="eastAsia"/>
          <w:sz w:val="22"/>
          <w:rtl/>
        </w:rPr>
        <w:t>ר</w:t>
      </w:r>
      <w:r>
        <w:rPr>
          <w:rFonts w:ascii="David" w:hAnsi="David" w:hint="cs"/>
          <w:sz w:val="22"/>
          <w:rtl/>
        </w:rPr>
        <w:t xml:space="preserve"> ושוהה במוסד</w:t>
      </w:r>
      <w:r w:rsidR="00240D42">
        <w:rPr>
          <w:rFonts w:ascii="David" w:hAnsi="David" w:hint="cs"/>
          <w:sz w:val="22"/>
          <w:rtl/>
        </w:rPr>
        <w:t>. בי"ד אומר שלא צריך היתר מאה הרבנים. בי"ד מתיר לו את השבועה.</w:t>
      </w:r>
      <w:r w:rsidR="00240D42">
        <w:rPr>
          <w:rStyle w:val="af1"/>
          <w:rFonts w:ascii="David" w:hAnsi="David"/>
          <w:sz w:val="22"/>
          <w:rtl/>
        </w:rPr>
        <w:footnoteReference w:id="3"/>
      </w:r>
      <w:r w:rsidR="00240D42">
        <w:rPr>
          <w:rFonts w:ascii="David" w:hAnsi="David" w:hint="cs"/>
          <w:sz w:val="22"/>
          <w:rtl/>
        </w:rPr>
        <w:t xml:space="preserve"> בגלל שבקשת ההיתר היא לא באשמת האישה אלא רק כי היא חולה, הגבר חייב במזונות אשתו והמזונות כוללים מדור ורפואה (כלומר טיפול ואשפוז האישה). בי"ד כדי להבטיח את הטיפול באישה הוא מעקל את דירת הצדדים לצורך הזכויות של האישה ומחייב את הבעל לפקיד צ'ק פתוח אצל בי"ד.</w:t>
      </w:r>
      <w:r w:rsidR="00240D42">
        <w:rPr>
          <w:rFonts w:ascii="David" w:hAnsi="David" w:hint="cs"/>
          <w:b/>
          <w:bCs/>
          <w:sz w:val="22"/>
          <w:rtl/>
        </w:rPr>
        <w:t xml:space="preserve"> </w:t>
      </w:r>
      <w:r w:rsidR="00240D42">
        <w:rPr>
          <w:rFonts w:ascii="David" w:hAnsi="David" w:hint="cs"/>
          <w:sz w:val="22"/>
          <w:rtl/>
        </w:rPr>
        <w:t>לא הופקד גט בבית הדין.</w:t>
      </w:r>
      <w:r w:rsidR="00240D42">
        <w:rPr>
          <w:rStyle w:val="af1"/>
          <w:rFonts w:ascii="David" w:hAnsi="David"/>
          <w:sz w:val="22"/>
          <w:rtl/>
        </w:rPr>
        <w:footnoteReference w:id="4"/>
      </w:r>
    </w:p>
    <w:p w14:paraId="637EC3C4" w14:textId="2C61443F" w:rsidR="00186CD6" w:rsidRPr="00186CD6" w:rsidRDefault="00240D42" w:rsidP="00186CD6">
      <w:pPr>
        <w:pStyle w:val="ac"/>
        <w:numPr>
          <w:ilvl w:val="3"/>
          <w:numId w:val="16"/>
        </w:numPr>
        <w:bidi/>
        <w:rPr>
          <w:rFonts w:ascii="David" w:hAnsi="David"/>
          <w:b/>
          <w:bCs/>
          <w:sz w:val="22"/>
        </w:rPr>
      </w:pPr>
      <w:r>
        <w:rPr>
          <w:rFonts w:ascii="David" w:hAnsi="David" w:hint="cs"/>
          <w:sz w:val="22"/>
          <w:rtl/>
        </w:rPr>
        <w:t>מקרה של בני עדות אשכנז - הגבר הוא מעל גיל 80, האישה עם דמנציה. הגבר צריך לתת לאישה להמשיך לגור בבית שלהם ואם הגבר רוצה הוא זה שצריך לעבור. כמו כן, יש צורך בהפקדת גט</w:t>
      </w:r>
      <w:r w:rsidR="00186CD6">
        <w:rPr>
          <w:rFonts w:ascii="David" w:hAnsi="David" w:hint="cs"/>
          <w:sz w:val="22"/>
          <w:rtl/>
        </w:rPr>
        <w:t xml:space="preserve"> והיתר מאה הרבנים</w:t>
      </w:r>
      <w:r>
        <w:rPr>
          <w:rFonts w:ascii="David" w:hAnsi="David" w:hint="cs"/>
          <w:sz w:val="22"/>
          <w:rtl/>
        </w:rPr>
        <w:t>.</w:t>
      </w:r>
      <w:r w:rsidR="00186CD6">
        <w:rPr>
          <w:rFonts w:ascii="David" w:hAnsi="David" w:hint="cs"/>
          <w:sz w:val="22"/>
          <w:rtl/>
        </w:rPr>
        <w:t xml:space="preserve"> הפקדת גט הוא מעשה פורמלי כיוון שדי ברור שהאישה לא תבוא לקחת אותו.</w:t>
      </w:r>
    </w:p>
    <w:p w14:paraId="524CDC83" w14:textId="2A071158" w:rsidR="00240D42" w:rsidRDefault="00240D42" w:rsidP="004033A6">
      <w:pPr>
        <w:pStyle w:val="ac"/>
        <w:numPr>
          <w:ilvl w:val="0"/>
          <w:numId w:val="16"/>
        </w:numPr>
        <w:shd w:val="clear" w:color="auto" w:fill="FFF4CD" w:themeFill="accent1" w:themeFillTint="33"/>
        <w:bidi/>
        <w:rPr>
          <w:rFonts w:ascii="David" w:hAnsi="David"/>
          <w:b/>
          <w:bCs/>
          <w:sz w:val="22"/>
        </w:rPr>
      </w:pPr>
      <w:r>
        <w:rPr>
          <w:rFonts w:ascii="David" w:hAnsi="David" w:hint="cs"/>
          <w:sz w:val="22"/>
          <w:rtl/>
        </w:rPr>
        <w:t xml:space="preserve"> </w:t>
      </w:r>
      <w:r w:rsidR="004033A6">
        <w:rPr>
          <w:rFonts w:ascii="David" w:hAnsi="David" w:hint="cs"/>
          <w:b/>
          <w:bCs/>
          <w:sz w:val="22"/>
          <w:shd w:val="clear" w:color="auto" w:fill="FFF4CD" w:themeFill="accent1" w:themeFillTint="33"/>
          <w:rtl/>
        </w:rPr>
        <w:t xml:space="preserve">עגונים לאחר השואה ובמלחמות ישראל: </w:t>
      </w:r>
      <w:r w:rsidR="00186CD6">
        <w:rPr>
          <w:rFonts w:ascii="David" w:hAnsi="David" w:hint="cs"/>
          <w:sz w:val="22"/>
          <w:rtl/>
        </w:rPr>
        <w:t>במלחמות בדר"כ מדובר בעגונות, אולם בשואה הייתה גם בעיה של עגונים.</w:t>
      </w:r>
    </w:p>
    <w:p w14:paraId="375571C5" w14:textId="32EBAA89" w:rsidR="004033A6" w:rsidRPr="004033A6" w:rsidRDefault="004033A6" w:rsidP="004033A6">
      <w:pPr>
        <w:pStyle w:val="ac"/>
        <w:numPr>
          <w:ilvl w:val="1"/>
          <w:numId w:val="16"/>
        </w:numPr>
        <w:bidi/>
        <w:rPr>
          <w:rFonts w:ascii="David" w:hAnsi="David"/>
          <w:b/>
          <w:bCs/>
          <w:sz w:val="22"/>
        </w:rPr>
      </w:pPr>
      <w:r>
        <w:rPr>
          <w:rFonts w:ascii="David" w:hAnsi="David" w:hint="cs"/>
          <w:b/>
          <w:bCs/>
          <w:sz w:val="22"/>
          <w:rtl/>
        </w:rPr>
        <w:t>מקרים של ניצולי שואה:</w:t>
      </w:r>
    </w:p>
    <w:p w14:paraId="7F4D0D52" w14:textId="6C31389B" w:rsidR="00186CD6" w:rsidRPr="006A7D8B" w:rsidRDefault="00186CD6" w:rsidP="004033A6">
      <w:pPr>
        <w:pStyle w:val="ac"/>
        <w:numPr>
          <w:ilvl w:val="2"/>
          <w:numId w:val="16"/>
        </w:numPr>
        <w:bidi/>
        <w:rPr>
          <w:rFonts w:ascii="David" w:hAnsi="David"/>
          <w:b/>
          <w:bCs/>
          <w:sz w:val="22"/>
        </w:rPr>
      </w:pPr>
      <w:r>
        <w:rPr>
          <w:rFonts w:ascii="David" w:hAnsi="David" w:hint="cs"/>
          <w:sz w:val="22"/>
          <w:rtl/>
        </w:rPr>
        <w:t xml:space="preserve">פס"ד של בית הדין הרבני בהונגריה - </w:t>
      </w:r>
      <w:r w:rsidR="006A7D8B">
        <w:rPr>
          <w:rFonts w:ascii="David" w:hAnsi="David" w:hint="cs"/>
          <w:sz w:val="22"/>
          <w:rtl/>
        </w:rPr>
        <w:t>גבר מהשואה אומר שאשתו נעדרת ולא יודע אם היא מתה והוא מבקש היתר נישואין. כדי לקבל היתר נישואין מבית הדין, הבעל מתחייב להתדיין עם אשתו הראשונה עם מסתבר שהיא היא בחיים</w:t>
      </w:r>
      <w:r w:rsidR="006A7D8B" w:rsidRPr="006A7D8B">
        <w:rPr>
          <w:rFonts w:ascii="David" w:hAnsi="David" w:hint="cs"/>
          <w:sz w:val="22"/>
          <w:rtl/>
        </w:rPr>
        <w:t xml:space="preserve"> ולהקשיב להחלטת בית הדין.</w:t>
      </w:r>
    </w:p>
    <w:p w14:paraId="2A83853C" w14:textId="77777777" w:rsidR="004033A6" w:rsidRPr="004033A6" w:rsidRDefault="006A7D8B" w:rsidP="006A7D8B">
      <w:pPr>
        <w:pStyle w:val="ac"/>
        <w:numPr>
          <w:ilvl w:val="2"/>
          <w:numId w:val="16"/>
        </w:numPr>
        <w:bidi/>
        <w:rPr>
          <w:rFonts w:ascii="David" w:hAnsi="David"/>
          <w:b/>
          <w:bCs/>
          <w:sz w:val="22"/>
        </w:rPr>
      </w:pPr>
      <w:r>
        <w:rPr>
          <w:rFonts w:ascii="David" w:hAnsi="David" w:hint="cs"/>
          <w:sz w:val="22"/>
          <w:rtl/>
        </w:rPr>
        <w:t>מקרה נוסף של בית הדין בהונגריה - גבר רוצה להתחתן עם אחות אשתו. זה מאוד בעייתי כיוון שעל פי דין תורה אסור להינשא לאחות אשתך כול עוד היא בחיים. בית הדין מתיר לו להינשא לאישה שנייה</w:t>
      </w:r>
      <w:r w:rsidR="004033A6">
        <w:rPr>
          <w:rFonts w:ascii="David" w:hAnsi="David" w:hint="cs"/>
          <w:sz w:val="22"/>
          <w:rtl/>
        </w:rPr>
        <w:t xml:space="preserve"> ואוסף עדויות לגבי מות האישה הראשונה. עם זאת</w:t>
      </w:r>
      <w:r>
        <w:rPr>
          <w:rFonts w:ascii="David" w:hAnsi="David" w:hint="cs"/>
          <w:sz w:val="22"/>
          <w:rtl/>
        </w:rPr>
        <w:t>,</w:t>
      </w:r>
      <w:r w:rsidR="004033A6">
        <w:rPr>
          <w:rFonts w:ascii="David" w:hAnsi="David" w:hint="cs"/>
          <w:sz w:val="22"/>
          <w:rtl/>
        </w:rPr>
        <w:t xml:space="preserve"> </w:t>
      </w:r>
      <w:r>
        <w:rPr>
          <w:rFonts w:ascii="David" w:hAnsi="David" w:hint="cs"/>
          <w:sz w:val="22"/>
          <w:rtl/>
        </w:rPr>
        <w:t xml:space="preserve">כדי לקבל את ההיתר הבעל צריך להתחייב שבמידה </w:t>
      </w:r>
      <w:r w:rsidR="004033A6">
        <w:rPr>
          <w:rFonts w:ascii="David" w:hAnsi="David" w:hint="cs"/>
          <w:sz w:val="22"/>
          <w:rtl/>
        </w:rPr>
        <w:t>ומתגלה ש</w:t>
      </w:r>
      <w:r>
        <w:rPr>
          <w:rFonts w:ascii="David" w:hAnsi="David" w:hint="cs"/>
          <w:sz w:val="22"/>
          <w:rtl/>
        </w:rPr>
        <w:t>היא בחיים הוא יחזור לבית הדין ויקבל את החלטתו בנושא.</w:t>
      </w:r>
    </w:p>
    <w:p w14:paraId="0B2ABAF4" w14:textId="1BCCCF2E" w:rsidR="006A7D8B" w:rsidRDefault="004033A6" w:rsidP="004033A6">
      <w:pPr>
        <w:pStyle w:val="ac"/>
        <w:numPr>
          <w:ilvl w:val="1"/>
          <w:numId w:val="16"/>
        </w:numPr>
        <w:bidi/>
        <w:rPr>
          <w:rFonts w:ascii="David" w:hAnsi="David"/>
          <w:b/>
          <w:bCs/>
          <w:sz w:val="22"/>
        </w:rPr>
      </w:pPr>
      <w:r>
        <w:rPr>
          <w:rFonts w:ascii="David" w:hAnsi="David" w:hint="cs"/>
          <w:b/>
          <w:bCs/>
          <w:sz w:val="22"/>
          <w:rtl/>
        </w:rPr>
        <w:t>מקרים של חיילים</w:t>
      </w:r>
      <w:r w:rsidR="00F33EBC">
        <w:rPr>
          <w:rFonts w:ascii="David" w:hAnsi="David" w:hint="cs"/>
          <w:b/>
          <w:bCs/>
          <w:sz w:val="22"/>
          <w:rtl/>
        </w:rPr>
        <w:t xml:space="preserve"> יהודיים</w:t>
      </w:r>
      <w:r>
        <w:rPr>
          <w:rFonts w:ascii="David" w:hAnsi="David" w:hint="cs"/>
          <w:b/>
          <w:bCs/>
          <w:sz w:val="22"/>
          <w:rtl/>
        </w:rPr>
        <w:t>:</w:t>
      </w:r>
      <w:r w:rsidR="00F33EBC">
        <w:rPr>
          <w:rFonts w:ascii="David" w:hAnsi="David" w:hint="cs"/>
          <w:b/>
          <w:bCs/>
          <w:sz w:val="22"/>
          <w:rtl/>
        </w:rPr>
        <w:t xml:space="preserve"> </w:t>
      </w:r>
    </w:p>
    <w:p w14:paraId="41AA44E4" w14:textId="4E9E5796" w:rsidR="00F33EBC" w:rsidRDefault="00F33EBC" w:rsidP="00F33EBC">
      <w:pPr>
        <w:pStyle w:val="ac"/>
        <w:numPr>
          <w:ilvl w:val="2"/>
          <w:numId w:val="16"/>
        </w:numPr>
        <w:bidi/>
        <w:rPr>
          <w:rFonts w:ascii="David" w:hAnsi="David"/>
          <w:sz w:val="22"/>
        </w:rPr>
      </w:pPr>
      <w:r>
        <w:rPr>
          <w:rFonts w:ascii="David" w:hAnsi="David" w:hint="cs"/>
          <w:sz w:val="22"/>
          <w:rtl/>
        </w:rPr>
        <w:t>"הרשאת גט" - חיילים יהודים שהתגייסו לצבא הבריטי הפקידו ביד בית הדין הרשאת גט למקרה ובו הוא לא יחזור מהמלחמה ויחשב לנעדר או מת מבחינת הצבא אבל לא מבחינה הלכתית. הרשאת הגט תתאפשר רק שנה לאחר שחרור השבויים.</w:t>
      </w:r>
      <w:r>
        <w:rPr>
          <w:rFonts w:ascii="David" w:hAnsi="David" w:hint="cs"/>
          <w:b/>
          <w:bCs/>
          <w:sz w:val="22"/>
          <w:rtl/>
        </w:rPr>
        <w:t xml:space="preserve"> </w:t>
      </w:r>
      <w:r>
        <w:rPr>
          <w:rFonts w:ascii="David" w:hAnsi="David" w:hint="cs"/>
          <w:sz w:val="22"/>
          <w:rtl/>
        </w:rPr>
        <w:t>עד היום בפקודות מטכ"ל ישנו סעיף של הרשאה למתן גט וכתוב במפורש שחייל יכול לעשות דבר כזה. אולם, סעיף לאחר מכן קובע שזה יתאפשר רק עם הרב הראשי יורה על זה. בפועל אין כלל שימוש בזה.</w:t>
      </w:r>
      <w:r>
        <w:rPr>
          <w:rFonts w:ascii="David" w:hAnsi="David" w:hint="cs"/>
          <w:b/>
          <w:bCs/>
          <w:sz w:val="22"/>
          <w:rtl/>
        </w:rPr>
        <w:t xml:space="preserve"> </w:t>
      </w:r>
      <w:r w:rsidR="00474787" w:rsidRPr="00474787">
        <w:rPr>
          <w:rFonts w:ascii="David" w:hAnsi="David" w:hint="cs"/>
          <w:sz w:val="22"/>
          <w:rtl/>
        </w:rPr>
        <w:t>לפקודת מטכ"ל מצורף שפח של היתר נישואין.</w:t>
      </w:r>
      <w:r w:rsidR="00474787" w:rsidRPr="00474787">
        <w:rPr>
          <w:rStyle w:val="af1"/>
          <w:rFonts w:ascii="David" w:hAnsi="David"/>
          <w:sz w:val="22"/>
          <w:rtl/>
        </w:rPr>
        <w:footnoteReference w:id="5"/>
      </w:r>
      <w:r w:rsidR="00474787">
        <w:rPr>
          <w:rFonts w:ascii="David" w:hAnsi="David" w:hint="cs"/>
          <w:sz w:val="22"/>
          <w:rtl/>
        </w:rPr>
        <w:t xml:space="preserve"> מדוע אם כך לא עושים זאת? 1) זה בעייתי מבחינה הלכתית. 2) זה מוריד את המורל. פרופ' רדזינר אומר שהבעי</w:t>
      </w:r>
      <w:r w:rsidR="00474787">
        <w:rPr>
          <w:rFonts w:ascii="David" w:hAnsi="David" w:hint="eastAsia"/>
          <w:sz w:val="22"/>
          <w:rtl/>
        </w:rPr>
        <w:t>ה</w:t>
      </w:r>
      <w:r w:rsidR="00474787">
        <w:rPr>
          <w:rFonts w:ascii="David" w:hAnsi="David" w:hint="cs"/>
          <w:sz w:val="22"/>
          <w:rtl/>
        </w:rPr>
        <w:t xml:space="preserve"> המורלית הייתה טיעון מאוד משמעותי של הרב גורן.</w:t>
      </w:r>
    </w:p>
    <w:p w14:paraId="2B5728A3" w14:textId="1759C4FA" w:rsidR="000F0465" w:rsidRPr="000F0465" w:rsidRDefault="000F0465" w:rsidP="000F0465">
      <w:pPr>
        <w:pStyle w:val="21"/>
        <w:rPr>
          <w:sz w:val="22"/>
        </w:rPr>
      </w:pPr>
      <w:bookmarkStart w:id="14" w:name="_Toc107438161"/>
      <w:r>
        <w:rPr>
          <w:rFonts w:hint="cs"/>
          <w:rtl/>
        </w:rPr>
        <w:lastRenderedPageBreak/>
        <w:t>טקס הקידושין</w:t>
      </w:r>
      <w:bookmarkEnd w:id="14"/>
    </w:p>
    <w:p w14:paraId="3B52B07A" w14:textId="33EBF73E" w:rsidR="000F0465" w:rsidRPr="00C46C29" w:rsidRDefault="000F0465" w:rsidP="00092418">
      <w:pPr>
        <w:pStyle w:val="ac"/>
        <w:numPr>
          <w:ilvl w:val="1"/>
          <w:numId w:val="18"/>
        </w:numPr>
        <w:bidi/>
        <w:rPr>
          <w:rFonts w:ascii="David" w:hAnsi="David"/>
          <w:sz w:val="22"/>
        </w:rPr>
      </w:pPr>
      <w:r>
        <w:rPr>
          <w:rFonts w:ascii="David" w:hAnsi="David" w:hint="cs"/>
          <w:b/>
          <w:bCs/>
          <w:sz w:val="22"/>
          <w:rtl/>
        </w:rPr>
        <w:t xml:space="preserve">ספר סדר קידושין ונישואין אחרי חתימת התלמוד: </w:t>
      </w:r>
      <w:r>
        <w:rPr>
          <w:rFonts w:ascii="David" w:hAnsi="David" w:hint="cs"/>
          <w:sz w:val="22"/>
          <w:rtl/>
        </w:rPr>
        <w:t>ספר של הרב אברהם חיים פריימן משנת 1948:</w:t>
      </w:r>
      <w:r w:rsidR="00092418">
        <w:rPr>
          <w:rFonts w:ascii="David" w:hAnsi="David" w:hint="cs"/>
          <w:sz w:val="22"/>
          <w:rtl/>
        </w:rPr>
        <w:t xml:space="preserve"> </w:t>
      </w:r>
      <w:r w:rsidRPr="00092418">
        <w:rPr>
          <w:rFonts w:ascii="David" w:hAnsi="David" w:hint="cs"/>
          <w:u w:val="single"/>
          <w:rtl/>
        </w:rPr>
        <w:t xml:space="preserve">מדוע </w:t>
      </w:r>
      <w:r w:rsidR="00092418" w:rsidRPr="00092418">
        <w:rPr>
          <w:rFonts w:ascii="David" w:hAnsi="David" w:hint="cs"/>
          <w:u w:val="single"/>
          <w:rtl/>
        </w:rPr>
        <w:t>נקרא</w:t>
      </w:r>
      <w:r w:rsidRPr="00092418">
        <w:rPr>
          <w:rFonts w:ascii="David" w:hAnsi="David" w:hint="cs"/>
          <w:u w:val="single"/>
          <w:rtl/>
        </w:rPr>
        <w:t xml:space="preserve"> קידושין ונישואין ולא רק נישואין?</w:t>
      </w:r>
      <w:r w:rsidRPr="00092418">
        <w:rPr>
          <w:rFonts w:ascii="David" w:hAnsi="David" w:hint="cs"/>
          <w:rtl/>
        </w:rPr>
        <w:t xml:space="preserve"> כיוון שיש הבחנה הלכתית בין שתי הפעולות האלה</w:t>
      </w:r>
      <w:r w:rsidR="00092418" w:rsidRPr="00092418">
        <w:rPr>
          <w:rFonts w:ascii="David" w:hAnsi="David" w:hint="cs"/>
          <w:rtl/>
        </w:rPr>
        <w:t xml:space="preserve">. היום קשה להבחין בזה כיוון שהיום הטקס של הקידושין והנישואין קורה יחד. ישנם הבדלים משמעותיים. לדוג' יש הבדל ברמת החיוב בין קידושין לנישואין - לא לעניין המעמד האישי, שכן בשני המקרים יש צורך במתן גט. </w:t>
      </w:r>
    </w:p>
    <w:p w14:paraId="7E78D971" w14:textId="61108FCC" w:rsidR="00C46C29" w:rsidRPr="00A51344" w:rsidRDefault="00C46C29" w:rsidP="00A51344">
      <w:pPr>
        <w:pStyle w:val="ac"/>
        <w:numPr>
          <w:ilvl w:val="1"/>
          <w:numId w:val="18"/>
        </w:numPr>
        <w:bidi/>
        <w:rPr>
          <w:rFonts w:ascii="David" w:hAnsi="David"/>
          <w:sz w:val="22"/>
        </w:rPr>
      </w:pPr>
      <w:r w:rsidRPr="00B2741A">
        <w:rPr>
          <w:rFonts w:ascii="David" w:hAnsi="David" w:hint="cs"/>
          <w:b/>
          <w:bCs/>
          <w:sz w:val="22"/>
          <w:shd w:val="clear" w:color="auto" w:fill="FFF4CD" w:themeFill="accent1" w:themeFillTint="33"/>
          <w:rtl/>
        </w:rPr>
        <w:t>ההבדל בי</w:t>
      </w:r>
      <w:r w:rsidR="00A51344">
        <w:rPr>
          <w:rFonts w:ascii="David" w:hAnsi="David" w:hint="cs"/>
          <w:b/>
          <w:bCs/>
          <w:sz w:val="22"/>
          <w:shd w:val="clear" w:color="auto" w:fill="FFF4CD" w:themeFill="accent1" w:themeFillTint="33"/>
          <w:rtl/>
        </w:rPr>
        <w:t>ן</w:t>
      </w:r>
      <w:r w:rsidRPr="00B2741A">
        <w:rPr>
          <w:rFonts w:ascii="David" w:hAnsi="David" w:hint="cs"/>
          <w:b/>
          <w:bCs/>
          <w:sz w:val="22"/>
          <w:shd w:val="clear" w:color="auto" w:fill="FFF4CD" w:themeFill="accent1" w:themeFillTint="33"/>
          <w:rtl/>
        </w:rPr>
        <w:t xml:space="preserve"> קידושין לנישואין</w:t>
      </w:r>
      <w:r>
        <w:rPr>
          <w:rFonts w:ascii="David" w:hAnsi="David" w:hint="cs"/>
          <w:b/>
          <w:bCs/>
          <w:sz w:val="22"/>
          <w:rtl/>
        </w:rPr>
        <w:t xml:space="preserve"> (</w:t>
      </w:r>
      <w:r w:rsidRPr="00B2741A">
        <w:rPr>
          <w:rFonts w:ascii="David" w:hAnsi="David" w:hint="cs"/>
          <w:sz w:val="22"/>
          <w:rtl/>
        </w:rPr>
        <w:t>שרשבסקי</w:t>
      </w:r>
      <w:r>
        <w:rPr>
          <w:rFonts w:ascii="David" w:hAnsi="David" w:hint="cs"/>
          <w:b/>
          <w:bCs/>
          <w:sz w:val="22"/>
          <w:rtl/>
        </w:rPr>
        <w:t xml:space="preserve"> </w:t>
      </w:r>
      <w:r w:rsidRPr="00B2741A">
        <w:rPr>
          <w:rFonts w:ascii="David" w:hAnsi="David" w:hint="cs"/>
          <w:sz w:val="22"/>
          <w:rtl/>
        </w:rPr>
        <w:t>-</w:t>
      </w:r>
      <w:r w:rsidR="008A04A4">
        <w:rPr>
          <w:rFonts w:ascii="David" w:hAnsi="David" w:hint="cs"/>
          <w:sz w:val="22"/>
          <w:rtl/>
        </w:rPr>
        <w:t xml:space="preserve"> סיכום</w:t>
      </w:r>
      <w:r>
        <w:rPr>
          <w:rFonts w:ascii="David" w:hAnsi="David" w:hint="cs"/>
          <w:sz w:val="22"/>
          <w:rtl/>
        </w:rPr>
        <w:t xml:space="preserve"> חומרי קריאה): </w:t>
      </w:r>
      <w:r w:rsidR="00FA2901">
        <w:rPr>
          <w:rFonts w:ascii="David" w:hAnsi="David" w:hint="cs"/>
          <w:sz w:val="22"/>
          <w:rtl/>
        </w:rPr>
        <w:t xml:space="preserve"> </w:t>
      </w:r>
      <w:r w:rsidR="00761B18">
        <w:rPr>
          <w:rFonts w:ascii="David" w:hAnsi="David" w:hint="cs"/>
          <w:sz w:val="22"/>
          <w:rtl/>
        </w:rPr>
        <w:t xml:space="preserve">יצירת קשר נישואין בין איש לאישה בהלכה היהודים מתחיל באקט משפטי שנקרא קידושין או נישואין ומסתיים </w:t>
      </w:r>
      <w:r w:rsidR="00AC32B3">
        <w:rPr>
          <w:rFonts w:ascii="David" w:hAnsi="David" w:hint="cs"/>
          <w:sz w:val="22"/>
          <w:rtl/>
        </w:rPr>
        <w:t>בפעולה משפטית שנייה שנקראת נישואין. פעולת הקידושין יוצר מצב שבו האישה מתקדשת לאיש ונאסרת על כול אדם אחר</w:t>
      </w:r>
      <w:r w:rsidR="00077BFC">
        <w:rPr>
          <w:rFonts w:ascii="David" w:hAnsi="David" w:hint="cs"/>
          <w:sz w:val="22"/>
          <w:rtl/>
        </w:rPr>
        <w:t xml:space="preserve"> (לכן גם רק לאחר אקט הקידושין היא נחשבת אשת איש</w:t>
      </w:r>
      <w:r w:rsidR="005552E9">
        <w:rPr>
          <w:rFonts w:ascii="David" w:hAnsi="David" w:hint="cs"/>
          <w:sz w:val="22"/>
          <w:rtl/>
        </w:rPr>
        <w:t xml:space="preserve"> וצריכה גט כדי להינשא לאחר</w:t>
      </w:r>
      <w:r w:rsidR="00077BFC">
        <w:rPr>
          <w:rFonts w:ascii="David" w:hAnsi="David" w:hint="cs"/>
          <w:sz w:val="22"/>
          <w:rtl/>
        </w:rPr>
        <w:t>)</w:t>
      </w:r>
      <w:r w:rsidR="00A51344">
        <w:rPr>
          <w:rFonts w:ascii="David" w:hAnsi="David" w:hint="cs"/>
          <w:sz w:val="22"/>
          <w:rtl/>
        </w:rPr>
        <w:t xml:space="preserve">. אולם, אינה זכאית לזכויות היא אסורה גם על הארוס שלה ואינה זכאית לכתובה. גם על האיש יש איסור להינשא לאחר עד קבל גט או מות האישה אומנם האישור שלו אינו מדארותיא והוא משבועה או מחרם דרבנו גרשום. בחוק הישראלי לצורך עבירת הביגמיה המושג נישואין מדבר גם על קידושין. </w:t>
      </w:r>
    </w:p>
    <w:p w14:paraId="331147F8" w14:textId="19E8E524" w:rsidR="007101A9" w:rsidRDefault="007101A9" w:rsidP="007101A9">
      <w:pPr>
        <w:pStyle w:val="ac"/>
        <w:numPr>
          <w:ilvl w:val="2"/>
          <w:numId w:val="18"/>
        </w:numPr>
        <w:bidi/>
        <w:rPr>
          <w:rFonts w:ascii="David" w:hAnsi="David"/>
          <w:sz w:val="22"/>
        </w:rPr>
      </w:pPr>
      <w:r>
        <w:rPr>
          <w:rFonts w:ascii="David" w:hAnsi="David" w:hint="cs"/>
          <w:b/>
          <w:bCs/>
          <w:sz w:val="22"/>
          <w:rtl/>
        </w:rPr>
        <w:t>חשיבות ההבחנה בין קידושין לנישואין</w:t>
      </w:r>
      <w:r w:rsidR="00B2741A">
        <w:rPr>
          <w:rFonts w:ascii="David" w:hAnsi="David" w:hint="cs"/>
          <w:b/>
          <w:bCs/>
          <w:sz w:val="22"/>
          <w:rtl/>
        </w:rPr>
        <w:t>:</w:t>
      </w:r>
      <w:r>
        <w:rPr>
          <w:rFonts w:ascii="David" w:hAnsi="David" w:hint="cs"/>
          <w:sz w:val="22"/>
          <w:rtl/>
        </w:rPr>
        <w:t xml:space="preserve"> </w:t>
      </w:r>
      <w:r w:rsidR="00B94255">
        <w:rPr>
          <w:rFonts w:ascii="David" w:hAnsi="David" w:hint="cs"/>
          <w:sz w:val="22"/>
          <w:rtl/>
        </w:rPr>
        <w:t>בעבר היה רווח בין שתי פעולות משפטיות אלו והיום הן נעשות באותו מעמד תחת החופה.</w:t>
      </w:r>
      <w:r w:rsidR="009B3997">
        <w:rPr>
          <w:rFonts w:ascii="David" w:hAnsi="David" w:hint="cs"/>
          <w:sz w:val="22"/>
          <w:rtl/>
        </w:rPr>
        <w:t xml:space="preserve"> שתי ההבחנות המרכזיות שחשובות עד היום:</w:t>
      </w:r>
    </w:p>
    <w:p w14:paraId="6568CCD3" w14:textId="7597CD59" w:rsidR="009B3997" w:rsidRDefault="00F92993" w:rsidP="009B3997">
      <w:pPr>
        <w:pStyle w:val="ac"/>
        <w:numPr>
          <w:ilvl w:val="3"/>
          <w:numId w:val="18"/>
        </w:numPr>
        <w:bidi/>
        <w:rPr>
          <w:rFonts w:ascii="David" w:hAnsi="David"/>
          <w:sz w:val="22"/>
        </w:rPr>
      </w:pPr>
      <w:r>
        <w:rPr>
          <w:rFonts w:ascii="David" w:hAnsi="David" w:hint="cs"/>
          <w:sz w:val="22"/>
          <w:rtl/>
        </w:rPr>
        <w:t>עד היום ישנן עדות שבהן נהוג להפריד במובן הזמן בין קידושין לנישואין</w:t>
      </w:r>
      <w:r w:rsidR="00DE43A2">
        <w:rPr>
          <w:rFonts w:ascii="David" w:hAnsi="David" w:hint="cs"/>
          <w:sz w:val="22"/>
          <w:rtl/>
        </w:rPr>
        <w:t>. לעיתים קידושין כאלו לא מגיעים לכדי נישואין ולכן חשוב לדעת מה המעמד של איש ואישה במצב כזה.</w:t>
      </w:r>
    </w:p>
    <w:p w14:paraId="5BADD3BB" w14:textId="4F760894" w:rsidR="00DE43A2" w:rsidRPr="002D0CE3" w:rsidRDefault="00DE43A2" w:rsidP="00DE43A2">
      <w:pPr>
        <w:pStyle w:val="ac"/>
        <w:numPr>
          <w:ilvl w:val="3"/>
          <w:numId w:val="18"/>
        </w:numPr>
        <w:bidi/>
        <w:rPr>
          <w:rFonts w:ascii="David" w:hAnsi="David"/>
          <w:sz w:val="22"/>
        </w:rPr>
      </w:pPr>
      <w:r>
        <w:rPr>
          <w:rFonts w:ascii="David" w:hAnsi="David" w:hint="cs"/>
          <w:sz w:val="22"/>
          <w:rtl/>
        </w:rPr>
        <w:t xml:space="preserve">כאשר גבר ואישה מעוניינים בהפרדה מוחלטת בנכסים שלהם </w:t>
      </w:r>
      <w:r w:rsidR="00A312DE">
        <w:rPr>
          <w:rFonts w:ascii="David" w:hAnsi="David" w:hint="cs"/>
          <w:sz w:val="22"/>
          <w:rtl/>
        </w:rPr>
        <w:t>, כדי שהסכם כזה יהיה תקף הלכתית יש לבצעו לאחר הקידושין ולפני הנישואין.</w:t>
      </w:r>
      <w:r w:rsidR="00E83D03">
        <w:rPr>
          <w:rFonts w:ascii="David" w:hAnsi="David" w:hint="cs"/>
          <w:sz w:val="22"/>
          <w:rtl/>
        </w:rPr>
        <w:t xml:space="preserve"> במקרים כאלה מפסיקים את הטקס של ברכת הקידושין וחותמים על הסכם ממון ואח"כ עוברים לטקס הנישואין.</w:t>
      </w:r>
    </w:p>
    <w:p w14:paraId="7E33F54C" w14:textId="727D14C5" w:rsidR="00B2741A" w:rsidRDefault="00B2741A" w:rsidP="00B2741A">
      <w:pPr>
        <w:pStyle w:val="ac"/>
        <w:numPr>
          <w:ilvl w:val="2"/>
          <w:numId w:val="18"/>
        </w:numPr>
        <w:bidi/>
        <w:rPr>
          <w:rFonts w:ascii="David" w:hAnsi="David"/>
          <w:sz w:val="22"/>
        </w:rPr>
      </w:pPr>
      <w:r w:rsidRPr="002D0CE3">
        <w:rPr>
          <w:rFonts w:ascii="David" w:hAnsi="David" w:hint="cs"/>
          <w:b/>
          <w:bCs/>
          <w:sz w:val="22"/>
          <w:rtl/>
        </w:rPr>
        <w:t>שלוש דרכי קידושין</w:t>
      </w:r>
      <w:r w:rsidRPr="002D0CE3">
        <w:rPr>
          <w:rFonts w:ascii="David" w:hAnsi="David" w:hint="cs"/>
          <w:sz w:val="22"/>
          <w:rtl/>
        </w:rPr>
        <w:t>:</w:t>
      </w:r>
      <w:r w:rsidR="00914888" w:rsidRPr="002D0CE3">
        <w:rPr>
          <w:rFonts w:ascii="David" w:hAnsi="David" w:hint="cs"/>
          <w:sz w:val="22"/>
          <w:rtl/>
        </w:rPr>
        <w:t xml:space="preserve"> קידושין בכסף, שטר או ביאה. כיום נהוגה הדרך הראשונה שהיא קידושין כסף</w:t>
      </w:r>
      <w:r w:rsidR="00F66671" w:rsidRPr="002D0CE3">
        <w:rPr>
          <w:rFonts w:ascii="David" w:hAnsi="David" w:hint="cs"/>
          <w:sz w:val="22"/>
          <w:rtl/>
        </w:rPr>
        <w:t>. אולם חשוב להכיר את הדרכים האחרות שכן לעיתים קידושין הכסף לא היו כשרים ואז יש חשיבות ל</w:t>
      </w:r>
      <w:r w:rsidR="002D0CE3" w:rsidRPr="002D0CE3">
        <w:rPr>
          <w:rFonts w:ascii="David" w:hAnsi="David" w:hint="cs"/>
          <w:sz w:val="22"/>
          <w:rtl/>
        </w:rPr>
        <w:t>דרכים האחרות.</w:t>
      </w:r>
    </w:p>
    <w:p w14:paraId="4392CCEA" w14:textId="38C3C18E" w:rsidR="002D0CE3" w:rsidRDefault="002D0CE3" w:rsidP="002D0CE3">
      <w:pPr>
        <w:pStyle w:val="ac"/>
        <w:numPr>
          <w:ilvl w:val="3"/>
          <w:numId w:val="18"/>
        </w:numPr>
        <w:bidi/>
        <w:rPr>
          <w:rFonts w:ascii="David" w:hAnsi="David"/>
          <w:sz w:val="22"/>
        </w:rPr>
      </w:pPr>
      <w:r>
        <w:rPr>
          <w:rFonts w:ascii="David" w:hAnsi="David" w:hint="cs"/>
          <w:sz w:val="22"/>
          <w:rtl/>
        </w:rPr>
        <w:t xml:space="preserve">קידושי כסף - </w:t>
      </w:r>
      <w:r w:rsidR="00BB5973">
        <w:rPr>
          <w:rFonts w:ascii="David" w:hAnsi="David" w:hint="cs"/>
          <w:sz w:val="22"/>
          <w:rtl/>
        </w:rPr>
        <w:t>החתן מוסר לכלה בנוכחות שתי עדים כשרים כסף או שווה כסף. המנהג היטן הוא מתן טבעת.</w:t>
      </w:r>
    </w:p>
    <w:p w14:paraId="48E5325C" w14:textId="7CC6102F" w:rsidR="00BB5973" w:rsidRDefault="00BB5973" w:rsidP="00BB5973">
      <w:pPr>
        <w:pStyle w:val="ac"/>
        <w:numPr>
          <w:ilvl w:val="3"/>
          <w:numId w:val="18"/>
        </w:numPr>
        <w:bidi/>
        <w:rPr>
          <w:rFonts w:ascii="David" w:hAnsi="David"/>
          <w:sz w:val="22"/>
        </w:rPr>
      </w:pPr>
      <w:r>
        <w:rPr>
          <w:rFonts w:ascii="David" w:hAnsi="David" w:hint="cs"/>
          <w:sz w:val="22"/>
          <w:rtl/>
        </w:rPr>
        <w:t>קידושין שטר</w:t>
      </w:r>
      <w:r w:rsidR="00D039B0">
        <w:rPr>
          <w:rFonts w:ascii="David" w:hAnsi="David" w:hint="cs"/>
          <w:sz w:val="22"/>
          <w:rtl/>
        </w:rPr>
        <w:t xml:space="preserve"> - האיש מוסר לאישה בנוכחות שתי עדים מסמך שבו כתוב "הרי את מקודשת לי בשטר זה כדת משה וישראל". </w:t>
      </w:r>
      <w:r w:rsidR="007D7625">
        <w:rPr>
          <w:rFonts w:ascii="David" w:hAnsi="David" w:hint="cs"/>
          <w:sz w:val="22"/>
          <w:rtl/>
        </w:rPr>
        <w:t>רישום נישואין בחו"ל לא יראה כמו קידושין בשטר שכן אין בחתימה על מסמכים אזרחים כוונה להינשא כדת משה וישראל.</w:t>
      </w:r>
    </w:p>
    <w:p w14:paraId="475785AC" w14:textId="06F43E9A" w:rsidR="007D7625" w:rsidRDefault="007D7625" w:rsidP="007D7625">
      <w:pPr>
        <w:pStyle w:val="ac"/>
        <w:numPr>
          <w:ilvl w:val="3"/>
          <w:numId w:val="18"/>
        </w:numPr>
        <w:bidi/>
        <w:rPr>
          <w:rFonts w:ascii="David" w:hAnsi="David"/>
          <w:sz w:val="22"/>
        </w:rPr>
      </w:pPr>
      <w:r>
        <w:rPr>
          <w:rFonts w:ascii="David" w:hAnsi="David" w:hint="cs"/>
          <w:sz w:val="22"/>
          <w:rtl/>
        </w:rPr>
        <w:t xml:space="preserve">קידושין ביאה - </w:t>
      </w:r>
      <w:r w:rsidR="00415DFF">
        <w:rPr>
          <w:rFonts w:ascii="David" w:hAnsi="David" w:hint="cs"/>
          <w:sz w:val="22"/>
          <w:rtl/>
        </w:rPr>
        <w:t xml:space="preserve">אמר לאישה בנוכחות שני עדים </w:t>
      </w:r>
      <w:r w:rsidR="005252E8">
        <w:rPr>
          <w:rFonts w:ascii="David" w:hAnsi="David" w:hint="cs"/>
          <w:sz w:val="22"/>
          <w:rtl/>
        </w:rPr>
        <w:t>"הרי את מקודשת לי בביאה זו" ותייחד עמה לפניהם לשם קידושין ובא עליה הרי היא מקודשת לו" צורה זו נדחתה כבר בזמן הקדם</w:t>
      </w:r>
      <w:r w:rsidR="00EA7588">
        <w:rPr>
          <w:rFonts w:ascii="David" w:hAnsi="David" w:hint="cs"/>
          <w:sz w:val="22"/>
          <w:rtl/>
        </w:rPr>
        <w:t xml:space="preserve">. בתלמוד מוצאים שחז"ל ראו בדרך זו משום פריצות וחוצפה ומי שקידש ברך זו היה </w:t>
      </w:r>
      <w:r w:rsidR="001A2CD6">
        <w:rPr>
          <w:rFonts w:ascii="David" w:hAnsi="David" w:hint="cs"/>
          <w:sz w:val="22"/>
          <w:rtl/>
        </w:rPr>
        <w:t>צפוי למכות מרדות, עף שהקידושין תקפים.</w:t>
      </w:r>
      <w:r w:rsidR="007E24FB">
        <w:rPr>
          <w:rFonts w:ascii="David" w:hAnsi="David" w:hint="cs"/>
          <w:sz w:val="22"/>
          <w:rtl/>
        </w:rPr>
        <w:t xml:space="preserve"> יש </w:t>
      </w:r>
      <w:r w:rsidR="00767667">
        <w:rPr>
          <w:rFonts w:ascii="David" w:hAnsi="David" w:hint="cs"/>
          <w:sz w:val="22"/>
          <w:rtl/>
        </w:rPr>
        <w:t>חזקה שאומרת שאין אדם עושה בעילתו בעילת זנות ולכן אנשים הנשיאים בצורה אזרחית יש טענה האומרת שהם מקודשים ע"י קידושי ביאה.</w:t>
      </w:r>
    </w:p>
    <w:p w14:paraId="1F119B16" w14:textId="37E1C09E" w:rsidR="007B347F" w:rsidRDefault="007B347F" w:rsidP="00C604CB">
      <w:pPr>
        <w:pStyle w:val="ac"/>
        <w:numPr>
          <w:ilvl w:val="2"/>
          <w:numId w:val="18"/>
        </w:numPr>
        <w:bidi/>
        <w:rPr>
          <w:rFonts w:ascii="David" w:hAnsi="David"/>
          <w:sz w:val="22"/>
        </w:rPr>
      </w:pPr>
      <w:r w:rsidRPr="0043533C">
        <w:rPr>
          <w:rFonts w:ascii="David" w:hAnsi="David" w:hint="cs"/>
          <w:b/>
          <w:bCs/>
          <w:rtl/>
        </w:rPr>
        <w:t>נוכחות שני "עדי קיום"</w:t>
      </w:r>
      <w:r w:rsidRPr="00C604CB">
        <w:rPr>
          <w:rFonts w:ascii="David" w:hAnsi="David" w:hint="cs"/>
          <w:rtl/>
        </w:rPr>
        <w:t xml:space="preserve"> היא הכרחית</w:t>
      </w:r>
      <w:r w:rsidR="000D31FD" w:rsidRPr="00C604CB">
        <w:rPr>
          <w:rFonts w:ascii="David" w:hAnsi="David" w:hint="cs"/>
          <w:rtl/>
        </w:rPr>
        <w:t>, הם לא עדי הוכחה גרידא הם "עדי קיום" והם חלק ממעשה הקידושין. בהיעדרם הפעולה אינה שלמה, אם לא היו עדים אין קידושין.</w:t>
      </w:r>
      <w:r w:rsidR="00AF3DE8" w:rsidRPr="00C604CB">
        <w:rPr>
          <w:rFonts w:ascii="David" w:hAnsi="David" w:hint="cs"/>
          <w:rtl/>
        </w:rPr>
        <w:t xml:space="preserve"> אולם, אם יעידו בני הזוג שהיו עדים הם מקודשים </w:t>
      </w:r>
      <w:r w:rsidR="000E0E8F" w:rsidRPr="00C604CB">
        <w:rPr>
          <w:rFonts w:ascii="David" w:hAnsi="David" w:hint="cs"/>
          <w:rtl/>
        </w:rPr>
        <w:t>הם יחשבו למקודשים. אם יבואו שני עדים ויעידו על הקידושין והאיש והאישה יכחישו הם גם יחשבו למקודשים.</w:t>
      </w:r>
    </w:p>
    <w:p w14:paraId="093085A3" w14:textId="41A297DF" w:rsidR="005D2A08" w:rsidRDefault="005D2A08" w:rsidP="005D2A08">
      <w:pPr>
        <w:pStyle w:val="ac"/>
        <w:numPr>
          <w:ilvl w:val="2"/>
          <w:numId w:val="18"/>
        </w:numPr>
        <w:bidi/>
        <w:rPr>
          <w:rFonts w:ascii="David" w:hAnsi="David"/>
          <w:sz w:val="22"/>
        </w:rPr>
      </w:pPr>
      <w:r>
        <w:rPr>
          <w:rFonts w:ascii="David" w:hAnsi="David" w:hint="cs"/>
          <w:b/>
          <w:bCs/>
          <w:sz w:val="22"/>
          <w:rtl/>
        </w:rPr>
        <w:t>נישואין:</w:t>
      </w:r>
      <w:r>
        <w:rPr>
          <w:rFonts w:ascii="David" w:hAnsi="David" w:hint="cs"/>
          <w:sz w:val="22"/>
          <w:rtl/>
        </w:rPr>
        <w:t xml:space="preserve"> ההשפעה המכריעה והשינוי המוחלט במעמד השאישי של בני הזוג מגיע על ידי נישואיהם. </w:t>
      </w:r>
      <w:r w:rsidR="000F248C">
        <w:rPr>
          <w:rFonts w:ascii="David" w:hAnsi="David" w:hint="cs"/>
          <w:sz w:val="22"/>
          <w:rtl/>
        </w:rPr>
        <w:t>מעשה הנישואין הוא שהחתן מכניס את הכלה תחת חופה</w:t>
      </w:r>
      <w:r w:rsidR="00106551">
        <w:rPr>
          <w:rFonts w:ascii="David" w:hAnsi="David" w:hint="cs"/>
          <w:sz w:val="22"/>
          <w:rtl/>
        </w:rPr>
        <w:t xml:space="preserve">. מנהג הנישואין בזמננו על מנת לא ליצור ספקות הוא </w:t>
      </w:r>
      <w:r w:rsidR="00B97A85">
        <w:rPr>
          <w:rFonts w:ascii="David" w:hAnsi="David" w:hint="cs"/>
          <w:sz w:val="22"/>
          <w:rtl/>
        </w:rPr>
        <w:t>הכנס הכלה אל החופה תת יריעה פרושה על גבי ארבע כלונסאות</w:t>
      </w:r>
      <w:r w:rsidR="001B0B2C">
        <w:rPr>
          <w:rFonts w:ascii="David" w:hAnsi="David" w:hint="cs"/>
          <w:sz w:val="22"/>
          <w:rtl/>
        </w:rPr>
        <w:t xml:space="preserve"> לברך את ברכות הנישואין (7 ברכות)</w:t>
      </w:r>
      <w:r w:rsidR="00B97A85">
        <w:rPr>
          <w:rFonts w:ascii="David" w:hAnsi="David" w:hint="cs"/>
          <w:sz w:val="22"/>
          <w:rtl/>
        </w:rPr>
        <w:t>.</w:t>
      </w:r>
      <w:r w:rsidR="00BE294E">
        <w:rPr>
          <w:rFonts w:ascii="David" w:hAnsi="David" w:hint="cs"/>
          <w:sz w:val="22"/>
          <w:rtl/>
        </w:rPr>
        <w:t xml:space="preserve"> אולם, כיוון שלדעת פוסקים אחרים אין ה</w:t>
      </w:r>
      <w:r w:rsidR="008F59F4">
        <w:rPr>
          <w:rFonts w:ascii="David" w:hAnsi="David" w:hint="cs"/>
          <w:sz w:val="22"/>
          <w:rtl/>
        </w:rPr>
        <w:t>נישואין גמורים אלא עם ייחוד של החתן עם הכלה המנהג הכללי הוא שמיד אחרי ברכ</w:t>
      </w:r>
      <w:r w:rsidR="001B0B2C">
        <w:rPr>
          <w:rFonts w:ascii="David" w:hAnsi="David" w:hint="cs"/>
          <w:sz w:val="22"/>
          <w:rtl/>
        </w:rPr>
        <w:t>ות</w:t>
      </w:r>
      <w:r w:rsidR="008F59F4">
        <w:rPr>
          <w:rFonts w:ascii="David" w:hAnsi="David" w:hint="cs"/>
          <w:sz w:val="22"/>
          <w:rtl/>
        </w:rPr>
        <w:t xml:space="preserve"> הנישואין </w:t>
      </w:r>
      <w:r w:rsidR="00165752">
        <w:rPr>
          <w:rFonts w:ascii="David" w:hAnsi="David" w:hint="cs"/>
          <w:sz w:val="22"/>
          <w:rtl/>
        </w:rPr>
        <w:t>הולכים החתן והכלה לחדר ייחוד שם הם אוכלים לבדם. לאחר אקט זה הם נשואים כדת משה וישראל לכל הדעות</w:t>
      </w:r>
      <w:r w:rsidR="001B0B2C">
        <w:rPr>
          <w:rFonts w:ascii="David" w:hAnsi="David" w:hint="cs"/>
          <w:sz w:val="22"/>
          <w:rtl/>
        </w:rPr>
        <w:t>.</w:t>
      </w:r>
    </w:p>
    <w:p w14:paraId="1B8693A1" w14:textId="035E05C2" w:rsidR="00092418" w:rsidRPr="00A51344" w:rsidRDefault="00092418" w:rsidP="00092418">
      <w:pPr>
        <w:pStyle w:val="ac"/>
        <w:numPr>
          <w:ilvl w:val="0"/>
          <w:numId w:val="19"/>
        </w:numPr>
        <w:shd w:val="clear" w:color="auto" w:fill="FFF4CD" w:themeFill="accent1" w:themeFillTint="33"/>
        <w:bidi/>
        <w:rPr>
          <w:rFonts w:ascii="David" w:hAnsi="David"/>
          <w:b/>
          <w:bCs/>
          <w:sz w:val="22"/>
        </w:rPr>
      </w:pPr>
      <w:r w:rsidRPr="00A51344">
        <w:rPr>
          <w:rFonts w:ascii="David" w:hAnsi="David" w:hint="cs"/>
          <w:b/>
          <w:bCs/>
          <w:sz w:val="22"/>
          <w:rtl/>
        </w:rPr>
        <w:t>מרכיבי טקס הנישואין - שלוש קבוצות מרכזיות:</w:t>
      </w:r>
    </w:p>
    <w:p w14:paraId="0EBC8EBF" w14:textId="0DC3E080" w:rsidR="00092418" w:rsidRDefault="00092418" w:rsidP="00092418">
      <w:pPr>
        <w:pStyle w:val="ac"/>
        <w:numPr>
          <w:ilvl w:val="2"/>
          <w:numId w:val="19"/>
        </w:numPr>
        <w:bidi/>
        <w:rPr>
          <w:rFonts w:ascii="David" w:hAnsi="David"/>
          <w:sz w:val="22"/>
        </w:rPr>
      </w:pPr>
      <w:r w:rsidRPr="00092418">
        <w:rPr>
          <w:rFonts w:ascii="David" w:hAnsi="David" w:hint="cs"/>
          <w:b/>
          <w:bCs/>
          <w:sz w:val="22"/>
          <w:rtl/>
        </w:rPr>
        <w:t>הקבוצה</w:t>
      </w:r>
      <w:r>
        <w:rPr>
          <w:rFonts w:ascii="David" w:hAnsi="David" w:hint="cs"/>
          <w:b/>
          <w:bCs/>
          <w:sz w:val="22"/>
          <w:rtl/>
        </w:rPr>
        <w:t xml:space="preserve"> השנייה -</w:t>
      </w:r>
      <w:r w:rsidRPr="00092418">
        <w:rPr>
          <w:rFonts w:ascii="David" w:hAnsi="David" w:hint="cs"/>
          <w:b/>
          <w:bCs/>
          <w:sz w:val="22"/>
          <w:rtl/>
        </w:rPr>
        <w:t xml:space="preserve"> העוסקת </w:t>
      </w:r>
      <w:r>
        <w:rPr>
          <w:rFonts w:ascii="David" w:hAnsi="David" w:hint="cs"/>
          <w:b/>
          <w:bCs/>
          <w:sz w:val="22"/>
          <w:rtl/>
        </w:rPr>
        <w:t>ב</w:t>
      </w:r>
      <w:r w:rsidRPr="00092418">
        <w:rPr>
          <w:rFonts w:ascii="David" w:hAnsi="David" w:hint="cs"/>
          <w:b/>
          <w:bCs/>
          <w:sz w:val="22"/>
          <w:rtl/>
        </w:rPr>
        <w:t>מנהגים הדתיים אבל אין להם חשיבות משפטית</w:t>
      </w:r>
      <w:r>
        <w:rPr>
          <w:rFonts w:ascii="David" w:hAnsi="David" w:hint="cs"/>
          <w:sz w:val="22"/>
          <w:rtl/>
        </w:rPr>
        <w:t xml:space="preserve"> - לדוג' לשבור את הכוס, בין אם תישבר כוס או לא תישבר כוס יהיה תוקף לנישואין.</w:t>
      </w:r>
    </w:p>
    <w:p w14:paraId="3130F017" w14:textId="49F50F3B" w:rsidR="00092418" w:rsidRDefault="00092418" w:rsidP="00092418">
      <w:pPr>
        <w:pStyle w:val="ac"/>
        <w:numPr>
          <w:ilvl w:val="2"/>
          <w:numId w:val="19"/>
        </w:numPr>
        <w:bidi/>
        <w:rPr>
          <w:rFonts w:ascii="David" w:hAnsi="David"/>
          <w:sz w:val="22"/>
        </w:rPr>
      </w:pPr>
      <w:r>
        <w:rPr>
          <w:rFonts w:ascii="David" w:hAnsi="David" w:hint="cs"/>
          <w:b/>
          <w:bCs/>
          <w:sz w:val="22"/>
          <w:rtl/>
        </w:rPr>
        <w:t xml:space="preserve">הקבוצה השנייה </w:t>
      </w:r>
      <w:r w:rsidR="00D62FF9">
        <w:rPr>
          <w:rFonts w:ascii="David" w:hAnsi="David" w:hint="cs"/>
          <w:b/>
          <w:bCs/>
          <w:sz w:val="22"/>
          <w:rtl/>
        </w:rPr>
        <w:t xml:space="preserve">- </w:t>
      </w:r>
      <w:r>
        <w:rPr>
          <w:rFonts w:ascii="David" w:hAnsi="David" w:hint="cs"/>
          <w:b/>
          <w:bCs/>
          <w:sz w:val="22"/>
          <w:rtl/>
        </w:rPr>
        <w:t xml:space="preserve">הקידושין (בעלת חשיבות משפטית) </w:t>
      </w:r>
      <w:r w:rsidRPr="00092418">
        <w:rPr>
          <w:rFonts w:ascii="David" w:hAnsi="David" w:hint="cs"/>
          <w:sz w:val="22"/>
          <w:rtl/>
        </w:rPr>
        <w:t>-</w:t>
      </w:r>
      <w:r>
        <w:rPr>
          <w:rFonts w:ascii="David" w:hAnsi="David" w:hint="cs"/>
          <w:sz w:val="22"/>
          <w:rtl/>
        </w:rPr>
        <w:t xml:space="preserve"> החלק שהופך את הזוג לאיש ואישה. </w:t>
      </w:r>
    </w:p>
    <w:p w14:paraId="34A1DC14" w14:textId="2ADC56AD" w:rsidR="00092418" w:rsidRPr="00092418" w:rsidRDefault="00092418" w:rsidP="00092418">
      <w:pPr>
        <w:pStyle w:val="ac"/>
        <w:numPr>
          <w:ilvl w:val="3"/>
          <w:numId w:val="19"/>
        </w:numPr>
        <w:bidi/>
        <w:rPr>
          <w:rFonts w:ascii="David" w:hAnsi="David"/>
          <w:sz w:val="22"/>
        </w:rPr>
      </w:pPr>
      <w:r w:rsidRPr="00092418">
        <w:rPr>
          <w:rFonts w:ascii="David" w:hAnsi="David" w:hint="cs"/>
          <w:sz w:val="22"/>
          <w:rtl/>
        </w:rPr>
        <w:t>מעשה - בדר"כ נתינת טבעת.</w:t>
      </w:r>
    </w:p>
    <w:p w14:paraId="61F7EBB0" w14:textId="39105D98" w:rsidR="00092418" w:rsidRPr="00092418" w:rsidRDefault="00092418" w:rsidP="00092418">
      <w:pPr>
        <w:pStyle w:val="ac"/>
        <w:numPr>
          <w:ilvl w:val="3"/>
          <w:numId w:val="19"/>
        </w:numPr>
        <w:bidi/>
        <w:rPr>
          <w:rFonts w:ascii="David" w:hAnsi="David"/>
          <w:sz w:val="22"/>
        </w:rPr>
      </w:pPr>
      <w:r w:rsidRPr="00092418">
        <w:rPr>
          <w:rFonts w:ascii="David" w:hAnsi="David" w:hint="cs"/>
          <w:sz w:val="22"/>
          <w:rtl/>
        </w:rPr>
        <w:t>עדים - שני עדים שצריכים לראות.</w:t>
      </w:r>
    </w:p>
    <w:p w14:paraId="43E36C9B" w14:textId="2496053E" w:rsidR="00092418" w:rsidRDefault="00D62FF9" w:rsidP="00092418">
      <w:pPr>
        <w:pStyle w:val="ac"/>
        <w:numPr>
          <w:ilvl w:val="3"/>
          <w:numId w:val="19"/>
        </w:numPr>
        <w:bidi/>
        <w:rPr>
          <w:rFonts w:ascii="David" w:hAnsi="David"/>
          <w:sz w:val="22"/>
        </w:rPr>
      </w:pPr>
      <w:r>
        <w:rPr>
          <w:rFonts w:ascii="David" w:hAnsi="David" w:hint="cs"/>
          <w:sz w:val="22"/>
          <w:rtl/>
        </w:rPr>
        <w:t>מרכיב נפשי - הבנה וכוונה ורצון להינשא.</w:t>
      </w:r>
    </w:p>
    <w:p w14:paraId="2A53DD2A" w14:textId="4CEEF3B4" w:rsidR="00D62FF9" w:rsidRDefault="00D62FF9" w:rsidP="00D62FF9">
      <w:pPr>
        <w:pStyle w:val="ac"/>
        <w:numPr>
          <w:ilvl w:val="2"/>
          <w:numId w:val="19"/>
        </w:numPr>
        <w:bidi/>
        <w:rPr>
          <w:rFonts w:ascii="David" w:hAnsi="David"/>
          <w:sz w:val="22"/>
        </w:rPr>
      </w:pPr>
      <w:r w:rsidRPr="00D62FF9">
        <w:rPr>
          <w:rFonts w:ascii="David" w:hAnsi="David" w:hint="cs"/>
          <w:b/>
          <w:bCs/>
          <w:sz w:val="22"/>
          <w:rtl/>
        </w:rPr>
        <w:t>הקבוצה השלישית - נישואין (בעל חשיבות משפטית)</w:t>
      </w:r>
      <w:r>
        <w:rPr>
          <w:rFonts w:ascii="David" w:hAnsi="David" w:hint="cs"/>
          <w:sz w:val="22"/>
          <w:rtl/>
        </w:rPr>
        <w:t xml:space="preserve"> </w:t>
      </w:r>
      <w:r w:rsidR="001431FA">
        <w:rPr>
          <w:rFonts w:ascii="David" w:hAnsi="David"/>
          <w:sz w:val="22"/>
          <w:rtl/>
        </w:rPr>
        <w:t>–</w:t>
      </w:r>
      <w:r>
        <w:rPr>
          <w:rFonts w:ascii="David" w:hAnsi="David" w:hint="cs"/>
          <w:sz w:val="22"/>
          <w:rtl/>
        </w:rPr>
        <w:t xml:space="preserve"> </w:t>
      </w:r>
      <w:r w:rsidR="001431FA">
        <w:rPr>
          <w:rFonts w:ascii="David" w:hAnsi="David" w:hint="cs"/>
          <w:sz w:val="22"/>
          <w:rtl/>
        </w:rPr>
        <w:t xml:space="preserve">החופה וכו' </w:t>
      </w:r>
    </w:p>
    <w:p w14:paraId="4A7C6136" w14:textId="722D7A7A" w:rsidR="00D62FF9" w:rsidRPr="001431FA" w:rsidRDefault="00D62FF9" w:rsidP="00BA7ACC">
      <w:pPr>
        <w:pStyle w:val="ac"/>
        <w:numPr>
          <w:ilvl w:val="1"/>
          <w:numId w:val="19"/>
        </w:numPr>
        <w:bidi/>
        <w:spacing w:after="0"/>
        <w:rPr>
          <w:rFonts w:ascii="David" w:hAnsi="David"/>
        </w:rPr>
      </w:pPr>
      <w:r w:rsidRPr="001431FA">
        <w:rPr>
          <w:rFonts w:ascii="David" w:hAnsi="David" w:hint="cs"/>
          <w:sz w:val="22"/>
          <w:rtl/>
        </w:rPr>
        <w:lastRenderedPageBreak/>
        <w:t>הרב פריימן מראה בספרו כי</w:t>
      </w:r>
      <w:r w:rsidR="001431FA" w:rsidRPr="001431FA">
        <w:rPr>
          <w:rFonts w:ascii="David" w:hAnsi="David" w:hint="cs"/>
          <w:rtl/>
        </w:rPr>
        <w:t xml:space="preserve"> בטקס הקידושין קיים פער עצום בין קלות הביצוע למשמעויות המעשה, היוצר בעל ואישה שעל מנת להיפרד יצטרכו לנקוט בהליך משפטי כזה או אחר. פער זה הוא שהביא לבעיות רבות עד היום, אם נישואי קטינים, נישואי אנשים מנועי חיתון זה עם זה, אי ידיעה על זוגות נשואים ועוד. פריימן מראה כי במהלך הדורות נעשה ניסיון לעבות את טקס הקידושין בהוספת פרטים שנועדו למנוע את התקלות הנוצרות במינימליזם הטקס ההלכתי. </w:t>
      </w:r>
    </w:p>
    <w:p w14:paraId="78BB3F74" w14:textId="084F60A4" w:rsidR="00A70283" w:rsidRPr="00A70283" w:rsidRDefault="00A70283" w:rsidP="00BA7ACC">
      <w:pPr>
        <w:pBdr>
          <w:top w:val="single" w:sz="4" w:space="1" w:color="auto"/>
        </w:pBdr>
        <w:rPr>
          <w:rFonts w:ascii="David" w:hAnsi="David"/>
        </w:rPr>
      </w:pPr>
      <w:r w:rsidRPr="00A70283">
        <w:rPr>
          <w:rFonts w:ascii="David" w:hAnsi="David" w:hint="cs"/>
          <w:rtl/>
        </w:rPr>
        <w:t>08.05.2022</w:t>
      </w:r>
    </w:p>
    <w:p w14:paraId="564ABF49" w14:textId="0F7AB93E" w:rsidR="001C3F87" w:rsidRPr="001C3F87" w:rsidRDefault="001C3F87" w:rsidP="00BA7ACC">
      <w:pPr>
        <w:pStyle w:val="ac"/>
        <w:numPr>
          <w:ilvl w:val="1"/>
          <w:numId w:val="19"/>
        </w:numPr>
        <w:bidi/>
        <w:spacing w:after="0"/>
        <w:rPr>
          <w:rFonts w:ascii="David" w:hAnsi="David"/>
          <w:sz w:val="22"/>
        </w:rPr>
      </w:pPr>
      <w:r>
        <w:rPr>
          <w:rFonts w:ascii="David" w:hAnsi="David" w:hint="cs"/>
          <w:sz w:val="22"/>
          <w:rtl/>
        </w:rPr>
        <w:t xml:space="preserve">במהלך הדורות בשל העובדה שמדובר בטקס יחסית פרטי, הוסיפו עם הדורות מנהגים נוספים שהפכו אותו ליותר פומבי וציבורי. </w:t>
      </w:r>
    </w:p>
    <w:p w14:paraId="78691EA3" w14:textId="00A5D4FA" w:rsidR="00AB5897" w:rsidRPr="00013064" w:rsidRDefault="009660F2" w:rsidP="009660F2">
      <w:pPr>
        <w:pStyle w:val="ac"/>
        <w:numPr>
          <w:ilvl w:val="0"/>
          <w:numId w:val="19"/>
        </w:numPr>
        <w:shd w:val="clear" w:color="auto" w:fill="FFF4CD" w:themeFill="accent1" w:themeFillTint="33"/>
        <w:bidi/>
        <w:rPr>
          <w:rFonts w:ascii="David" w:hAnsi="David"/>
          <w:b/>
          <w:bCs/>
          <w:sz w:val="22"/>
        </w:rPr>
      </w:pPr>
      <w:r w:rsidRPr="00013064">
        <w:rPr>
          <w:rFonts w:ascii="David" w:hAnsi="David" w:hint="cs"/>
          <w:b/>
          <w:bCs/>
          <w:sz w:val="22"/>
          <w:rtl/>
        </w:rPr>
        <w:t>מרכיבי טקס הקידושין:</w:t>
      </w:r>
    </w:p>
    <w:p w14:paraId="625A1A96" w14:textId="0704EEEF" w:rsidR="009660F2" w:rsidRDefault="009660F2" w:rsidP="009660F2">
      <w:pPr>
        <w:pStyle w:val="ac"/>
        <w:numPr>
          <w:ilvl w:val="2"/>
          <w:numId w:val="19"/>
        </w:numPr>
        <w:bidi/>
        <w:rPr>
          <w:rFonts w:ascii="David" w:hAnsi="David"/>
          <w:sz w:val="22"/>
        </w:rPr>
      </w:pPr>
      <w:r w:rsidRPr="00166233">
        <w:rPr>
          <w:rFonts w:ascii="David" w:hAnsi="David" w:hint="cs"/>
          <w:b/>
          <w:bCs/>
          <w:sz w:val="22"/>
          <w:shd w:val="clear" w:color="auto" w:fill="FFF4CD" w:themeFill="accent1" w:themeFillTint="33"/>
          <w:rtl/>
        </w:rPr>
        <w:t>העדים</w:t>
      </w:r>
      <w:r>
        <w:rPr>
          <w:rFonts w:ascii="David" w:hAnsi="David" w:hint="cs"/>
          <w:sz w:val="22"/>
          <w:rtl/>
        </w:rPr>
        <w:t xml:space="preserve"> - דיברנו על זה בהרחבה בעבר. אלו עדי קיום</w:t>
      </w:r>
      <w:r w:rsidR="002B0C71">
        <w:rPr>
          <w:rFonts w:ascii="David" w:hAnsi="David" w:hint="cs"/>
          <w:sz w:val="22"/>
          <w:rtl/>
        </w:rPr>
        <w:t xml:space="preserve"> ולא רק הוכחה והם חלק הכרחי.</w:t>
      </w:r>
    </w:p>
    <w:p w14:paraId="504A839A" w14:textId="70DE610F" w:rsidR="009660F2" w:rsidRDefault="009660F2" w:rsidP="009660F2">
      <w:pPr>
        <w:pStyle w:val="ac"/>
        <w:numPr>
          <w:ilvl w:val="2"/>
          <w:numId w:val="19"/>
        </w:numPr>
        <w:bidi/>
        <w:rPr>
          <w:rFonts w:ascii="David" w:hAnsi="David"/>
          <w:sz w:val="22"/>
        </w:rPr>
      </w:pPr>
      <w:r w:rsidRPr="00166233">
        <w:rPr>
          <w:rFonts w:ascii="David" w:hAnsi="David" w:hint="cs"/>
          <w:b/>
          <w:bCs/>
          <w:sz w:val="22"/>
          <w:shd w:val="clear" w:color="auto" w:fill="FFF4CD" w:themeFill="accent1" w:themeFillTint="33"/>
          <w:rtl/>
        </w:rPr>
        <w:t>מעשה הקידושין</w:t>
      </w:r>
      <w:r w:rsidR="002B0C71">
        <w:rPr>
          <w:rFonts w:ascii="David" w:hAnsi="David" w:hint="cs"/>
          <w:sz w:val="22"/>
          <w:rtl/>
        </w:rPr>
        <w:t xml:space="preserve"> - </w:t>
      </w:r>
      <w:r w:rsidR="00013064">
        <w:rPr>
          <w:rFonts w:ascii="David" w:hAnsi="David" w:hint="cs"/>
          <w:sz w:val="22"/>
          <w:rtl/>
        </w:rPr>
        <w:t>שלוש דרכים: כסף, שטר וביאה.</w:t>
      </w:r>
      <w:r w:rsidR="007A383C">
        <w:rPr>
          <w:rFonts w:ascii="David" w:hAnsi="David" w:hint="cs"/>
          <w:sz w:val="22"/>
          <w:rtl/>
        </w:rPr>
        <w:t xml:space="preserve"> אנחנו לא נתעסק בקידושי שטר כי היום זה כמעט לא רלוונטי. היום הדרך המרכזית היא קידושי כסף ובדר"כ על ידי טבעת (לא חובה דווקא טבעת).</w:t>
      </w:r>
      <w:r w:rsidR="00F00CAD">
        <w:rPr>
          <w:rFonts w:ascii="David" w:hAnsi="David" w:hint="cs"/>
          <w:sz w:val="22"/>
          <w:rtl/>
        </w:rPr>
        <w:t xml:space="preserve"> הסיבה לטבעת</w:t>
      </w:r>
      <w:r w:rsidR="001425D2">
        <w:rPr>
          <w:rFonts w:ascii="David" w:hAnsi="David" w:hint="cs"/>
          <w:sz w:val="22"/>
          <w:rtl/>
        </w:rPr>
        <w:t xml:space="preserve"> מלבד סיבות מסטיות היא גם כי הטבעת עצמה היא סימן, יש בה אמירה של זיהוי נישואין.</w:t>
      </w:r>
      <w:r w:rsidR="00B12DD9">
        <w:rPr>
          <w:rFonts w:ascii="David" w:hAnsi="David" w:hint="cs"/>
          <w:sz w:val="22"/>
          <w:rtl/>
        </w:rPr>
        <w:t xml:space="preserve"> יש חובה שחפץ הקידושין </w:t>
      </w:r>
      <w:r w:rsidR="00B8506C">
        <w:rPr>
          <w:rFonts w:ascii="David" w:hAnsi="David" w:hint="cs"/>
          <w:sz w:val="22"/>
          <w:rtl/>
        </w:rPr>
        <w:t xml:space="preserve">יהיה שייך לחתן, משום שאם הטבעת לא שייכת לחתן אז הקידושין לא תקפים. </w:t>
      </w:r>
      <w:r w:rsidR="00936721">
        <w:rPr>
          <w:rFonts w:ascii="David" w:hAnsi="David" w:hint="cs"/>
          <w:sz w:val="22"/>
          <w:rtl/>
        </w:rPr>
        <w:t>אחת הסיבות שחשוב לדעת את זה</w:t>
      </w:r>
      <w:r w:rsidR="008C7D9F">
        <w:rPr>
          <w:rFonts w:ascii="David" w:hAnsi="David" w:hint="cs"/>
          <w:sz w:val="22"/>
          <w:rtl/>
        </w:rPr>
        <w:t>, זה בגלל מקרים של עגינות. אומנם בית הדין בדר"כ קודם יחפש פסול בעדים, אבל אם לא מצא הוא יחפש פסול בטבעת ובבעלות של הטבעת.</w:t>
      </w:r>
      <w:r w:rsidR="004C2EC2">
        <w:rPr>
          <w:rFonts w:ascii="David" w:hAnsi="David" w:hint="cs"/>
          <w:sz w:val="22"/>
          <w:rtl/>
        </w:rPr>
        <w:t xml:space="preserve"> לדוג' </w:t>
      </w:r>
      <w:r w:rsidR="003441E9">
        <w:rPr>
          <w:rFonts w:ascii="David" w:hAnsi="David" w:hint="cs"/>
          <w:sz w:val="22"/>
          <w:rtl/>
        </w:rPr>
        <w:t xml:space="preserve">בעניין </w:t>
      </w:r>
      <w:r w:rsidR="004C2EC2">
        <w:rPr>
          <w:rFonts w:ascii="David" w:hAnsi="David" w:hint="cs"/>
          <w:sz w:val="22"/>
          <w:rtl/>
        </w:rPr>
        <w:t xml:space="preserve">גורדסקי אחד </w:t>
      </w:r>
      <w:r w:rsidR="003441E9">
        <w:rPr>
          <w:rFonts w:ascii="David" w:hAnsi="David" w:hint="cs"/>
          <w:sz w:val="22"/>
          <w:rtl/>
        </w:rPr>
        <w:t>מ</w:t>
      </w:r>
      <w:r w:rsidR="004C2EC2">
        <w:rPr>
          <w:rFonts w:ascii="David" w:hAnsi="David" w:hint="cs"/>
          <w:sz w:val="22"/>
          <w:rtl/>
        </w:rPr>
        <w:t>נימוקים</w:t>
      </w:r>
      <w:r w:rsidR="003441E9">
        <w:rPr>
          <w:rFonts w:ascii="David" w:hAnsi="David" w:hint="cs"/>
          <w:sz w:val="22"/>
          <w:rtl/>
        </w:rPr>
        <w:t xml:space="preserve"> של בית הדין הפרטי של הרב שפרבר</w:t>
      </w:r>
      <w:r w:rsidR="004C2EC2">
        <w:rPr>
          <w:rFonts w:ascii="David" w:hAnsi="David" w:hint="cs"/>
          <w:sz w:val="22"/>
          <w:rtl/>
        </w:rPr>
        <w:t xml:space="preserve"> היה שיש ספק אם הטבעת שייכת לחתן.</w:t>
      </w:r>
    </w:p>
    <w:p w14:paraId="1E3E7D54" w14:textId="5D5460A5" w:rsidR="00E70CB0" w:rsidRPr="00E70CB0" w:rsidRDefault="00E70CB0" w:rsidP="00E70CB0">
      <w:pPr>
        <w:pStyle w:val="ac"/>
        <w:bidi/>
        <w:ind w:left="369"/>
      </w:pPr>
      <w:r>
        <w:rPr>
          <w:rFonts w:ascii="David" w:hAnsi="David" w:hint="cs"/>
          <w:sz w:val="22"/>
          <w:u w:val="single"/>
          <w:rtl/>
        </w:rPr>
        <w:t>מה עושה אדם שאין לו כסף או רכוש פרטי?</w:t>
      </w:r>
      <w:r w:rsidR="004E3E33">
        <w:rPr>
          <w:rFonts w:hint="cs"/>
          <w:rtl/>
        </w:rPr>
        <w:t xml:space="preserve"> לדוג' בעבר בשנות שלושים של המאה הקודמת </w:t>
      </w:r>
      <w:r w:rsidR="007C3215">
        <w:rPr>
          <w:rFonts w:hint="cs"/>
          <w:rtl/>
        </w:rPr>
        <w:t xml:space="preserve">בקיבוצים לא היה רכוש פרטי ושאלה זו עלתה בקיבוצים הדתיים. </w:t>
      </w:r>
      <w:r w:rsidR="00D9455E">
        <w:rPr>
          <w:rFonts w:hint="cs"/>
          <w:rtl/>
        </w:rPr>
        <w:t xml:space="preserve"> </w:t>
      </w:r>
      <w:r w:rsidR="003C6759">
        <w:rPr>
          <w:rFonts w:hint="cs"/>
          <w:rtl/>
        </w:rPr>
        <w:t>קיבוץ טירת צבי הכין מסמך בו כל חברי הקיבוץ הקנו</w:t>
      </w:r>
      <w:r w:rsidR="00AD5C44">
        <w:rPr>
          <w:rFonts w:hint="cs"/>
          <w:rtl/>
        </w:rPr>
        <w:t xml:space="preserve"> ע"י חתימה</w:t>
      </w:r>
      <w:r w:rsidR="003C6759">
        <w:rPr>
          <w:rFonts w:hint="cs"/>
          <w:rtl/>
        </w:rPr>
        <w:t xml:space="preserve"> לבעל את הטבעת</w:t>
      </w:r>
      <w:r w:rsidR="00AD5C44">
        <w:rPr>
          <w:rFonts w:hint="cs"/>
          <w:rtl/>
        </w:rPr>
        <w:t>,</w:t>
      </w:r>
      <w:r w:rsidR="003C6759">
        <w:rPr>
          <w:rFonts w:hint="cs"/>
          <w:rtl/>
        </w:rPr>
        <w:t xml:space="preserve"> מאוד מהר הבינו שזה תהליך די מסורבל שדורש חתימות</w:t>
      </w:r>
      <w:r w:rsidR="00AD5C44">
        <w:rPr>
          <w:rFonts w:hint="cs"/>
          <w:rtl/>
        </w:rPr>
        <w:t xml:space="preserve"> מכול חברי הקיבוץ.</w:t>
      </w:r>
      <w:r w:rsidR="00131F11">
        <w:rPr>
          <w:rFonts w:hint="cs"/>
          <w:rtl/>
        </w:rPr>
        <w:t xml:space="preserve"> מה שנקבע </w:t>
      </w:r>
      <w:r w:rsidR="004A0C67">
        <w:rPr>
          <w:rFonts w:hint="cs"/>
          <w:rtl/>
        </w:rPr>
        <w:t>הוא שלחברי הקיבוץ יהיה רכוש מינימלי פרטי.</w:t>
      </w:r>
    </w:p>
    <w:p w14:paraId="017A62C6" w14:textId="4F2C02EC" w:rsidR="00B21C7C" w:rsidRDefault="001F2AAE" w:rsidP="007A383C">
      <w:pPr>
        <w:pStyle w:val="ac"/>
        <w:numPr>
          <w:ilvl w:val="2"/>
          <w:numId w:val="19"/>
        </w:numPr>
        <w:bidi/>
        <w:rPr>
          <w:rFonts w:ascii="David" w:hAnsi="David"/>
          <w:b/>
          <w:bCs/>
          <w:sz w:val="22"/>
        </w:rPr>
      </w:pPr>
      <w:r w:rsidRPr="00166233">
        <w:rPr>
          <w:rFonts w:ascii="David" w:hAnsi="David" w:hint="cs"/>
          <w:b/>
          <w:bCs/>
          <w:sz w:val="22"/>
          <w:shd w:val="clear" w:color="auto" w:fill="FFF4CD" w:themeFill="accent1" w:themeFillTint="33"/>
          <w:rtl/>
        </w:rPr>
        <w:t>הרכיב המנטלי</w:t>
      </w:r>
      <w:r w:rsidR="00B12DD9">
        <w:rPr>
          <w:rFonts w:ascii="David" w:hAnsi="David" w:hint="cs"/>
          <w:b/>
          <w:bCs/>
          <w:sz w:val="22"/>
          <w:rtl/>
        </w:rPr>
        <w:t xml:space="preserve"> -</w:t>
      </w:r>
      <w:r w:rsidR="003E78D3">
        <w:rPr>
          <w:rFonts w:ascii="David" w:hAnsi="David" w:hint="cs"/>
          <w:b/>
          <w:bCs/>
          <w:sz w:val="22"/>
          <w:rtl/>
        </w:rPr>
        <w:t xml:space="preserve"> </w:t>
      </w:r>
      <w:r w:rsidR="003E78D3">
        <w:rPr>
          <w:rFonts w:ascii="David" w:hAnsi="David" w:hint="cs"/>
          <w:sz w:val="22"/>
          <w:rtl/>
        </w:rPr>
        <w:t xml:space="preserve">הרכיב המנטלי הוא מורכב. </w:t>
      </w:r>
      <w:r w:rsidR="00171AB3">
        <w:rPr>
          <w:rFonts w:ascii="David" w:hAnsi="David" w:hint="cs"/>
          <w:sz w:val="22"/>
          <w:rtl/>
        </w:rPr>
        <w:t>גמירות דעת של קידושין היא מורכבת יותר מגמירות דעת בחוזה. גמ"ד כוללת בתוכה - רצון, הסכמה והבנה. בשונה מזה חוזה שנעשה שלא ברצון (בכפייה)</w:t>
      </w:r>
      <w:r w:rsidR="007C197A">
        <w:rPr>
          <w:rFonts w:ascii="David" w:hAnsi="David" w:hint="cs"/>
          <w:sz w:val="22"/>
          <w:rtl/>
        </w:rPr>
        <w:t xml:space="preserve"> החוזה ניתן ביטול ולא בטל מעיקרו. הרכיב הזה הוא רכיב מאוד קשה להוכחה בדיעבד.</w:t>
      </w:r>
    </w:p>
    <w:p w14:paraId="6678EC07" w14:textId="4F11E22C" w:rsidR="00B21C7C" w:rsidRDefault="00B21C7C" w:rsidP="00B21C7C">
      <w:pPr>
        <w:pStyle w:val="ac"/>
        <w:bidi/>
        <w:ind w:left="369"/>
        <w:rPr>
          <w:rFonts w:ascii="David" w:hAnsi="David"/>
          <w:sz w:val="22"/>
          <w:rtl/>
        </w:rPr>
      </w:pPr>
      <w:r>
        <w:rPr>
          <w:rFonts w:ascii="David" w:hAnsi="David" w:hint="cs"/>
          <w:sz w:val="22"/>
          <w:u w:val="single"/>
          <w:rtl/>
        </w:rPr>
        <w:t>מקח טעות</w:t>
      </w:r>
      <w:r w:rsidR="0034468E">
        <w:rPr>
          <w:rFonts w:ascii="David" w:hAnsi="David" w:hint="cs"/>
          <w:sz w:val="22"/>
          <w:u w:val="single"/>
          <w:rtl/>
        </w:rPr>
        <w:t xml:space="preserve"> -</w:t>
      </w:r>
      <w:r w:rsidR="0034468E">
        <w:rPr>
          <w:rFonts w:ascii="David" w:hAnsi="David" w:hint="cs"/>
          <w:sz w:val="22"/>
          <w:rtl/>
        </w:rPr>
        <w:t xml:space="preserve"> זו אחת הדרכים לפסול קידושין בעזרת פסול ברכיב המנטלי. מקח טעות אומר שישנו נתון קריטי או יותר שהאישה לא ידע ואם הייתה יודעת היא לא הייתה נישאת לאותו גבר. אם מסתבר שזה לא היה ידוע לה</w:t>
      </w:r>
      <w:r w:rsidR="00DE5EE4">
        <w:rPr>
          <w:rFonts w:ascii="David" w:hAnsi="David" w:hint="cs"/>
          <w:sz w:val="22"/>
          <w:rtl/>
        </w:rPr>
        <w:t xml:space="preserve"> ואישה סבירה לא הייתה נישאת לאדם כזה עולה הטענה של מקח טעות (זה נחשב פתרון רדיקלי לסרבנות שכן </w:t>
      </w:r>
      <w:r w:rsidR="002E6FC8">
        <w:rPr>
          <w:rFonts w:ascii="David" w:hAnsi="David" w:hint="cs"/>
          <w:sz w:val="22"/>
          <w:rtl/>
        </w:rPr>
        <w:t>זה טענה לביטול נישואין ללא גט). למקח טעות יש שתי מגבלות</w:t>
      </w:r>
      <w:r w:rsidR="003033DD">
        <w:rPr>
          <w:rFonts w:ascii="David" w:hAnsi="David" w:hint="cs"/>
          <w:sz w:val="22"/>
          <w:rtl/>
        </w:rPr>
        <w:t xml:space="preserve"> - בשל המגבלות הללו כמעט ולא עושים שימוש במקרה טעות לפסילת נישואין: </w:t>
      </w:r>
      <w:r w:rsidR="00B7492A">
        <w:rPr>
          <w:rFonts w:ascii="David" w:hAnsi="David" w:hint="cs"/>
          <w:sz w:val="22"/>
          <w:rtl/>
        </w:rPr>
        <w:t xml:space="preserve">א) </w:t>
      </w:r>
      <w:r w:rsidR="00023D6E">
        <w:rPr>
          <w:rFonts w:ascii="David" w:hAnsi="David" w:hint="cs"/>
          <w:b/>
          <w:bCs/>
          <w:sz w:val="22"/>
          <w:rtl/>
        </w:rPr>
        <w:t xml:space="preserve">בעיה של סובייקטיביות - </w:t>
      </w:r>
      <w:r w:rsidR="00B7492A">
        <w:rPr>
          <w:rFonts w:ascii="David" w:hAnsi="David" w:hint="cs"/>
          <w:sz w:val="22"/>
          <w:rtl/>
        </w:rPr>
        <w:t>השאלה האם האישה הייתה מתחתנת עם האדם על אף הנתון שלא ידעה עליו היא שאלה סובייקטיבית (בתלמוד גם נטען כי תתחתן כמעט אם כול אדם כי היא מעדיפה זאת על פני להיות רווקה)</w:t>
      </w:r>
      <w:r w:rsidR="00023D6E">
        <w:rPr>
          <w:rFonts w:ascii="David" w:hAnsi="David" w:hint="cs"/>
          <w:sz w:val="22"/>
          <w:rtl/>
        </w:rPr>
        <w:t xml:space="preserve">. ב) </w:t>
      </w:r>
      <w:r w:rsidR="00F010FB">
        <w:rPr>
          <w:rFonts w:ascii="David" w:hAnsi="David" w:hint="cs"/>
          <w:sz w:val="22"/>
          <w:rtl/>
        </w:rPr>
        <w:t>הטעות צריכה להיות קיימת בעת קיום מעמד הנישואין</w:t>
      </w:r>
      <w:r w:rsidR="00282CD6">
        <w:rPr>
          <w:rFonts w:ascii="David" w:hAnsi="David" w:hint="cs"/>
          <w:sz w:val="22"/>
          <w:rtl/>
        </w:rPr>
        <w:t>, הטעות לא יכולה להיות טעות עתידית</w:t>
      </w:r>
      <w:r w:rsidR="00F010FB">
        <w:rPr>
          <w:rFonts w:ascii="David" w:hAnsi="David" w:hint="cs"/>
          <w:sz w:val="22"/>
          <w:rtl/>
        </w:rPr>
        <w:t xml:space="preserve"> - </w:t>
      </w:r>
      <w:r w:rsidR="000410F4">
        <w:rPr>
          <w:rFonts w:ascii="David" w:hAnsi="David" w:hint="cs"/>
          <w:sz w:val="22"/>
          <w:rtl/>
        </w:rPr>
        <w:t>לדוג' אם הבעל חלה לאחר הנישואין זה לא מקח טעות שכן זה קרה לאחר הנישואין.</w:t>
      </w:r>
    </w:p>
    <w:p w14:paraId="7C1E8022" w14:textId="528EB3C1" w:rsidR="001B7C6E" w:rsidRDefault="001B7C6E" w:rsidP="001B7C6E">
      <w:pPr>
        <w:pStyle w:val="ac"/>
        <w:bidi/>
        <w:ind w:left="369"/>
        <w:rPr>
          <w:rFonts w:ascii="David" w:hAnsi="David"/>
          <w:sz w:val="22"/>
          <w:rtl/>
        </w:rPr>
      </w:pPr>
      <w:r>
        <w:rPr>
          <w:rFonts w:ascii="David" w:hAnsi="David" w:hint="cs"/>
          <w:sz w:val="22"/>
          <w:u w:val="single"/>
          <w:rtl/>
        </w:rPr>
        <w:t>דוגמאות לרכיב המנטלי:</w:t>
      </w:r>
    </w:p>
    <w:p w14:paraId="558F248C" w14:textId="19482E4A" w:rsidR="005F4F5E" w:rsidRDefault="0077202A" w:rsidP="00BA7ACC">
      <w:pPr>
        <w:pStyle w:val="ac"/>
        <w:numPr>
          <w:ilvl w:val="0"/>
          <w:numId w:val="40"/>
        </w:numPr>
        <w:bidi/>
        <w:rPr>
          <w:rFonts w:ascii="David" w:hAnsi="David"/>
          <w:sz w:val="22"/>
          <w:rtl/>
        </w:rPr>
      </w:pPr>
      <w:r>
        <w:rPr>
          <w:rFonts w:ascii="David" w:hAnsi="David" w:hint="cs"/>
          <w:sz w:val="22"/>
          <w:rtl/>
        </w:rPr>
        <w:t xml:space="preserve">מקרה פשוט: </w:t>
      </w:r>
      <w:r w:rsidR="002E3E59" w:rsidRPr="002E3E59">
        <w:rPr>
          <w:rFonts w:ascii="David" w:hAnsi="David" w:hint="cs"/>
          <w:sz w:val="22"/>
          <w:rtl/>
        </w:rPr>
        <w:t>אנשים רואים הצגה ובצגה יש חופה</w:t>
      </w:r>
      <w:r w:rsidR="002E3E59">
        <w:rPr>
          <w:rFonts w:ascii="David" w:hAnsi="David" w:hint="cs"/>
          <w:sz w:val="22"/>
          <w:rtl/>
        </w:rPr>
        <w:t xml:space="preserve"> ועושים שם את כל מעשה הקידושין. בוודאי שאף אחד לא רואה בטקס הזה נישואין שכן מאוד ברור שאין את הרכיב המנטלי.</w:t>
      </w:r>
    </w:p>
    <w:p w14:paraId="68BE9C6D" w14:textId="43E058BF" w:rsidR="001B7C6E" w:rsidRDefault="0077202A" w:rsidP="00BA7ACC">
      <w:pPr>
        <w:pStyle w:val="ac"/>
        <w:numPr>
          <w:ilvl w:val="0"/>
          <w:numId w:val="40"/>
        </w:numPr>
        <w:bidi/>
        <w:rPr>
          <w:rFonts w:ascii="David" w:hAnsi="David"/>
          <w:sz w:val="22"/>
        </w:rPr>
      </w:pPr>
      <w:r>
        <w:rPr>
          <w:rFonts w:ascii="David" w:hAnsi="David" w:hint="cs"/>
          <w:sz w:val="22"/>
          <w:rtl/>
        </w:rPr>
        <w:t xml:space="preserve">מקרה יותר מורכב: </w:t>
      </w:r>
      <w:r w:rsidR="001B7C6E">
        <w:rPr>
          <w:rFonts w:ascii="David" w:hAnsi="David" w:hint="cs"/>
          <w:sz w:val="22"/>
          <w:rtl/>
        </w:rPr>
        <w:t>נישואים פיקטיביי</w:t>
      </w:r>
      <w:r w:rsidR="001B7C6E">
        <w:rPr>
          <w:rFonts w:ascii="David" w:hAnsi="David" w:hint="eastAsia"/>
          <w:sz w:val="22"/>
          <w:rtl/>
        </w:rPr>
        <w:t>ם</w:t>
      </w:r>
      <w:r w:rsidR="001B7C6E">
        <w:rPr>
          <w:rFonts w:ascii="David" w:hAnsi="David" w:hint="cs"/>
          <w:sz w:val="22"/>
          <w:rtl/>
        </w:rPr>
        <w:t xml:space="preserve"> - </w:t>
      </w:r>
      <w:r w:rsidR="009369FB">
        <w:rPr>
          <w:rFonts w:ascii="David" w:hAnsi="David" w:hint="cs"/>
          <w:sz w:val="22"/>
          <w:rtl/>
        </w:rPr>
        <w:t xml:space="preserve">מה </w:t>
      </w:r>
      <w:r w:rsidR="002876C7">
        <w:rPr>
          <w:rFonts w:ascii="David" w:hAnsi="David" w:hint="cs"/>
          <w:sz w:val="22"/>
          <w:rtl/>
        </w:rPr>
        <w:t>מעמדם</w:t>
      </w:r>
      <w:r w:rsidR="009369FB">
        <w:rPr>
          <w:rFonts w:ascii="David" w:hAnsi="David" w:hint="cs"/>
          <w:sz w:val="22"/>
          <w:rtl/>
        </w:rPr>
        <w:t xml:space="preserve"> שלנישואים כאלו כאשר הכול נעשה על פי הספר מול רב ועדים אבל המטרה של הנישואין הייתה למטרת קבלת </w:t>
      </w:r>
      <w:r w:rsidR="002876C7">
        <w:rPr>
          <w:rFonts w:ascii="David" w:hAnsi="David" w:hint="cs"/>
          <w:sz w:val="22"/>
          <w:rtl/>
        </w:rPr>
        <w:t>אזרחות</w:t>
      </w:r>
      <w:r w:rsidR="008D3CAB">
        <w:rPr>
          <w:rFonts w:ascii="David" w:hAnsi="David" w:hint="cs"/>
          <w:sz w:val="22"/>
          <w:rtl/>
        </w:rPr>
        <w:t>. זה מורכב הרבה יותר מהמקרה הראשון שכן קשה להוכיח שזו הייתה הסיבה היחידה לנישואין.</w:t>
      </w:r>
      <w:r w:rsidR="00A27D46">
        <w:rPr>
          <w:rFonts w:ascii="David" w:hAnsi="David" w:hint="cs"/>
          <w:sz w:val="22"/>
          <w:rtl/>
        </w:rPr>
        <w:t xml:space="preserve"> בתקופת המנדט הי</w:t>
      </w:r>
      <w:r w:rsidR="004634DE">
        <w:rPr>
          <w:rFonts w:ascii="David" w:hAnsi="David" w:hint="cs"/>
          <w:sz w:val="22"/>
          <w:rtl/>
        </w:rPr>
        <w:t>יתה תעשייה שלמה של נישואין פיקטיביים כדי להעלות לארץ נשים</w:t>
      </w:r>
      <w:r w:rsidR="00423FCB">
        <w:rPr>
          <w:rFonts w:ascii="David" w:hAnsi="David" w:hint="cs"/>
          <w:sz w:val="22"/>
          <w:rtl/>
        </w:rPr>
        <w:t xml:space="preserve">. לימים הבריטים עלו על זה וביטלו את הסעיף שאפשר לגברים </w:t>
      </w:r>
      <w:r w:rsidR="00BE51A3">
        <w:rPr>
          <w:rFonts w:ascii="David" w:hAnsi="David" w:hint="cs"/>
          <w:sz w:val="22"/>
          <w:rtl/>
        </w:rPr>
        <w:t>לתת אזרחות לאישה שאיתה הם מתחתנים.</w:t>
      </w:r>
    </w:p>
    <w:p w14:paraId="07DFAAC7" w14:textId="21332129" w:rsidR="00377DAE" w:rsidRDefault="00BE51A3" w:rsidP="00BA7ACC">
      <w:pPr>
        <w:pStyle w:val="ac"/>
        <w:numPr>
          <w:ilvl w:val="0"/>
          <w:numId w:val="40"/>
        </w:numPr>
        <w:bidi/>
        <w:rPr>
          <w:rFonts w:ascii="David" w:hAnsi="David"/>
          <w:sz w:val="22"/>
        </w:rPr>
      </w:pPr>
      <w:r>
        <w:rPr>
          <w:rFonts w:ascii="David" w:hAnsi="David" w:hint="cs"/>
          <w:sz w:val="22"/>
          <w:rtl/>
        </w:rPr>
        <w:t xml:space="preserve">קידושי שחוק - </w:t>
      </w:r>
      <w:r w:rsidR="00303A69">
        <w:rPr>
          <w:rFonts w:ascii="David" w:hAnsi="David" w:hint="cs"/>
          <w:sz w:val="22"/>
          <w:rtl/>
        </w:rPr>
        <w:t xml:space="preserve">כאשר אישה ואישה נישאים מתוך צחוק ולא ברצינות. בדר"כ מספרים את זה על ילדים אך זה קורה גם אם אנשים </w:t>
      </w:r>
      <w:r w:rsidR="00377DAE">
        <w:rPr>
          <w:rFonts w:ascii="David" w:hAnsi="David" w:hint="cs"/>
          <w:sz w:val="22"/>
          <w:rtl/>
        </w:rPr>
        <w:t>יותר מבוגרים. יש רבנים שיש יתירו ויגידו שברור שאין את הרכיב המנטלי אבל יש רבנים שיגידו שכול עוד אפשר לסדר גט אז עדיף.</w:t>
      </w:r>
    </w:p>
    <w:p w14:paraId="418BE781" w14:textId="3BFC881A" w:rsidR="00377DAE" w:rsidRDefault="00377DAE" w:rsidP="00BE0277">
      <w:pPr>
        <w:pStyle w:val="ac"/>
        <w:bidi/>
        <w:ind w:left="0"/>
        <w:rPr>
          <w:rFonts w:ascii="David" w:hAnsi="David"/>
          <w:sz w:val="22"/>
          <w:rtl/>
        </w:rPr>
      </w:pPr>
      <w:r w:rsidRPr="00513C7E">
        <w:rPr>
          <w:rFonts w:ascii="David" w:hAnsi="David" w:hint="cs"/>
          <w:sz w:val="22"/>
          <w:highlight w:val="cyan"/>
          <w:rtl/>
        </w:rPr>
        <w:t>פס"ד</w:t>
      </w:r>
      <w:r w:rsidR="000957E5" w:rsidRPr="00513C7E">
        <w:rPr>
          <w:rFonts w:ascii="David" w:hAnsi="David" w:hint="cs"/>
          <w:sz w:val="22"/>
          <w:highlight w:val="cyan"/>
          <w:rtl/>
        </w:rPr>
        <w:t xml:space="preserve"> 1227676/01</w:t>
      </w:r>
      <w:r w:rsidR="00513C7E">
        <w:rPr>
          <w:rFonts w:ascii="David" w:hAnsi="David" w:hint="cs"/>
          <w:sz w:val="22"/>
          <w:rtl/>
        </w:rPr>
        <w:t xml:space="preserve">: </w:t>
      </w:r>
      <w:r w:rsidR="000957E5">
        <w:rPr>
          <w:rFonts w:ascii="David" w:hAnsi="David" w:hint="cs"/>
          <w:sz w:val="22"/>
          <w:rtl/>
        </w:rPr>
        <w:t xml:space="preserve">באותו מקרה האישה כאשר היא הייתה בת 15 היא הלכה עם חבר בקניון </w:t>
      </w:r>
      <w:r w:rsidR="002D18FB">
        <w:rPr>
          <w:rFonts w:ascii="David" w:hAnsi="David" w:hint="cs"/>
          <w:sz w:val="22"/>
          <w:rtl/>
        </w:rPr>
        <w:t xml:space="preserve">בפריז והחבר שאל אותה אם היא רוצה להתחתן והביא לה טבעת. כעת היא ניגשה לבית הדין שיוודא שאכן אין בעיה. </w:t>
      </w:r>
      <w:r w:rsidR="00157102">
        <w:rPr>
          <w:rFonts w:ascii="David" w:hAnsi="David" w:hint="cs"/>
          <w:sz w:val="22"/>
          <w:rtl/>
        </w:rPr>
        <w:t xml:space="preserve">באותו מקרה היה איתם עוד אדם והוא זוכר את המקרה הזה. היא עומדת להתחתן והיא לא ישנה בלילה בגלל זה כי היא פוחדת שהיא אשת איש. בית הדין עושה מאמץ גדול </w:t>
      </w:r>
      <w:r w:rsidR="00157102">
        <w:rPr>
          <w:rFonts w:ascii="David" w:hAnsi="David" w:hint="cs"/>
          <w:sz w:val="22"/>
          <w:rtl/>
        </w:rPr>
        <w:lastRenderedPageBreak/>
        <w:t>להראות שזה לא תקף ואין חשש לקידושין.</w:t>
      </w:r>
      <w:r w:rsidR="00304DBD">
        <w:rPr>
          <w:rFonts w:ascii="David" w:hAnsi="David" w:hint="cs"/>
          <w:sz w:val="22"/>
          <w:rtl/>
        </w:rPr>
        <w:t xml:space="preserve"> בי"ד נותן המון פגמים - אומר שיש בעיה בעדים, יש בעיה בכוונה ויש גם בעיה </w:t>
      </w:r>
      <w:r w:rsidR="00513C7E">
        <w:rPr>
          <w:rFonts w:ascii="David" w:hAnsi="David" w:hint="cs"/>
          <w:sz w:val="22"/>
          <w:rtl/>
        </w:rPr>
        <w:t>במעשה (הנער הביא את הטבעת לפני שביקשת את ידה). בי"ד מתייחס למקרה ברצינות ולא אומר שאין פה קידושין כלאחר יד.</w:t>
      </w:r>
    </w:p>
    <w:p w14:paraId="61FE27F5" w14:textId="638E8ADD" w:rsidR="00FC743B" w:rsidRDefault="003F63D0" w:rsidP="003F63D0">
      <w:pPr>
        <w:pStyle w:val="ac"/>
        <w:bidi/>
        <w:ind w:left="0"/>
        <w:rPr>
          <w:rFonts w:ascii="David" w:hAnsi="David"/>
          <w:sz w:val="22"/>
          <w:rtl/>
        </w:rPr>
      </w:pPr>
      <w:r w:rsidRPr="003F63D0">
        <w:rPr>
          <w:rFonts w:ascii="David" w:hAnsi="David" w:hint="cs"/>
          <w:sz w:val="22"/>
          <w:highlight w:val="cyan"/>
          <w:rtl/>
        </w:rPr>
        <w:t>תיק 886271/2</w:t>
      </w:r>
      <w:r w:rsidR="005F467E">
        <w:rPr>
          <w:rFonts w:ascii="David" w:hAnsi="David" w:hint="cs"/>
          <w:sz w:val="22"/>
          <w:rtl/>
        </w:rPr>
        <w:t xml:space="preserve">- </w:t>
      </w:r>
      <w:r w:rsidR="00FC743B">
        <w:rPr>
          <w:rFonts w:ascii="David" w:hAnsi="David" w:hint="cs"/>
          <w:sz w:val="22"/>
          <w:rtl/>
        </w:rPr>
        <w:t xml:space="preserve"> </w:t>
      </w:r>
      <w:r w:rsidR="00B83AD8">
        <w:rPr>
          <w:rFonts w:ascii="David" w:hAnsi="David" w:hint="cs"/>
          <w:sz w:val="22"/>
          <w:rtl/>
        </w:rPr>
        <w:t xml:space="preserve">אישה </w:t>
      </w:r>
      <w:r w:rsidR="00B75C6C">
        <w:rPr>
          <w:rFonts w:ascii="David" w:hAnsi="David" w:hint="cs"/>
          <w:sz w:val="22"/>
          <w:rtl/>
        </w:rPr>
        <w:t xml:space="preserve">רוצה להינשא לאדם שהכירה אבל היא מציינת כי בשתי </w:t>
      </w:r>
      <w:r w:rsidR="00C94244">
        <w:rPr>
          <w:rFonts w:ascii="David" w:hAnsi="David" w:hint="cs"/>
          <w:sz w:val="22"/>
          <w:rtl/>
        </w:rPr>
        <w:t>הזדמנויו</w:t>
      </w:r>
      <w:r w:rsidR="00C94244">
        <w:rPr>
          <w:rFonts w:ascii="David" w:hAnsi="David" w:hint="eastAsia"/>
          <w:sz w:val="22"/>
          <w:rtl/>
        </w:rPr>
        <w:t>ת</w:t>
      </w:r>
      <w:r w:rsidR="00B75C6C">
        <w:rPr>
          <w:rFonts w:ascii="David" w:hAnsi="David" w:hint="cs"/>
          <w:sz w:val="22"/>
          <w:rtl/>
        </w:rPr>
        <w:t xml:space="preserve"> שונות נעשו כביכול מעשה קידושין. המקרה הראשון הוא קידושי שחוק</w:t>
      </w:r>
      <w:r w:rsidR="00C94244">
        <w:rPr>
          <w:rFonts w:ascii="David" w:hAnsi="David" w:hint="cs"/>
          <w:sz w:val="22"/>
          <w:rtl/>
        </w:rPr>
        <w:t xml:space="preserve"> - גבר היא לה במועדון טבעת והציע לה להתחתן. המקרה השני - קידושין פיקטיביי</w:t>
      </w:r>
      <w:r w:rsidR="00C94244">
        <w:rPr>
          <w:rFonts w:ascii="David" w:hAnsi="David" w:hint="eastAsia"/>
          <w:sz w:val="22"/>
          <w:rtl/>
        </w:rPr>
        <w:t>ם</w:t>
      </w:r>
      <w:r w:rsidR="00C94244">
        <w:rPr>
          <w:rFonts w:ascii="David" w:hAnsi="David" w:hint="cs"/>
          <w:sz w:val="22"/>
          <w:rtl/>
        </w:rPr>
        <w:t xml:space="preserve">. בעוד לגבי המקרה הראשון בית הדין אומר באופן ברור שלא היה קידושין כי </w:t>
      </w:r>
      <w:r w:rsidR="00312E43">
        <w:rPr>
          <w:rFonts w:ascii="David" w:hAnsi="David" w:hint="cs"/>
          <w:sz w:val="22"/>
          <w:rtl/>
        </w:rPr>
        <w:t>לא היה רכיב כוונה. אולם לגבי הנישואין הפיקטיביים ובגלל שהם גרו קצת יחד עדיף לעשות גט לחומרה.</w:t>
      </w:r>
      <w:r w:rsidR="0028648A">
        <w:rPr>
          <w:rFonts w:ascii="David" w:hAnsi="David" w:hint="cs"/>
          <w:sz w:val="22"/>
          <w:rtl/>
        </w:rPr>
        <w:t xml:space="preserve"> אכן סידרו לה גט ובגלל זה היא לא תוכל להינשא לכהן.</w:t>
      </w:r>
    </w:p>
    <w:p w14:paraId="0808C49F" w14:textId="4255DB86" w:rsidR="002857A4" w:rsidRPr="002857A4" w:rsidRDefault="007446D2" w:rsidP="002857A4">
      <w:pPr>
        <w:pStyle w:val="ac"/>
        <w:bidi/>
        <w:ind w:left="0"/>
        <w:rPr>
          <w:rFonts w:ascii="David" w:hAnsi="David"/>
          <w:rtl/>
        </w:rPr>
      </w:pPr>
      <w:r w:rsidRPr="00803031">
        <w:rPr>
          <w:rFonts w:ascii="David" w:hAnsi="David" w:hint="cs"/>
          <w:sz w:val="22"/>
          <w:highlight w:val="cyan"/>
          <w:rtl/>
        </w:rPr>
        <w:t>8188/19</w:t>
      </w:r>
      <w:r>
        <w:rPr>
          <w:rFonts w:ascii="David" w:hAnsi="David" w:hint="cs"/>
          <w:sz w:val="22"/>
          <w:rtl/>
        </w:rPr>
        <w:t xml:space="preserve">: בני זוג חיו שנים בקשר זוגי לאחר ילדם השלישי החליטו לעשות טקס קידושין. הטקס היה </w:t>
      </w:r>
      <w:r w:rsidR="00803031">
        <w:rPr>
          <w:rFonts w:ascii="David" w:hAnsi="David" w:hint="cs"/>
          <w:sz w:val="22"/>
          <w:rtl/>
        </w:rPr>
        <w:t xml:space="preserve">פרטי ולא מול הרבה עדים. לאחר כמה שנים הוא טס לרומניה ומתחתן אזרחית עם אישה רומניה. </w:t>
      </w:r>
      <w:r w:rsidR="0052053C">
        <w:rPr>
          <w:rFonts w:ascii="David" w:hAnsi="David" w:hint="cs"/>
          <w:sz w:val="22"/>
          <w:rtl/>
        </w:rPr>
        <w:t xml:space="preserve">האישה </w:t>
      </w:r>
      <w:r w:rsidR="009E73EA">
        <w:rPr>
          <w:rFonts w:ascii="David" w:hAnsi="David" w:hint="cs"/>
          <w:sz w:val="22"/>
          <w:rtl/>
        </w:rPr>
        <w:t>ת</w:t>
      </w:r>
      <w:r w:rsidR="0052053C">
        <w:rPr>
          <w:rFonts w:ascii="David" w:hAnsi="David" w:hint="cs"/>
          <w:sz w:val="22"/>
          <w:rtl/>
        </w:rPr>
        <w:t xml:space="preserve">ובעת בבית הדין גירושין. הבעל טוען שבית הדין לא יכול לדון במקרה מכיוון שהם מעולם לא התחתנו (מכחיש את המקרה). </w:t>
      </w:r>
      <w:r w:rsidR="002857A4" w:rsidRPr="002857A4">
        <w:rPr>
          <w:rFonts w:ascii="David" w:hAnsi="David" w:hint="cs"/>
          <w:rtl/>
        </w:rPr>
        <w:t xml:space="preserve">ביה"ד קובע כי הגבר משקר </w:t>
      </w:r>
      <w:r w:rsidR="002857A4" w:rsidRPr="002857A4">
        <w:rPr>
          <w:rFonts w:ascii="David" w:hAnsi="David"/>
          <w:rtl/>
        </w:rPr>
        <w:t>–</w:t>
      </w:r>
      <w:r w:rsidR="002857A4" w:rsidRPr="002857A4">
        <w:rPr>
          <w:rFonts w:ascii="David" w:hAnsi="David" w:hint="cs"/>
          <w:rtl/>
        </w:rPr>
        <w:t xml:space="preserve"> מה שמביא אותו לעתור לביה"ד הגדול ומשם לבג"צ. העתירה נדחתה, אך עצם האפשרות להכחיש נישואין שנעשו בצורה פרטית מראה את הבעייתיות בטקס ובמרכיביו הנדרשים, אשר אינם כוללים רכיב המוכיח את הטקס באופן ברור ומוחלט.</w:t>
      </w:r>
    </w:p>
    <w:p w14:paraId="055EC107" w14:textId="3B485A2A" w:rsidR="003F2408" w:rsidRDefault="005E2DE3" w:rsidP="005E2DE3">
      <w:pPr>
        <w:pStyle w:val="ac"/>
        <w:bidi/>
        <w:ind w:left="0"/>
        <w:rPr>
          <w:rFonts w:ascii="David" w:hAnsi="David"/>
          <w:sz w:val="22"/>
          <w:rtl/>
        </w:rPr>
      </w:pPr>
      <w:r w:rsidRPr="00483854">
        <w:rPr>
          <w:rFonts w:ascii="David" w:hAnsi="David" w:hint="cs"/>
          <w:sz w:val="22"/>
          <w:highlight w:val="cyan"/>
          <w:rtl/>
        </w:rPr>
        <w:t xml:space="preserve">פס"ד </w:t>
      </w:r>
      <w:r w:rsidRPr="002857A4">
        <w:rPr>
          <w:rFonts w:ascii="David" w:hAnsi="David" w:hint="cs"/>
          <w:sz w:val="22"/>
          <w:highlight w:val="cyan"/>
          <w:rtl/>
        </w:rPr>
        <w:t>20</w:t>
      </w:r>
      <w:r w:rsidR="00483854" w:rsidRPr="002857A4">
        <w:rPr>
          <w:rFonts w:ascii="David" w:hAnsi="David" w:hint="cs"/>
          <w:sz w:val="22"/>
          <w:highlight w:val="cyan"/>
          <w:rtl/>
        </w:rPr>
        <w:t>0</w:t>
      </w:r>
      <w:r w:rsidRPr="002857A4">
        <w:rPr>
          <w:rFonts w:ascii="David" w:hAnsi="David" w:hint="cs"/>
          <w:sz w:val="22"/>
          <w:highlight w:val="cyan"/>
          <w:rtl/>
        </w:rPr>
        <w:t>9</w:t>
      </w:r>
      <w:r w:rsidR="002857A4">
        <w:rPr>
          <w:rFonts w:ascii="David" w:hAnsi="David" w:hint="cs"/>
          <w:sz w:val="22"/>
          <w:highlight w:val="cyan"/>
          <w:rtl/>
        </w:rPr>
        <w:t xml:space="preserve">- </w:t>
      </w:r>
      <w:r w:rsidRPr="002857A4">
        <w:rPr>
          <w:rFonts w:ascii="David" w:hAnsi="David" w:hint="cs"/>
          <w:sz w:val="22"/>
          <w:highlight w:val="cyan"/>
          <w:rtl/>
        </w:rPr>
        <w:t>בבית הדין האזורי בפתח תקווה</w:t>
      </w:r>
      <w:r w:rsidR="002857A4">
        <w:rPr>
          <w:rFonts w:ascii="David" w:hAnsi="David" w:hint="cs"/>
          <w:sz w:val="22"/>
          <w:rtl/>
        </w:rPr>
        <w:t>:</w:t>
      </w:r>
      <w:r>
        <w:rPr>
          <w:rFonts w:ascii="David" w:hAnsi="David" w:hint="cs"/>
          <w:sz w:val="22"/>
          <w:rtl/>
        </w:rPr>
        <w:t xml:space="preserve"> - מגיעה לבית הדין אישה </w:t>
      </w:r>
      <w:r w:rsidR="009C3020">
        <w:rPr>
          <w:rFonts w:ascii="David" w:hAnsi="David" w:hint="cs"/>
          <w:sz w:val="22"/>
          <w:rtl/>
        </w:rPr>
        <w:t>שסובלת מבעיות נפשיות, היא טוענת שהגבר טוען שהיא אישתו והיא מבקשת מבית הדין להכריז כי הם לא נישואין. מה שקרה בפועל הוא שאדם חרדי הגדול ממנה ב-27</w:t>
      </w:r>
      <w:r w:rsidR="00AC676D">
        <w:rPr>
          <w:rFonts w:ascii="David" w:hAnsi="David" w:hint="cs"/>
          <w:sz w:val="22"/>
          <w:rtl/>
        </w:rPr>
        <w:t xml:space="preserve"> התחתן עימה בבית כנסת בבני ברק. בית הדין קובע גט. בית הדין מגלה כי האדם שנישא לה הוא מתחתן ומ</w:t>
      </w:r>
      <w:r w:rsidR="00260F82">
        <w:rPr>
          <w:rFonts w:ascii="David" w:hAnsi="David" w:hint="cs"/>
          <w:sz w:val="22"/>
          <w:rtl/>
        </w:rPr>
        <w:t>תגרש באופן סידרתי</w:t>
      </w:r>
      <w:r w:rsidR="003F2408">
        <w:rPr>
          <w:rFonts w:ascii="David" w:hAnsi="David" w:hint="cs"/>
          <w:sz w:val="22"/>
          <w:rtl/>
        </w:rPr>
        <w:t xml:space="preserve"> (כנראה כי הוא רוצה כסף).</w:t>
      </w:r>
    </w:p>
    <w:p w14:paraId="6254FBB3" w14:textId="78600C32" w:rsidR="007A383C" w:rsidRPr="000E54EB" w:rsidRDefault="003F2408" w:rsidP="000E54EB">
      <w:pPr>
        <w:pStyle w:val="ac"/>
        <w:bidi/>
        <w:ind w:left="0"/>
        <w:rPr>
          <w:rFonts w:ascii="David" w:hAnsi="David"/>
          <w:sz w:val="22"/>
        </w:rPr>
      </w:pPr>
      <w:r>
        <w:rPr>
          <w:rFonts w:ascii="David" w:hAnsi="David" w:hint="cs"/>
          <w:sz w:val="22"/>
          <w:rtl/>
        </w:rPr>
        <w:t>המציאות הזו היא מאוד בעייתי גם הלכתית שכן ההלכה מאפשרת לאדם להינשא ולהתגרש באופן פרטי ללא פיקוח.</w:t>
      </w:r>
      <w:r w:rsidR="00CF1405">
        <w:rPr>
          <w:rFonts w:ascii="David" w:hAnsi="David" w:hint="cs"/>
          <w:sz w:val="22"/>
          <w:rtl/>
        </w:rPr>
        <w:t xml:space="preserve"> בעבר היה ניסיון להתמודד עם בעיית קידושי סתר, הם תקפים אבל הם יוצרים המון בעיות.</w:t>
      </w:r>
      <w:r w:rsidR="00E71F1C">
        <w:rPr>
          <w:rFonts w:ascii="David" w:hAnsi="David" w:hint="cs"/>
          <w:sz w:val="22"/>
          <w:rtl/>
        </w:rPr>
        <w:t xml:space="preserve"> היה ניסיון הלכתי להגיד שלקידושין כאלה אין תוקף</w:t>
      </w:r>
      <w:r w:rsidR="00336DCC">
        <w:rPr>
          <w:rFonts w:ascii="David" w:hAnsi="David" w:hint="cs"/>
          <w:sz w:val="22"/>
          <w:rtl/>
        </w:rPr>
        <w:t xml:space="preserve"> אבל ניסיון זה לא צלח.</w:t>
      </w:r>
      <w:r w:rsidR="00260F82">
        <w:rPr>
          <w:rFonts w:ascii="David" w:hAnsi="David" w:hint="cs"/>
          <w:sz w:val="22"/>
          <w:rtl/>
        </w:rPr>
        <w:t xml:space="preserve"> </w:t>
      </w:r>
    </w:p>
    <w:p w14:paraId="69553DB3" w14:textId="77777777" w:rsidR="00483854" w:rsidRPr="00483854" w:rsidRDefault="000E54EB" w:rsidP="00483854">
      <w:pPr>
        <w:pStyle w:val="ac"/>
        <w:numPr>
          <w:ilvl w:val="1"/>
          <w:numId w:val="19"/>
        </w:numPr>
        <w:bidi/>
        <w:rPr>
          <w:rFonts w:ascii="David" w:hAnsi="David"/>
          <w:sz w:val="22"/>
        </w:rPr>
      </w:pPr>
      <w:r>
        <w:rPr>
          <w:rFonts w:ascii="David" w:hAnsi="David" w:hint="cs"/>
          <w:b/>
          <w:bCs/>
          <w:sz w:val="22"/>
          <w:rtl/>
        </w:rPr>
        <w:t xml:space="preserve">פקודת רישום נישואים מ- 1919 (עד היום היא בתוקף) </w:t>
      </w:r>
      <w:r>
        <w:rPr>
          <w:rFonts w:ascii="David" w:hAnsi="David" w:hint="cs"/>
          <w:sz w:val="22"/>
          <w:rtl/>
        </w:rPr>
        <w:t xml:space="preserve"> - עד 2013 ההגדרה הייתה שכול רב יכול לחתן, למה לא הוגדר בחוק המקורי רב של הרבנות הראשית? כי עוד לא הייתה קיימת </w:t>
      </w:r>
      <w:r w:rsidR="004C79E5">
        <w:rPr>
          <w:rFonts w:ascii="David" w:hAnsi="David" w:hint="cs"/>
          <w:sz w:val="22"/>
          <w:rtl/>
        </w:rPr>
        <w:t>רבנות ראשית. השינוי ב2013 הוא הסעיף העונשי שקובע שכל מיש לא דואג לרישום הנישואים שלו ברבנות או רב שלא עשה זאת דינו מאסר שנתיים.</w:t>
      </w:r>
      <w:r w:rsidR="00483854">
        <w:rPr>
          <w:rFonts w:ascii="David" w:hAnsi="David" w:hint="cs"/>
          <w:sz w:val="22"/>
          <w:rtl/>
        </w:rPr>
        <w:t xml:space="preserve"> </w:t>
      </w:r>
    </w:p>
    <w:p w14:paraId="680C38DC" w14:textId="40C1E404" w:rsidR="0020433D" w:rsidRDefault="00604C64" w:rsidP="00483854">
      <w:pPr>
        <w:pStyle w:val="ac"/>
        <w:bidi/>
        <w:ind w:left="199"/>
        <w:rPr>
          <w:rFonts w:ascii="David" w:hAnsi="David"/>
          <w:sz w:val="22"/>
        </w:rPr>
      </w:pPr>
      <w:r w:rsidRPr="00483854">
        <w:rPr>
          <w:rFonts w:ascii="David" w:hAnsi="David" w:hint="cs"/>
          <w:rtl/>
        </w:rPr>
        <w:t xml:space="preserve">מקרה בו אישה רצתה להינשא </w:t>
      </w:r>
      <w:r w:rsidR="00F86733" w:rsidRPr="00483854">
        <w:rPr>
          <w:rFonts w:ascii="David" w:hAnsi="David" w:hint="cs"/>
          <w:rtl/>
        </w:rPr>
        <w:t>אבל האקס שלה החליט להתנקם בה וטען ברבנות שהוא קידש אותה מספר פעמים. הרבנות הכניסו אותה לרשימת מעוקבי חיתון.</w:t>
      </w:r>
      <w:r w:rsidR="00B06A5D" w:rsidRPr="00483854">
        <w:rPr>
          <w:rFonts w:ascii="David" w:hAnsi="David" w:hint="cs"/>
          <w:rtl/>
        </w:rPr>
        <w:t xml:space="preserve"> בית הדין בתל אביב מקיים הליך לבדוק האם הקידושין תקפים, לבסוף הרב קבוע שאין צורך בגט ואפשר להוציא אותה מרשימת מעוקבי החיתון.</w:t>
      </w:r>
      <w:r w:rsidR="0020433D" w:rsidRPr="00483854">
        <w:rPr>
          <w:rFonts w:ascii="David" w:hAnsi="David" w:hint="cs"/>
          <w:rtl/>
        </w:rPr>
        <w:t xml:space="preserve"> </w:t>
      </w:r>
      <w:r w:rsidR="00483854" w:rsidRPr="00483854">
        <w:rPr>
          <w:rFonts w:ascii="David" w:hAnsi="David" w:hint="cs"/>
          <w:rtl/>
        </w:rPr>
        <w:t xml:space="preserve"> </w:t>
      </w:r>
      <w:r w:rsidR="0020433D" w:rsidRPr="00483854">
        <w:rPr>
          <w:rFonts w:ascii="David" w:hAnsi="David" w:hint="cs"/>
          <w:rtl/>
        </w:rPr>
        <w:t>המקרה הזה מלמד שישנה בעיה רצינית באופן הפרטי של הקידושין ובכך שהדבר שהגבר עשה אינו מהווה כלל עבירה.</w:t>
      </w:r>
    </w:p>
    <w:p w14:paraId="572CE9EA" w14:textId="61B7C1BE" w:rsidR="00483854" w:rsidRPr="002857A4" w:rsidRDefault="004013B7" w:rsidP="002857A4">
      <w:pPr>
        <w:pStyle w:val="ac"/>
        <w:numPr>
          <w:ilvl w:val="0"/>
          <w:numId w:val="19"/>
        </w:numPr>
        <w:shd w:val="clear" w:color="auto" w:fill="FFF4CD" w:themeFill="accent1" w:themeFillTint="33"/>
        <w:bidi/>
        <w:rPr>
          <w:rFonts w:ascii="David" w:hAnsi="David"/>
          <w:b/>
          <w:bCs/>
          <w:sz w:val="22"/>
        </w:rPr>
      </w:pPr>
      <w:r w:rsidRPr="002857A4">
        <w:rPr>
          <w:rFonts w:ascii="David" w:hAnsi="David" w:hint="cs"/>
          <w:b/>
          <w:bCs/>
          <w:sz w:val="22"/>
          <w:rtl/>
        </w:rPr>
        <w:t>פתרונות למציאות קידושי הסתר:</w:t>
      </w:r>
    </w:p>
    <w:p w14:paraId="557DFCE6" w14:textId="77777777" w:rsidR="005B35A7" w:rsidRPr="00A47966" w:rsidRDefault="00483854" w:rsidP="005B35A7">
      <w:pPr>
        <w:pStyle w:val="ac"/>
        <w:numPr>
          <w:ilvl w:val="1"/>
          <w:numId w:val="19"/>
        </w:numPr>
        <w:bidi/>
        <w:rPr>
          <w:rFonts w:ascii="David" w:hAnsi="David"/>
          <w:sz w:val="22"/>
        </w:rPr>
      </w:pPr>
      <w:r w:rsidRPr="00A47966">
        <w:rPr>
          <w:rFonts w:ascii="David" w:hAnsi="David" w:hint="cs"/>
          <w:b/>
          <w:bCs/>
          <w:rtl/>
        </w:rPr>
        <w:t>המקרה הבולט ביותר לעיבוי טקס הנישואין -</w:t>
      </w:r>
      <w:r w:rsidRPr="00A47966">
        <w:rPr>
          <w:rFonts w:ascii="David" w:hAnsi="David" w:hint="cs"/>
          <w:rtl/>
        </w:rPr>
        <w:t xml:space="preserve"> </w:t>
      </w:r>
      <w:r w:rsidR="005B35A7" w:rsidRPr="00A47966">
        <w:rPr>
          <w:rFonts w:ascii="David" w:hAnsi="David" w:hint="cs"/>
          <w:b/>
          <w:bCs/>
          <w:rtl/>
        </w:rPr>
        <w:t>תשובה מתקופת הגאונים</w:t>
      </w:r>
      <w:r w:rsidR="005B35A7" w:rsidRPr="00A47966">
        <w:rPr>
          <w:rFonts w:ascii="David" w:hAnsi="David" w:hint="cs"/>
          <w:rtl/>
        </w:rPr>
        <w:t>: מספרת על תקנה שהייתה בבבל, לפיה אסור לעשות קידושין ללא טקס של אמירת שבע ברכות. קביעת הצורך באמירת שבע הברכות נבעה מהחיוב במניין לשם אמירת הברכות, מה שלמעשה מבטיח מספר ברור יותר של אנשים, כך שהכחשת קיום הטקס תהיה מורכבת יותר</w:t>
      </w:r>
    </w:p>
    <w:p w14:paraId="4DA4EF3A" w14:textId="062D0D86" w:rsidR="004013B7" w:rsidRPr="005B35A7" w:rsidRDefault="00DD04F0" w:rsidP="005B35A7">
      <w:pPr>
        <w:pStyle w:val="ac"/>
        <w:numPr>
          <w:ilvl w:val="1"/>
          <w:numId w:val="19"/>
        </w:numPr>
        <w:bidi/>
        <w:rPr>
          <w:rFonts w:ascii="David" w:hAnsi="David"/>
          <w:sz w:val="22"/>
        </w:rPr>
      </w:pPr>
      <w:r w:rsidRPr="005B35A7">
        <w:rPr>
          <w:rFonts w:ascii="David" w:hAnsi="David" w:hint="cs"/>
          <w:b/>
          <w:bCs/>
          <w:rtl/>
        </w:rPr>
        <w:t>תקנה המצרים</w:t>
      </w:r>
      <w:r w:rsidR="00A47966">
        <w:rPr>
          <w:rFonts w:ascii="David" w:hAnsi="David" w:hint="cs"/>
          <w:b/>
          <w:bCs/>
          <w:rtl/>
        </w:rPr>
        <w:t xml:space="preserve"> (שנת 1187)</w:t>
      </w:r>
      <w:r w:rsidRPr="005B35A7">
        <w:rPr>
          <w:rFonts w:ascii="David" w:hAnsi="David" w:hint="cs"/>
          <w:b/>
          <w:bCs/>
          <w:rtl/>
        </w:rPr>
        <w:t xml:space="preserve"> - </w:t>
      </w:r>
      <w:r w:rsidR="004013B7" w:rsidRPr="005B35A7">
        <w:rPr>
          <w:rFonts w:ascii="David" w:hAnsi="David" w:hint="cs"/>
          <w:b/>
          <w:bCs/>
          <w:rtl/>
        </w:rPr>
        <w:t xml:space="preserve">מקרה נוסף במצרים בו נקבע שרק רבניים מסוימים שהם נציגים רשמים של הקהילה יכולים לחתן </w:t>
      </w:r>
      <w:r w:rsidRPr="005B35A7">
        <w:rPr>
          <w:rFonts w:ascii="David" w:hAnsi="David" w:hint="cs"/>
          <w:b/>
          <w:bCs/>
          <w:rtl/>
        </w:rPr>
        <w:t>זוגות.</w:t>
      </w:r>
      <w:r w:rsidRPr="005B35A7">
        <w:rPr>
          <w:rFonts w:ascii="David" w:hAnsi="David" w:hint="cs"/>
          <w:sz w:val="22"/>
          <w:rtl/>
        </w:rPr>
        <w:t xml:space="preserve"> התפקיד של רב בטקס הנישואין הוא גם כדי לתת חותמת של רצינות וגם הרב יכול לוודא שכל מרכיבי הטקס אכן יתקיימו.</w:t>
      </w:r>
    </w:p>
    <w:p w14:paraId="17D165A4" w14:textId="5F3C9D45" w:rsidR="00DD04F0" w:rsidRDefault="00DD04F0" w:rsidP="00DD04F0">
      <w:pPr>
        <w:pStyle w:val="ac"/>
        <w:numPr>
          <w:ilvl w:val="1"/>
          <w:numId w:val="19"/>
        </w:numPr>
        <w:bidi/>
        <w:rPr>
          <w:rFonts w:ascii="David" w:hAnsi="David"/>
          <w:sz w:val="22"/>
        </w:rPr>
      </w:pPr>
      <w:r>
        <w:rPr>
          <w:rFonts w:ascii="David" w:hAnsi="David" w:hint="cs"/>
          <w:b/>
          <w:bCs/>
          <w:rtl/>
        </w:rPr>
        <w:t>בשלב מסוים מתחילים לרשום את הנישואין בספרי הקהיל</w:t>
      </w:r>
      <w:r w:rsidR="00A47966">
        <w:rPr>
          <w:rFonts w:ascii="David" w:hAnsi="David" w:hint="cs"/>
          <w:b/>
          <w:bCs/>
          <w:rtl/>
        </w:rPr>
        <w:t>ות</w:t>
      </w:r>
      <w:r>
        <w:rPr>
          <w:rFonts w:ascii="David" w:hAnsi="David" w:hint="cs"/>
          <w:b/>
          <w:bCs/>
          <w:rtl/>
        </w:rPr>
        <w:t>.</w:t>
      </w:r>
    </w:p>
    <w:p w14:paraId="26C47408" w14:textId="247831B2" w:rsidR="00DD04F0" w:rsidRDefault="00324894" w:rsidP="00DD04F0">
      <w:pPr>
        <w:pStyle w:val="ac"/>
        <w:numPr>
          <w:ilvl w:val="1"/>
          <w:numId w:val="19"/>
        </w:numPr>
        <w:bidi/>
        <w:rPr>
          <w:rFonts w:ascii="David" w:hAnsi="David"/>
          <w:sz w:val="22"/>
        </w:rPr>
      </w:pPr>
      <w:r>
        <w:rPr>
          <w:rFonts w:ascii="David" w:hAnsi="David" w:hint="cs"/>
          <w:sz w:val="22"/>
          <w:rtl/>
        </w:rPr>
        <w:t xml:space="preserve">בשלב מסוים יש </w:t>
      </w:r>
      <w:r w:rsidR="00DD04F0">
        <w:rPr>
          <w:rFonts w:ascii="David" w:hAnsi="David" w:hint="cs"/>
          <w:sz w:val="22"/>
          <w:rtl/>
        </w:rPr>
        <w:t xml:space="preserve">חובה </w:t>
      </w:r>
      <w:r>
        <w:rPr>
          <w:rFonts w:ascii="David" w:hAnsi="David" w:hint="cs"/>
          <w:sz w:val="22"/>
          <w:rtl/>
        </w:rPr>
        <w:t>ל</w:t>
      </w:r>
      <w:r w:rsidR="00DD04F0">
        <w:rPr>
          <w:rFonts w:ascii="David" w:hAnsi="David" w:hint="cs"/>
          <w:sz w:val="22"/>
          <w:rtl/>
        </w:rPr>
        <w:t>כתובה - כלומר לאישה יש מסמך עם הצהרה של עדים ותאריך שמעיד כי היא התחתנה.</w:t>
      </w:r>
    </w:p>
    <w:p w14:paraId="62E41BC2" w14:textId="1E553B40" w:rsidR="00DD04F0" w:rsidRDefault="00DD04F0" w:rsidP="00DD04F0">
      <w:pPr>
        <w:pStyle w:val="ac"/>
        <w:numPr>
          <w:ilvl w:val="1"/>
          <w:numId w:val="19"/>
        </w:numPr>
        <w:bidi/>
        <w:rPr>
          <w:rFonts w:ascii="David" w:hAnsi="David"/>
          <w:sz w:val="22"/>
        </w:rPr>
      </w:pPr>
      <w:r w:rsidRPr="00FC57A0">
        <w:rPr>
          <w:rFonts w:ascii="David" w:hAnsi="David" w:hint="cs"/>
          <w:b/>
          <w:bCs/>
          <w:sz w:val="22"/>
          <w:u w:val="single"/>
          <w:rtl/>
        </w:rPr>
        <w:t>תקנות הרבנות הראשית מ-1950</w:t>
      </w:r>
      <w:r w:rsidR="00FC57A0">
        <w:rPr>
          <w:rFonts w:ascii="David" w:hAnsi="David" w:hint="cs"/>
          <w:sz w:val="22"/>
          <w:rtl/>
        </w:rPr>
        <w:t>: הרבנות קובעת ש</w:t>
      </w:r>
      <w:r>
        <w:rPr>
          <w:rFonts w:ascii="David" w:hAnsi="David" w:hint="cs"/>
          <w:sz w:val="22"/>
          <w:rtl/>
        </w:rPr>
        <w:t xml:space="preserve">מעכשיו בארץ ישראל כולם חייבים טקס כפי שהרבנות </w:t>
      </w:r>
      <w:r w:rsidR="00D6568F">
        <w:rPr>
          <w:rFonts w:ascii="David" w:hAnsi="David" w:hint="cs"/>
          <w:sz w:val="22"/>
          <w:rtl/>
        </w:rPr>
        <w:t>מחליטה עליו. ישנם שלושה פרטים נוספים שחייבים לעשות</w:t>
      </w:r>
      <w:r w:rsidR="00397780">
        <w:rPr>
          <w:rFonts w:ascii="David" w:hAnsi="David" w:hint="cs"/>
          <w:sz w:val="22"/>
          <w:rtl/>
        </w:rPr>
        <w:t xml:space="preserve"> מלבד הטקס הגרעיני</w:t>
      </w:r>
      <w:r w:rsidR="00D6568F">
        <w:rPr>
          <w:rFonts w:ascii="David" w:hAnsi="David" w:hint="cs"/>
          <w:sz w:val="22"/>
          <w:rtl/>
        </w:rPr>
        <w:t>:</w:t>
      </w:r>
    </w:p>
    <w:p w14:paraId="4D16D0B2" w14:textId="299D7720" w:rsidR="00D6568F" w:rsidRDefault="00D6568F" w:rsidP="00D6568F">
      <w:pPr>
        <w:pStyle w:val="ac"/>
        <w:numPr>
          <w:ilvl w:val="2"/>
          <w:numId w:val="19"/>
        </w:numPr>
        <w:bidi/>
        <w:rPr>
          <w:rFonts w:ascii="David" w:hAnsi="David"/>
          <w:sz w:val="22"/>
        </w:rPr>
      </w:pPr>
      <w:r>
        <w:rPr>
          <w:rFonts w:ascii="David" w:hAnsi="David" w:hint="cs"/>
          <w:sz w:val="22"/>
          <w:rtl/>
        </w:rPr>
        <w:t>אסור להפריד בין הקידושין לנישואין.</w:t>
      </w:r>
    </w:p>
    <w:p w14:paraId="18EFCD23" w14:textId="7CA803BD" w:rsidR="00D6568F" w:rsidRDefault="00D578C0" w:rsidP="00D6568F">
      <w:pPr>
        <w:pStyle w:val="ac"/>
        <w:numPr>
          <w:ilvl w:val="2"/>
          <w:numId w:val="19"/>
        </w:numPr>
        <w:bidi/>
        <w:rPr>
          <w:rFonts w:ascii="David" w:hAnsi="David"/>
          <w:sz w:val="22"/>
        </w:rPr>
      </w:pPr>
      <w:r>
        <w:rPr>
          <w:rFonts w:ascii="David" w:hAnsi="David" w:hint="cs"/>
          <w:sz w:val="22"/>
          <w:rtl/>
        </w:rPr>
        <w:t>ניתן לעשות קידושין רק במניין.</w:t>
      </w:r>
    </w:p>
    <w:p w14:paraId="1AD1DFAD" w14:textId="5DCDB7FF" w:rsidR="00397780" w:rsidRDefault="00D578C0" w:rsidP="00F6366F">
      <w:pPr>
        <w:pStyle w:val="ac"/>
        <w:numPr>
          <w:ilvl w:val="2"/>
          <w:numId w:val="19"/>
        </w:numPr>
        <w:bidi/>
        <w:spacing w:after="0"/>
        <w:rPr>
          <w:rFonts w:ascii="David" w:hAnsi="David"/>
          <w:sz w:val="22"/>
        </w:rPr>
      </w:pPr>
      <w:r>
        <w:rPr>
          <w:rFonts w:ascii="David" w:hAnsi="David" w:hint="cs"/>
          <w:sz w:val="22"/>
          <w:rtl/>
        </w:rPr>
        <w:t xml:space="preserve">אסור להתחתן </w:t>
      </w:r>
      <w:r w:rsidR="00397780">
        <w:rPr>
          <w:rFonts w:ascii="David" w:hAnsi="David" w:hint="cs"/>
          <w:sz w:val="22"/>
          <w:rtl/>
        </w:rPr>
        <w:t>ב</w:t>
      </w:r>
      <w:r>
        <w:rPr>
          <w:rFonts w:ascii="David" w:hAnsi="David" w:hint="cs"/>
          <w:sz w:val="22"/>
          <w:rtl/>
        </w:rPr>
        <w:t>מדינת ישראל בלי להירשם לפני כן ברבנות.</w:t>
      </w:r>
    </w:p>
    <w:p w14:paraId="01DD481B" w14:textId="77777777" w:rsidR="00324894" w:rsidRDefault="00AD40EB" w:rsidP="00324894">
      <w:pPr>
        <w:pStyle w:val="ac"/>
        <w:bidi/>
        <w:spacing w:after="0"/>
        <w:ind w:left="199"/>
        <w:rPr>
          <w:rFonts w:ascii="David" w:hAnsi="David"/>
          <w:rtl/>
        </w:rPr>
      </w:pPr>
      <w:r w:rsidRPr="008F0AFE">
        <w:rPr>
          <w:rFonts w:ascii="David" w:hAnsi="David" w:hint="cs"/>
          <w:b/>
          <w:bCs/>
          <w:rtl/>
        </w:rPr>
        <w:t xml:space="preserve">מי שלא עושה </w:t>
      </w:r>
      <w:r w:rsidR="007A02CC">
        <w:rPr>
          <w:rFonts w:ascii="David" w:hAnsi="David" w:hint="cs"/>
          <w:b/>
          <w:bCs/>
          <w:rtl/>
        </w:rPr>
        <w:t xml:space="preserve">שלושת </w:t>
      </w:r>
      <w:r w:rsidRPr="008F0AFE">
        <w:rPr>
          <w:rFonts w:ascii="David" w:hAnsi="David" w:hint="cs"/>
          <w:b/>
          <w:bCs/>
          <w:rtl/>
        </w:rPr>
        <w:t xml:space="preserve">דברים אלו חייב לתת גט וחייב במזונות - סנקציה זו מעולם לא הופעלה וגם אי אפשר להפעיל אותה. </w:t>
      </w:r>
      <w:r w:rsidR="00F6366F" w:rsidRPr="008F0AFE">
        <w:rPr>
          <w:rFonts w:ascii="David" w:hAnsi="David" w:hint="cs"/>
          <w:b/>
          <w:bCs/>
          <w:rtl/>
        </w:rPr>
        <w:t xml:space="preserve"> </w:t>
      </w:r>
      <w:r w:rsidR="00BF1E08" w:rsidRPr="008F0AFE">
        <w:rPr>
          <w:rFonts w:ascii="David" w:hAnsi="David" w:hint="cs"/>
          <w:rtl/>
        </w:rPr>
        <w:t>המטרה היא להעניש את מי שמתחתן באופן פרטי, בפועל אי אפשר לתת סנקציה כי אי אפשר להכריח שאנשים ש</w:t>
      </w:r>
      <w:r w:rsidR="00B65F5D" w:rsidRPr="008F0AFE">
        <w:rPr>
          <w:rFonts w:ascii="David" w:hAnsi="David" w:hint="cs"/>
          <w:rtl/>
        </w:rPr>
        <w:t>נישאו כך להתגרש.</w:t>
      </w:r>
    </w:p>
    <w:p w14:paraId="594CBC1E" w14:textId="77777777" w:rsidR="00324894" w:rsidRPr="00324894" w:rsidRDefault="00324894" w:rsidP="00324894">
      <w:pPr>
        <w:pStyle w:val="ac"/>
        <w:numPr>
          <w:ilvl w:val="1"/>
          <w:numId w:val="19"/>
        </w:numPr>
        <w:bidi/>
        <w:spacing w:after="0"/>
        <w:rPr>
          <w:rFonts w:ascii="David" w:hAnsi="David"/>
          <w:sz w:val="22"/>
          <w:rtl/>
        </w:rPr>
      </w:pPr>
      <w:r w:rsidRPr="00324894">
        <w:rPr>
          <w:rFonts w:ascii="David" w:hAnsi="David" w:hint="cs"/>
          <w:highlight w:val="cyan"/>
          <w:rtl/>
        </w:rPr>
        <w:lastRenderedPageBreak/>
        <w:t>בג"ץ שגב 130/96</w:t>
      </w:r>
      <w:r w:rsidRPr="00324894">
        <w:rPr>
          <w:rFonts w:ascii="David" w:hAnsi="David" w:hint="cs"/>
          <w:rtl/>
        </w:rPr>
        <w:t>: באותו מקרה מספר זוגות עשו טקס פרטי מבחירה על אף שיכלו להתחתן ברבנות והם מבקשים רישום נישואין. הכרעה: השופט אגרנט אומר כי הוא לא ייתן יד לנישואין פרטיים מבחירה. בשונה מרודנסקי שם בי"ד לא היה מוכן לחתן אותם ולכן זכו לסעד הרישום.</w:t>
      </w:r>
    </w:p>
    <w:p w14:paraId="78C314D2" w14:textId="0BDCDD3C" w:rsidR="00324894" w:rsidRPr="00CA01F0" w:rsidRDefault="00324894" w:rsidP="00324894">
      <w:pPr>
        <w:pBdr>
          <w:top w:val="single" w:sz="4" w:space="1" w:color="auto"/>
        </w:pBdr>
        <w:rPr>
          <w:rFonts w:ascii="David" w:hAnsi="David"/>
        </w:rPr>
      </w:pPr>
      <w:r w:rsidRPr="00CA01F0">
        <w:rPr>
          <w:rFonts w:ascii="David" w:hAnsi="David" w:hint="cs"/>
          <w:rtl/>
        </w:rPr>
        <w:t>המשך מהתאריך 17.05.2022</w:t>
      </w:r>
    </w:p>
    <w:p w14:paraId="2D1B56BB" w14:textId="0E9FE3C5" w:rsidR="002E5956" w:rsidRPr="00CA01F0" w:rsidRDefault="002E5956" w:rsidP="002E5956">
      <w:pPr>
        <w:rPr>
          <w:rFonts w:ascii="David" w:hAnsi="David"/>
          <w:b/>
          <w:bCs/>
          <w:u w:val="single"/>
        </w:rPr>
      </w:pPr>
      <w:r w:rsidRPr="00CA01F0">
        <w:rPr>
          <w:rFonts w:ascii="David" w:hAnsi="David" w:hint="cs"/>
          <w:b/>
          <w:bCs/>
          <w:u w:val="single"/>
          <w:rtl/>
        </w:rPr>
        <w:t>האם ישנן סנקציות יעילות יותר לבעיית קידושי הסתר?</w:t>
      </w:r>
    </w:p>
    <w:p w14:paraId="0B6FC20E" w14:textId="552E7A79" w:rsidR="008F0AFE" w:rsidRPr="00CA01F0" w:rsidRDefault="00B7728B" w:rsidP="008C1F76">
      <w:pPr>
        <w:pStyle w:val="ac"/>
        <w:numPr>
          <w:ilvl w:val="1"/>
          <w:numId w:val="19"/>
        </w:numPr>
        <w:bidi/>
        <w:spacing w:after="0"/>
        <w:rPr>
          <w:rFonts w:ascii="David" w:hAnsi="David"/>
          <w:sz w:val="22"/>
        </w:rPr>
      </w:pPr>
      <w:r w:rsidRPr="00CA01F0">
        <w:rPr>
          <w:rFonts w:ascii="David" w:hAnsi="David" w:hint="cs"/>
          <w:sz w:val="22"/>
          <w:rtl/>
        </w:rPr>
        <w:t xml:space="preserve">בחלק מהתקנות שנעשו בקהילות שונות הפתרון שהציעו כדי להתמודד עם מי שאינו פועל על פיה הוא </w:t>
      </w:r>
      <w:r w:rsidRPr="00CA01F0">
        <w:rPr>
          <w:rFonts w:ascii="David" w:hAnsi="David" w:hint="cs"/>
          <w:b/>
          <w:bCs/>
          <w:sz w:val="22"/>
          <w:rtl/>
        </w:rPr>
        <w:t>להפקיע קידושין</w:t>
      </w:r>
      <w:r w:rsidRPr="00CA01F0">
        <w:rPr>
          <w:rFonts w:ascii="David" w:hAnsi="David" w:hint="cs"/>
          <w:sz w:val="22"/>
          <w:rtl/>
        </w:rPr>
        <w:t xml:space="preserve"> - </w:t>
      </w:r>
      <w:r w:rsidR="00FC57A0" w:rsidRPr="00CA01F0">
        <w:rPr>
          <w:rFonts w:ascii="David" w:hAnsi="David" w:hint="cs"/>
          <w:sz w:val="22"/>
          <w:rtl/>
        </w:rPr>
        <w:t>נקבע</w:t>
      </w:r>
      <w:r w:rsidRPr="00CA01F0">
        <w:rPr>
          <w:rFonts w:ascii="David" w:hAnsi="David" w:hint="cs"/>
          <w:sz w:val="22"/>
          <w:rtl/>
        </w:rPr>
        <w:t>ה</w:t>
      </w:r>
      <w:r w:rsidR="00FC57A0" w:rsidRPr="00CA01F0">
        <w:rPr>
          <w:rFonts w:ascii="David" w:hAnsi="David" w:hint="cs"/>
          <w:sz w:val="22"/>
          <w:rtl/>
        </w:rPr>
        <w:t xml:space="preserve"> תקנה שאפשר לקדש רק על דעת חכמים</w:t>
      </w:r>
      <w:r w:rsidRPr="00CA01F0">
        <w:rPr>
          <w:rFonts w:ascii="David" w:hAnsi="David" w:hint="cs"/>
          <w:sz w:val="22"/>
          <w:rtl/>
        </w:rPr>
        <w:t>.</w:t>
      </w:r>
      <w:r w:rsidR="008C1F76" w:rsidRPr="00CA01F0">
        <w:rPr>
          <w:rFonts w:ascii="David" w:hAnsi="David" w:hint="cs"/>
          <w:sz w:val="22"/>
          <w:rtl/>
        </w:rPr>
        <w:t xml:space="preserve"> </w:t>
      </w:r>
      <w:r w:rsidR="007A02CC" w:rsidRPr="00CA01F0">
        <w:rPr>
          <w:rFonts w:ascii="David" w:hAnsi="David" w:hint="cs"/>
          <w:rtl/>
        </w:rPr>
        <w:t xml:space="preserve">מכוח מה מופקעים הקידושין? אדם מקדש לא רק על פי דין תורה אלא גם על דעת חכמים. לכן אם חכמים קבעו שאסור לבצע קידושין פרטיים הרי יש להם את הסמכות להפקיע לו את הקידושין. </w:t>
      </w:r>
    </w:p>
    <w:p w14:paraId="392FD11E" w14:textId="2DAE6C60" w:rsidR="007A02CC" w:rsidRDefault="007A02CC" w:rsidP="008C1F76">
      <w:pPr>
        <w:pStyle w:val="ac"/>
        <w:bidi/>
        <w:spacing w:after="0"/>
        <w:ind w:left="199"/>
        <w:rPr>
          <w:rFonts w:ascii="David" w:hAnsi="David"/>
          <w:sz w:val="22"/>
        </w:rPr>
      </w:pPr>
      <w:r w:rsidRPr="00CA01F0">
        <w:rPr>
          <w:rFonts w:ascii="David" w:hAnsi="David" w:hint="cs"/>
          <w:sz w:val="22"/>
          <w:rtl/>
        </w:rPr>
        <w:t>הבעיה היא בחלק מהקהילות לא עשו זאת, לדוג' במצרים קבעו שחייב שיהיה רב מוסמך לעשיית קידושין, אולם אם הוא לא יעשה את זה לא</w:t>
      </w:r>
      <w:r>
        <w:rPr>
          <w:rFonts w:ascii="David" w:hAnsi="David" w:hint="cs"/>
          <w:sz w:val="22"/>
          <w:rtl/>
        </w:rPr>
        <w:t xml:space="preserve"> נאמר שתהיה הפקעה. הסנקציה שהייתה זו הטלת חרם.</w:t>
      </w:r>
    </w:p>
    <w:p w14:paraId="1780726C" w14:textId="79445494" w:rsidR="007A02CC" w:rsidRDefault="007C10AF" w:rsidP="008F0AFE">
      <w:pPr>
        <w:pStyle w:val="ac"/>
        <w:numPr>
          <w:ilvl w:val="1"/>
          <w:numId w:val="19"/>
        </w:numPr>
        <w:bidi/>
        <w:spacing w:after="0"/>
        <w:rPr>
          <w:rFonts w:ascii="David" w:hAnsi="David"/>
          <w:sz w:val="22"/>
        </w:rPr>
      </w:pPr>
      <w:r>
        <w:rPr>
          <w:rFonts w:ascii="David" w:hAnsi="David" w:hint="cs"/>
          <w:sz w:val="22"/>
          <w:rtl/>
        </w:rPr>
        <w:t xml:space="preserve">לכן תוקנה תקנה </w:t>
      </w:r>
      <w:r w:rsidR="007A02CC">
        <w:rPr>
          <w:rFonts w:ascii="David" w:hAnsi="David" w:hint="cs"/>
          <w:sz w:val="22"/>
          <w:rtl/>
        </w:rPr>
        <w:t xml:space="preserve">ב-1950 </w:t>
      </w:r>
      <w:r w:rsidR="002616E0">
        <w:rPr>
          <w:rFonts w:ascii="David" w:hAnsi="David" w:hint="cs"/>
          <w:sz w:val="22"/>
          <w:rtl/>
        </w:rPr>
        <w:t>על ידי הרבנות הראשית</w:t>
      </w:r>
      <w:r w:rsidR="007A02CC">
        <w:rPr>
          <w:rFonts w:ascii="David" w:hAnsi="David" w:hint="cs"/>
          <w:sz w:val="22"/>
          <w:rtl/>
        </w:rPr>
        <w:t xml:space="preserve"> </w:t>
      </w:r>
      <w:r w:rsidR="00497407">
        <w:rPr>
          <w:rFonts w:ascii="David" w:hAnsi="David"/>
          <w:sz w:val="22"/>
          <w:rtl/>
        </w:rPr>
        <w:t>–</w:t>
      </w:r>
      <w:r w:rsidR="007A02CC">
        <w:rPr>
          <w:rFonts w:ascii="David" w:hAnsi="David" w:hint="cs"/>
          <w:sz w:val="22"/>
          <w:rtl/>
        </w:rPr>
        <w:t xml:space="preserve"> </w:t>
      </w:r>
      <w:r w:rsidR="00497407">
        <w:rPr>
          <w:rFonts w:ascii="David" w:hAnsi="David" w:hint="cs"/>
          <w:sz w:val="22"/>
          <w:rtl/>
        </w:rPr>
        <w:t>נקבע כי אדם</w:t>
      </w:r>
      <w:r w:rsidR="007A02CC">
        <w:rPr>
          <w:rFonts w:ascii="David" w:hAnsi="David" w:hint="cs"/>
          <w:sz w:val="22"/>
          <w:rtl/>
        </w:rPr>
        <w:t xml:space="preserve"> שקידש </w:t>
      </w:r>
      <w:r w:rsidR="00497407">
        <w:rPr>
          <w:rFonts w:ascii="David" w:hAnsi="David" w:hint="cs"/>
          <w:sz w:val="22"/>
          <w:rtl/>
        </w:rPr>
        <w:t xml:space="preserve">את אשתו בסתר </w:t>
      </w:r>
      <w:r w:rsidR="007A02CC">
        <w:rPr>
          <w:rFonts w:ascii="David" w:hAnsi="David" w:hint="cs"/>
          <w:sz w:val="22"/>
          <w:rtl/>
        </w:rPr>
        <w:t>חייב לגרש את אשתו. הבעיה כפי שכבר אמרנו שאף אחד לא באמת יכול להכריח אותו להתגרש. ואם הקידושין הפרטיים נעשו על דעת האיש והאישה הרי שהם לא יתגרשו.</w:t>
      </w:r>
    </w:p>
    <w:p w14:paraId="0E466A36" w14:textId="3D249B8C" w:rsidR="007A02CC" w:rsidRDefault="007A02CC" w:rsidP="008F0AFE">
      <w:pPr>
        <w:pStyle w:val="ac"/>
        <w:numPr>
          <w:ilvl w:val="1"/>
          <w:numId w:val="19"/>
        </w:numPr>
        <w:bidi/>
        <w:spacing w:after="0"/>
        <w:rPr>
          <w:rFonts w:ascii="David" w:hAnsi="David"/>
          <w:sz w:val="22"/>
        </w:rPr>
      </w:pPr>
      <w:r>
        <w:rPr>
          <w:rFonts w:ascii="David" w:hAnsi="David" w:hint="cs"/>
          <w:sz w:val="22"/>
          <w:rtl/>
        </w:rPr>
        <w:t xml:space="preserve">רבי יוסף קארו לא אומר זאת בשולחן ערוך אבל זה כתוב בתשובה שלו - הוא קובע כי אם אדם עשה קידושין פרטיים אין להפקיע את הקידושין. לעומתו הגר"א כן כותב זאת בשולחן ערוך: </w:t>
      </w:r>
      <w:r w:rsidR="00324894">
        <w:rPr>
          <w:rFonts w:ascii="David" w:hAnsi="David" w:hint="cs"/>
          <w:sz w:val="22"/>
          <w:rtl/>
        </w:rPr>
        <w:t>הוא אומר שמי שבוחר להתחתן ללא מניין וכיו"ב' חוששים לקידושין וצריך גט - כלומר אין הפקעה יש גט.</w:t>
      </w:r>
    </w:p>
    <w:p w14:paraId="40702679" w14:textId="794CA84D" w:rsidR="00324894" w:rsidRDefault="00324894" w:rsidP="008F0AFE">
      <w:pPr>
        <w:pStyle w:val="ac"/>
        <w:numPr>
          <w:ilvl w:val="1"/>
          <w:numId w:val="19"/>
        </w:numPr>
        <w:bidi/>
        <w:spacing w:after="0"/>
        <w:rPr>
          <w:rFonts w:ascii="David" w:hAnsi="David"/>
          <w:sz w:val="22"/>
        </w:rPr>
      </w:pPr>
      <w:r>
        <w:rPr>
          <w:rFonts w:ascii="David" w:hAnsi="David" w:hint="cs"/>
          <w:sz w:val="22"/>
          <w:rtl/>
        </w:rPr>
        <w:t>מה עומד מאחורי גישה זו? הרי זה הפתרון היעיל ביותר למנוע קידושין פרטיים. האם הרמ"א חולק על החכמים האחרים? (וגם רבי יוסף קארו בתשובה שהוא כותב) - לא בדיוק חולק עליהם - הרמ"א חושב שאין לנו היום סמכות לעשות את ז</w:t>
      </w:r>
      <w:r w:rsidR="00FC57A0">
        <w:rPr>
          <w:rFonts w:ascii="David" w:hAnsi="David" w:hint="cs"/>
          <w:sz w:val="22"/>
          <w:rtl/>
        </w:rPr>
        <w:t>ה (ירידת הדורות).</w:t>
      </w:r>
    </w:p>
    <w:p w14:paraId="0CE195A0" w14:textId="373C52D2" w:rsidR="00FC57A0" w:rsidRDefault="00FC57A0" w:rsidP="008F0AFE">
      <w:pPr>
        <w:pStyle w:val="ac"/>
        <w:numPr>
          <w:ilvl w:val="1"/>
          <w:numId w:val="19"/>
        </w:numPr>
        <w:bidi/>
        <w:spacing w:after="0"/>
        <w:rPr>
          <w:rFonts w:ascii="David" w:hAnsi="David"/>
          <w:sz w:val="22"/>
        </w:rPr>
      </w:pPr>
      <w:r w:rsidRPr="00FC57A0">
        <w:rPr>
          <w:rFonts w:ascii="David" w:hAnsi="David" w:hint="cs"/>
          <w:sz w:val="22"/>
          <w:highlight w:val="cyan"/>
          <w:rtl/>
        </w:rPr>
        <w:t>פס"ד לפני תקנה הרבנות הראשית</w:t>
      </w:r>
      <w:r w:rsidR="007C10AF">
        <w:rPr>
          <w:rFonts w:ascii="David" w:hAnsi="David" w:hint="cs"/>
          <w:sz w:val="22"/>
          <w:rtl/>
        </w:rPr>
        <w:t xml:space="preserve"> (הרב הרצוג והרב עוזיאל)</w:t>
      </w:r>
      <w:r>
        <w:rPr>
          <w:rFonts w:ascii="David" w:hAnsi="David" w:hint="cs"/>
          <w:sz w:val="22"/>
          <w:rtl/>
        </w:rPr>
        <w:t>: באותו מקרה נעשו קידושין, בלי כתובה, בלי שבע ברכות, בלי רב וכו' - רואים בזה מעשה מגונה ובדורות הקודמים היו מטפלים בזה על ידי סנקציות (חרם, נידוי וכו')</w:t>
      </w:r>
      <w:r>
        <w:rPr>
          <w:rFonts w:ascii="David" w:hAnsi="David" w:hint="cs"/>
          <w:sz w:val="22"/>
        </w:rPr>
        <w:t xml:space="preserve"> </w:t>
      </w:r>
      <w:r>
        <w:rPr>
          <w:rFonts w:ascii="David" w:hAnsi="David" w:hint="cs"/>
          <w:sz w:val="22"/>
          <w:rtl/>
        </w:rPr>
        <w:t>ולא על ידי הפקעות. הם אומרים שהם חייבים להכיר בקידושין האלה והם לא יכולים להפקיע אותם וסנקציות זו האופציה היחידה שאפשר להפעיל כנגדם.</w:t>
      </w:r>
    </w:p>
    <w:p w14:paraId="761A1AA7" w14:textId="7AD13799" w:rsidR="00953B31" w:rsidRPr="00390670" w:rsidRDefault="004669BC" w:rsidP="00390670">
      <w:pPr>
        <w:pStyle w:val="ac"/>
        <w:numPr>
          <w:ilvl w:val="1"/>
          <w:numId w:val="19"/>
        </w:numPr>
        <w:bidi/>
        <w:spacing w:after="0"/>
        <w:rPr>
          <w:rFonts w:ascii="David" w:hAnsi="David"/>
          <w:sz w:val="22"/>
        </w:rPr>
      </w:pPr>
      <w:r w:rsidRPr="004669BC">
        <w:rPr>
          <w:rFonts w:ascii="David" w:hAnsi="David" w:hint="cs"/>
          <w:sz w:val="22"/>
          <w:u w:val="single"/>
          <w:rtl/>
        </w:rPr>
        <w:t>שו"ת יביע אומר חלק ד אה"ע סימן ה</w:t>
      </w:r>
      <w:r>
        <w:rPr>
          <w:rFonts w:ascii="David" w:hAnsi="David" w:hint="cs"/>
          <w:sz w:val="22"/>
          <w:rtl/>
        </w:rPr>
        <w:t xml:space="preserve">: באותו מקרה גבר מקדש את חברתו בהפתעה - הוא ניגש לחנות תכשיטים וקנה לה טבעת וקידש אותה מול בעל החנות ואדם נוסף. האישה מגיעה לבית הדין ומבקש לקבוע שהקידושין לא תקפים. הרב עובדיה יוסף מנסה לקבוע כי הקידושין לא תקפים, ראשית הוא מביא הרבה מקורות על מה שהיה נהוג בירושלים בדורות הקודמים באותם מקרים. בירושלים יש תקנה קדומה שאסור לקדש לא תחת החופה באזור ירושלים (כלומר אסור להפריד בין קידושין לנישואין) מפקיעים לו את הקידושין - וזו תקנה עד ביאת המשיח ולא תקנה זמנית. הרב עובדיה אומר שזו תקנה ידוע של חכמי הספרדים בירושלים. מכאן ניתן להבין שיש לנו מקור להפקיע את הקידושין. גם אם אותו גבר היה דואג שמרכיבי הטקס יהיו כשרים </w:t>
      </w:r>
      <w:r w:rsidR="00953B31">
        <w:rPr>
          <w:rFonts w:ascii="David" w:hAnsi="David" w:hint="cs"/>
          <w:sz w:val="22"/>
          <w:rtl/>
        </w:rPr>
        <w:t>הרי שאפשר להפקיע לו את הקידושין. עם זאת, הרב עובדיה לא הולך אם זה עד הסוף והוא בוחר לבטל את הקידושין ולא להפקיעם. הרב עובדיה יוסף אומר שתקנת הרבנות הראשית קובעת שגם העדים שהיו עדים לקידושין פרטיים שותפים לעבירה ולכן זה פוסל אותם כעדים (כיוון שעברו על תקנת הרבנות הראשית) - ברגע שהעדים פסולים הקידושין בטלים.</w:t>
      </w:r>
      <w:r w:rsidR="00390670">
        <w:rPr>
          <w:rFonts w:ascii="David" w:hAnsi="David" w:hint="cs"/>
          <w:sz w:val="22"/>
          <w:rtl/>
        </w:rPr>
        <w:t xml:space="preserve"> </w:t>
      </w:r>
      <w:r w:rsidR="00953B31" w:rsidRPr="00390670">
        <w:rPr>
          <w:rFonts w:ascii="David" w:hAnsi="David" w:hint="cs"/>
          <w:rtl/>
        </w:rPr>
        <w:t xml:space="preserve">המהלך של הרב עובדיה יוסף מורכב </w:t>
      </w:r>
      <w:r w:rsidR="00390670" w:rsidRPr="00390670">
        <w:rPr>
          <w:rFonts w:ascii="David" w:hAnsi="David" w:hint="cs"/>
          <w:rtl/>
        </w:rPr>
        <w:t>כיוון שקשה לומר מתי העדים הפכו לפסולים. האם לאחר הטקס או כבר לפניו. לדעת הרב עובדיה יוסף עצם ההסכמה להיות עדים הפכה אותו לפסולים גם ללא ביצוע הטקס.</w:t>
      </w:r>
    </w:p>
    <w:p w14:paraId="722B6F73" w14:textId="126049D8" w:rsidR="00953B31" w:rsidRDefault="00953B31" w:rsidP="008F0AFE">
      <w:pPr>
        <w:pStyle w:val="ac"/>
        <w:numPr>
          <w:ilvl w:val="1"/>
          <w:numId w:val="19"/>
        </w:numPr>
        <w:bidi/>
        <w:spacing w:after="0"/>
        <w:rPr>
          <w:rFonts w:ascii="David" w:hAnsi="David"/>
          <w:sz w:val="22"/>
        </w:rPr>
      </w:pPr>
      <w:r w:rsidRPr="00390670">
        <w:rPr>
          <w:rFonts w:ascii="David" w:hAnsi="David" w:hint="cs"/>
          <w:sz w:val="22"/>
          <w:highlight w:val="cyan"/>
          <w:rtl/>
        </w:rPr>
        <w:t>פס"ד כהן ובוסליק</w:t>
      </w:r>
      <w:r w:rsidR="00390670">
        <w:rPr>
          <w:rFonts w:ascii="David" w:hAnsi="David" w:hint="cs"/>
          <w:sz w:val="22"/>
          <w:rtl/>
        </w:rPr>
        <w:t xml:space="preserve">: </w:t>
      </w:r>
      <w:r>
        <w:rPr>
          <w:rFonts w:ascii="David" w:hAnsi="David" w:hint="cs"/>
          <w:sz w:val="22"/>
          <w:rtl/>
        </w:rPr>
        <w:t xml:space="preserve"> כהן וגרושה שעשו להם טקס פרטי - השופט מפקפק </w:t>
      </w:r>
      <w:r w:rsidR="00390670">
        <w:rPr>
          <w:rFonts w:ascii="David" w:hAnsi="David" w:hint="cs"/>
          <w:sz w:val="22"/>
          <w:rtl/>
        </w:rPr>
        <w:t>בתוקף הקידושין כיוון שהעדים שלהם היו פסולים כי הם עברו על תקנת הרבנות הראשית. הם מערערים על כך לעליון - בעליון נקבע כי הם היו פסולים רק לאחר הטקס כי רק אז עברו את העבירה ולכן הם לא היו פסולים במהלך הטקס</w:t>
      </w:r>
      <w:r w:rsidR="00092158">
        <w:rPr>
          <w:rFonts w:ascii="David" w:hAnsi="David" w:hint="cs"/>
          <w:sz w:val="22"/>
          <w:rtl/>
        </w:rPr>
        <w:t xml:space="preserve"> (לפני חוק שיפוט בתי דין רבניים ולכן השופטים דנו בטקס)</w:t>
      </w:r>
      <w:r w:rsidR="00390670">
        <w:rPr>
          <w:rFonts w:ascii="David" w:hAnsi="David" w:hint="cs"/>
          <w:sz w:val="22"/>
          <w:rtl/>
        </w:rPr>
        <w:t>.</w:t>
      </w:r>
    </w:p>
    <w:p w14:paraId="4F563E97" w14:textId="26042DA6" w:rsidR="00390670" w:rsidRPr="00CD0BA0" w:rsidRDefault="00390670" w:rsidP="00CB775A">
      <w:pPr>
        <w:pStyle w:val="ac"/>
        <w:numPr>
          <w:ilvl w:val="1"/>
          <w:numId w:val="19"/>
        </w:numPr>
        <w:bidi/>
        <w:spacing w:after="0"/>
        <w:rPr>
          <w:rFonts w:ascii="David" w:hAnsi="David"/>
          <w:sz w:val="22"/>
        </w:rPr>
      </w:pPr>
      <w:r w:rsidRPr="00CD0BA0">
        <w:rPr>
          <w:rFonts w:ascii="David" w:hAnsi="David" w:hint="cs"/>
          <w:sz w:val="22"/>
          <w:highlight w:val="cyan"/>
          <w:rtl/>
        </w:rPr>
        <w:t>בג"ץ שגב</w:t>
      </w:r>
      <w:r w:rsidRPr="00CD0BA0">
        <w:rPr>
          <w:rFonts w:ascii="David" w:hAnsi="David" w:hint="cs"/>
          <w:sz w:val="22"/>
          <w:rtl/>
        </w:rPr>
        <w:t xml:space="preserve">: </w:t>
      </w:r>
      <w:r w:rsidR="00CD0BA0" w:rsidRPr="00CD0BA0">
        <w:rPr>
          <w:rFonts w:ascii="David" w:hAnsi="David" w:hint="cs"/>
          <w:rtl/>
        </w:rPr>
        <w:t>באותו מקרה מספר זוגות עשו טקס פרטי מבחירה על אף שיכלו להתחתן ברבנות והם מבקשים רישום נישואין.</w:t>
      </w:r>
      <w:r w:rsidRPr="00CD0BA0">
        <w:rPr>
          <w:rFonts w:ascii="David" w:hAnsi="David" w:hint="cs"/>
          <w:sz w:val="22"/>
          <w:rtl/>
        </w:rPr>
        <w:t xml:space="preserve"> </w:t>
      </w:r>
      <w:r w:rsidR="00092158" w:rsidRPr="00CD0BA0">
        <w:rPr>
          <w:rFonts w:ascii="David" w:hAnsi="David" w:hint="cs"/>
          <w:sz w:val="22"/>
          <w:rtl/>
        </w:rPr>
        <w:t xml:space="preserve">מדוע </w:t>
      </w:r>
      <w:r w:rsidRPr="00CD0BA0">
        <w:rPr>
          <w:rFonts w:ascii="David" w:hAnsi="David" w:hint="cs"/>
          <w:sz w:val="22"/>
          <w:rtl/>
        </w:rPr>
        <w:t>שאלת תוקף הנישואין</w:t>
      </w:r>
      <w:r w:rsidR="00092158" w:rsidRPr="00CD0BA0">
        <w:rPr>
          <w:rFonts w:ascii="David" w:hAnsi="David" w:hint="cs"/>
          <w:sz w:val="22"/>
          <w:rtl/>
        </w:rPr>
        <w:t xml:space="preserve"> נידונה במקרה הזה? הרי אין לבית המשפט סמכות לדון בכך - </w:t>
      </w:r>
      <w:r w:rsidRPr="00CD0BA0">
        <w:rPr>
          <w:rFonts w:ascii="David" w:hAnsi="David" w:hint="cs"/>
          <w:sz w:val="22"/>
          <w:rtl/>
        </w:rPr>
        <w:t>בג"ץ שגב בעצם קובע שאנשים שלא מתחתנים ברבנות מסיבה אידיאולוגית המדינה לא תכיר בהם, אבל כאלו שאינם מתחתנים ברבנות כי הרבנות לא תחתן אותם (לדוג' כהן וגרושה) כן יכירו בנישואין שלהם.</w:t>
      </w:r>
    </w:p>
    <w:p w14:paraId="0A0C66EA" w14:textId="4D077BDF" w:rsidR="00390670" w:rsidRDefault="00092158" w:rsidP="008F0AFE">
      <w:pPr>
        <w:pStyle w:val="ac"/>
        <w:numPr>
          <w:ilvl w:val="1"/>
          <w:numId w:val="19"/>
        </w:numPr>
        <w:bidi/>
        <w:spacing w:after="0"/>
        <w:rPr>
          <w:rFonts w:ascii="David" w:hAnsi="David"/>
          <w:sz w:val="22"/>
        </w:rPr>
      </w:pPr>
      <w:r w:rsidRPr="00460D87">
        <w:rPr>
          <w:rFonts w:ascii="David" w:hAnsi="David" w:hint="cs"/>
          <w:sz w:val="22"/>
          <w:highlight w:val="cyan"/>
          <w:rtl/>
        </w:rPr>
        <w:lastRenderedPageBreak/>
        <w:t>פס"ד צונן</w:t>
      </w:r>
      <w:r w:rsidR="00460D87">
        <w:rPr>
          <w:rFonts w:ascii="David" w:hAnsi="David" w:hint="cs"/>
          <w:sz w:val="22"/>
          <w:rtl/>
        </w:rPr>
        <w:t>:</w:t>
      </w:r>
      <w:r>
        <w:rPr>
          <w:rFonts w:ascii="David" w:hAnsi="David" w:hint="cs"/>
          <w:sz w:val="22"/>
          <w:rtl/>
        </w:rPr>
        <w:t xml:space="preserve"> האם אישה שנישא בקידושין פרטיים זכאית למזונות? בית המשפט קובע שהיא לא זכאית, כיוון שבית המשפט לא רוצה שזוגות כאלה יראה בנישואין שלהם כזהים לנישואין ברבנות. במדינת ישראל כמדינה מתוקנת הרישום הוא רכיב חשוב ולכן לא ייתכן שכול אחד יתחתן על דעת עצמו.</w:t>
      </w:r>
    </w:p>
    <w:p w14:paraId="3F4F0896" w14:textId="57CC9712" w:rsidR="00092158" w:rsidRPr="001E5251" w:rsidRDefault="00092158" w:rsidP="001E5251">
      <w:pPr>
        <w:pStyle w:val="ac"/>
        <w:numPr>
          <w:ilvl w:val="0"/>
          <w:numId w:val="19"/>
        </w:numPr>
        <w:shd w:val="clear" w:color="auto" w:fill="FFF4CD" w:themeFill="accent1" w:themeFillTint="33"/>
        <w:bidi/>
        <w:spacing w:after="0"/>
        <w:rPr>
          <w:rFonts w:ascii="David" w:hAnsi="David"/>
          <w:b/>
          <w:bCs/>
          <w:sz w:val="22"/>
        </w:rPr>
      </w:pPr>
      <w:r w:rsidRPr="001E5251">
        <w:rPr>
          <w:rFonts w:ascii="David" w:hAnsi="David" w:hint="cs"/>
          <w:b/>
          <w:bCs/>
          <w:sz w:val="22"/>
          <w:rtl/>
        </w:rPr>
        <w:t>הבעיה שיוצר טקס הקידושין:</w:t>
      </w:r>
    </w:p>
    <w:p w14:paraId="5ECC7C6E" w14:textId="6FF6520A" w:rsidR="00092158" w:rsidRDefault="00092158" w:rsidP="00092158">
      <w:pPr>
        <w:pStyle w:val="ac"/>
        <w:numPr>
          <w:ilvl w:val="1"/>
          <w:numId w:val="19"/>
        </w:numPr>
        <w:bidi/>
        <w:spacing w:after="0"/>
        <w:rPr>
          <w:rFonts w:ascii="David" w:hAnsi="David"/>
          <w:sz w:val="22"/>
        </w:rPr>
      </w:pPr>
      <w:r w:rsidRPr="001E5251">
        <w:rPr>
          <w:rFonts w:ascii="David" w:hAnsi="David" w:hint="cs"/>
          <w:sz w:val="22"/>
          <w:u w:val="single"/>
          <w:rtl/>
        </w:rPr>
        <w:t xml:space="preserve">שולחן </w:t>
      </w:r>
      <w:r w:rsidR="001E5251" w:rsidRPr="001E5251">
        <w:rPr>
          <w:rFonts w:ascii="David" w:hAnsi="David" w:hint="cs"/>
          <w:sz w:val="22"/>
          <w:u w:val="single"/>
          <w:rtl/>
        </w:rPr>
        <w:t>ערוך אבן העזר היכלות גיטין סימן קמט</w:t>
      </w:r>
      <w:r w:rsidR="001E5251">
        <w:rPr>
          <w:rFonts w:ascii="David" w:hAnsi="David" w:hint="cs"/>
          <w:sz w:val="22"/>
          <w:u w:val="single"/>
          <w:rtl/>
        </w:rPr>
        <w:t xml:space="preserve"> סעיף ב</w:t>
      </w:r>
      <w:r w:rsidR="001E5251">
        <w:rPr>
          <w:rFonts w:ascii="David" w:hAnsi="David" w:hint="cs"/>
          <w:sz w:val="22"/>
          <w:rtl/>
        </w:rPr>
        <w:t>: מקרה של זוג שהתגרש וחזרו לחיות יחד. יש חשש שהם קיימו יחסי אישות</w:t>
      </w:r>
      <w:r w:rsidR="00343FD7">
        <w:rPr>
          <w:rFonts w:ascii="David" w:hAnsi="David" w:hint="cs"/>
          <w:sz w:val="22"/>
          <w:rtl/>
        </w:rPr>
        <w:t>,</w:t>
      </w:r>
      <w:r w:rsidR="001E5251">
        <w:rPr>
          <w:rFonts w:ascii="David" w:hAnsi="David" w:hint="cs"/>
          <w:sz w:val="22"/>
          <w:rtl/>
        </w:rPr>
        <w:t xml:space="preserve"> </w:t>
      </w:r>
      <w:r w:rsidR="00343FD7">
        <w:rPr>
          <w:rFonts w:ascii="David" w:hAnsi="David" w:hint="cs"/>
          <w:sz w:val="22"/>
          <w:rtl/>
        </w:rPr>
        <w:t>בכך</w:t>
      </w:r>
      <w:r w:rsidR="001E5251">
        <w:rPr>
          <w:rFonts w:ascii="David" w:hAnsi="David" w:hint="cs"/>
          <w:sz w:val="22"/>
          <w:rtl/>
        </w:rPr>
        <w:t xml:space="preserve"> קיימו קדושי ביאה. בשל כך היא ספק מקודשת והיא צריכה גט מספק. כדי לצאת המפסק יש שתי אפשריות: 1) לבצע קידושין פעם נוסף. 2) להתגרש בפעם השנייה.</w:t>
      </w:r>
    </w:p>
    <w:p w14:paraId="0A611615" w14:textId="77777777" w:rsidR="001C1DF7" w:rsidRDefault="001E5251" w:rsidP="001E5251">
      <w:pPr>
        <w:pStyle w:val="ac"/>
        <w:numPr>
          <w:ilvl w:val="4"/>
          <w:numId w:val="19"/>
        </w:numPr>
        <w:bidi/>
        <w:spacing w:after="0"/>
        <w:rPr>
          <w:rFonts w:ascii="David" w:hAnsi="David"/>
          <w:sz w:val="22"/>
        </w:rPr>
      </w:pPr>
      <w:r>
        <w:rPr>
          <w:rFonts w:ascii="David" w:hAnsi="David" w:hint="cs"/>
          <w:sz w:val="22"/>
          <w:rtl/>
        </w:rPr>
        <w:t xml:space="preserve">לא לבלבל גט מספק אם גט לחומרא, בעוד אם הגבר או האישה מסרבים לגט לחומרא אז יבוטלו הנישואין ללא גט. ואילו גט מספק הוא גט שלא ניתן לוותר עליו, כיוון שהסיבה לכך </w:t>
      </w:r>
      <w:r w:rsidR="001C1DF7">
        <w:rPr>
          <w:rFonts w:ascii="David" w:hAnsi="David" w:hint="cs"/>
          <w:sz w:val="22"/>
          <w:rtl/>
        </w:rPr>
        <w:t xml:space="preserve">היא ספק בדין. </w:t>
      </w:r>
    </w:p>
    <w:p w14:paraId="2025AEB0" w14:textId="08DA5182" w:rsidR="001E5251" w:rsidRDefault="001C1DF7" w:rsidP="001C1DF7">
      <w:pPr>
        <w:pStyle w:val="ac"/>
        <w:numPr>
          <w:ilvl w:val="4"/>
          <w:numId w:val="19"/>
        </w:numPr>
        <w:bidi/>
        <w:spacing w:after="0"/>
        <w:rPr>
          <w:rFonts w:ascii="David" w:hAnsi="David"/>
          <w:sz w:val="22"/>
        </w:rPr>
      </w:pPr>
      <w:r>
        <w:rPr>
          <w:rFonts w:ascii="David" w:hAnsi="David" w:hint="cs"/>
          <w:sz w:val="22"/>
          <w:rtl/>
        </w:rPr>
        <w:t>יש יתרון אחד לגט מספק לעומת גט רגיל. גט מספק אפשר לכפות את הגבר (וגם את האישה). כיוון שההלכה לא רוצה שבני הזוג יישארו במצב של ספק אז יש אפשרות לכפות עליהם גט.</w:t>
      </w:r>
    </w:p>
    <w:p w14:paraId="4BF816ED" w14:textId="77777777" w:rsidR="002B5DE9" w:rsidRDefault="00343FD7" w:rsidP="001C1DF7">
      <w:pPr>
        <w:pStyle w:val="ac"/>
        <w:numPr>
          <w:ilvl w:val="1"/>
          <w:numId w:val="19"/>
        </w:numPr>
        <w:bidi/>
        <w:spacing w:after="0"/>
        <w:rPr>
          <w:rFonts w:ascii="David" w:hAnsi="David"/>
          <w:sz w:val="22"/>
        </w:rPr>
      </w:pPr>
      <w:r w:rsidRPr="002B5DE9">
        <w:rPr>
          <w:rFonts w:ascii="David" w:hAnsi="David" w:hint="cs"/>
          <w:sz w:val="22"/>
          <w:highlight w:val="cyan"/>
          <w:rtl/>
        </w:rPr>
        <w:t>פס"ד בבי"ד בחיפה ב-2010</w:t>
      </w:r>
      <w:r>
        <w:rPr>
          <w:rFonts w:ascii="David" w:hAnsi="David" w:hint="cs"/>
          <w:sz w:val="22"/>
          <w:rtl/>
        </w:rPr>
        <w:t>: באותו מקרה בני הזוג יתגרשו ו</w:t>
      </w:r>
      <w:r w:rsidR="002B5DE9">
        <w:rPr>
          <w:rFonts w:ascii="David" w:hAnsi="David" w:hint="cs"/>
          <w:sz w:val="22"/>
          <w:rtl/>
        </w:rPr>
        <w:t>לאחר מכן החלו לחיו יחד ונולד להם בן משותף. האישה מבקשת גט. הבעל בא ואומר שהיו נישואין כדת משה וישראל כאשר חזרו לחיות יחד (נישואין פרטיים) - כלומר לא נישואין מספק אלא נישואין וודאיים. אם היה מדובר בגט רגיל ולא גט מספק לא היה אפשר לכפות אליו גט והוא היה יכול לסחוט את האישה. בית הדין מאמין לדבריו האישה וקובע כי מדובר בגט מספק שכן הבעל טוען טענותיו לצורך סחיטת הרכוש.</w:t>
      </w:r>
    </w:p>
    <w:p w14:paraId="03794160" w14:textId="1A7E8CAF" w:rsidR="008F0AFE" w:rsidRPr="000E345E" w:rsidRDefault="002B5DE9" w:rsidP="000E345E">
      <w:pPr>
        <w:pStyle w:val="ac"/>
        <w:numPr>
          <w:ilvl w:val="1"/>
          <w:numId w:val="19"/>
        </w:numPr>
        <w:bidi/>
        <w:spacing w:after="0"/>
        <w:rPr>
          <w:rFonts w:ascii="David" w:hAnsi="David"/>
          <w:sz w:val="22"/>
          <w:rtl/>
        </w:rPr>
      </w:pPr>
      <w:r w:rsidRPr="002B5DE9">
        <w:rPr>
          <w:rFonts w:ascii="David" w:hAnsi="David" w:hint="cs"/>
          <w:sz w:val="22"/>
          <w:highlight w:val="cyan"/>
          <w:rtl/>
        </w:rPr>
        <w:t>פס"ד מ-2014 בבית הדין הגדול</w:t>
      </w:r>
      <w:r>
        <w:rPr>
          <w:rFonts w:ascii="David" w:hAnsi="David" w:hint="cs"/>
          <w:sz w:val="22"/>
          <w:rtl/>
        </w:rPr>
        <w:t>: באותו מקרה האישה מתה והגבר טוען שאומנם הם יתגרשו אבל הם חזרו לחיות יחד</w:t>
      </w:r>
      <w:r w:rsidR="00EB6E9A">
        <w:rPr>
          <w:rFonts w:ascii="David" w:hAnsi="David" w:hint="cs"/>
          <w:sz w:val="22"/>
          <w:rtl/>
        </w:rPr>
        <w:t xml:space="preserve"> ולכן הוא אלמן מספק ומגיע לו את הירושה. כאן בית הדין עושה כל מאמץ לא לקבל את טענותיו. בי"ד קובע כי גם אם חיית איתה לא התכוונת לקדש אותה ולא היו קידושי ביאה - בי"ד לא חושש לקבוע שלא היו קידושין כיוון שהאישה מתה. אין ספק לגבי המעמד שלה. בנוסף לגבי ממון מוציא מחברו עליו הראיה ולכן ספק קידושין לא מספיק כדי לשמש כראיה.</w:t>
      </w:r>
    </w:p>
    <w:p w14:paraId="756BDC72" w14:textId="49723B57" w:rsidR="00213028" w:rsidRDefault="00213028" w:rsidP="008037B2">
      <w:pPr>
        <w:pBdr>
          <w:top w:val="single" w:sz="4" w:space="1" w:color="auto"/>
        </w:pBdr>
        <w:rPr>
          <w:rFonts w:ascii="David" w:hAnsi="David"/>
          <w:rtl/>
        </w:rPr>
      </w:pPr>
      <w:r>
        <w:rPr>
          <w:rFonts w:ascii="David" w:hAnsi="David" w:hint="cs"/>
          <w:rtl/>
        </w:rPr>
        <w:t>שיעור מוקלט</w:t>
      </w:r>
    </w:p>
    <w:p w14:paraId="45EFC263" w14:textId="33FE550A" w:rsidR="00415DD0" w:rsidRPr="00B65F5D" w:rsidRDefault="00415DD0" w:rsidP="00415DD0">
      <w:pPr>
        <w:pStyle w:val="21"/>
      </w:pPr>
      <w:bookmarkStart w:id="15" w:name="_Toc107438162"/>
      <w:r>
        <w:rPr>
          <w:rFonts w:hint="cs"/>
          <w:rtl/>
        </w:rPr>
        <w:t>ייבום חליצה</w:t>
      </w:r>
      <w:bookmarkEnd w:id="15"/>
    </w:p>
    <w:p w14:paraId="068D0CE1" w14:textId="4F3BAD4F" w:rsidR="00FE126C" w:rsidRPr="00FE126C" w:rsidRDefault="00FE126C" w:rsidP="00FE126C">
      <w:pPr>
        <w:pStyle w:val="ac"/>
        <w:numPr>
          <w:ilvl w:val="0"/>
          <w:numId w:val="21"/>
        </w:numPr>
        <w:shd w:val="clear" w:color="auto" w:fill="FFF4CD" w:themeFill="accent1" w:themeFillTint="33"/>
        <w:bidi/>
        <w:rPr>
          <w:rFonts w:ascii="David" w:hAnsi="David"/>
          <w:b/>
          <w:bCs/>
          <w:sz w:val="22"/>
        </w:rPr>
      </w:pPr>
      <w:r w:rsidRPr="00FE126C">
        <w:rPr>
          <w:rFonts w:ascii="David" w:hAnsi="David" w:hint="cs"/>
          <w:b/>
          <w:bCs/>
          <w:sz w:val="22"/>
          <w:rtl/>
        </w:rPr>
        <w:t>הגדרות:</w:t>
      </w:r>
    </w:p>
    <w:p w14:paraId="2E1A270B" w14:textId="7548D7D5" w:rsidR="007574AA" w:rsidRDefault="00436436" w:rsidP="00FE126C">
      <w:pPr>
        <w:pStyle w:val="ac"/>
        <w:numPr>
          <w:ilvl w:val="2"/>
          <w:numId w:val="21"/>
        </w:numPr>
        <w:bidi/>
        <w:rPr>
          <w:rFonts w:ascii="David" w:hAnsi="David"/>
          <w:sz w:val="22"/>
        </w:rPr>
      </w:pPr>
      <w:r w:rsidRPr="00436436">
        <w:rPr>
          <w:rFonts w:ascii="David" w:hAnsi="David"/>
          <w:b/>
          <w:bCs/>
          <w:sz w:val="22"/>
          <w:rtl/>
        </w:rPr>
        <w:t>מצוות ייבום</w:t>
      </w:r>
      <w:r w:rsidRPr="00436436">
        <w:rPr>
          <w:rFonts w:ascii="David" w:hAnsi="David"/>
          <w:sz w:val="22"/>
          <w:rtl/>
        </w:rPr>
        <w:t> </w:t>
      </w:r>
      <w:r w:rsidR="007574AA">
        <w:rPr>
          <w:rFonts w:ascii="David" w:hAnsi="David" w:hint="cs"/>
          <w:sz w:val="22"/>
          <w:rtl/>
        </w:rPr>
        <w:t>-</w:t>
      </w:r>
      <w:r w:rsidRPr="00436436">
        <w:rPr>
          <w:rFonts w:ascii="David" w:hAnsi="David"/>
          <w:sz w:val="22"/>
          <w:rtl/>
        </w:rPr>
        <w:t xml:space="preserve"> מצווה מהתורה, החלה כשאדם נשוי מת</w:t>
      </w:r>
      <w:r w:rsidRPr="00436436">
        <w:rPr>
          <w:rFonts w:ascii="David" w:hAnsi="David"/>
          <w:sz w:val="22"/>
        </w:rPr>
        <w:t> </w:t>
      </w:r>
      <w:r w:rsidRPr="00436436">
        <w:rPr>
          <w:rFonts w:ascii="David" w:hAnsi="David"/>
          <w:sz w:val="22"/>
          <w:rtl/>
        </w:rPr>
        <w:t>מבלי להשאיר אחריו צאצאים. במקרה כזה, אחיו של המת מצווה</w:t>
      </w:r>
      <w:r w:rsidRPr="00436436">
        <w:rPr>
          <w:rFonts w:ascii="David" w:hAnsi="David"/>
          <w:sz w:val="22"/>
        </w:rPr>
        <w:t> </w:t>
      </w:r>
      <w:r w:rsidRPr="00436436">
        <w:rPr>
          <w:rFonts w:ascii="David" w:hAnsi="David"/>
          <w:sz w:val="22"/>
          <w:rtl/>
        </w:rPr>
        <w:t xml:space="preserve">לשאת את אלמנתו ובכך להנציח את שם אחיו. </w:t>
      </w:r>
    </w:p>
    <w:p w14:paraId="0CBEC59F" w14:textId="77777777" w:rsidR="007574AA" w:rsidRPr="007574AA" w:rsidRDefault="007574AA" w:rsidP="00FE126C">
      <w:pPr>
        <w:pStyle w:val="ac"/>
        <w:numPr>
          <w:ilvl w:val="2"/>
          <w:numId w:val="21"/>
        </w:numPr>
        <w:bidi/>
        <w:rPr>
          <w:rFonts w:ascii="David" w:hAnsi="David"/>
          <w:sz w:val="22"/>
        </w:rPr>
      </w:pPr>
      <w:r>
        <w:rPr>
          <w:rFonts w:ascii="David" w:hAnsi="David" w:hint="cs"/>
          <w:b/>
          <w:bCs/>
          <w:sz w:val="22"/>
          <w:rtl/>
        </w:rPr>
        <w:t xml:space="preserve">חליצה - </w:t>
      </w:r>
      <w:r w:rsidR="00436436" w:rsidRPr="00436436">
        <w:rPr>
          <w:rFonts w:ascii="David" w:hAnsi="David"/>
          <w:sz w:val="22"/>
          <w:rtl/>
        </w:rPr>
        <w:t xml:space="preserve">לחלופין, </w:t>
      </w:r>
      <w:r>
        <w:rPr>
          <w:rFonts w:ascii="David" w:hAnsi="David" w:hint="cs"/>
          <w:sz w:val="22"/>
          <w:rtl/>
        </w:rPr>
        <w:t>האח של הבעל המת</w:t>
      </w:r>
      <w:r w:rsidR="00436436" w:rsidRPr="00436436">
        <w:rPr>
          <w:rFonts w:ascii="David" w:hAnsi="David"/>
          <w:sz w:val="22"/>
          <w:rtl/>
        </w:rPr>
        <w:t xml:space="preserve"> מצווה לבצע חליצה</w:t>
      </w:r>
      <w:r w:rsidR="00436436" w:rsidRPr="00436436">
        <w:rPr>
          <w:rFonts w:ascii="David" w:hAnsi="David"/>
          <w:sz w:val="22"/>
        </w:rPr>
        <w:t> </w:t>
      </w:r>
      <w:r w:rsidR="00436436" w:rsidRPr="00436436">
        <w:rPr>
          <w:rFonts w:ascii="David" w:hAnsi="David"/>
          <w:sz w:val="22"/>
          <w:rtl/>
        </w:rPr>
        <w:t xml:space="preserve">לניתוק הזיקה </w:t>
      </w:r>
      <w:r>
        <w:rPr>
          <w:rFonts w:ascii="David" w:hAnsi="David" w:hint="cs"/>
          <w:sz w:val="22"/>
          <w:rtl/>
        </w:rPr>
        <w:t>בין האלמנה של אחיו אליו</w:t>
      </w:r>
      <w:r w:rsidR="00436436" w:rsidRPr="00436436">
        <w:rPr>
          <w:rFonts w:ascii="David" w:hAnsi="David"/>
          <w:sz w:val="22"/>
          <w:rtl/>
        </w:rPr>
        <w:t>, כשרק לאחר מכן האלמנה מותרת להינשא לגבר אחר</w:t>
      </w:r>
      <w:r w:rsidR="00436436" w:rsidRPr="00436436">
        <w:rPr>
          <w:rFonts w:ascii="David" w:hAnsi="David"/>
          <w:sz w:val="22"/>
        </w:rPr>
        <w:t>. </w:t>
      </w:r>
    </w:p>
    <w:p w14:paraId="67733C3F" w14:textId="77BFEEFF" w:rsidR="00A071DB" w:rsidRPr="00A071DB" w:rsidRDefault="00436436" w:rsidP="00D41985">
      <w:pPr>
        <w:pStyle w:val="ac"/>
        <w:numPr>
          <w:ilvl w:val="4"/>
          <w:numId w:val="21"/>
        </w:numPr>
        <w:bidi/>
        <w:rPr>
          <w:rFonts w:ascii="David" w:hAnsi="David"/>
          <w:sz w:val="22"/>
        </w:rPr>
      </w:pPr>
      <w:r w:rsidRPr="00436436">
        <w:rPr>
          <w:rFonts w:ascii="David" w:hAnsi="David"/>
          <w:b/>
          <w:bCs/>
          <w:sz w:val="22"/>
          <w:rtl/>
        </w:rPr>
        <w:t>ייבום</w:t>
      </w:r>
      <w:r w:rsidRPr="00436436">
        <w:rPr>
          <w:rFonts w:ascii="David" w:hAnsi="David"/>
          <w:sz w:val="22"/>
          <w:rtl/>
        </w:rPr>
        <w:t> הוא המקרה היחיד בו מתירה התורה לגבר לקיים יחסי מין עם אשת אחיו</w:t>
      </w:r>
      <w:r w:rsidRPr="00436436">
        <w:rPr>
          <w:rFonts w:ascii="David" w:hAnsi="David"/>
          <w:sz w:val="22"/>
        </w:rPr>
        <w:t>.</w:t>
      </w:r>
      <w:r w:rsidR="000834FD">
        <w:rPr>
          <w:rFonts w:ascii="David" w:hAnsi="David" w:hint="cs"/>
          <w:sz w:val="22"/>
          <w:rtl/>
        </w:rPr>
        <w:t xml:space="preserve"> במידה ולאישה יש צאצאים אסור לה להתחתן עם אחיו וזה איסור עריות על פי התורה.</w:t>
      </w:r>
    </w:p>
    <w:p w14:paraId="7B303A65" w14:textId="77777777" w:rsidR="00366845" w:rsidRPr="00366845" w:rsidRDefault="00F90720" w:rsidP="00366845">
      <w:pPr>
        <w:pStyle w:val="ac"/>
        <w:numPr>
          <w:ilvl w:val="1"/>
          <w:numId w:val="21"/>
        </w:numPr>
        <w:bidi/>
        <w:rPr>
          <w:rFonts w:ascii="David" w:hAnsi="David"/>
          <w:sz w:val="22"/>
        </w:rPr>
      </w:pPr>
      <w:r>
        <w:rPr>
          <w:rFonts w:ascii="David" w:hAnsi="David" w:hint="cs"/>
          <w:b/>
          <w:bCs/>
          <w:sz w:val="22"/>
          <w:rtl/>
        </w:rPr>
        <w:t xml:space="preserve">ישנם מקרים שהם מאוד מסובכים, למשל כאשר האח של הבעל המת הוא קטין. את פעולת החליצה אפשר לבצע רק מגיל 13 </w:t>
      </w:r>
      <w:r w:rsidR="00C168E2">
        <w:rPr>
          <w:rFonts w:ascii="David" w:hAnsi="David" w:hint="cs"/>
          <w:b/>
          <w:bCs/>
          <w:sz w:val="22"/>
          <w:rtl/>
        </w:rPr>
        <w:t>ולכן האישה צריכה לעיתים לחכות שנים עד שתוכל לבצע את החליצה. יכול להיות שלמקרים כאלה אפשר לעשות הסכם קדם נישואין רדיקלי עם תנאי</w:t>
      </w:r>
      <w:r w:rsidR="00425FEB">
        <w:rPr>
          <w:rFonts w:ascii="David" w:hAnsi="David" w:hint="cs"/>
          <w:b/>
          <w:bCs/>
          <w:sz w:val="22"/>
          <w:rtl/>
        </w:rPr>
        <w:t xml:space="preserve"> (לא ניכנס לזה).</w:t>
      </w:r>
    </w:p>
    <w:p w14:paraId="0A077637" w14:textId="77777777" w:rsidR="006D503A" w:rsidRPr="006D503A" w:rsidRDefault="006D503A" w:rsidP="00366845">
      <w:pPr>
        <w:pStyle w:val="ac"/>
        <w:numPr>
          <w:ilvl w:val="1"/>
          <w:numId w:val="21"/>
        </w:numPr>
        <w:bidi/>
        <w:rPr>
          <w:rFonts w:ascii="David" w:hAnsi="David"/>
          <w:sz w:val="22"/>
        </w:rPr>
      </w:pPr>
      <w:r>
        <w:rPr>
          <w:rFonts w:ascii="David" w:hAnsi="David" w:hint="cs"/>
          <w:b/>
          <w:bCs/>
          <w:sz w:val="22"/>
          <w:rtl/>
        </w:rPr>
        <w:t>אפשר להבין למה במאה ה-21 זה טקס שקשה לעיכול, אבל זה חלק בלתי נפרד המחוק הישראל.</w:t>
      </w:r>
    </w:p>
    <w:p w14:paraId="07928559" w14:textId="77777777" w:rsidR="007F411C" w:rsidRPr="007F411C" w:rsidRDefault="0081380E" w:rsidP="00235239">
      <w:pPr>
        <w:pStyle w:val="ac"/>
        <w:numPr>
          <w:ilvl w:val="0"/>
          <w:numId w:val="21"/>
        </w:numPr>
        <w:shd w:val="clear" w:color="auto" w:fill="FFF4CD" w:themeFill="accent1" w:themeFillTint="33"/>
        <w:bidi/>
        <w:rPr>
          <w:rFonts w:ascii="David" w:hAnsi="David"/>
          <w:sz w:val="22"/>
        </w:rPr>
      </w:pPr>
      <w:r>
        <w:rPr>
          <w:rFonts w:ascii="David" w:hAnsi="David" w:hint="cs"/>
          <w:b/>
          <w:bCs/>
          <w:sz w:val="22"/>
          <w:rtl/>
        </w:rPr>
        <w:t>החוק בישראל:</w:t>
      </w:r>
    </w:p>
    <w:p w14:paraId="3290938D" w14:textId="150236DB" w:rsidR="00094097" w:rsidRDefault="00D25865" w:rsidP="007F411C">
      <w:pPr>
        <w:pStyle w:val="ac"/>
        <w:numPr>
          <w:ilvl w:val="1"/>
          <w:numId w:val="21"/>
        </w:numPr>
        <w:bidi/>
        <w:rPr>
          <w:rFonts w:ascii="David" w:hAnsi="David"/>
          <w:sz w:val="22"/>
        </w:rPr>
      </w:pPr>
      <w:r>
        <w:rPr>
          <w:rFonts w:ascii="David" w:hAnsi="David" w:hint="cs"/>
          <w:b/>
          <w:bCs/>
          <w:highlight w:val="green"/>
          <w:rtl/>
        </w:rPr>
        <w:t xml:space="preserve">חוק בתי דין רבניים </w:t>
      </w:r>
      <w:r w:rsidR="0081380E" w:rsidRPr="007F411C">
        <w:rPr>
          <w:rFonts w:ascii="David" w:hAnsi="David" w:hint="cs"/>
          <w:b/>
          <w:bCs/>
          <w:highlight w:val="green"/>
          <w:rtl/>
        </w:rPr>
        <w:t xml:space="preserve">ס' 6 </w:t>
      </w:r>
      <w:r w:rsidR="00233488" w:rsidRPr="007F411C">
        <w:rPr>
          <w:rFonts w:ascii="David" w:hAnsi="David" w:hint="cs"/>
          <w:b/>
          <w:bCs/>
          <w:highlight w:val="green"/>
          <w:rtl/>
        </w:rPr>
        <w:t>- כפייה למתן חליצה</w:t>
      </w:r>
      <w:r w:rsidR="00233488" w:rsidRPr="007F411C">
        <w:rPr>
          <w:rFonts w:ascii="David" w:hAnsi="David" w:hint="cs"/>
          <w:b/>
          <w:bCs/>
          <w:rtl/>
        </w:rPr>
        <w:t xml:space="preserve">: </w:t>
      </w:r>
      <w:r w:rsidR="00DB7767" w:rsidRPr="007F411C">
        <w:rPr>
          <w:rFonts w:ascii="David" w:hAnsi="David"/>
          <w:b/>
          <w:bCs/>
          <w:rtl/>
        </w:rPr>
        <w:t>"</w:t>
      </w:r>
      <w:r w:rsidR="00DB7767" w:rsidRPr="007F411C">
        <w:rPr>
          <w:rFonts w:ascii="David" w:hAnsi="David"/>
          <w:rtl/>
        </w:rPr>
        <w:t>החליט בית דין רבני שאיש יתן חליצה לאלמנת אחיו, והאיש לא קיים את החליצה, רשאי בית הדין הרבני, בתום שלושים ימים מיום מתן ההחלטה, ליתן צו הגבלה נגד האיש, והוראות סעיפים 2</w:t>
      </w:r>
      <w:r w:rsidR="007F411C" w:rsidRPr="007F411C">
        <w:rPr>
          <w:rFonts w:ascii="David" w:hAnsi="David"/>
          <w:b/>
          <w:bCs/>
          <w:rtl/>
        </w:rPr>
        <w:t>,</w:t>
      </w:r>
      <w:r w:rsidR="00DB7767" w:rsidRPr="007F411C">
        <w:rPr>
          <w:rFonts w:ascii="David" w:hAnsi="David"/>
          <w:b/>
          <w:bCs/>
          <w:rtl/>
        </w:rPr>
        <w:t xml:space="preserve"> </w:t>
      </w:r>
      <w:r w:rsidR="00DB7767" w:rsidRPr="007F411C">
        <w:rPr>
          <w:rFonts w:ascii="David" w:hAnsi="David"/>
        </w:rPr>
        <w:t>3</w:t>
      </w:r>
      <w:r w:rsidR="007F411C" w:rsidRPr="007F411C">
        <w:rPr>
          <w:rFonts w:ascii="David" w:hAnsi="David"/>
          <w:rtl/>
        </w:rPr>
        <w:t>,3</w:t>
      </w:r>
      <w:r w:rsidR="00DB7767" w:rsidRPr="007F411C">
        <w:rPr>
          <w:rFonts w:ascii="David" w:hAnsi="David"/>
          <w:rtl/>
        </w:rPr>
        <w:t>א, 4 ו 4- א יחולו, בשינויים המחוייבים</w:t>
      </w:r>
      <w:r w:rsidR="007F411C" w:rsidRPr="007F411C">
        <w:rPr>
          <w:rFonts w:ascii="David" w:hAnsi="David" w:hint="cs"/>
          <w:rtl/>
        </w:rPr>
        <w:t xml:space="preserve">" </w:t>
      </w:r>
      <w:r w:rsidR="00DB7767" w:rsidRPr="007F411C">
        <w:rPr>
          <w:rFonts w:ascii="David" w:hAnsi="David"/>
          <w:rtl/>
        </w:rPr>
        <w:t>.</w:t>
      </w:r>
      <w:r w:rsidR="000E54EB" w:rsidRPr="007F411C">
        <w:rPr>
          <w:rFonts w:ascii="David" w:hAnsi="David"/>
          <w:b/>
          <w:bCs/>
          <w:rtl/>
        </w:rPr>
        <w:tab/>
      </w:r>
    </w:p>
    <w:p w14:paraId="25669F5C" w14:textId="747AE680" w:rsidR="00D25865" w:rsidRPr="00235239" w:rsidRDefault="00D25865" w:rsidP="00CB5358">
      <w:pPr>
        <w:pStyle w:val="ac"/>
        <w:numPr>
          <w:ilvl w:val="1"/>
          <w:numId w:val="21"/>
        </w:numPr>
        <w:bidi/>
        <w:spacing w:after="0"/>
        <w:rPr>
          <w:rFonts w:ascii="David" w:hAnsi="David"/>
          <w:b/>
          <w:bCs/>
          <w:sz w:val="22"/>
        </w:rPr>
      </w:pPr>
      <w:r w:rsidRPr="00235239">
        <w:rPr>
          <w:rFonts w:ascii="David" w:hAnsi="David" w:hint="cs"/>
          <w:b/>
          <w:bCs/>
          <w:sz w:val="22"/>
          <w:highlight w:val="green"/>
          <w:rtl/>
        </w:rPr>
        <w:t>חוק שיפוט בתי דין רבניים</w:t>
      </w:r>
      <w:r w:rsidR="00CB5358" w:rsidRPr="00235239">
        <w:rPr>
          <w:rFonts w:ascii="David" w:hAnsi="David" w:hint="cs"/>
          <w:b/>
          <w:bCs/>
          <w:sz w:val="22"/>
          <w:highlight w:val="green"/>
          <w:rtl/>
        </w:rPr>
        <w:t xml:space="preserve"> ס' 5 ו-7</w:t>
      </w:r>
      <w:r w:rsidRPr="00235239">
        <w:rPr>
          <w:rFonts w:ascii="David" w:hAnsi="David" w:hint="cs"/>
          <w:b/>
          <w:bCs/>
          <w:sz w:val="22"/>
          <w:rtl/>
        </w:rPr>
        <w:t>:</w:t>
      </w:r>
    </w:p>
    <w:p w14:paraId="6FAB50EB" w14:textId="3555AA23" w:rsidR="00CB5358" w:rsidRPr="00CB5358" w:rsidRDefault="00235239" w:rsidP="00CB5358">
      <w:pPr>
        <w:rPr>
          <w:rFonts w:ascii="David" w:hAnsi="David"/>
        </w:rPr>
      </w:pPr>
      <w:r>
        <w:rPr>
          <w:rFonts w:ascii="David" w:hAnsi="David" w:hint="cs"/>
          <w:b/>
          <w:bCs/>
          <w:rtl/>
        </w:rPr>
        <w:t xml:space="preserve">סעיף 5: " </w:t>
      </w:r>
      <w:r w:rsidR="00CB5358" w:rsidRPr="00CB5358">
        <w:rPr>
          <w:rFonts w:ascii="David" w:hAnsi="David"/>
          <w:rtl/>
        </w:rPr>
        <w:t>תבעה אשה מיבמה בבית דין רבני מתן חליצה, יהא לבית הדין הרבני שיפוט יחודי בענין התביעה, לרבות מזונות לאשה עד יום מתן</w:t>
      </w:r>
      <w:r w:rsidR="00CB5358" w:rsidRPr="00CB5358">
        <w:rPr>
          <w:rFonts w:ascii="David" w:hAnsi="David" w:hint="cs"/>
          <w:rtl/>
        </w:rPr>
        <w:t xml:space="preserve"> </w:t>
      </w:r>
      <w:r w:rsidR="00CB5358" w:rsidRPr="00CB5358">
        <w:rPr>
          <w:rFonts w:ascii="David" w:hAnsi="David"/>
          <w:rtl/>
        </w:rPr>
        <w:t>החליצה</w:t>
      </w:r>
      <w:r>
        <w:rPr>
          <w:rFonts w:ascii="David" w:hAnsi="David" w:hint="cs"/>
          <w:rtl/>
        </w:rPr>
        <w:t>".</w:t>
      </w:r>
    </w:p>
    <w:p w14:paraId="3C6FBEB8" w14:textId="59DF8B49" w:rsidR="00D25865" w:rsidRPr="00CB5358" w:rsidRDefault="00235239" w:rsidP="00CB5358">
      <w:pPr>
        <w:rPr>
          <w:rFonts w:ascii="David" w:hAnsi="David"/>
        </w:rPr>
      </w:pPr>
      <w:r>
        <w:rPr>
          <w:rFonts w:ascii="David" w:hAnsi="David" w:hint="cs"/>
          <w:b/>
          <w:bCs/>
          <w:rtl/>
        </w:rPr>
        <w:t>סעיף 7:</w:t>
      </w:r>
      <w:r w:rsidR="00CB5358" w:rsidRPr="00CB5358">
        <w:rPr>
          <w:rFonts w:ascii="David" w:hAnsi="David"/>
          <w:rtl/>
        </w:rPr>
        <w:t xml:space="preserve"> </w:t>
      </w:r>
      <w:r>
        <w:rPr>
          <w:rFonts w:ascii="David" w:hAnsi="David" w:hint="cs"/>
          <w:rtl/>
        </w:rPr>
        <w:t>"</w:t>
      </w:r>
      <w:r w:rsidR="00CB5358" w:rsidRPr="00CB5358">
        <w:rPr>
          <w:rFonts w:ascii="David" w:hAnsi="David"/>
          <w:rtl/>
        </w:rPr>
        <w:t>ציווה בית דין רבני בפסק דין סופי לכפות איש לתת חליצה לאלמנת אחיו, רשאי בית משפט מחוזי, כתום שלושה חדשים מיום מתן</w:t>
      </w:r>
      <w:r w:rsidR="00CB5358" w:rsidRPr="00CB5358">
        <w:rPr>
          <w:rFonts w:ascii="David" w:hAnsi="David" w:hint="cs"/>
          <w:rtl/>
        </w:rPr>
        <w:t xml:space="preserve"> </w:t>
      </w:r>
      <w:r w:rsidR="00CB5358" w:rsidRPr="00CB5358">
        <w:rPr>
          <w:rFonts w:ascii="David" w:hAnsi="David"/>
          <w:rtl/>
        </w:rPr>
        <w:t>הצו, לפי בקשת היועץ המשפטי לממשלה, לכפות במאסר לציית ל</w:t>
      </w:r>
      <w:r w:rsidR="00CB5358" w:rsidRPr="00CB5358">
        <w:rPr>
          <w:rFonts w:ascii="David" w:hAnsi="David" w:hint="cs"/>
          <w:rtl/>
        </w:rPr>
        <w:t>צו</w:t>
      </w:r>
      <w:r>
        <w:rPr>
          <w:rFonts w:ascii="David" w:hAnsi="David" w:hint="cs"/>
          <w:rtl/>
        </w:rPr>
        <w:t>"</w:t>
      </w:r>
      <w:r w:rsidR="00CB5358" w:rsidRPr="00CB5358">
        <w:rPr>
          <w:rFonts w:ascii="David" w:hAnsi="David" w:hint="cs"/>
          <w:rtl/>
        </w:rPr>
        <w:t>.</w:t>
      </w:r>
    </w:p>
    <w:p w14:paraId="2CD68091" w14:textId="20C6A584" w:rsidR="00CB5358" w:rsidRDefault="00CB5358" w:rsidP="00CB5358">
      <w:pPr>
        <w:pStyle w:val="ac"/>
        <w:numPr>
          <w:ilvl w:val="1"/>
          <w:numId w:val="21"/>
        </w:numPr>
        <w:bidi/>
        <w:rPr>
          <w:rFonts w:ascii="David" w:hAnsi="David"/>
          <w:sz w:val="22"/>
        </w:rPr>
      </w:pPr>
      <w:r>
        <w:rPr>
          <w:rFonts w:ascii="David" w:hAnsi="David" w:hint="cs"/>
          <w:sz w:val="22"/>
          <w:rtl/>
        </w:rPr>
        <w:lastRenderedPageBreak/>
        <w:t>חוקים אלו עוסקים באכיפה בעת סרבנות לבצע חליצה.</w:t>
      </w:r>
      <w:r w:rsidR="00235239">
        <w:rPr>
          <w:rFonts w:ascii="David" w:hAnsi="David" w:hint="cs"/>
          <w:sz w:val="22"/>
          <w:rtl/>
        </w:rPr>
        <w:t xml:space="preserve"> ניתן להבין מכך כי המפשט הישראל מנסה לקדם את מנגנון החליצה ולא ייבום.</w:t>
      </w:r>
      <w:r w:rsidR="00FF623D">
        <w:rPr>
          <w:rFonts w:ascii="David" w:hAnsi="David" w:hint="cs"/>
          <w:sz w:val="22"/>
          <w:rtl/>
        </w:rPr>
        <w:t xml:space="preserve"> גברים לעיתים מעוניינים מייבום משתי סיבות מרכזיות: הראשונה, סיבה דתית. והשנייה, לחץ וסחטנות.</w:t>
      </w:r>
    </w:p>
    <w:p w14:paraId="7FC88287" w14:textId="5BA589B2" w:rsidR="00B023FF" w:rsidRPr="00B23822" w:rsidRDefault="00F455F2" w:rsidP="00B23822">
      <w:pPr>
        <w:pStyle w:val="ac"/>
        <w:numPr>
          <w:ilvl w:val="0"/>
          <w:numId w:val="21"/>
        </w:numPr>
        <w:shd w:val="clear" w:color="auto" w:fill="FFF4CD" w:themeFill="accent1" w:themeFillTint="33"/>
        <w:bidi/>
        <w:rPr>
          <w:rFonts w:ascii="David" w:hAnsi="David"/>
          <w:b/>
          <w:bCs/>
          <w:sz w:val="22"/>
        </w:rPr>
      </w:pPr>
      <w:r w:rsidRPr="00B23822">
        <w:rPr>
          <w:rFonts w:ascii="David" w:hAnsi="David" w:hint="cs"/>
          <w:b/>
          <w:bCs/>
          <w:sz w:val="22"/>
          <w:rtl/>
        </w:rPr>
        <w:t>השורשים ההלכתיים של מצוות הייבום:</w:t>
      </w:r>
    </w:p>
    <w:p w14:paraId="42ACABF1" w14:textId="6E95FDF1" w:rsidR="001A3099" w:rsidRDefault="00B73B20" w:rsidP="001A3099">
      <w:pPr>
        <w:pStyle w:val="ac"/>
        <w:numPr>
          <w:ilvl w:val="1"/>
          <w:numId w:val="21"/>
        </w:numPr>
        <w:bidi/>
        <w:rPr>
          <w:rFonts w:ascii="David" w:hAnsi="David"/>
          <w:sz w:val="22"/>
        </w:rPr>
      </w:pPr>
      <w:r>
        <w:rPr>
          <w:rFonts w:ascii="David" w:hAnsi="David" w:hint="cs"/>
          <w:sz w:val="22"/>
          <w:rtl/>
        </w:rPr>
        <w:t>השורשים</w:t>
      </w:r>
      <w:r w:rsidR="001A3099">
        <w:rPr>
          <w:rFonts w:ascii="David" w:hAnsi="David" w:hint="cs"/>
          <w:sz w:val="22"/>
          <w:rtl/>
        </w:rPr>
        <w:t xml:space="preserve"> של ייבום מתחילים כבר במקרא - </w:t>
      </w:r>
      <w:r w:rsidR="00F455F2">
        <w:rPr>
          <w:rFonts w:ascii="David" w:hAnsi="David" w:hint="cs"/>
          <w:sz w:val="22"/>
          <w:rtl/>
        </w:rPr>
        <w:t>דברים פרק כ"ח</w:t>
      </w:r>
      <w:r w:rsidR="00070C01">
        <w:rPr>
          <w:rFonts w:ascii="David" w:hAnsi="David" w:hint="cs"/>
          <w:sz w:val="22"/>
          <w:rtl/>
        </w:rPr>
        <w:t xml:space="preserve"> - במקור זה מופיעה באופן מאוד מפורש </w:t>
      </w:r>
      <w:r w:rsidR="001A3099">
        <w:rPr>
          <w:rFonts w:ascii="David" w:hAnsi="David" w:hint="cs"/>
          <w:sz w:val="22"/>
          <w:rtl/>
        </w:rPr>
        <w:t xml:space="preserve">מצוות הייבום. כמו כן, גם שני סיפורים מאוד מרכזיים בתנ"ך מדברים על ייבום: במגילת רות ובסיפור של יהודה </w:t>
      </w:r>
      <w:r w:rsidR="00B23822">
        <w:rPr>
          <w:rFonts w:ascii="David" w:hAnsi="David" w:hint="cs"/>
          <w:sz w:val="22"/>
          <w:rtl/>
        </w:rPr>
        <w:t>ותמר</w:t>
      </w:r>
      <w:r w:rsidR="001A3099">
        <w:rPr>
          <w:rFonts w:ascii="David" w:hAnsi="David" w:hint="cs"/>
          <w:sz w:val="22"/>
          <w:rtl/>
        </w:rPr>
        <w:t>.</w:t>
      </w:r>
      <w:r w:rsidR="0005675B">
        <w:rPr>
          <w:rFonts w:ascii="David" w:hAnsi="David" w:hint="cs"/>
          <w:sz w:val="22"/>
          <w:rtl/>
        </w:rPr>
        <w:t xml:space="preserve"> </w:t>
      </w:r>
    </w:p>
    <w:p w14:paraId="0B3BE9E9" w14:textId="233CBF4D" w:rsidR="00B73B20" w:rsidRDefault="00B73B20" w:rsidP="00B73B20">
      <w:pPr>
        <w:pStyle w:val="ac"/>
        <w:numPr>
          <w:ilvl w:val="1"/>
          <w:numId w:val="21"/>
        </w:numPr>
        <w:bidi/>
        <w:rPr>
          <w:rFonts w:ascii="David" w:hAnsi="David"/>
          <w:sz w:val="22"/>
        </w:rPr>
      </w:pPr>
      <w:r>
        <w:rPr>
          <w:rFonts w:ascii="David" w:hAnsi="David" w:hint="cs"/>
          <w:sz w:val="22"/>
          <w:rtl/>
        </w:rPr>
        <w:t>בעבר היה במצווה זו היגיון רב לטובת האישה, בעבר כאשר אישה התאלמנה מהבעל ואין להם ילדים לא יהיה מי שידאג להם וגם לא תמיד תהיה להן משפחה לחזור אליה. הבעיה בזה כאשר זה נהיה חוק זה שלילת הבחירה לאישה.</w:t>
      </w:r>
    </w:p>
    <w:p w14:paraId="6C83B87F" w14:textId="46E7B104" w:rsidR="00CE5A33" w:rsidRDefault="000E363F" w:rsidP="00CE5A33">
      <w:pPr>
        <w:pStyle w:val="ac"/>
        <w:numPr>
          <w:ilvl w:val="1"/>
          <w:numId w:val="21"/>
        </w:numPr>
        <w:bidi/>
        <w:rPr>
          <w:rFonts w:ascii="David" w:hAnsi="David"/>
          <w:sz w:val="22"/>
        </w:rPr>
      </w:pPr>
      <w:r w:rsidRPr="00E55E63">
        <w:rPr>
          <w:rFonts w:ascii="David" w:hAnsi="David"/>
          <w:noProof/>
          <w:sz w:val="22"/>
          <w:rtl/>
        </w:rPr>
        <w:drawing>
          <wp:anchor distT="0" distB="0" distL="114300" distR="114300" simplePos="0" relativeHeight="251661312" behindDoc="0" locked="0" layoutInCell="1" allowOverlap="1" wp14:anchorId="7CE86B72" wp14:editId="6687F42F">
            <wp:simplePos x="0" y="0"/>
            <wp:positionH relativeFrom="column">
              <wp:posOffset>1081405</wp:posOffset>
            </wp:positionH>
            <wp:positionV relativeFrom="paragraph">
              <wp:posOffset>661621</wp:posOffset>
            </wp:positionV>
            <wp:extent cx="5097780" cy="883920"/>
            <wp:effectExtent l="0" t="0" r="7620" b="0"/>
            <wp:wrapTopAndBottom/>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97780" cy="883920"/>
                    </a:xfrm>
                    <a:prstGeom prst="rect">
                      <a:avLst/>
                    </a:prstGeom>
                  </pic:spPr>
                </pic:pic>
              </a:graphicData>
            </a:graphic>
          </wp:anchor>
        </w:drawing>
      </w:r>
      <w:r w:rsidR="00CE5A33">
        <w:rPr>
          <w:rFonts w:ascii="David" w:hAnsi="David" w:hint="cs"/>
          <w:sz w:val="22"/>
          <w:rtl/>
        </w:rPr>
        <w:t xml:space="preserve">ספר רות פרק רביעי: </w:t>
      </w:r>
      <w:r w:rsidR="007A6805">
        <w:rPr>
          <w:rFonts w:ascii="David" w:hAnsi="David" w:hint="cs"/>
          <w:sz w:val="22"/>
          <w:rtl/>
        </w:rPr>
        <w:t>במקרה של רות זה וודאי לא היה אחים במובן המקובל, הייבם שם היה בועז והוא לא היה אח של מחלון (הבעל של רות). אבל כנראה ההבנה בתקופת השופטים</w:t>
      </w:r>
      <w:r w:rsidR="009C36F2">
        <w:rPr>
          <w:rFonts w:ascii="David" w:hAnsi="David" w:hint="cs"/>
          <w:sz w:val="22"/>
          <w:rtl/>
        </w:rPr>
        <w:t xml:space="preserve"> הייתה שייבום הוא לא בהכרח אחים מאותם הורים ומובן אח היה רחב יותר</w:t>
      </w:r>
      <w:r w:rsidR="00722B1B">
        <w:rPr>
          <w:rFonts w:ascii="David" w:hAnsi="David" w:hint="cs"/>
          <w:sz w:val="22"/>
          <w:rtl/>
        </w:rPr>
        <w:t xml:space="preserve"> (השימוש במנוח אח הוא לעיתים מדבר גם על חבר או קרוב משפחה)</w:t>
      </w:r>
      <w:r w:rsidR="009C36F2">
        <w:rPr>
          <w:rFonts w:ascii="David" w:hAnsi="David" w:hint="cs"/>
          <w:sz w:val="22"/>
          <w:rtl/>
        </w:rPr>
        <w:t>.</w:t>
      </w:r>
      <w:r w:rsidR="00722B1B">
        <w:rPr>
          <w:rFonts w:ascii="David" w:hAnsi="David" w:hint="cs"/>
          <w:sz w:val="22"/>
          <w:rtl/>
        </w:rPr>
        <w:t xml:space="preserve"> </w:t>
      </w:r>
    </w:p>
    <w:p w14:paraId="1F2A4530" w14:textId="3829B03D" w:rsidR="00E55E63" w:rsidRDefault="000E363F" w:rsidP="00E55E63">
      <w:pPr>
        <w:pStyle w:val="ac"/>
        <w:numPr>
          <w:ilvl w:val="1"/>
          <w:numId w:val="21"/>
        </w:numPr>
        <w:bidi/>
        <w:rPr>
          <w:rFonts w:ascii="David" w:hAnsi="David"/>
          <w:sz w:val="22"/>
        </w:rPr>
      </w:pPr>
      <w:r>
        <w:rPr>
          <w:rFonts w:ascii="David" w:hAnsi="David" w:hint="cs"/>
          <w:sz w:val="22"/>
          <w:rtl/>
        </w:rPr>
        <w:t>חכמים צמצמו את הקריאה של הפסוקים כאשר מדובר במושג אח והם דיברו רק על אח מאותם הורים</w:t>
      </w:r>
      <w:r w:rsidR="000930FF">
        <w:rPr>
          <w:rFonts w:ascii="David" w:hAnsi="David" w:hint="cs"/>
          <w:sz w:val="22"/>
          <w:rtl/>
        </w:rPr>
        <w:t>, וגם כאשר נאמר אין לו בן הכוונה היא גם בת (צאצא כלשהו) ולא רק בן.</w:t>
      </w:r>
      <w:r w:rsidR="0046090A">
        <w:rPr>
          <w:rFonts w:ascii="David" w:hAnsi="David" w:hint="cs"/>
          <w:sz w:val="22"/>
          <w:rtl/>
        </w:rPr>
        <w:t xml:space="preserve"> הטקס מבחינת הדין כמו שחז"ל מבינים אותו זה קידושי ביאה. אין טקס קידושין מסודר. בהמשך באו חכמים ואמרו אומנם זה הדין אבל זה לא יפה ומכובד ולכן מתקנים תקנה שיש לבצע טקס קידושין (זה מדרבנן ולכן עד תקף אם לא מבצעים את זה).</w:t>
      </w:r>
    </w:p>
    <w:p w14:paraId="325AF4BE" w14:textId="2AE4EF8D" w:rsidR="0046090A" w:rsidRDefault="0046090A" w:rsidP="0046090A">
      <w:pPr>
        <w:pStyle w:val="ac"/>
        <w:numPr>
          <w:ilvl w:val="1"/>
          <w:numId w:val="21"/>
        </w:numPr>
        <w:bidi/>
        <w:rPr>
          <w:rFonts w:ascii="David" w:hAnsi="David"/>
          <w:sz w:val="22"/>
        </w:rPr>
      </w:pPr>
      <w:r>
        <w:rPr>
          <w:rFonts w:ascii="David" w:hAnsi="David" w:hint="cs"/>
          <w:sz w:val="22"/>
          <w:rtl/>
        </w:rPr>
        <w:t xml:space="preserve">אחת המטרות היא הקמת </w:t>
      </w:r>
      <w:r w:rsidR="00CC4B90">
        <w:rPr>
          <w:rFonts w:ascii="David" w:hAnsi="David" w:hint="cs"/>
          <w:sz w:val="22"/>
          <w:rtl/>
        </w:rPr>
        <w:t xml:space="preserve">שם לאח המת - הרעיון הוא שהילד שייוולד הוא הבן של האח המת. </w:t>
      </w:r>
      <w:r w:rsidR="005B56BE">
        <w:rPr>
          <w:rFonts w:ascii="David" w:hAnsi="David" w:hint="cs"/>
          <w:sz w:val="22"/>
          <w:rtl/>
        </w:rPr>
        <w:t xml:space="preserve">אפשר לראות </w:t>
      </w:r>
      <w:r w:rsidR="003D3D7D">
        <w:rPr>
          <w:rFonts w:ascii="David" w:hAnsi="David" w:hint="cs"/>
          <w:sz w:val="22"/>
          <w:rtl/>
        </w:rPr>
        <w:t xml:space="preserve">גרסאות מודרניות של מטרה זו על ידי </w:t>
      </w:r>
      <w:r w:rsidR="00B827DE">
        <w:rPr>
          <w:rFonts w:ascii="David" w:hAnsi="David" w:hint="cs"/>
          <w:sz w:val="22"/>
          <w:rtl/>
        </w:rPr>
        <w:t>שימוש בזרע של אדם מת ולהוליד לו צאצאים על אף שהוא מת.</w:t>
      </w:r>
    </w:p>
    <w:p w14:paraId="2BC6B33D" w14:textId="5A50EAEB" w:rsidR="00F2748A" w:rsidRDefault="00F2748A" w:rsidP="00F2748A">
      <w:pPr>
        <w:pStyle w:val="ac"/>
        <w:numPr>
          <w:ilvl w:val="1"/>
          <w:numId w:val="21"/>
        </w:numPr>
        <w:bidi/>
        <w:rPr>
          <w:rFonts w:ascii="David" w:hAnsi="David"/>
          <w:sz w:val="22"/>
        </w:rPr>
      </w:pPr>
      <w:r>
        <w:rPr>
          <w:rFonts w:ascii="David" w:hAnsi="David" w:hint="cs"/>
          <w:sz w:val="22"/>
          <w:rtl/>
        </w:rPr>
        <w:t xml:space="preserve">בסוף הפסוקים התורה מתארת את החליצה ורואה את זה כפעולה בדיעבד </w:t>
      </w:r>
      <w:r w:rsidR="00CE4EF4">
        <w:rPr>
          <w:rFonts w:ascii="David" w:hAnsi="David" w:hint="cs"/>
          <w:sz w:val="22"/>
          <w:rtl/>
        </w:rPr>
        <w:t>ולא כפעולה רצויה. במקרים בהם האיש לא רוצה לבצע ייבום</w:t>
      </w:r>
      <w:r w:rsidR="00AB192D">
        <w:rPr>
          <w:rFonts w:ascii="David" w:hAnsi="David" w:hint="cs"/>
          <w:sz w:val="22"/>
          <w:rtl/>
        </w:rPr>
        <w:t>. האישה צריכה ללכת לזקנים ואומרת שהאיש אינו מעוניין להיות הייבם שלה ואז הזקנים קוראים לו ומנסים לשכנע אותו ואם הם משתכנעים שהוא באמת לא רוצה</w:t>
      </w:r>
      <w:r w:rsidR="00C91C6E">
        <w:rPr>
          <w:rFonts w:ascii="David" w:hAnsi="David" w:hint="cs"/>
          <w:sz w:val="22"/>
          <w:rtl/>
        </w:rPr>
        <w:t xml:space="preserve"> אז מתבצעת חליצה (יש אקט של יריקה ונאמר ככה יעשה לאיש שאינו רוצה לייבם אחיו ומגנים אותו). </w:t>
      </w:r>
      <w:r w:rsidR="003824DB">
        <w:rPr>
          <w:rFonts w:ascii="David" w:hAnsi="David" w:hint="cs"/>
          <w:sz w:val="22"/>
          <w:rtl/>
        </w:rPr>
        <w:t>בפסוקים התורה אין בכלל עניין של רצון האישה, אם האישה לא רוצה להתייבם לא נאמר שיש לה אופציה לסרב. זה נראה גם שברור שהיא רוצה את זה (אולי זה מעיד על כך שעבור האישה בעבר זה היה כנראה מה שהיא רצתה).</w:t>
      </w:r>
      <w:r w:rsidR="007330A6">
        <w:rPr>
          <w:rFonts w:ascii="David" w:hAnsi="David" w:hint="cs"/>
          <w:sz w:val="22"/>
          <w:rtl/>
        </w:rPr>
        <w:t xml:space="preserve"> אין ספק שמטרת טקס החליצה הוא השפלה עבור הבעל - הן בטקס והן אחר בקהילה ע"י מתן שם גנאי "בת חלוץ הנעל".</w:t>
      </w:r>
      <w:r w:rsidR="00FF276F">
        <w:rPr>
          <w:rFonts w:ascii="David" w:hAnsi="David" w:hint="cs"/>
          <w:sz w:val="22"/>
          <w:rtl/>
        </w:rPr>
        <w:t xml:space="preserve"> </w:t>
      </w:r>
    </w:p>
    <w:p w14:paraId="6D51171B" w14:textId="06549F20" w:rsidR="00176AD6" w:rsidRDefault="00590DAA" w:rsidP="00176AD6">
      <w:pPr>
        <w:pStyle w:val="ac"/>
        <w:numPr>
          <w:ilvl w:val="1"/>
          <w:numId w:val="21"/>
        </w:numPr>
        <w:bidi/>
        <w:rPr>
          <w:rFonts w:ascii="David" w:hAnsi="David"/>
          <w:sz w:val="22"/>
        </w:rPr>
      </w:pPr>
      <w:r w:rsidRPr="009553E8">
        <w:rPr>
          <w:rFonts w:ascii="David" w:hAnsi="David"/>
          <w:noProof/>
          <w:sz w:val="22"/>
          <w:rtl/>
        </w:rPr>
        <w:drawing>
          <wp:anchor distT="0" distB="0" distL="114300" distR="114300" simplePos="0" relativeHeight="251662336" behindDoc="0" locked="0" layoutInCell="1" allowOverlap="1" wp14:anchorId="4ACCDD09" wp14:editId="59E0DBDD">
            <wp:simplePos x="0" y="0"/>
            <wp:positionH relativeFrom="column">
              <wp:posOffset>806205</wp:posOffset>
            </wp:positionH>
            <wp:positionV relativeFrom="paragraph">
              <wp:posOffset>430530</wp:posOffset>
            </wp:positionV>
            <wp:extent cx="5349240" cy="441960"/>
            <wp:effectExtent l="0" t="0" r="3810" b="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49240" cy="441960"/>
                    </a:xfrm>
                    <a:prstGeom prst="rect">
                      <a:avLst/>
                    </a:prstGeom>
                  </pic:spPr>
                </pic:pic>
              </a:graphicData>
            </a:graphic>
          </wp:anchor>
        </w:drawing>
      </w:r>
      <w:r w:rsidR="00176AD6">
        <w:rPr>
          <w:rFonts w:ascii="David" w:hAnsi="David" w:hint="cs"/>
          <w:sz w:val="22"/>
          <w:rtl/>
        </w:rPr>
        <w:t xml:space="preserve">בשלב מסוים כמו הרבה דברים, הטקס הזה </w:t>
      </w:r>
      <w:r w:rsidR="006371C1">
        <w:rPr>
          <w:rFonts w:ascii="David" w:hAnsi="David" w:hint="cs"/>
          <w:sz w:val="22"/>
          <w:rtl/>
        </w:rPr>
        <w:t xml:space="preserve">הפך לדבר פורמליסטי לחלוטין. ואפילו כיום </w:t>
      </w:r>
      <w:r w:rsidR="00AB3460">
        <w:rPr>
          <w:rFonts w:ascii="David" w:hAnsi="David" w:hint="cs"/>
          <w:sz w:val="22"/>
          <w:rtl/>
        </w:rPr>
        <w:t>ש</w:t>
      </w:r>
      <w:r w:rsidR="006371C1">
        <w:rPr>
          <w:rFonts w:ascii="David" w:hAnsi="David" w:hint="cs"/>
          <w:sz w:val="22"/>
          <w:rtl/>
        </w:rPr>
        <w:t xml:space="preserve">יש רבניים שאומרים שאסור לבצע ייבום, עושים טקס </w:t>
      </w:r>
      <w:r w:rsidR="00AB3460">
        <w:rPr>
          <w:rFonts w:ascii="David" w:hAnsi="David" w:hint="cs"/>
          <w:sz w:val="22"/>
          <w:rtl/>
        </w:rPr>
        <w:t>את הטקס המשפיל, מדוע</w:t>
      </w:r>
      <w:r w:rsidR="006371C1">
        <w:rPr>
          <w:rFonts w:ascii="David" w:hAnsi="David" w:hint="cs"/>
          <w:sz w:val="22"/>
          <w:rtl/>
        </w:rPr>
        <w:t>? ככול הנראה עניין פורמליסטי ולא מהותי.</w:t>
      </w:r>
    </w:p>
    <w:p w14:paraId="7BA4E1AC" w14:textId="5D46F5E8" w:rsidR="00AB3460" w:rsidRDefault="00AB3460" w:rsidP="00AB3460">
      <w:pPr>
        <w:pStyle w:val="ac"/>
        <w:numPr>
          <w:ilvl w:val="1"/>
          <w:numId w:val="21"/>
        </w:numPr>
        <w:bidi/>
        <w:rPr>
          <w:rFonts w:ascii="David" w:hAnsi="David"/>
          <w:sz w:val="22"/>
        </w:rPr>
      </w:pPr>
      <w:r>
        <w:rPr>
          <w:rFonts w:ascii="David" w:hAnsi="David" w:hint="cs"/>
          <w:sz w:val="22"/>
          <w:rtl/>
        </w:rPr>
        <w:t xml:space="preserve">כאשר אנחנו מגיעים לתקופת חז"ל </w:t>
      </w:r>
      <w:r w:rsidR="00530CDE">
        <w:rPr>
          <w:rFonts w:ascii="David" w:hAnsi="David" w:hint="cs"/>
          <w:sz w:val="22"/>
          <w:rtl/>
        </w:rPr>
        <w:t xml:space="preserve">(המשנה) </w:t>
      </w:r>
      <w:r>
        <w:rPr>
          <w:rFonts w:ascii="David" w:hAnsi="David" w:hint="cs"/>
          <w:sz w:val="22"/>
          <w:rtl/>
        </w:rPr>
        <w:t xml:space="preserve">אנחנו רואים דבר מאוד מעניין בעל השלכות עד ימנו - </w:t>
      </w:r>
      <w:r w:rsidR="00B84B11">
        <w:rPr>
          <w:rFonts w:ascii="David" w:hAnsi="David" w:hint="cs"/>
          <w:sz w:val="22"/>
          <w:rtl/>
        </w:rPr>
        <w:t xml:space="preserve">המשנה אומרת שמה שכתוב בתורה זה שלכתחילה זה ייבום, אבל זה בעולם ישן כאשר נעשה ייבום זה היה לשם קיום מצווה. ואילו היום שזה לא </w:t>
      </w:r>
      <w:r w:rsidR="009553E8">
        <w:rPr>
          <w:rFonts w:ascii="David" w:hAnsi="David" w:hint="cs"/>
          <w:sz w:val="22"/>
          <w:rtl/>
        </w:rPr>
        <w:t>לשם מצווה חליצה קודמת לייבום.</w:t>
      </w:r>
      <w:r w:rsidR="00607888" w:rsidRPr="00607888">
        <w:rPr>
          <w:rFonts w:ascii="David" w:hAnsi="David" w:hint="cs"/>
          <w:sz w:val="22"/>
          <w:rtl/>
        </w:rPr>
        <w:t xml:space="preserve"> </w:t>
      </w:r>
      <w:r w:rsidR="00607888">
        <w:rPr>
          <w:rFonts w:ascii="David" w:hAnsi="David" w:hint="cs"/>
          <w:sz w:val="22"/>
          <w:rtl/>
        </w:rPr>
        <w:t>המשנה בעצם אומרת שאנחנו בעידן אחר שהוא פחות ברמה הדתית שלו, לא בטוח שזו הייתה המציאות ויש מצב שהמטרה הייתה לבטל את הייבום</w:t>
      </w:r>
      <w:r w:rsidR="009553E8" w:rsidRPr="009553E8">
        <w:rPr>
          <w:noProof/>
        </w:rPr>
        <w:t xml:space="preserve"> </w:t>
      </w:r>
      <w:r w:rsidR="00CE04A4">
        <w:rPr>
          <w:rFonts w:hint="cs"/>
          <w:noProof/>
          <w:rtl/>
        </w:rPr>
        <w:t xml:space="preserve"> מה הכוונה לא לשם מצווה? אולי לשם כסף כמו קבלת הירושה של אחיו</w:t>
      </w:r>
      <w:r w:rsidR="0011654C">
        <w:rPr>
          <w:rFonts w:hint="cs"/>
          <w:noProof/>
          <w:rtl/>
        </w:rPr>
        <w:t xml:space="preserve">. כלומר המשנה אומר שאם זה לא לשם מצווה אז עדף שלא יבצע את זה בכלל. </w:t>
      </w:r>
    </w:p>
    <w:p w14:paraId="69609200" w14:textId="1FEFF94D" w:rsidR="009553E8" w:rsidRDefault="00607888" w:rsidP="009553E8">
      <w:pPr>
        <w:pStyle w:val="ac"/>
        <w:numPr>
          <w:ilvl w:val="1"/>
          <w:numId w:val="21"/>
        </w:numPr>
        <w:bidi/>
        <w:rPr>
          <w:rFonts w:ascii="David" w:hAnsi="David"/>
          <w:sz w:val="22"/>
        </w:rPr>
      </w:pPr>
      <w:r>
        <w:rPr>
          <w:rFonts w:ascii="David" w:hAnsi="David" w:hint="cs"/>
          <w:sz w:val="22"/>
          <w:rtl/>
        </w:rPr>
        <w:t xml:space="preserve">אמירה זו מעט מוזרה שכן ישנם מצוות רבות שאין זה משנה הכוונה והחיוב שלך לא אמור להיות שונה </w:t>
      </w:r>
      <w:r w:rsidR="00530CDE">
        <w:rPr>
          <w:rFonts w:ascii="David" w:hAnsi="David" w:hint="cs"/>
          <w:sz w:val="22"/>
          <w:rtl/>
        </w:rPr>
        <w:t>בגלל הכו</w:t>
      </w:r>
      <w:r w:rsidR="007D18EE">
        <w:rPr>
          <w:rFonts w:ascii="David" w:hAnsi="David" w:hint="cs"/>
          <w:sz w:val="22"/>
          <w:rtl/>
        </w:rPr>
        <w:t>ו</w:t>
      </w:r>
      <w:r w:rsidR="00530CDE">
        <w:rPr>
          <w:rFonts w:ascii="David" w:hAnsi="David" w:hint="cs"/>
          <w:sz w:val="22"/>
          <w:rtl/>
        </w:rPr>
        <w:t>נה. אם אתה לא מתכוון במצוות שבת אין זה אומר שאתה לא צריך לקיים אותה.</w:t>
      </w:r>
    </w:p>
    <w:p w14:paraId="2A4A4EA7" w14:textId="2DE57E89" w:rsidR="00530CDE" w:rsidRDefault="00530CDE" w:rsidP="00530CDE">
      <w:pPr>
        <w:pStyle w:val="ac"/>
        <w:numPr>
          <w:ilvl w:val="1"/>
          <w:numId w:val="21"/>
        </w:numPr>
        <w:bidi/>
        <w:rPr>
          <w:rFonts w:ascii="David" w:hAnsi="David"/>
          <w:sz w:val="22"/>
        </w:rPr>
      </w:pPr>
      <w:r>
        <w:rPr>
          <w:rFonts w:ascii="David" w:hAnsi="David" w:hint="cs"/>
          <w:sz w:val="22"/>
          <w:rtl/>
        </w:rPr>
        <w:t xml:space="preserve">התלמוד הופך את המשנה, והמשנה </w:t>
      </w:r>
      <w:r w:rsidR="00185645">
        <w:rPr>
          <w:rFonts w:ascii="David" w:hAnsi="David" w:hint="cs"/>
          <w:sz w:val="22"/>
          <w:rtl/>
        </w:rPr>
        <w:t>נרא</w:t>
      </w:r>
      <w:r w:rsidR="007D18EE">
        <w:rPr>
          <w:rFonts w:ascii="David" w:hAnsi="David" w:hint="cs"/>
          <w:sz w:val="22"/>
          <w:rtl/>
        </w:rPr>
        <w:t>י</w:t>
      </w:r>
      <w:r w:rsidR="00185645">
        <w:rPr>
          <w:rFonts w:ascii="David" w:hAnsi="David" w:hint="cs"/>
          <w:sz w:val="22"/>
          <w:rtl/>
        </w:rPr>
        <w:t xml:space="preserve">ת לו מרחיקת לכת. </w:t>
      </w:r>
      <w:r w:rsidR="00590DAA">
        <w:rPr>
          <w:rFonts w:ascii="David" w:hAnsi="David" w:hint="cs"/>
          <w:sz w:val="22"/>
          <w:rtl/>
        </w:rPr>
        <w:t xml:space="preserve">התלמוד </w:t>
      </w:r>
      <w:r w:rsidR="00834395">
        <w:rPr>
          <w:rFonts w:ascii="David" w:hAnsi="David" w:hint="cs"/>
          <w:sz w:val="22"/>
          <w:rtl/>
        </w:rPr>
        <w:t xml:space="preserve">לא רואה בכוונה חלק משמעותי בחובה לקיים את המצווה. </w:t>
      </w:r>
      <w:r w:rsidR="00B76AE0">
        <w:rPr>
          <w:rFonts w:ascii="David" w:hAnsi="David" w:hint="cs"/>
          <w:sz w:val="22"/>
          <w:rtl/>
        </w:rPr>
        <w:t>התלמוד אומר כי המשנה היא דעת יחיד של אבא שאול ושאר התנאים לא הסכימו לאמירה זו.</w:t>
      </w:r>
      <w:r w:rsidR="00F16B27">
        <w:rPr>
          <w:rFonts w:ascii="David" w:hAnsi="David" w:hint="cs"/>
          <w:sz w:val="22"/>
          <w:rtl/>
        </w:rPr>
        <w:t xml:space="preserve"> לכן, מצוות ייבום קודמת למצוות חליצה.</w:t>
      </w:r>
      <w:r w:rsidR="00AA4540">
        <w:rPr>
          <w:rFonts w:ascii="David" w:hAnsi="David" w:hint="cs"/>
          <w:sz w:val="22"/>
          <w:rtl/>
        </w:rPr>
        <w:t xml:space="preserve"> לדעת התלמוד נימוק ירידת הדורות הוא נימוק של יחיד ולכן לא צריך לקבלו. מכיוון שהתלמוד הבבלי </w:t>
      </w:r>
      <w:r w:rsidR="00AA4540">
        <w:rPr>
          <w:rFonts w:ascii="David" w:hAnsi="David" w:hint="cs"/>
          <w:sz w:val="22"/>
          <w:rtl/>
        </w:rPr>
        <w:lastRenderedPageBreak/>
        <w:t>הוא המקור האחרון שהתקבל על ידי כל הקהילות המילה האחרונה של התלמוד היא שאם ה</w:t>
      </w:r>
      <w:r w:rsidR="00543EA8">
        <w:rPr>
          <w:rFonts w:ascii="David" w:hAnsi="David" w:hint="cs"/>
          <w:sz w:val="22"/>
          <w:rtl/>
        </w:rPr>
        <w:t>גיס רוצה ייבום אז יהיה ייבום ולא שואלים את האישה מה היא רוצה.</w:t>
      </w:r>
    </w:p>
    <w:p w14:paraId="50CF0D2C" w14:textId="31EB635B" w:rsidR="006214D5" w:rsidRDefault="00C27268" w:rsidP="006214D5">
      <w:pPr>
        <w:pStyle w:val="ac"/>
        <w:numPr>
          <w:ilvl w:val="1"/>
          <w:numId w:val="21"/>
        </w:numPr>
        <w:bidi/>
        <w:rPr>
          <w:rFonts w:ascii="David" w:hAnsi="David"/>
          <w:sz w:val="22"/>
        </w:rPr>
      </w:pPr>
      <w:r>
        <w:rPr>
          <w:rFonts w:ascii="David" w:hAnsi="David" w:hint="cs"/>
          <w:sz w:val="22"/>
          <w:rtl/>
        </w:rPr>
        <w:t xml:space="preserve">ימי </w:t>
      </w:r>
      <w:r w:rsidR="006214D5">
        <w:rPr>
          <w:rFonts w:ascii="David" w:hAnsi="David" w:hint="cs"/>
          <w:sz w:val="22"/>
          <w:rtl/>
        </w:rPr>
        <w:t>הביניים</w:t>
      </w:r>
      <w:r>
        <w:rPr>
          <w:rFonts w:ascii="David" w:hAnsi="David" w:hint="cs"/>
          <w:sz w:val="22"/>
          <w:rtl/>
        </w:rPr>
        <w:t xml:space="preserve"> בעולם האשכנזי - במאה ה-12 וה-13 </w:t>
      </w:r>
      <w:r w:rsidR="008C1433">
        <w:rPr>
          <w:rFonts w:ascii="David" w:hAnsi="David" w:hint="cs"/>
          <w:sz w:val="22"/>
          <w:rtl/>
        </w:rPr>
        <w:t xml:space="preserve">החלו עדות אשכנז לא לייבם כלל. הרא"ש קובע שהמנהג הוא שמצוות חליצה קודמת לייבום וגם </w:t>
      </w:r>
      <w:r w:rsidR="00A019C9">
        <w:rPr>
          <w:rFonts w:ascii="David" w:hAnsi="David" w:hint="cs"/>
          <w:sz w:val="22"/>
          <w:rtl/>
        </w:rPr>
        <w:t xml:space="preserve">אם שניהם רוצים לא מאפשרים זאת. </w:t>
      </w:r>
      <w:r w:rsidR="00697A5C">
        <w:rPr>
          <w:rFonts w:ascii="David" w:hAnsi="David" w:hint="cs"/>
          <w:sz w:val="22"/>
          <w:rtl/>
        </w:rPr>
        <w:t>כאן בעצם שוב נוצר פער בין ההלכה האשכנזית להלכה הספרדית.</w:t>
      </w:r>
    </w:p>
    <w:p w14:paraId="2E4F79AB" w14:textId="0ED32A11" w:rsidR="006214D5" w:rsidRDefault="000B3BE3" w:rsidP="006214D5">
      <w:pPr>
        <w:pStyle w:val="ac"/>
        <w:numPr>
          <w:ilvl w:val="1"/>
          <w:numId w:val="21"/>
        </w:numPr>
        <w:bidi/>
        <w:rPr>
          <w:rFonts w:ascii="David" w:hAnsi="David"/>
          <w:sz w:val="22"/>
        </w:rPr>
      </w:pPr>
      <w:r>
        <w:rPr>
          <w:rFonts w:ascii="David" w:hAnsi="David" w:hint="cs"/>
          <w:sz w:val="22"/>
          <w:rtl/>
        </w:rPr>
        <w:t>גם השולחן ערוך וגם הרמ"א מביאים כול מיני דעות בנושא:</w:t>
      </w:r>
    </w:p>
    <w:p w14:paraId="56019535" w14:textId="606DF9AB" w:rsidR="000B3BE3" w:rsidRDefault="00760D35" w:rsidP="00760D35">
      <w:pPr>
        <w:pStyle w:val="ac"/>
        <w:numPr>
          <w:ilvl w:val="2"/>
          <w:numId w:val="21"/>
        </w:numPr>
        <w:bidi/>
        <w:rPr>
          <w:rFonts w:ascii="David" w:hAnsi="David"/>
          <w:sz w:val="22"/>
        </w:rPr>
      </w:pPr>
      <w:r w:rsidRPr="005B16F5">
        <w:rPr>
          <w:rFonts w:ascii="David" w:hAnsi="David" w:hint="cs"/>
          <w:sz w:val="22"/>
          <w:u w:val="single"/>
          <w:rtl/>
        </w:rPr>
        <w:t>השולחן ערוך</w:t>
      </w:r>
      <w:r>
        <w:rPr>
          <w:rFonts w:ascii="David" w:hAnsi="David" w:hint="cs"/>
          <w:sz w:val="22"/>
          <w:rtl/>
        </w:rPr>
        <w:t>: מצוות ייבום קודמת למצוות חליצה. ואם אינה רוצה להתייבם לדום אחד מהאחים בלי טענה מספקת דינה כמורדת</w:t>
      </w:r>
      <w:r w:rsidR="005B16F5">
        <w:rPr>
          <w:rFonts w:ascii="David" w:hAnsi="David" w:hint="cs"/>
          <w:sz w:val="22"/>
          <w:rtl/>
        </w:rPr>
        <w:t xml:space="preserve"> (המשמעות של מורדת היא </w:t>
      </w:r>
      <w:r w:rsidR="00722920">
        <w:rPr>
          <w:rFonts w:ascii="David" w:hAnsi="David" w:hint="cs"/>
          <w:sz w:val="22"/>
          <w:rtl/>
        </w:rPr>
        <w:t>לא מקבלת מזונות, האח שאמור לשאת אותה לא צריך לתת לה מזונות - בעבר זה לחץ מאוד משמעותי במיוחד בעבור אלמנה)</w:t>
      </w:r>
      <w:r>
        <w:rPr>
          <w:rFonts w:ascii="David" w:hAnsi="David" w:hint="cs"/>
          <w:sz w:val="22"/>
          <w:rtl/>
        </w:rPr>
        <w:t>.</w:t>
      </w:r>
      <w:r w:rsidR="001047F9">
        <w:rPr>
          <w:rFonts w:ascii="David" w:hAnsi="David" w:hint="cs"/>
          <w:sz w:val="22"/>
          <w:rtl/>
        </w:rPr>
        <w:t xml:space="preserve"> השולחן ערוך אומר שיש דעה שמצוות חליצה קודמת ואם האישה לא ורוצה זה בסדר גמור</w:t>
      </w:r>
      <w:r w:rsidR="005A14E7">
        <w:rPr>
          <w:rFonts w:ascii="David" w:hAnsi="David" w:hint="cs"/>
          <w:sz w:val="22"/>
          <w:rtl/>
        </w:rPr>
        <w:t>. בכזה מקרה, בו השולחן ערוך מביא שתי דעות, ככול הנראה דעתו של רבי יוסף קארו היא שמצוות ייבום קודמת.</w:t>
      </w:r>
    </w:p>
    <w:p w14:paraId="775875D6" w14:textId="59915DCA" w:rsidR="00B702A5" w:rsidRDefault="00B702A5" w:rsidP="00B702A5">
      <w:pPr>
        <w:pStyle w:val="ac"/>
        <w:numPr>
          <w:ilvl w:val="2"/>
          <w:numId w:val="21"/>
        </w:numPr>
        <w:bidi/>
        <w:rPr>
          <w:rFonts w:ascii="David" w:hAnsi="David"/>
          <w:sz w:val="22"/>
        </w:rPr>
      </w:pPr>
      <w:r>
        <w:rPr>
          <w:rFonts w:ascii="David" w:hAnsi="David" w:hint="cs"/>
          <w:sz w:val="22"/>
          <w:u w:val="single"/>
          <w:rtl/>
        </w:rPr>
        <w:t>הרמ"א</w:t>
      </w:r>
      <w:r w:rsidRPr="00B702A5">
        <w:rPr>
          <w:rFonts w:ascii="David" w:hAnsi="David" w:hint="cs"/>
          <w:sz w:val="22"/>
          <w:rtl/>
        </w:rPr>
        <w:t>:</w:t>
      </w:r>
      <w:r>
        <w:rPr>
          <w:rFonts w:ascii="David" w:hAnsi="David" w:hint="cs"/>
          <w:sz w:val="22"/>
          <w:rtl/>
        </w:rPr>
        <w:t xml:space="preserve"> </w:t>
      </w:r>
      <w:r w:rsidR="005A14E7">
        <w:rPr>
          <w:rFonts w:ascii="David" w:hAnsi="David" w:hint="cs"/>
          <w:sz w:val="22"/>
          <w:rtl/>
        </w:rPr>
        <w:t>לד</w:t>
      </w:r>
      <w:r w:rsidR="00AF0BEE">
        <w:rPr>
          <w:rFonts w:ascii="David" w:hAnsi="David" w:hint="cs"/>
          <w:sz w:val="22"/>
          <w:rtl/>
        </w:rPr>
        <w:t>עתו גם אם</w:t>
      </w:r>
      <w:r w:rsidR="003857B4">
        <w:rPr>
          <w:rFonts w:ascii="David" w:hAnsi="David" w:hint="cs"/>
          <w:sz w:val="22"/>
          <w:rtl/>
        </w:rPr>
        <w:t xml:space="preserve"> </w:t>
      </w:r>
      <w:r w:rsidR="005A14E7">
        <w:rPr>
          <w:rFonts w:ascii="David" w:hAnsi="David" w:hint="cs"/>
          <w:sz w:val="22"/>
          <w:rtl/>
        </w:rPr>
        <w:t>מצוות חליצה קודמת</w:t>
      </w:r>
      <w:r w:rsidR="003857B4">
        <w:rPr>
          <w:rFonts w:ascii="David" w:hAnsi="David" w:hint="cs"/>
          <w:sz w:val="22"/>
          <w:rtl/>
        </w:rPr>
        <w:t>,</w:t>
      </w:r>
      <w:r w:rsidR="005A14E7">
        <w:rPr>
          <w:rFonts w:ascii="David" w:hAnsi="David" w:hint="cs"/>
          <w:sz w:val="22"/>
          <w:rtl/>
        </w:rPr>
        <w:t xml:space="preserve"> האישה אינה מורדת אבל </w:t>
      </w:r>
      <w:r w:rsidR="00CA5074">
        <w:rPr>
          <w:rFonts w:ascii="David" w:hAnsi="David" w:hint="cs"/>
          <w:sz w:val="22"/>
          <w:rtl/>
        </w:rPr>
        <w:t>לא כופים אותו לחלוץ. מה עושים בכזה מקרה? אומרים לגבר שיעשה חליצה וישלמו לו כסף</w:t>
      </w:r>
      <w:r w:rsidR="00891534">
        <w:rPr>
          <w:rFonts w:ascii="David" w:hAnsi="David" w:hint="cs"/>
          <w:sz w:val="22"/>
          <w:rtl/>
        </w:rPr>
        <w:t xml:space="preserve"> ואחרי זה לא מקיימים את ההבטחה (היו מרמים אותו). הוא מוסיף כי אם שניהם רוצים לא נותנים להם לייבם אלא אם כן כוונתם לשם מצווה. ויש אומרים שאם יש לו אישה אחרת כופים אותו ומנדים אותו עד שיעשה חליצה.</w:t>
      </w:r>
      <w:r w:rsidR="00084AA8">
        <w:rPr>
          <w:rFonts w:ascii="David" w:hAnsi="David" w:hint="cs"/>
          <w:sz w:val="22"/>
          <w:rtl/>
        </w:rPr>
        <w:t xml:space="preserve"> ככול הנראה כי בתוקפת ימי הביניים באשכנז אסור להינשא לאישה אחרת.</w:t>
      </w:r>
    </w:p>
    <w:p w14:paraId="18E99A64" w14:textId="70584257" w:rsidR="00F92B5D" w:rsidRPr="00F92B5D" w:rsidRDefault="005105CB" w:rsidP="00F92B5D">
      <w:pPr>
        <w:ind w:left="142"/>
        <w:rPr>
          <w:rFonts w:ascii="David" w:hAnsi="David"/>
        </w:rPr>
      </w:pPr>
      <w:r w:rsidRPr="00F92B5D">
        <w:rPr>
          <w:rFonts w:ascii="David" w:hAnsi="David" w:hint="cs"/>
          <w:u w:val="single"/>
          <w:rtl/>
        </w:rPr>
        <w:t xml:space="preserve">בפועל </w:t>
      </w:r>
      <w:r w:rsidRPr="00F92B5D">
        <w:rPr>
          <w:rFonts w:ascii="David" w:hAnsi="David" w:hint="cs"/>
          <w:rtl/>
        </w:rPr>
        <w:t>- בארצות המזרח גם היום נוהגו בייבום ובארצות אשכנז לא נהגו בייבום.</w:t>
      </w:r>
      <w:r w:rsidR="00F92B5D" w:rsidRPr="00F92B5D">
        <w:rPr>
          <w:rFonts w:ascii="David" w:hAnsi="David" w:hint="cs"/>
          <w:rtl/>
        </w:rPr>
        <w:t xml:space="preserve"> בפועל גם בעולם הספרדי לא תמיד היה ייבום כי שני הצדדים לא רצו ייבום, אבל זה המקרה הפשוט. המקרה המורכז הוא כאשר האישה אינה רוצה ייבום והגבר הספרדי רוצה ייבום.</w:t>
      </w:r>
      <w:r w:rsidR="00DE1502">
        <w:rPr>
          <w:rFonts w:ascii="David" w:hAnsi="David" w:hint="cs"/>
          <w:rtl/>
        </w:rPr>
        <w:t xml:space="preserve"> גם בעולם האשכנזי אנחנו מוצאים מקרים של גברים שיודעים כי הם צריכים לבצע חליצה אבל הם ממנפים את זה כדי לקבל רווח</w:t>
      </w:r>
      <w:r w:rsidR="000867F4">
        <w:rPr>
          <w:rFonts w:ascii="David" w:hAnsi="David" w:hint="cs"/>
          <w:rtl/>
        </w:rPr>
        <w:t xml:space="preserve"> - להגיד שיעשו חליצה רק אם יקבלו כסף.</w:t>
      </w:r>
    </w:p>
    <w:p w14:paraId="69F636AF" w14:textId="6A791E5D" w:rsidR="00554150" w:rsidRPr="00676140" w:rsidRDefault="00554150" w:rsidP="00554150">
      <w:pPr>
        <w:pStyle w:val="ac"/>
        <w:numPr>
          <w:ilvl w:val="0"/>
          <w:numId w:val="21"/>
        </w:numPr>
        <w:shd w:val="clear" w:color="auto" w:fill="FFF4CD" w:themeFill="accent1" w:themeFillTint="33"/>
        <w:bidi/>
        <w:rPr>
          <w:rFonts w:ascii="David" w:hAnsi="David"/>
          <w:b/>
          <w:bCs/>
          <w:sz w:val="22"/>
        </w:rPr>
      </w:pPr>
      <w:r w:rsidRPr="00676140">
        <w:rPr>
          <w:rFonts w:ascii="David" w:hAnsi="David" w:hint="cs"/>
          <w:b/>
          <w:bCs/>
          <w:sz w:val="22"/>
          <w:rtl/>
        </w:rPr>
        <w:t>תקנות הרבנות הראשית בהקשר של ייבום וחליצה</w:t>
      </w:r>
    </w:p>
    <w:p w14:paraId="01A6316A" w14:textId="464541B2" w:rsidR="00F92B5D" w:rsidRDefault="000867F4" w:rsidP="00554150">
      <w:pPr>
        <w:pStyle w:val="ac"/>
        <w:numPr>
          <w:ilvl w:val="1"/>
          <w:numId w:val="21"/>
        </w:numPr>
        <w:bidi/>
        <w:rPr>
          <w:rFonts w:ascii="David" w:hAnsi="David"/>
          <w:sz w:val="22"/>
        </w:rPr>
      </w:pPr>
      <w:r>
        <w:rPr>
          <w:rFonts w:ascii="David" w:hAnsi="David" w:hint="cs"/>
          <w:sz w:val="22"/>
          <w:rtl/>
        </w:rPr>
        <w:t>ב1904 הרבנות הראשית מתקנת תקנה והיא אחת משלוש התקנות</w:t>
      </w:r>
      <w:r w:rsidR="008B5CED">
        <w:rPr>
          <w:rFonts w:ascii="David" w:hAnsi="David" w:hint="cs"/>
          <w:sz w:val="22"/>
          <w:rtl/>
        </w:rPr>
        <w:t xml:space="preserve"> הכי ידועות. אחת היא חיוב האב במזונות עד גיל 15. השנייה - העלאת גובה הכתובה כיוון שהכתובות היו מאוד נ</w:t>
      </w:r>
      <w:r w:rsidR="00F47722">
        <w:rPr>
          <w:rFonts w:ascii="David" w:hAnsi="David" w:hint="cs"/>
          <w:sz w:val="22"/>
          <w:rtl/>
        </w:rPr>
        <w:t>מוכות ופעם אישה הייתה מקבלת רק כתובה. התקנה השלישית היא התקנה שלנו שקשורה ליבמות.</w:t>
      </w:r>
    </w:p>
    <w:p w14:paraId="79863F3C" w14:textId="00C68E43" w:rsidR="00157EA6" w:rsidRDefault="00B07CD1" w:rsidP="001936D1">
      <w:pPr>
        <w:pStyle w:val="ac"/>
        <w:numPr>
          <w:ilvl w:val="2"/>
          <w:numId w:val="21"/>
        </w:numPr>
        <w:bidi/>
        <w:rPr>
          <w:rFonts w:ascii="David" w:hAnsi="David"/>
          <w:sz w:val="22"/>
        </w:rPr>
      </w:pPr>
      <w:r w:rsidRPr="00E652DB">
        <w:rPr>
          <w:rFonts w:ascii="David" w:hAnsi="David" w:hint="cs"/>
          <w:b/>
          <w:bCs/>
          <w:sz w:val="22"/>
          <w:rtl/>
        </w:rPr>
        <w:t>התקנה השלישית</w:t>
      </w:r>
      <w:r>
        <w:rPr>
          <w:rFonts w:ascii="David" w:hAnsi="David" w:hint="cs"/>
          <w:sz w:val="22"/>
          <w:rtl/>
        </w:rPr>
        <w:t xml:space="preserve"> -</w:t>
      </w:r>
      <w:r w:rsidR="00B07F1B">
        <w:rPr>
          <w:rFonts w:ascii="David" w:hAnsi="David" w:hint="cs"/>
          <w:sz w:val="22"/>
          <w:rtl/>
        </w:rPr>
        <w:t xml:space="preserve"> התקנה אומרת שעורך השולחן אומר שאין צורך בתקנה ואם גבר</w:t>
      </w:r>
      <w:r>
        <w:rPr>
          <w:rFonts w:ascii="David" w:hAnsi="David" w:hint="cs"/>
          <w:sz w:val="22"/>
          <w:rtl/>
        </w:rPr>
        <w:t xml:space="preserve"> מסרב לחלוץ לא</w:t>
      </w:r>
      <w:r w:rsidR="00B07F1B">
        <w:rPr>
          <w:rFonts w:ascii="David" w:hAnsi="David" w:hint="cs"/>
          <w:sz w:val="22"/>
          <w:rtl/>
        </w:rPr>
        <w:t>ח</w:t>
      </w:r>
      <w:r>
        <w:rPr>
          <w:rFonts w:ascii="David" w:hAnsi="David" w:hint="cs"/>
          <w:sz w:val="22"/>
          <w:rtl/>
        </w:rPr>
        <w:t xml:space="preserve">ר שלושה חודשים מחייבים אותו במזונות ואפילו מזונות מוגדלים. </w:t>
      </w:r>
      <w:r w:rsidR="00B07F1B">
        <w:rPr>
          <w:rFonts w:ascii="David" w:hAnsi="David" w:hint="cs"/>
          <w:sz w:val="22"/>
          <w:rtl/>
        </w:rPr>
        <w:t xml:space="preserve"> אולם, הם בוחרים לקבוע בכול זאת תקנה, ואם בית הדין קבע שהוא חייב לעשות חליצה </w:t>
      </w:r>
      <w:r w:rsidR="001936D1">
        <w:rPr>
          <w:rFonts w:ascii="David" w:hAnsi="David" w:hint="cs"/>
          <w:sz w:val="22"/>
          <w:rtl/>
        </w:rPr>
        <w:t xml:space="preserve">הוא חייב במזונות עבור האישה. התקנה הזו לא הצליחה במיוחד. </w:t>
      </w:r>
    </w:p>
    <w:p w14:paraId="5C4C5F81" w14:textId="69FF000A" w:rsidR="001936D1" w:rsidRDefault="001936D1" w:rsidP="001936D1">
      <w:pPr>
        <w:pStyle w:val="ac"/>
        <w:numPr>
          <w:ilvl w:val="2"/>
          <w:numId w:val="21"/>
        </w:numPr>
        <w:bidi/>
        <w:rPr>
          <w:rFonts w:ascii="David" w:hAnsi="David"/>
          <w:sz w:val="22"/>
        </w:rPr>
      </w:pPr>
      <w:r w:rsidRPr="00E652DB">
        <w:rPr>
          <w:rFonts w:ascii="David" w:hAnsi="David" w:hint="cs"/>
          <w:sz w:val="22"/>
          <w:u w:val="single"/>
          <w:rtl/>
        </w:rPr>
        <w:t>מה בנוסח התקנה גרם לכך שהיא לא עזרה בהרבה מקרים</w:t>
      </w:r>
      <w:r>
        <w:rPr>
          <w:rFonts w:ascii="David" w:hAnsi="David" w:hint="cs"/>
          <w:sz w:val="22"/>
          <w:rtl/>
        </w:rPr>
        <w:t>?</w:t>
      </w:r>
      <w:r w:rsidR="00767FA6">
        <w:rPr>
          <w:rFonts w:ascii="David" w:hAnsi="David" w:hint="cs"/>
          <w:sz w:val="22"/>
          <w:rtl/>
        </w:rPr>
        <w:t xml:space="preserve"> הפעלת התקנה תלויה בפס"ד שמחייב את הייבם לחלוץ. אם אין פס"ד כזה אז האישה לא מקבלת מזונות. </w:t>
      </w:r>
      <w:r w:rsidR="006C2BC9">
        <w:rPr>
          <w:rFonts w:ascii="David" w:hAnsi="David" w:hint="cs"/>
          <w:sz w:val="22"/>
          <w:rtl/>
        </w:rPr>
        <w:t xml:space="preserve">מקרה שקרה מעט לאחר התקנת התקנה - באותו מקרה האיש לא רצה לעשות חליצה </w:t>
      </w:r>
      <w:r w:rsidR="00E652DB">
        <w:rPr>
          <w:rFonts w:ascii="David" w:hAnsi="David" w:hint="cs"/>
          <w:sz w:val="22"/>
          <w:rtl/>
        </w:rPr>
        <w:t xml:space="preserve">מסיבות כספיות. האיש רוצה מהאישה פיצוי </w:t>
      </w:r>
      <w:r w:rsidR="00423EBE">
        <w:rPr>
          <w:rFonts w:ascii="David" w:hAnsi="David" w:hint="cs"/>
          <w:sz w:val="22"/>
          <w:rtl/>
        </w:rPr>
        <w:t xml:space="preserve">על כך שהיא רוצה חליצה ואז הוא לא יזכה בירושה של אחיו. האישה פונה לבית הדין ואומרת שיש תקנה ולכן צריך לחייבו במזונות. בית הדין אומר שרק </w:t>
      </w:r>
      <w:r w:rsidR="00036EBA">
        <w:rPr>
          <w:rFonts w:ascii="David" w:hAnsi="David" w:hint="cs"/>
          <w:sz w:val="22"/>
          <w:rtl/>
        </w:rPr>
        <w:t>אם יחייבו אותו בחליצה אז יגיעו לה מזונות וכעת עוד לא הכריעו.</w:t>
      </w:r>
    </w:p>
    <w:p w14:paraId="76B16648" w14:textId="54CC0B48" w:rsidR="00036EBA" w:rsidRDefault="00036EBA" w:rsidP="00036EBA">
      <w:pPr>
        <w:pStyle w:val="ac"/>
        <w:numPr>
          <w:ilvl w:val="1"/>
          <w:numId w:val="21"/>
        </w:numPr>
        <w:bidi/>
        <w:rPr>
          <w:rFonts w:ascii="David" w:hAnsi="David"/>
          <w:sz w:val="22"/>
        </w:rPr>
      </w:pPr>
      <w:r>
        <w:rPr>
          <w:rFonts w:ascii="David" w:hAnsi="David" w:hint="cs"/>
          <w:sz w:val="22"/>
          <w:rtl/>
        </w:rPr>
        <w:t xml:space="preserve">ב-1950 התקינו תקנה </w:t>
      </w:r>
      <w:r w:rsidR="00554150">
        <w:rPr>
          <w:rFonts w:ascii="David" w:hAnsi="David" w:hint="cs"/>
          <w:sz w:val="22"/>
          <w:rtl/>
        </w:rPr>
        <w:t xml:space="preserve">הרבה יותר משמעותית וקשה בהקשר של ייבום וחליצה: </w:t>
      </w:r>
      <w:r w:rsidR="00676140">
        <w:rPr>
          <w:rFonts w:ascii="David" w:hAnsi="David" w:hint="cs"/>
          <w:sz w:val="22"/>
          <w:rtl/>
        </w:rPr>
        <w:t xml:space="preserve">באותו תקופה מגיעים הרבה אנשים לארץ </w:t>
      </w:r>
      <w:r w:rsidR="00CE74CF">
        <w:rPr>
          <w:rFonts w:ascii="David" w:hAnsi="David" w:hint="cs"/>
          <w:sz w:val="22"/>
          <w:rtl/>
        </w:rPr>
        <w:t>שנוהגים בייבום ולכן יש צורך בהסדרה. תקנה זו מבלי להסתיר כופה את הדין האשכנזי על הספרדים</w:t>
      </w:r>
      <w:r w:rsidR="00946B97">
        <w:rPr>
          <w:rFonts w:ascii="David" w:hAnsi="David" w:hint="cs"/>
          <w:sz w:val="22"/>
          <w:rtl/>
        </w:rPr>
        <w:t>. אפשר להבין את זה מהנוסח</w:t>
      </w:r>
      <w:r w:rsidR="00CE74CF">
        <w:rPr>
          <w:rFonts w:ascii="David" w:hAnsi="David" w:hint="cs"/>
          <w:sz w:val="22"/>
          <w:rtl/>
        </w:rPr>
        <w:t xml:space="preserve"> - </w:t>
      </w:r>
      <w:r w:rsidR="00946B97">
        <w:rPr>
          <w:rFonts w:ascii="David" w:hAnsi="David" w:hint="cs"/>
          <w:sz w:val="22"/>
          <w:rtl/>
        </w:rPr>
        <w:t>"ברוב קהילות ישראל וכן בקהילות האשכנזים"</w:t>
      </w:r>
      <w:r w:rsidR="00A81FA5">
        <w:rPr>
          <w:rFonts w:ascii="David" w:hAnsi="David" w:hint="cs"/>
          <w:sz w:val="22"/>
          <w:rtl/>
        </w:rPr>
        <w:t>. תקנה זו קובעת לא יהיה ייבום במדינת ישראל וחייבים לחלוץ, גם כאלו המגיעים</w:t>
      </w:r>
      <w:r w:rsidR="00281D4C">
        <w:rPr>
          <w:rFonts w:ascii="David" w:hAnsi="David" w:hint="cs"/>
          <w:sz w:val="22"/>
          <w:rtl/>
        </w:rPr>
        <w:t xml:space="preserve"> ממקומות בהם נהגו שמותר. בנוסף, בית הדין ייקבע את גובה המזונות אותם אתה הגבר חייב עד לביצוע החליצה (כאן לא צריך פס"ד אלא בית הדין יקבע את הגובה של המזונות ולא </w:t>
      </w:r>
      <w:r w:rsidR="00260521">
        <w:rPr>
          <w:rFonts w:ascii="David" w:hAnsi="David" w:hint="cs"/>
          <w:sz w:val="22"/>
          <w:rtl/>
        </w:rPr>
        <w:t>האם לתת). בנוסף, בנסיבות מיוחדות מותר לבצע ייבום.</w:t>
      </w:r>
    </w:p>
    <w:p w14:paraId="32D9BB33" w14:textId="3C6FBF12" w:rsidR="00260521" w:rsidRDefault="00260521" w:rsidP="00C762B4">
      <w:pPr>
        <w:pStyle w:val="ac"/>
        <w:numPr>
          <w:ilvl w:val="2"/>
          <w:numId w:val="21"/>
        </w:numPr>
        <w:bidi/>
        <w:rPr>
          <w:rFonts w:ascii="David" w:hAnsi="David"/>
          <w:sz w:val="22"/>
        </w:rPr>
      </w:pPr>
      <w:r w:rsidRPr="003A59E3">
        <w:rPr>
          <w:rFonts w:ascii="David" w:hAnsi="David" w:hint="cs"/>
          <w:sz w:val="22"/>
          <w:highlight w:val="cyan"/>
          <w:u w:val="single"/>
          <w:rtl/>
        </w:rPr>
        <w:t>פס"ד מ</w:t>
      </w:r>
      <w:r w:rsidR="00D571A0" w:rsidRPr="003A59E3">
        <w:rPr>
          <w:rFonts w:ascii="David" w:hAnsi="David" w:hint="cs"/>
          <w:sz w:val="22"/>
          <w:highlight w:val="cyan"/>
          <w:u w:val="single"/>
          <w:rtl/>
        </w:rPr>
        <w:t>-1967</w:t>
      </w:r>
      <w:r w:rsidR="00D571A0">
        <w:rPr>
          <w:rFonts w:ascii="David" w:hAnsi="David" w:hint="cs"/>
          <w:sz w:val="22"/>
          <w:rtl/>
        </w:rPr>
        <w:t>: מקרה מאוד חריג בו איפשרו ייבום בנסיבות חריגות - באותו מקרה מדובר בזוג חר</w:t>
      </w:r>
      <w:r w:rsidR="00F31D2A">
        <w:rPr>
          <w:rFonts w:ascii="David" w:hAnsi="David" w:hint="cs"/>
          <w:sz w:val="22"/>
          <w:rtl/>
        </w:rPr>
        <w:t xml:space="preserve">שים וגם אחיו הוא גם חרש. הבעיה שחרש לא יכול לבצע חליצה. סיבה פורמליסטית, כיוון שהם צריכים לשמוע </w:t>
      </w:r>
      <w:r w:rsidR="00852215">
        <w:rPr>
          <w:rFonts w:ascii="David" w:hAnsi="David" w:hint="cs"/>
          <w:sz w:val="22"/>
          <w:rtl/>
        </w:rPr>
        <w:t>את הפעולות (את טענות הזקנים ואת טענות האישה).</w:t>
      </w:r>
      <w:r w:rsidR="0080261B">
        <w:rPr>
          <w:rFonts w:ascii="David" w:hAnsi="David" w:hint="cs"/>
          <w:sz w:val="22"/>
          <w:rtl/>
        </w:rPr>
        <w:t xml:space="preserve"> הם עשו דבר מאוד חריג, הוא יישא את האישה בייבום ויגרשה מייד. כיוון שנישואין וגירושין חרש יכול לעשות</w:t>
      </w:r>
      <w:r w:rsidR="005210E4">
        <w:rPr>
          <w:rFonts w:ascii="David" w:hAnsi="David" w:hint="cs"/>
          <w:sz w:val="22"/>
          <w:rtl/>
        </w:rPr>
        <w:t xml:space="preserve"> ואילו חליצה לא</w:t>
      </w:r>
      <w:r w:rsidR="0080261B">
        <w:rPr>
          <w:rFonts w:ascii="David" w:hAnsi="David" w:hint="cs"/>
          <w:sz w:val="22"/>
          <w:rtl/>
        </w:rPr>
        <w:t>.</w:t>
      </w:r>
    </w:p>
    <w:p w14:paraId="239D9A35" w14:textId="77777777" w:rsidR="00C762B4" w:rsidRDefault="00F66AC9" w:rsidP="00C762B4">
      <w:pPr>
        <w:pStyle w:val="ac"/>
        <w:numPr>
          <w:ilvl w:val="2"/>
          <w:numId w:val="21"/>
        </w:numPr>
        <w:bidi/>
        <w:rPr>
          <w:rFonts w:ascii="David" w:hAnsi="David"/>
          <w:sz w:val="22"/>
        </w:rPr>
      </w:pPr>
      <w:r w:rsidRPr="00F66AC9">
        <w:rPr>
          <w:rFonts w:ascii="David" w:hAnsi="David" w:hint="cs"/>
          <w:sz w:val="22"/>
          <w:highlight w:val="cyan"/>
          <w:u w:val="single"/>
          <w:rtl/>
        </w:rPr>
        <w:lastRenderedPageBreak/>
        <w:t>130/55</w:t>
      </w:r>
      <w:r>
        <w:rPr>
          <w:rFonts w:ascii="David" w:hAnsi="David" w:hint="cs"/>
          <w:sz w:val="22"/>
          <w:u w:val="single"/>
          <w:rtl/>
        </w:rPr>
        <w:t xml:space="preserve">: </w:t>
      </w:r>
      <w:r w:rsidR="00091A39" w:rsidRPr="00F66AC9">
        <w:rPr>
          <w:rFonts w:ascii="David" w:hAnsi="David" w:hint="cs"/>
          <w:b/>
          <w:bCs/>
          <w:sz w:val="22"/>
          <w:rtl/>
        </w:rPr>
        <w:t xml:space="preserve">המקרה </w:t>
      </w:r>
      <w:r>
        <w:rPr>
          <w:rFonts w:ascii="David" w:hAnsi="David" w:hint="cs"/>
          <w:b/>
          <w:bCs/>
          <w:sz w:val="22"/>
          <w:rtl/>
        </w:rPr>
        <w:t>היחיד</w:t>
      </w:r>
      <w:r w:rsidR="00091A39" w:rsidRPr="00F66AC9">
        <w:rPr>
          <w:rFonts w:ascii="David" w:hAnsi="David" w:hint="cs"/>
          <w:b/>
          <w:bCs/>
          <w:sz w:val="22"/>
          <w:rtl/>
        </w:rPr>
        <w:t xml:space="preserve"> שבו בית המשפט עסק בייבום וחליצה -</w:t>
      </w:r>
      <w:r w:rsidR="00091A39" w:rsidRPr="00F66AC9">
        <w:rPr>
          <w:rFonts w:ascii="David" w:hAnsi="David" w:hint="cs"/>
          <w:sz w:val="22"/>
          <w:rtl/>
        </w:rPr>
        <w:t xml:space="preserve"> מ</w:t>
      </w:r>
      <w:r w:rsidR="00091A39">
        <w:rPr>
          <w:rFonts w:ascii="David" w:hAnsi="David" w:hint="cs"/>
          <w:sz w:val="22"/>
          <w:rtl/>
        </w:rPr>
        <w:t xml:space="preserve">דובר במקרה של ייבם שניסה להשתמש בדין הזה כדי להרוויח. </w:t>
      </w:r>
      <w:r>
        <w:rPr>
          <w:rFonts w:ascii="David" w:hAnsi="David" w:hint="cs"/>
          <w:sz w:val="22"/>
          <w:rtl/>
        </w:rPr>
        <w:t xml:space="preserve">זה הגיע לבית המשפט העליון בעיקר בגלל שאלת הסמכות. </w:t>
      </w:r>
      <w:r w:rsidR="00964FA7">
        <w:rPr>
          <w:rFonts w:ascii="David" w:hAnsi="David" w:hint="cs"/>
          <w:sz w:val="22"/>
          <w:rtl/>
        </w:rPr>
        <w:t xml:space="preserve">באותו מקרה האישה ביקשה חליצה אך הגבר אינו מעוניין לעשות חליצה והוא רוצה </w:t>
      </w:r>
      <w:r w:rsidR="003E5C1E">
        <w:rPr>
          <w:rFonts w:ascii="David" w:hAnsi="David" w:hint="cs"/>
          <w:sz w:val="22"/>
          <w:rtl/>
        </w:rPr>
        <w:t xml:space="preserve">כסף, לדעתו מגיע לו את כל הירושה של אחיו. </w:t>
      </w:r>
    </w:p>
    <w:p w14:paraId="10A28DD9" w14:textId="7771DE71" w:rsidR="00C762B4" w:rsidRDefault="003E5C1E" w:rsidP="00E532BC">
      <w:pPr>
        <w:pStyle w:val="ac"/>
        <w:numPr>
          <w:ilvl w:val="4"/>
          <w:numId w:val="21"/>
        </w:numPr>
        <w:bidi/>
        <w:rPr>
          <w:rFonts w:ascii="David" w:hAnsi="David"/>
          <w:sz w:val="22"/>
        </w:rPr>
      </w:pPr>
      <w:r>
        <w:rPr>
          <w:rFonts w:ascii="David" w:hAnsi="David" w:hint="cs"/>
          <w:sz w:val="22"/>
          <w:rtl/>
        </w:rPr>
        <w:t xml:space="preserve">חשין -  </w:t>
      </w:r>
      <w:r w:rsidR="004F2D49">
        <w:rPr>
          <w:rFonts w:ascii="David" w:hAnsi="David" w:hint="cs"/>
          <w:sz w:val="22"/>
          <w:rtl/>
        </w:rPr>
        <w:t xml:space="preserve">השופט חשין מבין כי הגבר מעוניין בכסף של אחיו המת, חשין אומר כי הוא לא ייתן לו </w:t>
      </w:r>
      <w:r w:rsidR="00C762B4">
        <w:rPr>
          <w:rFonts w:ascii="David" w:hAnsi="David" w:hint="cs"/>
          <w:sz w:val="22"/>
          <w:rtl/>
        </w:rPr>
        <w:t>את הכסף משתי סיבות (חשין נותן סיבות הלכתיות):</w:t>
      </w:r>
      <w:r w:rsidR="00F66AC9">
        <w:rPr>
          <w:rFonts w:ascii="David" w:hAnsi="David" w:hint="cs"/>
          <w:sz w:val="22"/>
          <w:rtl/>
        </w:rPr>
        <w:t xml:space="preserve"> </w:t>
      </w:r>
      <w:r w:rsidR="00F84312">
        <w:rPr>
          <w:rFonts w:ascii="David" w:hAnsi="David" w:hint="cs"/>
          <w:sz w:val="22"/>
          <w:rtl/>
        </w:rPr>
        <w:t xml:space="preserve">ראשית, הגבר אשכנזי ולכן לא מחויב בייבום אלא בחליצה. שנית, </w:t>
      </w:r>
      <w:r w:rsidR="00F3301D">
        <w:rPr>
          <w:rFonts w:ascii="David" w:hAnsi="David" w:hint="cs"/>
          <w:sz w:val="22"/>
          <w:rtl/>
        </w:rPr>
        <w:t>תקנת הרבנות הראשית שקובעת כי חליצה קודמת בעבור כולם.</w:t>
      </w:r>
    </w:p>
    <w:p w14:paraId="688DBB96" w14:textId="77777777" w:rsidR="00C92F7D" w:rsidRDefault="00E532BC" w:rsidP="000E345E">
      <w:pPr>
        <w:pStyle w:val="ac"/>
        <w:numPr>
          <w:ilvl w:val="0"/>
          <w:numId w:val="21"/>
        </w:numPr>
        <w:shd w:val="clear" w:color="auto" w:fill="FFF4CD" w:themeFill="accent1" w:themeFillTint="33"/>
        <w:bidi/>
        <w:rPr>
          <w:rFonts w:ascii="David" w:hAnsi="David"/>
          <w:sz w:val="22"/>
        </w:rPr>
      </w:pPr>
      <w:r w:rsidRPr="00C92F7D">
        <w:rPr>
          <w:rFonts w:ascii="David" w:hAnsi="David" w:hint="cs"/>
          <w:b/>
          <w:bCs/>
          <w:sz w:val="22"/>
          <w:shd w:val="clear" w:color="auto" w:fill="FFF4CD" w:themeFill="accent1" w:themeFillTint="33"/>
          <w:rtl/>
        </w:rPr>
        <w:t>מה קורה לאחר מכן במדינת ישראל - האם התקבלה תקנת הרבנות הראשית החדשה והנוקשה יותר?</w:t>
      </w:r>
      <w:r>
        <w:rPr>
          <w:rFonts w:ascii="David" w:hAnsi="David" w:hint="cs"/>
          <w:sz w:val="22"/>
          <w:rtl/>
        </w:rPr>
        <w:t xml:space="preserve"> </w:t>
      </w:r>
    </w:p>
    <w:p w14:paraId="47DDE18C" w14:textId="55744527" w:rsidR="00B5139D" w:rsidRDefault="00E532BC" w:rsidP="00C92F7D">
      <w:pPr>
        <w:pStyle w:val="ac"/>
        <w:numPr>
          <w:ilvl w:val="1"/>
          <w:numId w:val="21"/>
        </w:numPr>
        <w:bidi/>
        <w:rPr>
          <w:rFonts w:ascii="David" w:hAnsi="David"/>
          <w:sz w:val="22"/>
        </w:rPr>
      </w:pPr>
      <w:r>
        <w:rPr>
          <w:rFonts w:ascii="David" w:hAnsi="David" w:hint="cs"/>
          <w:sz w:val="22"/>
          <w:rtl/>
        </w:rPr>
        <w:t xml:space="preserve">ברוב המקרים שני הצדדים לא מעוניינים בייבום ולשני הצדדים ברור שצריך לסיים את זה כמה שיותר מהר. </w:t>
      </w:r>
      <w:r w:rsidR="00540EA9">
        <w:rPr>
          <w:rFonts w:ascii="David" w:hAnsi="David" w:hint="cs"/>
          <w:sz w:val="22"/>
          <w:rtl/>
        </w:rPr>
        <w:t xml:space="preserve">עם זאת עדיין יש מקרים בהם יש בעיות. מקרים בהם הייבם, בעיקר כאשר הוא לא אשכנזי מתעקש על ייבום. אם תקנת הרבנות הראשית הייתה מתקבלת לא הייתה בעיה, אולם </w:t>
      </w:r>
      <w:r w:rsidR="003C03EF">
        <w:rPr>
          <w:rFonts w:ascii="David" w:hAnsi="David" w:hint="cs"/>
          <w:sz w:val="22"/>
          <w:rtl/>
        </w:rPr>
        <w:t xml:space="preserve">תקנה זו לא התקבלה על כולם. הלוחם הגדול ביותר נגד תקנה זו הוא הרב עובדיה יוסף (כמו תקנה על הביגמיה). הרב עובדיה יוסף הוא רב שהשפעתו ההלכתית היא כמעט הכי משמעותית על </w:t>
      </w:r>
      <w:r w:rsidR="0021642A">
        <w:rPr>
          <w:rFonts w:ascii="David" w:hAnsi="David" w:hint="cs"/>
          <w:sz w:val="22"/>
          <w:rtl/>
        </w:rPr>
        <w:t>המציאות ההלכתית ב</w:t>
      </w:r>
      <w:r w:rsidR="003C03EF">
        <w:rPr>
          <w:rFonts w:ascii="David" w:hAnsi="David" w:hint="cs"/>
          <w:sz w:val="22"/>
          <w:rtl/>
        </w:rPr>
        <w:t>מדינת ישראל</w:t>
      </w:r>
      <w:r w:rsidR="0021642A">
        <w:rPr>
          <w:rFonts w:ascii="David" w:hAnsi="David" w:hint="cs"/>
          <w:sz w:val="22"/>
          <w:rtl/>
        </w:rPr>
        <w:t xml:space="preserve">. </w:t>
      </w:r>
      <w:r w:rsidR="00EF10A9">
        <w:rPr>
          <w:rFonts w:ascii="David" w:hAnsi="David" w:hint="cs"/>
          <w:sz w:val="22"/>
          <w:rtl/>
        </w:rPr>
        <w:t xml:space="preserve">הרב עובדיה רואה את תקנות הרבנות הראשית כתקנות אשכנזיות שמנסות לבטל את ההלכה הספרדית (זאת על אף שהרב </w:t>
      </w:r>
      <w:r w:rsidR="0037413E">
        <w:rPr>
          <w:rFonts w:ascii="David" w:hAnsi="David" w:hint="cs"/>
          <w:sz w:val="22"/>
          <w:rtl/>
        </w:rPr>
        <w:t xml:space="preserve">עוזיאל היה היוזם של התקנות והוא היה ספרדי </w:t>
      </w:r>
      <w:r w:rsidR="00975C24">
        <w:rPr>
          <w:rFonts w:ascii="David" w:hAnsi="David" w:hint="cs"/>
          <w:sz w:val="22"/>
          <w:rtl/>
        </w:rPr>
        <w:t>- כנראה זה נבע מעמדות חברתיות שלו לגבי מעמד האישה). לדעת הרב עובדיה יוסף אין מקום לצאת נגד השולחן ערוך.</w:t>
      </w:r>
    </w:p>
    <w:p w14:paraId="666F97CC" w14:textId="5BDF4331" w:rsidR="00F3301D" w:rsidRPr="00B5139D" w:rsidRDefault="00B5139D" w:rsidP="00C92F7D">
      <w:pPr>
        <w:pStyle w:val="ac"/>
        <w:bidi/>
        <w:ind w:left="199"/>
        <w:rPr>
          <w:rFonts w:ascii="David" w:hAnsi="David"/>
          <w:sz w:val="22"/>
        </w:rPr>
      </w:pPr>
      <w:r w:rsidRPr="00C92F7D">
        <w:rPr>
          <w:rFonts w:ascii="David" w:hAnsi="David" w:hint="cs"/>
          <w:b/>
          <w:bCs/>
          <w:sz w:val="22"/>
          <w:u w:val="single"/>
          <w:rtl/>
        </w:rPr>
        <w:t>שו"ת יביע אומר חלק ו'</w:t>
      </w:r>
      <w:r w:rsidR="00432804" w:rsidRPr="00C92F7D">
        <w:rPr>
          <w:rFonts w:ascii="David" w:hAnsi="David" w:hint="cs"/>
          <w:b/>
          <w:bCs/>
          <w:sz w:val="22"/>
          <w:u w:val="single"/>
          <w:rtl/>
        </w:rPr>
        <w:t xml:space="preserve"> אח"ע סימן יד</w:t>
      </w:r>
      <w:r w:rsidR="00432804">
        <w:rPr>
          <w:rFonts w:ascii="David" w:hAnsi="David" w:hint="cs"/>
          <w:sz w:val="22"/>
          <w:rtl/>
        </w:rPr>
        <w:t>:</w:t>
      </w:r>
      <w:r w:rsidR="00EA43E0">
        <w:rPr>
          <w:rFonts w:ascii="David" w:hAnsi="David" w:hint="cs"/>
          <w:sz w:val="22"/>
          <w:rtl/>
        </w:rPr>
        <w:t xml:space="preserve"> מגיע לפניו תיק של ייבם תמני שמתעקש לייבם. הרב עובדיה יוסף אומר שההלכה הספרדית היא חד משמעית </w:t>
      </w:r>
      <w:r w:rsidR="002E1FD4">
        <w:rPr>
          <w:rFonts w:ascii="David" w:hAnsi="David" w:hint="cs"/>
          <w:sz w:val="22"/>
          <w:rtl/>
        </w:rPr>
        <w:t>שמצוות ייבום קודמת.</w:t>
      </w:r>
      <w:r w:rsidR="00897C3A">
        <w:rPr>
          <w:rFonts w:ascii="David" w:hAnsi="David" w:hint="cs"/>
          <w:sz w:val="22"/>
          <w:rtl/>
        </w:rPr>
        <w:t xml:space="preserve"> מי שיורה כמצוות חליצה קודמת מזלזל בכבוד רבנו הגדולים.</w:t>
      </w:r>
      <w:r w:rsidR="0049090E">
        <w:rPr>
          <w:rFonts w:ascii="David" w:hAnsi="David" w:hint="cs"/>
          <w:sz w:val="22"/>
          <w:rtl/>
        </w:rPr>
        <w:t xml:space="preserve"> בנוסף, הוסיף כי הדין של ארץ ישראל הוא הדין הספרדי</w:t>
      </w:r>
      <w:r w:rsidR="00862035">
        <w:rPr>
          <w:rFonts w:ascii="David" w:hAnsi="David" w:hint="cs"/>
          <w:sz w:val="22"/>
          <w:rtl/>
        </w:rPr>
        <w:t xml:space="preserve"> (הוא סבר שהמרא דאתרא של ישראל היה רבי יוסף קארו). </w:t>
      </w:r>
      <w:r w:rsidR="00293FE9">
        <w:rPr>
          <w:rFonts w:ascii="David" w:hAnsi="David" w:hint="cs"/>
          <w:sz w:val="22"/>
          <w:rtl/>
        </w:rPr>
        <w:t>אם מגיעים שני ספרדים</w:t>
      </w:r>
      <w:r w:rsidR="00AD7CFB">
        <w:rPr>
          <w:rFonts w:ascii="David" w:hAnsi="David" w:hint="cs"/>
          <w:sz w:val="22"/>
          <w:rtl/>
        </w:rPr>
        <w:t xml:space="preserve"> - </w:t>
      </w:r>
      <w:r w:rsidR="00293FE9">
        <w:rPr>
          <w:rFonts w:ascii="David" w:hAnsi="David" w:hint="cs"/>
          <w:sz w:val="22"/>
          <w:rtl/>
        </w:rPr>
        <w:t xml:space="preserve"> גם אם האישה מתנגדת יש חובה לבצע ייבום.</w:t>
      </w:r>
      <w:r w:rsidR="002E1FD4">
        <w:rPr>
          <w:rFonts w:ascii="David" w:hAnsi="David" w:hint="cs"/>
          <w:sz w:val="22"/>
          <w:rtl/>
        </w:rPr>
        <w:t xml:space="preserve"> </w:t>
      </w:r>
      <w:r w:rsidR="003C03EF" w:rsidRPr="00B5139D">
        <w:rPr>
          <w:rFonts w:ascii="David" w:hAnsi="David" w:hint="cs"/>
          <w:rtl/>
        </w:rPr>
        <w:t xml:space="preserve"> </w:t>
      </w:r>
    </w:p>
    <w:p w14:paraId="10D986F7" w14:textId="77777777" w:rsidR="006D5B26" w:rsidRDefault="004A6C49" w:rsidP="004A6C49">
      <w:pPr>
        <w:pStyle w:val="ac"/>
        <w:numPr>
          <w:ilvl w:val="1"/>
          <w:numId w:val="21"/>
        </w:numPr>
        <w:bidi/>
        <w:rPr>
          <w:rFonts w:ascii="David" w:hAnsi="David"/>
          <w:sz w:val="22"/>
        </w:rPr>
      </w:pPr>
      <w:r>
        <w:rPr>
          <w:rFonts w:ascii="David" w:hAnsi="David" w:hint="cs"/>
          <w:sz w:val="22"/>
          <w:rtl/>
        </w:rPr>
        <w:t xml:space="preserve"> </w:t>
      </w:r>
      <w:r w:rsidR="00C92F7D">
        <w:rPr>
          <w:rFonts w:ascii="David" w:hAnsi="David" w:hint="cs"/>
          <w:sz w:val="22"/>
          <w:rtl/>
        </w:rPr>
        <w:t xml:space="preserve">לגישה זו יש גם המשך ביימנו וזה לא נעלם עם פטירתו של הרב עובדיה - ישנם רבנים שסוברים ככה היום. כך הולך בנו של הרב עובדיה יוסף בעקבות אביו. </w:t>
      </w:r>
      <w:r w:rsidR="00DB19A3">
        <w:rPr>
          <w:rFonts w:ascii="David" w:hAnsi="David" w:hint="cs"/>
          <w:sz w:val="22"/>
          <w:rtl/>
        </w:rPr>
        <w:t>בנו</w:t>
      </w:r>
      <w:r w:rsidR="0081335D">
        <w:rPr>
          <w:rFonts w:ascii="David" w:hAnsi="David" w:hint="cs"/>
          <w:sz w:val="22"/>
          <w:rtl/>
        </w:rPr>
        <w:t xml:space="preserve"> מספר בכנס דיינים כי באו לפניו זוג שרצה לבצע ייבום והוא אמר להם </w:t>
      </w:r>
      <w:r w:rsidR="009A0DDD">
        <w:rPr>
          <w:rFonts w:ascii="David" w:hAnsi="David" w:hint="cs"/>
          <w:sz w:val="22"/>
          <w:rtl/>
        </w:rPr>
        <w:t xml:space="preserve">שאין בעיה כי הם ספרדים והוא אמר לבעל לכוון לשם מצווה (לא חובה אבל חשוב) - הוא אומר שהוא עודד אותם כי כך גם אביו פסק. </w:t>
      </w:r>
      <w:r w:rsidR="00162533">
        <w:rPr>
          <w:rFonts w:ascii="David" w:hAnsi="David" w:hint="cs"/>
          <w:sz w:val="22"/>
          <w:rtl/>
        </w:rPr>
        <w:t xml:space="preserve">הוא אומר שכאשר </w:t>
      </w:r>
      <w:r w:rsidR="00DB19A3">
        <w:rPr>
          <w:rFonts w:ascii="David" w:hAnsi="David" w:hint="cs"/>
          <w:sz w:val="22"/>
          <w:rtl/>
        </w:rPr>
        <w:t>אביו</w:t>
      </w:r>
      <w:r w:rsidR="00162533">
        <w:rPr>
          <w:rFonts w:ascii="David" w:hAnsi="David" w:hint="cs"/>
          <w:sz w:val="22"/>
          <w:rtl/>
        </w:rPr>
        <w:t xml:space="preserve"> נבחר להיות רב ראשי הוא ביטל את התקנה מ1950 </w:t>
      </w:r>
      <w:r w:rsidR="00765192">
        <w:rPr>
          <w:rFonts w:ascii="David" w:hAnsi="David" w:hint="cs"/>
          <w:sz w:val="22"/>
          <w:rtl/>
        </w:rPr>
        <w:t>שנוגעת</w:t>
      </w:r>
      <w:r w:rsidR="00162533">
        <w:rPr>
          <w:rFonts w:ascii="David" w:hAnsi="David" w:hint="cs"/>
          <w:sz w:val="22"/>
          <w:rtl/>
        </w:rPr>
        <w:t xml:space="preserve"> לייבום וחליצה - בפועל הוא לא ביטל את התקנה הוא פשוט חשב שאין לה תוקף</w:t>
      </w:r>
      <w:r w:rsidR="00765192">
        <w:rPr>
          <w:rFonts w:ascii="David" w:hAnsi="David" w:hint="cs"/>
          <w:sz w:val="22"/>
          <w:rtl/>
        </w:rPr>
        <w:t xml:space="preserve">, </w:t>
      </w:r>
      <w:r w:rsidR="00162533">
        <w:rPr>
          <w:rFonts w:ascii="David" w:hAnsi="David" w:hint="cs"/>
          <w:sz w:val="22"/>
          <w:rtl/>
        </w:rPr>
        <w:t>גם לפני שהפך לרב ראשי לא פסד כמו התקנה הזו.</w:t>
      </w:r>
      <w:r w:rsidR="009F2025">
        <w:rPr>
          <w:rFonts w:ascii="David" w:hAnsi="David" w:hint="cs"/>
          <w:sz w:val="22"/>
          <w:rtl/>
        </w:rPr>
        <w:t xml:space="preserve"> ב-2018 הוא מעביר הרצאה בנושא והוא אומר שאין תוקף לתקנת הרבנות הראשית וייבום קודם.</w:t>
      </w:r>
      <w:r w:rsidR="00783BD6">
        <w:rPr>
          <w:rFonts w:ascii="David" w:hAnsi="David" w:hint="cs"/>
          <w:sz w:val="22"/>
          <w:rtl/>
        </w:rPr>
        <w:t xml:space="preserve"> הוא מתאר את המדינות שבה הוא נוהג - במידה ולגבר יש אישה אז אומרים לו חליצה אבל אם הם צעירים והוא לא נשוי </w:t>
      </w:r>
      <w:r w:rsidR="00DB19A3">
        <w:rPr>
          <w:rFonts w:ascii="David" w:hAnsi="David" w:hint="cs"/>
          <w:sz w:val="22"/>
          <w:rtl/>
        </w:rPr>
        <w:t>צריך לעודד אותם לעשות ייבום.</w:t>
      </w:r>
      <w:r w:rsidR="00765192">
        <w:rPr>
          <w:rFonts w:ascii="David" w:hAnsi="David" w:hint="cs"/>
          <w:sz w:val="22"/>
          <w:rtl/>
        </w:rPr>
        <w:t xml:space="preserve"> באותו דיון יושב הרב הראשי האשכנזי והוא לא מסכים לאמירותיו של </w:t>
      </w:r>
      <w:r w:rsidR="006028CB">
        <w:rPr>
          <w:rFonts w:ascii="David" w:hAnsi="David" w:hint="cs"/>
          <w:sz w:val="22"/>
          <w:rtl/>
        </w:rPr>
        <w:t>בנו של הרב עובדיה יוס</w:t>
      </w:r>
      <w:r w:rsidR="00F4148D">
        <w:rPr>
          <w:rFonts w:ascii="David" w:hAnsi="David" w:hint="cs"/>
          <w:sz w:val="22"/>
          <w:rtl/>
        </w:rPr>
        <w:t>ף</w:t>
      </w:r>
      <w:r w:rsidR="00AD7CFB">
        <w:rPr>
          <w:rFonts w:ascii="David" w:hAnsi="David" w:hint="cs"/>
          <w:sz w:val="22"/>
          <w:rtl/>
        </w:rPr>
        <w:t xml:space="preserve"> - הוא אומר </w:t>
      </w:r>
      <w:r w:rsidR="008B27C7">
        <w:rPr>
          <w:rFonts w:ascii="David" w:hAnsi="David" w:hint="cs"/>
          <w:sz w:val="22"/>
          <w:rtl/>
        </w:rPr>
        <w:t>שזה לא מקובל עליו והתקנה כן תפסה. לא נהגו ייבום רק במקרים מאוד חריגים. הוא מסביר שקשה לו מאוד עם דבריו של בנו של הרב עובדיה יוס</w:t>
      </w:r>
      <w:r w:rsidR="00034836">
        <w:rPr>
          <w:rFonts w:ascii="David" w:hAnsi="David" w:hint="cs"/>
          <w:sz w:val="22"/>
          <w:rtl/>
        </w:rPr>
        <w:t>ף, כיוון שעלול להשתמע מדבריו שאישה שאינו מעוניינת בייבום תחשב מורדת</w:t>
      </w:r>
      <w:r w:rsidR="005843AD">
        <w:rPr>
          <w:rFonts w:ascii="David" w:hAnsi="David" w:hint="cs"/>
          <w:sz w:val="22"/>
          <w:rtl/>
        </w:rPr>
        <w:t xml:space="preserve"> ולא יגיעו לה מזונות</w:t>
      </w:r>
      <w:r w:rsidR="008B27C7">
        <w:rPr>
          <w:rFonts w:ascii="David" w:hAnsi="David" w:hint="cs"/>
          <w:sz w:val="22"/>
          <w:rtl/>
        </w:rPr>
        <w:t>.</w:t>
      </w:r>
      <w:r w:rsidR="006D5B26">
        <w:rPr>
          <w:rFonts w:ascii="David" w:hAnsi="David" w:hint="cs"/>
          <w:sz w:val="22"/>
          <w:rtl/>
        </w:rPr>
        <w:t xml:space="preserve"> בשל הסנקציה הזו כלפיה האישה ראוי לשמר את תקנת הרבנות הראשית.</w:t>
      </w:r>
    </w:p>
    <w:p w14:paraId="5137822D" w14:textId="1B77D8B1" w:rsidR="004A6C49" w:rsidRDefault="006D5B26" w:rsidP="006D5B26">
      <w:pPr>
        <w:pStyle w:val="ac"/>
        <w:bidi/>
        <w:ind w:left="199"/>
        <w:rPr>
          <w:rFonts w:ascii="David" w:hAnsi="David"/>
          <w:sz w:val="22"/>
        </w:rPr>
      </w:pPr>
      <w:r w:rsidRPr="00134B28">
        <w:rPr>
          <w:rFonts w:ascii="David" w:hAnsi="David" w:hint="cs"/>
          <w:sz w:val="22"/>
          <w:highlight w:val="cyan"/>
          <w:u w:val="single"/>
          <w:rtl/>
        </w:rPr>
        <w:t>פס"ד בבית הדין בתל אביב</w:t>
      </w:r>
      <w:r w:rsidR="00134B28">
        <w:rPr>
          <w:rFonts w:ascii="David" w:hAnsi="David" w:hint="cs"/>
          <w:sz w:val="22"/>
          <w:rtl/>
        </w:rPr>
        <w:t>:</w:t>
      </w:r>
      <w:r w:rsidR="00134B28">
        <w:rPr>
          <w:rFonts w:ascii="David" w:hAnsi="David" w:hint="cs"/>
          <w:b/>
          <w:bCs/>
          <w:sz w:val="22"/>
          <w:rtl/>
        </w:rPr>
        <w:t xml:space="preserve"> </w:t>
      </w:r>
      <w:r w:rsidR="00134B28" w:rsidRPr="00134B28">
        <w:rPr>
          <w:rFonts w:ascii="David" w:hAnsi="David" w:hint="cs"/>
          <w:b/>
          <w:bCs/>
          <w:sz w:val="22"/>
          <w:rtl/>
        </w:rPr>
        <w:t>פס"ד</w:t>
      </w:r>
      <w:r>
        <w:rPr>
          <w:rFonts w:ascii="David" w:hAnsi="David" w:hint="cs"/>
          <w:sz w:val="22"/>
          <w:rtl/>
        </w:rPr>
        <w:t xml:space="preserve"> </w:t>
      </w:r>
      <w:r w:rsidRPr="00134B28">
        <w:rPr>
          <w:rFonts w:ascii="David" w:hAnsi="David" w:hint="cs"/>
          <w:b/>
          <w:bCs/>
          <w:sz w:val="22"/>
          <w:rtl/>
        </w:rPr>
        <w:t>האחרון</w:t>
      </w:r>
      <w:r w:rsidR="00134B28">
        <w:rPr>
          <w:rFonts w:ascii="David" w:hAnsi="David" w:hint="cs"/>
          <w:b/>
          <w:bCs/>
          <w:sz w:val="22"/>
          <w:rtl/>
        </w:rPr>
        <w:t xml:space="preserve"> (שנות ה-90)</w:t>
      </w:r>
      <w:r w:rsidRPr="00134B28">
        <w:rPr>
          <w:rFonts w:ascii="David" w:hAnsi="David" w:hint="cs"/>
          <w:b/>
          <w:bCs/>
          <w:sz w:val="22"/>
          <w:rtl/>
        </w:rPr>
        <w:t xml:space="preserve"> שבמתייחס לאישה שמסרבת לעבור ייבום והייבם דורש לעשות ייבום</w:t>
      </w:r>
      <w:r>
        <w:rPr>
          <w:rFonts w:ascii="David" w:hAnsi="David" w:hint="cs"/>
          <w:sz w:val="22"/>
          <w:rtl/>
        </w:rPr>
        <w:t xml:space="preserve">: הרב הולך בדרכו של הרב עובדיה יוסף. האישה </w:t>
      </w:r>
      <w:r w:rsidR="001A3EBC">
        <w:rPr>
          <w:rFonts w:ascii="David" w:hAnsi="David" w:hint="cs"/>
          <w:sz w:val="22"/>
          <w:rtl/>
        </w:rPr>
        <w:t>מעוכבת כיוון שהגבר מסרב לבצע חליצה. האישה תובעת לבית הדין ודורשת מזונות.</w:t>
      </w:r>
      <w:r w:rsidR="00561FAF">
        <w:rPr>
          <w:rFonts w:ascii="David" w:hAnsi="David" w:hint="cs"/>
          <w:sz w:val="22"/>
          <w:rtl/>
        </w:rPr>
        <w:t xml:space="preserve"> עו"ד שלה מסביר שעל אף שלא כפה את הגבר לבצע חליצה אפשר לכפות אותו בעקיפין על ידי הטלת מזונות על הגבר. </w:t>
      </w:r>
      <w:r w:rsidR="005843AD">
        <w:rPr>
          <w:rFonts w:ascii="David" w:hAnsi="David" w:hint="cs"/>
          <w:sz w:val="22"/>
          <w:rtl/>
        </w:rPr>
        <w:t xml:space="preserve"> </w:t>
      </w:r>
      <w:r w:rsidR="008B27C7">
        <w:rPr>
          <w:rFonts w:ascii="David" w:hAnsi="David" w:hint="cs"/>
          <w:sz w:val="22"/>
          <w:rtl/>
        </w:rPr>
        <w:t xml:space="preserve"> </w:t>
      </w:r>
      <w:r w:rsidR="00561FAF">
        <w:rPr>
          <w:rFonts w:ascii="David" w:hAnsi="David" w:hint="cs"/>
          <w:sz w:val="22"/>
          <w:rtl/>
        </w:rPr>
        <w:t xml:space="preserve">הגבר טוען שאין סיבה לכפות אותו לבצע חליצה והוא מעוניין בביצוע ייבום. הרב מקבל את </w:t>
      </w:r>
      <w:r w:rsidR="001E7EA5">
        <w:rPr>
          <w:rFonts w:ascii="David" w:hAnsi="David" w:hint="cs"/>
          <w:sz w:val="22"/>
          <w:rtl/>
        </w:rPr>
        <w:t>דבריו של הגבר המסרב חליצה</w:t>
      </w:r>
      <w:r w:rsidR="00134B28">
        <w:rPr>
          <w:rFonts w:ascii="David" w:hAnsi="David" w:hint="cs"/>
          <w:sz w:val="22"/>
          <w:rtl/>
        </w:rPr>
        <w:t xml:space="preserve"> ולכן לא מחייב את האיש במזונות</w:t>
      </w:r>
      <w:r w:rsidR="001E7EA5">
        <w:rPr>
          <w:rFonts w:ascii="David" w:hAnsi="David" w:hint="cs"/>
          <w:sz w:val="22"/>
          <w:rtl/>
        </w:rPr>
        <w:t>.</w:t>
      </w:r>
      <w:r w:rsidR="00134B28">
        <w:rPr>
          <w:rFonts w:ascii="David" w:hAnsi="David" w:hint="cs"/>
          <w:sz w:val="22"/>
          <w:rtl/>
        </w:rPr>
        <w:t xml:space="preserve"> באותו מקרה סביר שהיה ערעור לבית הדין הרבני הגדול אך אנחנו לא יכולים לדעת כי ההמשך לא פורסם.</w:t>
      </w:r>
    </w:p>
    <w:p w14:paraId="752F1130" w14:textId="5401B9DF" w:rsidR="00595734" w:rsidRPr="00F54DC1" w:rsidRDefault="00F02049" w:rsidP="00F54DC1">
      <w:pPr>
        <w:pStyle w:val="ac"/>
        <w:numPr>
          <w:ilvl w:val="0"/>
          <w:numId w:val="21"/>
        </w:numPr>
        <w:shd w:val="clear" w:color="auto" w:fill="FFF4CD" w:themeFill="accent1" w:themeFillTint="33"/>
        <w:bidi/>
        <w:rPr>
          <w:rFonts w:ascii="David" w:hAnsi="David"/>
          <w:b/>
          <w:bCs/>
          <w:sz w:val="22"/>
        </w:rPr>
      </w:pPr>
      <w:r w:rsidRPr="00F54DC1">
        <w:rPr>
          <w:rFonts w:ascii="David" w:hAnsi="David" w:hint="cs"/>
          <w:b/>
          <w:bCs/>
          <w:sz w:val="22"/>
          <w:rtl/>
        </w:rPr>
        <w:t>פסיקה מהשנים האחרונות בנושא ייבום וחליצה:</w:t>
      </w:r>
    </w:p>
    <w:p w14:paraId="083F13B2" w14:textId="77777777" w:rsidR="009C0642" w:rsidRDefault="00F54DC1" w:rsidP="00F54DC1">
      <w:pPr>
        <w:pStyle w:val="ac"/>
        <w:numPr>
          <w:ilvl w:val="1"/>
          <w:numId w:val="21"/>
        </w:numPr>
        <w:bidi/>
        <w:rPr>
          <w:rFonts w:ascii="David" w:hAnsi="David"/>
          <w:sz w:val="22"/>
        </w:rPr>
      </w:pPr>
      <w:r w:rsidRPr="00F1002C">
        <w:rPr>
          <w:rFonts w:ascii="David" w:hAnsi="David" w:hint="cs"/>
          <w:sz w:val="22"/>
          <w:highlight w:val="cyan"/>
          <w:u w:val="single"/>
          <w:rtl/>
        </w:rPr>
        <w:t>פס"ד מ-2017</w:t>
      </w:r>
      <w:r>
        <w:rPr>
          <w:rFonts w:ascii="David" w:hAnsi="David" w:hint="cs"/>
          <w:sz w:val="22"/>
          <w:rtl/>
        </w:rPr>
        <w:t xml:space="preserve">: זוג </w:t>
      </w:r>
      <w:r w:rsidR="004775FC">
        <w:rPr>
          <w:rFonts w:ascii="David" w:hAnsi="David" w:hint="cs"/>
          <w:sz w:val="22"/>
          <w:rtl/>
        </w:rPr>
        <w:t>שרוצה להתגרש מגיע לבית הדין הרבני. ביד"ר מגלה כי האישה התאלמנה בעבר ולא עשתה טקס חליצה</w:t>
      </w:r>
      <w:r w:rsidR="004043B6">
        <w:rPr>
          <w:rFonts w:ascii="David" w:hAnsi="David" w:hint="cs"/>
          <w:sz w:val="22"/>
          <w:rtl/>
        </w:rPr>
        <w:t xml:space="preserve"> מבעלה הראשון</w:t>
      </w:r>
      <w:r w:rsidR="00AE4D4F">
        <w:rPr>
          <w:rFonts w:ascii="David" w:hAnsi="David" w:hint="cs"/>
          <w:sz w:val="22"/>
          <w:rtl/>
        </w:rPr>
        <w:t xml:space="preserve"> על אף שהייתה צריכה כי לא היה לו צאצאים</w:t>
      </w:r>
      <w:r w:rsidR="004775FC">
        <w:rPr>
          <w:rFonts w:ascii="David" w:hAnsi="David" w:hint="cs"/>
          <w:sz w:val="22"/>
          <w:rtl/>
        </w:rPr>
        <w:t>.</w:t>
      </w:r>
      <w:r w:rsidR="00AE4D4F">
        <w:rPr>
          <w:rFonts w:ascii="David" w:hAnsi="David" w:hint="cs"/>
          <w:sz w:val="22"/>
          <w:rtl/>
        </w:rPr>
        <w:t xml:space="preserve"> ביד"ר אומר כי מדובר בדבר מאוד חמור שנתנו לה להתחתן ללא ביצוע חליצה. אם היינו מגלים את העובדה הזו לפני שהתגרשה היינו מכריחים אותה להתגרש</w:t>
      </w:r>
      <w:r w:rsidR="009C0642">
        <w:rPr>
          <w:rFonts w:ascii="David" w:hAnsi="David" w:hint="cs"/>
          <w:sz w:val="22"/>
          <w:rtl/>
        </w:rPr>
        <w:t xml:space="preserve"> והילדים ממזרים מדרבנן</w:t>
      </w:r>
      <w:r w:rsidR="00AE4D4F">
        <w:rPr>
          <w:rFonts w:ascii="David" w:hAnsi="David" w:hint="cs"/>
          <w:sz w:val="22"/>
          <w:rtl/>
        </w:rPr>
        <w:t>.</w:t>
      </w:r>
      <w:r w:rsidR="009C0642">
        <w:rPr>
          <w:rFonts w:ascii="David" w:hAnsi="David" w:hint="cs"/>
          <w:sz w:val="22"/>
          <w:rtl/>
        </w:rPr>
        <w:t xml:space="preserve"> עכשיו יש צורך בביצוע טקס החליצה.</w:t>
      </w:r>
    </w:p>
    <w:p w14:paraId="614472A8" w14:textId="4D1F39B8" w:rsidR="00F02049" w:rsidRPr="00E5350C" w:rsidRDefault="009C0642" w:rsidP="00E5350C">
      <w:pPr>
        <w:pStyle w:val="ac"/>
        <w:bidi/>
        <w:ind w:left="199"/>
        <w:rPr>
          <w:rFonts w:ascii="David" w:hAnsi="David"/>
          <w:b/>
          <w:bCs/>
          <w:sz w:val="22"/>
        </w:rPr>
      </w:pPr>
      <w:r w:rsidRPr="00E5350C">
        <w:rPr>
          <w:rFonts w:ascii="David" w:hAnsi="David" w:hint="cs"/>
          <w:b/>
          <w:bCs/>
          <w:sz w:val="22"/>
          <w:rtl/>
        </w:rPr>
        <w:t xml:space="preserve">שני מקרים יותר מעניינים - שהיו בשנת 2015. </w:t>
      </w:r>
      <w:r w:rsidR="00F1002C">
        <w:rPr>
          <w:rFonts w:ascii="David" w:hAnsi="David" w:hint="cs"/>
          <w:b/>
          <w:bCs/>
          <w:sz w:val="22"/>
          <w:rtl/>
        </w:rPr>
        <w:t>אלו</w:t>
      </w:r>
      <w:r w:rsidRPr="00E5350C">
        <w:rPr>
          <w:rFonts w:ascii="David" w:hAnsi="David" w:hint="cs"/>
          <w:b/>
          <w:bCs/>
          <w:sz w:val="22"/>
          <w:rtl/>
        </w:rPr>
        <w:t xml:space="preserve"> שני פסקי הדין המהותיים האחרונים שפורסמו בנושאי ייבום וחליצה</w:t>
      </w:r>
      <w:r w:rsidR="00F1002C">
        <w:rPr>
          <w:rFonts w:ascii="David" w:hAnsi="David" w:hint="cs"/>
          <w:b/>
          <w:bCs/>
          <w:sz w:val="22"/>
          <w:rtl/>
        </w:rPr>
        <w:t>:</w:t>
      </w:r>
      <w:r w:rsidR="004043B6" w:rsidRPr="00E5350C">
        <w:rPr>
          <w:rFonts w:ascii="David" w:hAnsi="David" w:hint="cs"/>
          <w:b/>
          <w:bCs/>
          <w:sz w:val="22"/>
          <w:rtl/>
        </w:rPr>
        <w:t xml:space="preserve"> </w:t>
      </w:r>
    </w:p>
    <w:p w14:paraId="7992D3C8" w14:textId="7BBE8102" w:rsidR="005D204D" w:rsidRDefault="005D204D" w:rsidP="005D204D">
      <w:pPr>
        <w:pStyle w:val="ac"/>
        <w:numPr>
          <w:ilvl w:val="1"/>
          <w:numId w:val="21"/>
        </w:numPr>
        <w:bidi/>
        <w:rPr>
          <w:rFonts w:ascii="David" w:hAnsi="David"/>
          <w:sz w:val="22"/>
        </w:rPr>
      </w:pPr>
      <w:r w:rsidRPr="008D587E">
        <w:rPr>
          <w:rFonts w:ascii="David" w:hAnsi="David" w:hint="cs"/>
          <w:sz w:val="22"/>
          <w:highlight w:val="cyan"/>
          <w:u w:val="single"/>
          <w:rtl/>
        </w:rPr>
        <w:t>מקרה ראשון</w:t>
      </w:r>
      <w:r>
        <w:rPr>
          <w:rFonts w:ascii="David" w:hAnsi="David" w:hint="cs"/>
          <w:sz w:val="22"/>
          <w:rtl/>
        </w:rPr>
        <w:t xml:space="preserve">: היה מדובר במקרה של אישה חרדית, אשר מגיעה לבית הדין על דעת עצמה </w:t>
      </w:r>
      <w:r w:rsidR="00E5350C">
        <w:rPr>
          <w:rFonts w:ascii="David" w:hAnsi="David" w:hint="cs"/>
          <w:sz w:val="22"/>
          <w:rtl/>
        </w:rPr>
        <w:t>ואומר</w:t>
      </w:r>
      <w:r w:rsidR="00C812E8">
        <w:rPr>
          <w:rFonts w:ascii="David" w:hAnsi="David" w:hint="cs"/>
          <w:sz w:val="22"/>
          <w:rtl/>
        </w:rPr>
        <w:t>ת</w:t>
      </w:r>
      <w:r w:rsidR="00E5350C">
        <w:rPr>
          <w:rFonts w:ascii="David" w:hAnsi="David" w:hint="cs"/>
          <w:sz w:val="22"/>
          <w:rtl/>
        </w:rPr>
        <w:t xml:space="preserve"> </w:t>
      </w:r>
      <w:r w:rsidR="00C812E8">
        <w:rPr>
          <w:rFonts w:ascii="David" w:hAnsi="David" w:hint="cs"/>
          <w:sz w:val="22"/>
          <w:rtl/>
        </w:rPr>
        <w:t>ש</w:t>
      </w:r>
      <w:r w:rsidR="00E5350C">
        <w:rPr>
          <w:rFonts w:ascii="David" w:hAnsi="David" w:hint="cs"/>
          <w:sz w:val="22"/>
          <w:rtl/>
        </w:rPr>
        <w:t>בעלה</w:t>
      </w:r>
      <w:r w:rsidR="006E021F">
        <w:rPr>
          <w:rFonts w:ascii="David" w:hAnsi="David" w:hint="cs"/>
          <w:sz w:val="22"/>
          <w:rtl/>
        </w:rPr>
        <w:t xml:space="preserve"> מת ולהם</w:t>
      </w:r>
      <w:r w:rsidR="00E5350C">
        <w:rPr>
          <w:rFonts w:ascii="David" w:hAnsi="David" w:hint="cs"/>
          <w:sz w:val="22"/>
          <w:rtl/>
        </w:rPr>
        <w:t xml:space="preserve"> ארבע</w:t>
      </w:r>
      <w:r w:rsidR="006E021F">
        <w:rPr>
          <w:rFonts w:ascii="David" w:hAnsi="David" w:hint="cs"/>
          <w:sz w:val="22"/>
          <w:rtl/>
        </w:rPr>
        <w:t>ה</w:t>
      </w:r>
      <w:r w:rsidR="00E5350C">
        <w:rPr>
          <w:rFonts w:ascii="David" w:hAnsi="David" w:hint="cs"/>
          <w:sz w:val="22"/>
          <w:rtl/>
        </w:rPr>
        <w:t xml:space="preserve"> ילדים אבל לא מזרעו אלא מתרומת זרע</w:t>
      </w:r>
      <w:r w:rsidR="008D587E">
        <w:rPr>
          <w:rFonts w:ascii="David" w:hAnsi="David" w:hint="cs"/>
          <w:sz w:val="22"/>
          <w:rtl/>
        </w:rPr>
        <w:t xml:space="preserve"> (זרע של גוי - מחשש לפסוקים המחמירים לגבי ממזרות)</w:t>
      </w:r>
      <w:r w:rsidR="00E5350C">
        <w:rPr>
          <w:rFonts w:ascii="David" w:hAnsi="David" w:hint="cs"/>
          <w:sz w:val="22"/>
          <w:rtl/>
        </w:rPr>
        <w:t>.</w:t>
      </w:r>
      <w:r w:rsidR="006E021F">
        <w:rPr>
          <w:rFonts w:ascii="David" w:hAnsi="David" w:hint="cs"/>
          <w:sz w:val="22"/>
          <w:rtl/>
        </w:rPr>
        <w:t xml:space="preserve">המקרה מאוד מורכב כיוון </w:t>
      </w:r>
      <w:r w:rsidR="006E021F">
        <w:rPr>
          <w:rFonts w:ascii="David" w:hAnsi="David" w:hint="cs"/>
          <w:sz w:val="22"/>
          <w:rtl/>
        </w:rPr>
        <w:lastRenderedPageBreak/>
        <w:t>שהיא לא רוצה שאנשים ידעו כי זה עלול לפגוע באחד מהם</w:t>
      </w:r>
      <w:r w:rsidR="008E4181">
        <w:rPr>
          <w:rFonts w:ascii="David" w:hAnsi="David" w:hint="cs"/>
          <w:sz w:val="22"/>
          <w:rtl/>
        </w:rPr>
        <w:t>. הפחד היה שהבן הגדול יגלה את הסוד, לכן היא מבקשת חליצה מהאח הקטן ולא מהאח הגדול.</w:t>
      </w:r>
      <w:r w:rsidR="00F92EBC">
        <w:rPr>
          <w:rFonts w:ascii="David" w:hAnsi="David" w:hint="cs"/>
          <w:sz w:val="22"/>
          <w:rtl/>
        </w:rPr>
        <w:t xml:space="preserve"> בית הדין אומר כי לכתחילה צריך לפנות לאח הגדול אבל בדיעבד אם עשו חליצה עם האח הקטן אז החליצה קיימת</w:t>
      </w:r>
      <w:r w:rsidR="00577F29">
        <w:rPr>
          <w:rFonts w:ascii="David" w:hAnsi="David" w:hint="cs"/>
          <w:sz w:val="22"/>
          <w:rtl/>
        </w:rPr>
        <w:t>.</w:t>
      </w:r>
      <w:r w:rsidR="00035B8F">
        <w:rPr>
          <w:rFonts w:ascii="David" w:hAnsi="David" w:hint="cs"/>
          <w:sz w:val="22"/>
          <w:rtl/>
        </w:rPr>
        <w:t xml:space="preserve"> לכן עולה השאלה היא האם לכתחילה אפשר לעשות בדיעבד בגלל הנסיבות הייחודיות? תשובת אב בין הדין היא חיובית</w:t>
      </w:r>
      <w:r w:rsidR="009975FF">
        <w:rPr>
          <w:rFonts w:ascii="David" w:hAnsi="David" w:hint="cs"/>
          <w:sz w:val="22"/>
          <w:rtl/>
        </w:rPr>
        <w:t xml:space="preserve"> ולכן עושים חליצה עם האח הקטן.</w:t>
      </w:r>
    </w:p>
    <w:p w14:paraId="33C650B2" w14:textId="4B22F6A2" w:rsidR="008F0AFE" w:rsidRPr="007179CA" w:rsidRDefault="00237F6B" w:rsidP="000E345E">
      <w:pPr>
        <w:pStyle w:val="ac"/>
        <w:numPr>
          <w:ilvl w:val="1"/>
          <w:numId w:val="21"/>
        </w:numPr>
        <w:bidi/>
        <w:spacing w:after="0"/>
        <w:rPr>
          <w:rFonts w:ascii="David" w:hAnsi="David"/>
          <w:sz w:val="22"/>
          <w:rtl/>
        </w:rPr>
      </w:pPr>
      <w:r w:rsidRPr="00F1002C">
        <w:rPr>
          <w:rFonts w:ascii="David" w:hAnsi="David" w:hint="cs"/>
          <w:sz w:val="22"/>
          <w:highlight w:val="cyan"/>
          <w:u w:val="single"/>
          <w:rtl/>
        </w:rPr>
        <w:t>המקרה השני</w:t>
      </w:r>
      <w:r w:rsidRPr="00237F6B">
        <w:rPr>
          <w:rFonts w:ascii="David" w:hAnsi="David" w:hint="cs"/>
          <w:sz w:val="22"/>
          <w:rtl/>
        </w:rPr>
        <w:t>:</w:t>
      </w:r>
      <w:r>
        <w:rPr>
          <w:rFonts w:ascii="David" w:hAnsi="David" w:hint="cs"/>
          <w:sz w:val="22"/>
          <w:rtl/>
        </w:rPr>
        <w:t xml:space="preserve"> האישה התחתנה והתאלמנה ויש לזוג ילדים ובעלה מת. אחרי שבעלה מת בא אח שלו והתחיל לחיות איתה, כלומר עשו ייבום </w:t>
      </w:r>
      <w:r w:rsidR="008E72D7">
        <w:rPr>
          <w:rFonts w:ascii="David" w:hAnsi="David" w:hint="cs"/>
          <w:sz w:val="22"/>
          <w:rtl/>
        </w:rPr>
        <w:t>ללא על דעת עצמם. האישה רוצה שבית הדין יפסוק שהילדים של הבעל</w:t>
      </w:r>
      <w:r w:rsidR="00581F43">
        <w:rPr>
          <w:rFonts w:ascii="David" w:hAnsi="David" w:hint="cs"/>
          <w:sz w:val="22"/>
          <w:rtl/>
        </w:rPr>
        <w:t xml:space="preserve"> המת הם מתרומת זרע, כיוון שמידה והם לא מתרומת זרע הילדים החדשים שלה מאחיו של האח הינם ממזרים (שכן אסור לאח להתחתן עם אלמנת אחיו, מלבד במקרה של ייבום</w:t>
      </w:r>
      <w:r w:rsidR="00D45017">
        <w:rPr>
          <w:rFonts w:ascii="David" w:hAnsi="David" w:hint="cs"/>
          <w:sz w:val="22"/>
          <w:rtl/>
        </w:rPr>
        <w:t xml:space="preserve">). </w:t>
      </w:r>
      <w:r w:rsidR="00F904FC">
        <w:rPr>
          <w:rFonts w:ascii="David" w:hAnsi="David" w:hint="cs"/>
          <w:sz w:val="22"/>
          <w:rtl/>
        </w:rPr>
        <w:t>בית הדין מקבל את ההוכחות שהיא נתנה וקובע כי הייבום תקף</w:t>
      </w:r>
      <w:r w:rsidR="002C1766">
        <w:rPr>
          <w:rFonts w:ascii="David" w:hAnsi="David" w:hint="cs"/>
          <w:sz w:val="22"/>
          <w:rtl/>
        </w:rPr>
        <w:t xml:space="preserve"> מספק</w:t>
      </w:r>
      <w:r w:rsidR="00F904FC">
        <w:rPr>
          <w:rFonts w:ascii="David" w:hAnsi="David" w:hint="cs"/>
          <w:sz w:val="22"/>
          <w:rtl/>
        </w:rPr>
        <w:t>.</w:t>
      </w:r>
      <w:r w:rsidR="002C1766">
        <w:rPr>
          <w:rFonts w:ascii="David" w:hAnsi="David" w:hint="cs"/>
          <w:sz w:val="22"/>
          <w:rtl/>
        </w:rPr>
        <w:t xml:space="preserve"> לכן הם צריכים לעשות קידושין ללא ברכה כיוון </w:t>
      </w:r>
      <w:r w:rsidR="009450C9">
        <w:rPr>
          <w:rFonts w:ascii="David" w:hAnsi="David" w:hint="cs"/>
          <w:sz w:val="22"/>
          <w:rtl/>
        </w:rPr>
        <w:t>שהיה מדובר בקידושין ביאה.</w:t>
      </w:r>
    </w:p>
    <w:p w14:paraId="271BBA16" w14:textId="2602B0F6" w:rsidR="008F0AFE" w:rsidRPr="008F0AFE" w:rsidRDefault="00C91829" w:rsidP="008F0AFE">
      <w:pPr>
        <w:pBdr>
          <w:top w:val="single" w:sz="4" w:space="1" w:color="auto"/>
        </w:pBdr>
        <w:rPr>
          <w:rFonts w:ascii="David" w:hAnsi="David"/>
        </w:rPr>
      </w:pPr>
      <w:r>
        <w:rPr>
          <w:rFonts w:ascii="David" w:hAnsi="David" w:hint="cs"/>
          <w:rtl/>
        </w:rPr>
        <w:t>17.05.2022</w:t>
      </w:r>
    </w:p>
    <w:p w14:paraId="0F1E2611" w14:textId="031A19B3" w:rsidR="003C328D" w:rsidRPr="003C328D" w:rsidRDefault="008F0AFE" w:rsidP="008F0AFE">
      <w:pPr>
        <w:pStyle w:val="21"/>
      </w:pPr>
      <w:bookmarkStart w:id="16" w:name="_Toc107438163"/>
      <w:r>
        <w:rPr>
          <w:rFonts w:hint="cs"/>
          <w:rtl/>
        </w:rPr>
        <w:t>נישואין אזרחים</w:t>
      </w:r>
      <w:bookmarkEnd w:id="16"/>
    </w:p>
    <w:p w14:paraId="1FC292BB" w14:textId="7377BE65" w:rsidR="008F0AFE" w:rsidRPr="00C91829" w:rsidRDefault="00C91829" w:rsidP="00C91829">
      <w:pPr>
        <w:rPr>
          <w:rFonts w:ascii="David" w:hAnsi="David"/>
        </w:rPr>
      </w:pPr>
      <w:r>
        <w:rPr>
          <w:rFonts w:ascii="David" w:hAnsi="David" w:hint="cs"/>
          <w:rtl/>
        </w:rPr>
        <w:t>הדיון שלנו יהיו אך ורק בסוגיית הנישואין האזרחים והגירושין מנישואין אזרחיים. הגירושין האזרחים הם יותר מורכבים כיוון שהם מבוצעים בארץ, בעוד גירושין לא ניתן לעשות בחו"ל או לפחות יותר בעייתי להתגרש בחו"ל. אנחנו נתמקד בגירושין אזרחים של זוג יהודים, כיוון שזוג שאחד לא יהודי מתגרש בבית המשפט לענייני משפחה.</w:t>
      </w:r>
      <w:r w:rsidR="006F7989">
        <w:rPr>
          <w:rFonts w:ascii="David" w:hAnsi="David" w:hint="cs"/>
          <w:rtl/>
        </w:rPr>
        <w:t xml:space="preserve"> בנוסף, אנחנו נתייחס רק לבני זוג שעשו טקס נישואין אזרחי פורמלי ולא בידועים בציבור. ראשית, בגלל שמבחינה משפטית ידועים בציבור לא צריכים לבצע פעולה משפטית כדי להיפרד, לכן חוק שיפוט בתי דין רבניים לא חל עליהם. שנית, גם אם יגיעו לבית הדין הרבני לא יכירו בהם כנשואים, כיוון שידועים בציבור מעולם לא רצו לייחס לעצמם כוונה להינשא (בשונה מנישואין אזרחיים).</w:t>
      </w:r>
    </w:p>
    <w:p w14:paraId="689BC9B2" w14:textId="31772978" w:rsidR="00BA0505" w:rsidRDefault="004C54F7" w:rsidP="004C0E0E">
      <w:pPr>
        <w:pStyle w:val="ac"/>
        <w:numPr>
          <w:ilvl w:val="1"/>
          <w:numId w:val="21"/>
        </w:numPr>
        <w:bidi/>
        <w:rPr>
          <w:rFonts w:ascii="David" w:hAnsi="David"/>
        </w:rPr>
      </w:pPr>
      <w:r w:rsidRPr="004C54F7">
        <w:rPr>
          <w:rFonts w:ascii="David" w:hAnsi="David" w:hint="cs"/>
          <w:sz w:val="22"/>
          <w:highlight w:val="cyan"/>
          <w:u w:val="single"/>
          <w:rtl/>
        </w:rPr>
        <w:t>פס"ד משנת 2021:</w:t>
      </w:r>
      <w:r w:rsidRPr="004C54F7">
        <w:rPr>
          <w:rFonts w:ascii="David" w:hAnsi="David" w:hint="cs"/>
          <w:sz w:val="22"/>
          <w:rtl/>
        </w:rPr>
        <w:t xml:space="preserve"> מקרה של ידועים בציבור שנפרדו, </w:t>
      </w:r>
      <w:r>
        <w:rPr>
          <w:rFonts w:ascii="David" w:hAnsi="David" w:hint="cs"/>
          <w:rtl/>
        </w:rPr>
        <w:t xml:space="preserve">הגבר מבקש לסדר גט לחומרא. מה מוביל אותו להגיע לבית הדין הרבני? כיוון שיש ביניהם המון רכוש. בי"ד קובע שאין לו סמכות לדין בזה הן מבחינת המשפט האזרחי והן מבחינת ההלכה ולכן סוגר את התיק. בית הדין קובע "עצם היותם חיים במוצהר ללא נישואין, אורח החיים, כמוהו כהכרזה קבל עם ועולם שאינם רוצים להיות נשואים". </w:t>
      </w:r>
    </w:p>
    <w:p w14:paraId="437E9D36" w14:textId="50F74F62" w:rsidR="004450F3" w:rsidRPr="004450F3" w:rsidRDefault="004450F3" w:rsidP="004450F3">
      <w:pPr>
        <w:pStyle w:val="ac"/>
        <w:bidi/>
        <w:ind w:left="199"/>
        <w:rPr>
          <w:rFonts w:ascii="David" w:hAnsi="David"/>
        </w:rPr>
      </w:pPr>
      <w:r>
        <w:rPr>
          <w:rFonts w:ascii="David" w:hAnsi="David" w:hint="cs"/>
          <w:sz w:val="22"/>
          <w:u w:val="single"/>
          <w:rtl/>
        </w:rPr>
        <w:t>ההבדל בין נישואים אזרחיים לידועים בציבור הוא איזה תוקף הם רוצים לייחס לזוגיות שלהם.</w:t>
      </w:r>
      <w:r>
        <w:rPr>
          <w:rFonts w:ascii="David" w:hAnsi="David" w:hint="cs"/>
          <w:sz w:val="22"/>
          <w:rtl/>
        </w:rPr>
        <w:t xml:space="preserve"> נישואין אזרחיים הם הרבה יותר מחייבים, ברגע שאתה נשוי אי אפשר פשוט לקום וללכת, יש לבצע הליך משפטי ולכן זה מעלה את רמת המחויבות. ידועים הציבור יכולים פשוט להפסיק לחיות יחד.</w:t>
      </w:r>
    </w:p>
    <w:p w14:paraId="63E55977" w14:textId="67FA8CD2" w:rsidR="004450F3" w:rsidRDefault="009D3A4B" w:rsidP="000E345E">
      <w:pPr>
        <w:pStyle w:val="ac"/>
        <w:numPr>
          <w:ilvl w:val="1"/>
          <w:numId w:val="21"/>
        </w:numPr>
        <w:bidi/>
        <w:spacing w:after="0"/>
        <w:rPr>
          <w:rFonts w:ascii="David" w:hAnsi="David"/>
        </w:rPr>
      </w:pPr>
      <w:r>
        <w:rPr>
          <w:rFonts w:ascii="David" w:hAnsi="David" w:hint="cs"/>
          <w:rtl/>
        </w:rPr>
        <w:t>כאשר מגיעים לנישואין אזרחים במסגרת ההלכה זו מאוד מורכב. בסוגייה זו יש המון מחלוקות ולכן יש דעות מסוימות שחושבות שיש מקום לסדר גט לחומרא - מדוע יש מחלוקות רבות כול כך</w:t>
      </w:r>
      <w:r w:rsidRPr="0028723D">
        <w:rPr>
          <w:rFonts w:ascii="David" w:hAnsi="David" w:hint="cs"/>
          <w:rtl/>
        </w:rPr>
        <w:t>?</w:t>
      </w:r>
      <w:r w:rsidRPr="0028723D">
        <w:rPr>
          <w:rFonts w:ascii="David" w:hAnsi="David" w:hint="cs"/>
          <w:b/>
          <w:bCs/>
          <w:rtl/>
        </w:rPr>
        <w:t xml:space="preserve"> כיוון שזו תופעה יחסית חדשה</w:t>
      </w:r>
      <w:r>
        <w:rPr>
          <w:rFonts w:ascii="David" w:hAnsi="David" w:hint="cs"/>
          <w:rtl/>
        </w:rPr>
        <w:t xml:space="preserve"> שהתחילה רק במאה 17 בהולנד, עד אז נישואין היו מונח דתי. כלומר פוסקי הלכה היו צריכים "להמציא את הגלגל מחדש" - ולכן פוסקים שונים הגיעו למסקנות שונות. וכיוון שאין מקורות קדומים אי אפשר להכריע מי מהפוסקים צודק.</w:t>
      </w:r>
      <w:r w:rsidR="00997F5B">
        <w:rPr>
          <w:rFonts w:ascii="David" w:hAnsi="David" w:hint="cs"/>
          <w:rtl/>
        </w:rPr>
        <w:t xml:space="preserve"> מה אם כך תהיה ההכרעה? בית הדין יעדיף להחמיר.</w:t>
      </w:r>
    </w:p>
    <w:p w14:paraId="11F93639" w14:textId="064D93B1" w:rsidR="00F515AF" w:rsidRPr="00F515AF" w:rsidRDefault="00F515AF" w:rsidP="00F515AF">
      <w:pPr>
        <w:pBdr>
          <w:top w:val="single" w:sz="4" w:space="1" w:color="auto"/>
        </w:pBdr>
        <w:rPr>
          <w:rFonts w:ascii="David" w:hAnsi="David"/>
        </w:rPr>
      </w:pPr>
      <w:r>
        <w:rPr>
          <w:rFonts w:ascii="David" w:hAnsi="David" w:hint="cs"/>
          <w:rtl/>
        </w:rPr>
        <w:t>22.05.2022</w:t>
      </w:r>
    </w:p>
    <w:p w14:paraId="26EF1F1F" w14:textId="2F44D070" w:rsidR="00F515AF" w:rsidRPr="002675FB" w:rsidRDefault="0028723D" w:rsidP="002675FB">
      <w:pPr>
        <w:pStyle w:val="ac"/>
        <w:numPr>
          <w:ilvl w:val="0"/>
          <w:numId w:val="22"/>
        </w:numPr>
        <w:shd w:val="clear" w:color="auto" w:fill="FFF4CD" w:themeFill="accent1" w:themeFillTint="33"/>
        <w:bidi/>
        <w:rPr>
          <w:rFonts w:ascii="David" w:hAnsi="David"/>
        </w:rPr>
      </w:pPr>
      <w:r w:rsidRPr="002675FB">
        <w:rPr>
          <w:rFonts w:ascii="David" w:hAnsi="David" w:hint="cs"/>
          <w:b/>
          <w:bCs/>
          <w:rtl/>
        </w:rPr>
        <w:t>למה במדינת ישראל מאז היוסדה ועד היום אין נישואי</w:t>
      </w:r>
      <w:r w:rsidR="007E7B82" w:rsidRPr="002675FB">
        <w:rPr>
          <w:rFonts w:ascii="David" w:hAnsi="David" w:hint="cs"/>
          <w:b/>
          <w:bCs/>
          <w:rtl/>
        </w:rPr>
        <w:t>ם אזרחים</w:t>
      </w:r>
      <w:r w:rsidR="007E7B82" w:rsidRPr="002675FB">
        <w:rPr>
          <w:rFonts w:ascii="David" w:hAnsi="David" w:hint="cs"/>
          <w:rtl/>
        </w:rPr>
        <w:t>?</w:t>
      </w:r>
    </w:p>
    <w:p w14:paraId="7DFD2808" w14:textId="3336BC0D" w:rsidR="001134AE" w:rsidRPr="002675FB" w:rsidRDefault="002675FB" w:rsidP="001134AE">
      <w:pPr>
        <w:pStyle w:val="ac"/>
        <w:numPr>
          <w:ilvl w:val="1"/>
          <w:numId w:val="22"/>
        </w:numPr>
        <w:bidi/>
        <w:rPr>
          <w:rFonts w:ascii="David" w:hAnsi="David"/>
          <w:b/>
          <w:bCs/>
          <w:u w:val="single"/>
        </w:rPr>
      </w:pPr>
      <w:r w:rsidRPr="002675FB">
        <w:rPr>
          <w:rFonts w:ascii="David" w:hAnsi="David" w:hint="cs"/>
          <w:b/>
          <w:bCs/>
          <w:u w:val="single"/>
          <w:rtl/>
        </w:rPr>
        <w:t>הטענות בעד נישואים לפי הדת:</w:t>
      </w:r>
    </w:p>
    <w:p w14:paraId="6577792B" w14:textId="3C9D787C" w:rsidR="002675FB" w:rsidRDefault="00FC6080" w:rsidP="002675FB">
      <w:pPr>
        <w:pStyle w:val="ac"/>
        <w:numPr>
          <w:ilvl w:val="2"/>
          <w:numId w:val="22"/>
        </w:numPr>
        <w:bidi/>
        <w:rPr>
          <w:rFonts w:ascii="David" w:hAnsi="David"/>
        </w:rPr>
      </w:pPr>
      <w:r>
        <w:rPr>
          <w:rFonts w:ascii="David" w:hAnsi="David" w:hint="cs"/>
          <w:rtl/>
        </w:rPr>
        <w:t xml:space="preserve">טענה שעולה מגומרים יהודיים וגם </w:t>
      </w:r>
      <w:r w:rsidR="00027485">
        <w:rPr>
          <w:rFonts w:ascii="David" w:hAnsi="David" w:hint="cs"/>
          <w:rtl/>
        </w:rPr>
        <w:t>מגורמים</w:t>
      </w:r>
      <w:r>
        <w:rPr>
          <w:rFonts w:ascii="David" w:hAnsi="David" w:hint="cs"/>
          <w:rtl/>
        </w:rPr>
        <w:t xml:space="preserve"> לא דתיים ובני דתות אחרות: </w:t>
      </w:r>
      <w:r w:rsidR="002675FB" w:rsidRPr="00FC6080">
        <w:rPr>
          <w:rFonts w:ascii="David" w:hAnsi="David" w:hint="cs"/>
          <w:b/>
          <w:bCs/>
          <w:rtl/>
        </w:rPr>
        <w:t>מניעת נישואים מעורבים</w:t>
      </w:r>
      <w:r w:rsidR="002675FB">
        <w:rPr>
          <w:rFonts w:ascii="David" w:hAnsi="David" w:hint="cs"/>
          <w:rtl/>
        </w:rPr>
        <w:t>, בין שתי דתות שונות.</w:t>
      </w:r>
      <w:r w:rsidR="00753F8D">
        <w:rPr>
          <w:rFonts w:ascii="David" w:hAnsi="David" w:hint="cs"/>
          <w:rtl/>
        </w:rPr>
        <w:t xml:space="preserve"> שכן המצב הקיים מאפשר למגר את תופעת נישואי התערבות.</w:t>
      </w:r>
    </w:p>
    <w:p w14:paraId="11C80511" w14:textId="3A047EC0" w:rsidR="00753F8D" w:rsidRDefault="00753F8D" w:rsidP="00753F8D">
      <w:pPr>
        <w:pStyle w:val="ac"/>
        <w:numPr>
          <w:ilvl w:val="2"/>
          <w:numId w:val="22"/>
        </w:numPr>
        <w:bidi/>
        <w:rPr>
          <w:rFonts w:ascii="David" w:hAnsi="David"/>
        </w:rPr>
      </w:pPr>
      <w:r w:rsidRPr="00CA5824">
        <w:rPr>
          <w:rFonts w:ascii="David" w:hAnsi="David" w:hint="cs"/>
          <w:u w:val="single"/>
          <w:rtl/>
        </w:rPr>
        <w:t xml:space="preserve">טענה </w:t>
      </w:r>
      <w:r w:rsidR="00744A34" w:rsidRPr="00CA5824">
        <w:rPr>
          <w:rFonts w:ascii="David" w:hAnsi="David" w:hint="cs"/>
          <w:u w:val="single"/>
          <w:rtl/>
        </w:rPr>
        <w:t xml:space="preserve">א </w:t>
      </w:r>
      <w:r>
        <w:rPr>
          <w:rFonts w:ascii="David" w:hAnsi="David" w:hint="cs"/>
          <w:rtl/>
        </w:rPr>
        <w:t xml:space="preserve">של </w:t>
      </w:r>
      <w:r w:rsidR="002D5EBF">
        <w:rPr>
          <w:rFonts w:ascii="David" w:hAnsi="David" w:hint="cs"/>
          <w:rtl/>
        </w:rPr>
        <w:t>הגורמים בסקטור היהודי:</w:t>
      </w:r>
      <w:r w:rsidR="00F26DBF">
        <w:rPr>
          <w:rFonts w:ascii="David" w:hAnsi="David" w:hint="cs"/>
          <w:rtl/>
        </w:rPr>
        <w:t xml:space="preserve"> </w:t>
      </w:r>
      <w:r w:rsidR="00FC6080" w:rsidRPr="00FC6080">
        <w:rPr>
          <w:rFonts w:ascii="David" w:hAnsi="David" w:hint="cs"/>
          <w:b/>
          <w:bCs/>
          <w:rtl/>
        </w:rPr>
        <w:t xml:space="preserve">רצון לשלוט על הכושר להינשא. </w:t>
      </w:r>
      <w:r w:rsidR="00F26DBF">
        <w:rPr>
          <w:rFonts w:ascii="David" w:hAnsi="David" w:hint="cs"/>
          <w:rtl/>
        </w:rPr>
        <w:t xml:space="preserve">מניעת נישואים של כהן וגרושה, מניעת נישואין שאסורים על פי ההלכה. </w:t>
      </w:r>
      <w:r w:rsidR="00A06BF2">
        <w:rPr>
          <w:rFonts w:ascii="David" w:hAnsi="David" w:hint="cs"/>
          <w:rtl/>
        </w:rPr>
        <w:t xml:space="preserve">לדעת פרופ' רדזינר טענה זו אינה כזו משמעותית כיוון שמי שרוצה להתחתן </w:t>
      </w:r>
      <w:r w:rsidR="00111E56">
        <w:rPr>
          <w:rFonts w:ascii="David" w:hAnsi="David" w:hint="cs"/>
          <w:rtl/>
        </w:rPr>
        <w:t>על אף שאין לו כשרות להינשא יכול לעשות זאת בכול זאת (להתחתן בחו"ל, קידושין פרטיים וכו').</w:t>
      </w:r>
    </w:p>
    <w:p w14:paraId="67C35B47" w14:textId="3B65D55A" w:rsidR="00F26DBF" w:rsidRDefault="00F651FB" w:rsidP="00F26DBF">
      <w:pPr>
        <w:pStyle w:val="ac"/>
        <w:numPr>
          <w:ilvl w:val="4"/>
          <w:numId w:val="22"/>
        </w:numPr>
        <w:bidi/>
        <w:rPr>
          <w:rFonts w:ascii="David" w:hAnsi="David"/>
        </w:rPr>
      </w:pPr>
      <w:r>
        <w:rPr>
          <w:rFonts w:ascii="David" w:hAnsi="David" w:hint="cs"/>
          <w:rtl/>
        </w:rPr>
        <w:t>[</w:t>
      </w:r>
      <w:r w:rsidR="00F26DBF">
        <w:rPr>
          <w:rFonts w:ascii="David" w:hAnsi="David" w:hint="cs"/>
          <w:rtl/>
        </w:rPr>
        <w:t xml:space="preserve">הגדרת יהדות בחוק הישראלי אינה זהה בכל מקום. לדוג' חוק </w:t>
      </w:r>
      <w:r w:rsidR="00CE555B">
        <w:rPr>
          <w:rFonts w:ascii="David" w:hAnsi="David" w:hint="cs"/>
          <w:rtl/>
        </w:rPr>
        <w:t xml:space="preserve">השבות קובע כי אדם שלא התגייר גיור אורתודוקסי זכאי לחוק השבות ואילו חוק בתי רבניים </w:t>
      </w:r>
      <w:r w:rsidR="002C3840">
        <w:rPr>
          <w:rFonts w:ascii="David" w:hAnsi="David" w:hint="cs"/>
          <w:rtl/>
        </w:rPr>
        <w:t>לא רואה אדם כזה כיהודי</w:t>
      </w:r>
      <w:r>
        <w:rPr>
          <w:rFonts w:ascii="David" w:hAnsi="David" w:hint="cs"/>
          <w:rtl/>
        </w:rPr>
        <w:t>]</w:t>
      </w:r>
      <w:r w:rsidR="002C3840">
        <w:rPr>
          <w:rFonts w:ascii="David" w:hAnsi="David" w:hint="cs"/>
          <w:rtl/>
        </w:rPr>
        <w:t>.</w:t>
      </w:r>
    </w:p>
    <w:p w14:paraId="6CE33936" w14:textId="54AB7154" w:rsidR="0002017C" w:rsidRDefault="00744A34" w:rsidP="0002017C">
      <w:pPr>
        <w:pStyle w:val="ac"/>
        <w:numPr>
          <w:ilvl w:val="2"/>
          <w:numId w:val="22"/>
        </w:numPr>
        <w:bidi/>
        <w:rPr>
          <w:rFonts w:ascii="David" w:hAnsi="David"/>
        </w:rPr>
      </w:pPr>
      <w:r w:rsidRPr="00CA5824">
        <w:rPr>
          <w:rFonts w:ascii="David" w:hAnsi="David" w:hint="cs"/>
          <w:u w:val="single"/>
          <w:rtl/>
        </w:rPr>
        <w:t>טענה ב</w:t>
      </w:r>
      <w:r>
        <w:rPr>
          <w:rFonts w:ascii="David" w:hAnsi="David" w:hint="cs"/>
          <w:rtl/>
        </w:rPr>
        <w:t xml:space="preserve"> של הגורמים בסקטור היהודי: </w:t>
      </w:r>
      <w:r w:rsidR="009B29E6">
        <w:rPr>
          <w:rFonts w:ascii="David" w:hAnsi="David" w:hint="cs"/>
          <w:rtl/>
        </w:rPr>
        <w:t xml:space="preserve"> </w:t>
      </w:r>
      <w:r w:rsidR="009B29E6" w:rsidRPr="00744A34">
        <w:rPr>
          <w:rFonts w:ascii="David" w:hAnsi="David" w:hint="cs"/>
          <w:b/>
          <w:bCs/>
          <w:rtl/>
        </w:rPr>
        <w:t>יוצרו 2 עמים בתוך היהדות</w:t>
      </w:r>
      <w:r w:rsidR="009B29E6">
        <w:rPr>
          <w:rFonts w:ascii="David" w:hAnsi="David" w:hint="cs"/>
          <w:rtl/>
        </w:rPr>
        <w:t xml:space="preserve"> - </w:t>
      </w:r>
    </w:p>
    <w:p w14:paraId="32B143E6" w14:textId="158338B7" w:rsidR="00744A34" w:rsidRDefault="00744A34" w:rsidP="00744A34">
      <w:pPr>
        <w:pStyle w:val="ac"/>
        <w:numPr>
          <w:ilvl w:val="3"/>
          <w:numId w:val="22"/>
        </w:numPr>
        <w:bidi/>
        <w:rPr>
          <w:rFonts w:ascii="David" w:hAnsi="David"/>
        </w:rPr>
      </w:pPr>
      <w:r>
        <w:rPr>
          <w:rFonts w:ascii="David" w:hAnsi="David" w:hint="cs"/>
          <w:rtl/>
        </w:rPr>
        <w:t>אנשים שיתחתנו עם פסולים חיתון ילדו ילדים ממזרים ואז אנשים דתיים לא יתחתנו איתם.</w:t>
      </w:r>
    </w:p>
    <w:p w14:paraId="16C60A4D" w14:textId="7E2A000F" w:rsidR="00F651FB" w:rsidRDefault="00744A34" w:rsidP="00F651FB">
      <w:pPr>
        <w:pStyle w:val="ac"/>
        <w:numPr>
          <w:ilvl w:val="3"/>
          <w:numId w:val="22"/>
        </w:numPr>
        <w:bidi/>
        <w:rPr>
          <w:rFonts w:ascii="David" w:hAnsi="David"/>
        </w:rPr>
      </w:pPr>
      <w:r>
        <w:rPr>
          <w:rFonts w:ascii="David" w:hAnsi="David" w:hint="cs"/>
          <w:rtl/>
        </w:rPr>
        <w:t xml:space="preserve">הבעיה העיקרית היא הגירושין האזרחיים - </w:t>
      </w:r>
      <w:r w:rsidR="0075249D">
        <w:rPr>
          <w:rFonts w:ascii="David" w:hAnsi="David" w:hint="cs"/>
          <w:rtl/>
        </w:rPr>
        <w:t xml:space="preserve">אם זוג מתחתן באופן אזרחי יכול להיות </w:t>
      </w:r>
      <w:r w:rsidR="007B40B5">
        <w:rPr>
          <w:rFonts w:ascii="David" w:hAnsi="David" w:hint="cs"/>
          <w:rtl/>
        </w:rPr>
        <w:t>שיו</w:t>
      </w:r>
      <w:r w:rsidR="0075249D">
        <w:rPr>
          <w:rFonts w:ascii="David" w:hAnsi="David" w:hint="cs"/>
          <w:rtl/>
        </w:rPr>
        <w:t>צר מעמד הלכתי</w:t>
      </w:r>
      <w:r w:rsidR="007B40B5">
        <w:rPr>
          <w:rFonts w:ascii="David" w:hAnsi="David" w:hint="cs"/>
          <w:rtl/>
        </w:rPr>
        <w:t xml:space="preserve"> לנישואים האלו ואז יהיה צורך בגט</w:t>
      </w:r>
      <w:r w:rsidR="00C85B82">
        <w:rPr>
          <w:rFonts w:ascii="David" w:hAnsi="David" w:hint="cs"/>
          <w:rtl/>
        </w:rPr>
        <w:t xml:space="preserve"> - גירושין אזרחיים לא כוללים בתוכם גט ולכן יהיה חשש של אשת איש</w:t>
      </w:r>
      <w:r w:rsidR="008933FD">
        <w:rPr>
          <w:rFonts w:ascii="David" w:hAnsi="David" w:hint="cs"/>
          <w:rtl/>
        </w:rPr>
        <w:t xml:space="preserve"> - ואז היא לא תוכל להתחתן </w:t>
      </w:r>
      <w:r w:rsidR="008933FD">
        <w:rPr>
          <w:rFonts w:ascii="David" w:hAnsi="David" w:hint="cs"/>
          <w:rtl/>
        </w:rPr>
        <w:lastRenderedPageBreak/>
        <w:t>ברבנות ללא גט וכול ילד שיולד לה מאדם אחר יהיה ממזר</w:t>
      </w:r>
      <w:r w:rsidR="0075249D">
        <w:rPr>
          <w:rFonts w:ascii="David" w:hAnsi="David" w:hint="cs"/>
          <w:rtl/>
        </w:rPr>
        <w:t xml:space="preserve"> </w:t>
      </w:r>
      <w:r w:rsidR="00286612">
        <w:rPr>
          <w:rFonts w:ascii="David" w:hAnsi="David" w:hint="cs"/>
          <w:rtl/>
        </w:rPr>
        <w:t>(פרופ' רדזינר אומר</w:t>
      </w:r>
      <w:r w:rsidR="00220160">
        <w:rPr>
          <w:rFonts w:ascii="David" w:hAnsi="David" w:hint="cs"/>
          <w:rtl/>
        </w:rPr>
        <w:t xml:space="preserve"> שלא סביר להציע את האפשרות שיהיו נישואין אזרחיים ולא גירושין אזרחיים</w:t>
      </w:r>
      <w:r w:rsidR="00286612">
        <w:rPr>
          <w:rFonts w:ascii="David" w:hAnsi="David" w:hint="cs"/>
          <w:rtl/>
        </w:rPr>
        <w:t>)</w:t>
      </w:r>
      <w:r w:rsidR="00220160">
        <w:rPr>
          <w:rFonts w:ascii="David" w:hAnsi="David" w:hint="cs"/>
          <w:rtl/>
        </w:rPr>
        <w:t>.</w:t>
      </w:r>
      <w:r w:rsidR="00C12470">
        <w:rPr>
          <w:rFonts w:ascii="David" w:hAnsi="David" w:hint="cs"/>
          <w:rtl/>
        </w:rPr>
        <w:t xml:space="preserve"> </w:t>
      </w:r>
    </w:p>
    <w:p w14:paraId="2C512B46" w14:textId="11A4A3F3" w:rsidR="00C12470" w:rsidRPr="009003E0" w:rsidRDefault="00C12470" w:rsidP="00C12470">
      <w:pPr>
        <w:pStyle w:val="ac"/>
        <w:bidi/>
        <w:ind w:left="597"/>
        <w:rPr>
          <w:rFonts w:ascii="David" w:hAnsi="David"/>
          <w:u w:val="single"/>
        </w:rPr>
      </w:pPr>
      <w:r w:rsidRPr="009003E0">
        <w:rPr>
          <w:rFonts w:ascii="David" w:hAnsi="David" w:hint="cs"/>
          <w:u w:val="single"/>
          <w:rtl/>
        </w:rPr>
        <w:t>הטיעון הזה מותקף לאורך השניים ממספר נימוקים:</w:t>
      </w:r>
    </w:p>
    <w:p w14:paraId="7432623D" w14:textId="68055DA4" w:rsidR="00C12470" w:rsidRDefault="005627A6" w:rsidP="00C12470">
      <w:pPr>
        <w:pStyle w:val="ac"/>
        <w:numPr>
          <w:ilvl w:val="4"/>
          <w:numId w:val="22"/>
        </w:numPr>
        <w:bidi/>
        <w:rPr>
          <w:rFonts w:ascii="David" w:hAnsi="David"/>
        </w:rPr>
      </w:pPr>
      <w:r w:rsidRPr="005627A6">
        <w:rPr>
          <w:rFonts w:ascii="David" w:hAnsi="David" w:hint="cs"/>
          <w:b/>
          <w:bCs/>
          <w:rtl/>
        </w:rPr>
        <w:t>במציאות כיום אנו כולאים זוגות במצב וודאי של אשת איש</w:t>
      </w:r>
      <w:r>
        <w:rPr>
          <w:rFonts w:ascii="David" w:hAnsi="David" w:hint="cs"/>
          <w:rtl/>
        </w:rPr>
        <w:t xml:space="preserve">: </w:t>
      </w:r>
      <w:r w:rsidR="009003E0">
        <w:rPr>
          <w:rFonts w:ascii="David" w:hAnsi="David" w:hint="cs"/>
          <w:rtl/>
        </w:rPr>
        <w:t xml:space="preserve">הרב בקשי דורון טוען </w:t>
      </w:r>
      <w:r w:rsidR="009F171C">
        <w:rPr>
          <w:rFonts w:ascii="David" w:hAnsi="David" w:hint="cs"/>
          <w:rtl/>
        </w:rPr>
        <w:t>כי הטענה לגבי ממזרים ופסולי חיתון לא מפחידה אותו בכלל</w:t>
      </w:r>
      <w:r w:rsidR="00381CB8">
        <w:rPr>
          <w:rFonts w:ascii="David" w:hAnsi="David" w:hint="cs"/>
          <w:rtl/>
        </w:rPr>
        <w:t xml:space="preserve"> והמצב הנוכחי הרבה יותר גרוע</w:t>
      </w:r>
      <w:r w:rsidR="00121293">
        <w:rPr>
          <w:rFonts w:ascii="David" w:hAnsi="David" w:hint="cs"/>
          <w:rtl/>
        </w:rPr>
        <w:t xml:space="preserve">. </w:t>
      </w:r>
      <w:r w:rsidR="000C1387">
        <w:rPr>
          <w:rFonts w:ascii="David" w:hAnsi="David" w:hint="cs"/>
          <w:rtl/>
        </w:rPr>
        <w:t xml:space="preserve">לדעתו </w:t>
      </w:r>
      <w:r w:rsidR="00DE1D77">
        <w:rPr>
          <w:rFonts w:ascii="David" w:hAnsi="David" w:hint="cs"/>
          <w:rtl/>
        </w:rPr>
        <w:t>העובדה שאנשים מחויבים להתחתן על פי היהדות</w:t>
      </w:r>
      <w:r w:rsidR="0071435C">
        <w:rPr>
          <w:rFonts w:ascii="David" w:hAnsi="David" w:hint="cs"/>
          <w:rtl/>
        </w:rPr>
        <w:t xml:space="preserve"> גורמת לכך שאם </w:t>
      </w:r>
      <w:r>
        <w:rPr>
          <w:rFonts w:ascii="David" w:hAnsi="David" w:hint="cs"/>
          <w:rtl/>
        </w:rPr>
        <w:t>האישה</w:t>
      </w:r>
      <w:r w:rsidR="0071435C">
        <w:rPr>
          <w:rFonts w:ascii="David" w:hAnsi="David" w:hint="cs"/>
          <w:rtl/>
        </w:rPr>
        <w:t xml:space="preserve"> לא תתגרש </w:t>
      </w:r>
      <w:r>
        <w:rPr>
          <w:rFonts w:ascii="David" w:hAnsi="David" w:hint="cs"/>
          <w:rtl/>
        </w:rPr>
        <w:t xml:space="preserve">ותתחיל לחיות עם אחר, </w:t>
      </w:r>
      <w:r w:rsidR="0071435C">
        <w:rPr>
          <w:rFonts w:ascii="David" w:hAnsi="David" w:hint="cs"/>
          <w:rtl/>
        </w:rPr>
        <w:t>היא בוודאי אשת איש</w:t>
      </w:r>
      <w:r>
        <w:rPr>
          <w:rFonts w:ascii="David" w:hAnsi="David" w:hint="cs"/>
          <w:rtl/>
        </w:rPr>
        <w:t xml:space="preserve">. </w:t>
      </w:r>
      <w:r w:rsidR="0071435C">
        <w:rPr>
          <w:rFonts w:ascii="David" w:hAnsi="David" w:hint="cs"/>
          <w:rtl/>
        </w:rPr>
        <w:t xml:space="preserve">בעוד אם היא </w:t>
      </w:r>
      <w:r>
        <w:rPr>
          <w:rFonts w:ascii="David" w:hAnsi="David" w:hint="cs"/>
          <w:rtl/>
        </w:rPr>
        <w:t>הייתה מתחתנת בנישואין אזרחיים</w:t>
      </w:r>
      <w:r w:rsidR="0071435C">
        <w:rPr>
          <w:rFonts w:ascii="David" w:hAnsi="David" w:hint="cs"/>
          <w:rtl/>
        </w:rPr>
        <w:t xml:space="preserve"> זה רק גט לחומרא ולכן המצב שלה הרבה פחות גרוע</w:t>
      </w:r>
      <w:r w:rsidR="000561E8">
        <w:rPr>
          <w:rFonts w:ascii="David" w:hAnsi="David" w:hint="cs"/>
          <w:rtl/>
        </w:rPr>
        <w:t xml:space="preserve"> (נתעמק בהמשך בדעות ההלכתיות לגבי </w:t>
      </w:r>
      <w:r w:rsidR="00EA45F5">
        <w:rPr>
          <w:rFonts w:ascii="David" w:hAnsi="David" w:hint="cs"/>
          <w:rtl/>
        </w:rPr>
        <w:t>איזה גט צריך בנישואין אזרחיים)</w:t>
      </w:r>
      <w:r w:rsidR="0071435C">
        <w:rPr>
          <w:rFonts w:ascii="David" w:hAnsi="David" w:hint="cs"/>
          <w:rtl/>
        </w:rPr>
        <w:t>.</w:t>
      </w:r>
    </w:p>
    <w:p w14:paraId="1F6DCFB5" w14:textId="77777777" w:rsidR="00E14804" w:rsidRDefault="00E9748F" w:rsidP="00AF5F48">
      <w:pPr>
        <w:pStyle w:val="ac"/>
        <w:numPr>
          <w:ilvl w:val="4"/>
          <w:numId w:val="22"/>
        </w:numPr>
        <w:bidi/>
        <w:rPr>
          <w:rFonts w:ascii="David" w:hAnsi="David"/>
        </w:rPr>
      </w:pPr>
      <w:r w:rsidRPr="006C7B9E">
        <w:rPr>
          <w:rFonts w:ascii="David" w:hAnsi="David" w:hint="cs"/>
          <w:b/>
          <w:bCs/>
          <w:rtl/>
        </w:rPr>
        <w:t xml:space="preserve">אם אנחנו מחייבים אנשים להגיע לבית הדין הרבני לאחר שהם </w:t>
      </w:r>
      <w:r w:rsidR="006547BD" w:rsidRPr="006C7B9E">
        <w:rPr>
          <w:rFonts w:ascii="David" w:hAnsi="David" w:hint="cs"/>
          <w:b/>
          <w:bCs/>
          <w:rtl/>
        </w:rPr>
        <w:t>נישאו</w:t>
      </w:r>
      <w:r w:rsidRPr="006C7B9E">
        <w:rPr>
          <w:rFonts w:ascii="David" w:hAnsi="David" w:hint="cs"/>
          <w:b/>
          <w:bCs/>
          <w:rtl/>
        </w:rPr>
        <w:t xml:space="preserve"> אזרחית יש </w:t>
      </w:r>
      <w:r w:rsidR="006547BD" w:rsidRPr="006C7B9E">
        <w:rPr>
          <w:rFonts w:ascii="David" w:hAnsi="David" w:hint="cs"/>
          <w:b/>
          <w:bCs/>
          <w:rtl/>
        </w:rPr>
        <w:t>בזה</w:t>
      </w:r>
      <w:r w:rsidRPr="006C7B9E">
        <w:rPr>
          <w:rFonts w:ascii="David" w:hAnsi="David" w:hint="cs"/>
          <w:b/>
          <w:bCs/>
          <w:rtl/>
        </w:rPr>
        <w:t xml:space="preserve"> זה אמירה שאנחנו מכירים בנישואים אזרחיי</w:t>
      </w:r>
      <w:r w:rsidR="006547BD" w:rsidRPr="006C7B9E">
        <w:rPr>
          <w:rFonts w:ascii="David" w:hAnsi="David" w:hint="cs"/>
          <w:b/>
          <w:bCs/>
          <w:rtl/>
        </w:rPr>
        <w:t>ם</w:t>
      </w:r>
      <w:r w:rsidR="006547BD">
        <w:rPr>
          <w:rFonts w:ascii="David" w:hAnsi="David" w:hint="cs"/>
          <w:rtl/>
        </w:rPr>
        <w:t>. מבחינה אידיאולוגית לא היינו רוצים להכיר בכך</w:t>
      </w:r>
      <w:r w:rsidR="006C7B9E">
        <w:rPr>
          <w:rFonts w:ascii="David" w:hAnsi="David" w:hint="cs"/>
          <w:rtl/>
        </w:rPr>
        <w:t xml:space="preserve">. הרב אליעזר ולדנברג מחזיק בגישה זו - לדעתו הכרה בנישואין אזרחיים היא פגיעה בהלכה. </w:t>
      </w:r>
      <w:r w:rsidR="00D11EB2">
        <w:rPr>
          <w:rFonts w:ascii="David" w:hAnsi="David" w:hint="cs"/>
          <w:rtl/>
        </w:rPr>
        <w:t>מי שמסדר גט בעצם נותן מסר לציבור כי יש הכרה בתוקף של הנישואין האלה</w:t>
      </w:r>
      <w:r w:rsidR="00C4343A">
        <w:rPr>
          <w:rFonts w:ascii="David" w:hAnsi="David" w:hint="cs"/>
          <w:rtl/>
        </w:rPr>
        <w:t xml:space="preserve"> מבחינה הלכתית</w:t>
      </w:r>
      <w:r w:rsidR="00D11EB2">
        <w:rPr>
          <w:rFonts w:ascii="David" w:hAnsi="David" w:hint="cs"/>
          <w:rtl/>
        </w:rPr>
        <w:t>.</w:t>
      </w:r>
      <w:r w:rsidR="002847B4">
        <w:rPr>
          <w:rFonts w:ascii="David" w:hAnsi="David" w:hint="cs"/>
          <w:rtl/>
        </w:rPr>
        <w:t xml:space="preserve"> לדעתו</w:t>
      </w:r>
      <w:r w:rsidR="00C4343A">
        <w:rPr>
          <w:rFonts w:ascii="David" w:hAnsi="David" w:hint="cs"/>
          <w:rtl/>
        </w:rPr>
        <w:t xml:space="preserve"> </w:t>
      </w:r>
      <w:r w:rsidR="002847B4">
        <w:rPr>
          <w:rFonts w:ascii="David" w:hAnsi="David" w:hint="cs"/>
          <w:rtl/>
        </w:rPr>
        <w:t>מי שנישא בנישואין אזרחיים מעולם לא היו נשואים</w:t>
      </w:r>
      <w:r w:rsidR="00AF081A">
        <w:rPr>
          <w:rFonts w:ascii="David" w:hAnsi="David" w:hint="cs"/>
          <w:rtl/>
        </w:rPr>
        <w:t xml:space="preserve"> ואין צורך בגט</w:t>
      </w:r>
      <w:r w:rsidR="002847B4">
        <w:rPr>
          <w:rFonts w:ascii="David" w:hAnsi="David" w:hint="cs"/>
          <w:rtl/>
        </w:rPr>
        <w:t>.</w:t>
      </w:r>
      <w:r w:rsidR="00AF081A">
        <w:rPr>
          <w:rFonts w:ascii="David" w:hAnsi="David" w:hint="cs"/>
          <w:rtl/>
        </w:rPr>
        <w:t xml:space="preserve"> </w:t>
      </w:r>
    </w:p>
    <w:p w14:paraId="4F840ED8" w14:textId="48322681" w:rsidR="00AF5F48" w:rsidRPr="00F651FB" w:rsidRDefault="00AF081A" w:rsidP="00E14804">
      <w:pPr>
        <w:pStyle w:val="ac"/>
        <w:bidi/>
        <w:ind w:left="766"/>
        <w:rPr>
          <w:rFonts w:ascii="David" w:hAnsi="David"/>
        </w:rPr>
      </w:pPr>
      <w:r>
        <w:rPr>
          <w:rFonts w:ascii="David" w:hAnsi="David" w:hint="cs"/>
          <w:rtl/>
        </w:rPr>
        <w:t xml:space="preserve">בעבר הרב עוזיאל גם סבר כך, אבל הרב עוזיאל היה מודע לכך שיש עם זה בעיה </w:t>
      </w:r>
      <w:r w:rsidR="00FF75A9">
        <w:rPr>
          <w:rFonts w:ascii="David" w:hAnsi="David" w:hint="cs"/>
          <w:rtl/>
        </w:rPr>
        <w:t>מוסרית</w:t>
      </w:r>
      <w:r>
        <w:rPr>
          <w:rFonts w:ascii="David" w:hAnsi="David" w:hint="cs"/>
          <w:rtl/>
        </w:rPr>
        <w:t xml:space="preserve"> -</w:t>
      </w:r>
      <w:r w:rsidR="00FF75A9">
        <w:rPr>
          <w:rFonts w:ascii="David" w:hAnsi="David" w:hint="cs"/>
          <w:rtl/>
        </w:rPr>
        <w:t xml:space="preserve"> שכן הם חיו כנשואים, צברו רכו</w:t>
      </w:r>
      <w:r w:rsidR="007E4CDD">
        <w:rPr>
          <w:rFonts w:ascii="David" w:hAnsi="David" w:hint="cs"/>
          <w:rtl/>
        </w:rPr>
        <w:t>ש, צברו חובות וזכויות ואמירה כזו לוקחת מהאנשים האלו את האפשרות לדון בתנאי הגירושין, בחלוקת הרכוש וכו'</w:t>
      </w:r>
      <w:r w:rsidR="00862052">
        <w:rPr>
          <w:rFonts w:ascii="David" w:hAnsi="David" w:hint="cs"/>
          <w:rtl/>
        </w:rPr>
        <w:t xml:space="preserve"> (בתקופה זו לא היה עדיין את מוסד הידועים בציבור)</w:t>
      </w:r>
      <w:r w:rsidR="007E4CDD">
        <w:rPr>
          <w:rFonts w:ascii="David" w:hAnsi="David" w:hint="cs"/>
          <w:rtl/>
        </w:rPr>
        <w:t>.</w:t>
      </w:r>
      <w:r>
        <w:rPr>
          <w:rFonts w:ascii="David" w:hAnsi="David" w:hint="cs"/>
          <w:rtl/>
        </w:rPr>
        <w:t xml:space="preserve"> </w:t>
      </w:r>
    </w:p>
    <w:p w14:paraId="46B9281F" w14:textId="1DD1B8A0" w:rsidR="007E7A58" w:rsidRPr="007E7A58" w:rsidRDefault="007E7A58" w:rsidP="007E7A58">
      <w:pPr>
        <w:pStyle w:val="ac"/>
        <w:numPr>
          <w:ilvl w:val="0"/>
          <w:numId w:val="22"/>
        </w:numPr>
        <w:shd w:val="clear" w:color="auto" w:fill="FFF4CD" w:themeFill="accent1" w:themeFillTint="33"/>
        <w:bidi/>
        <w:rPr>
          <w:rFonts w:ascii="David" w:hAnsi="David"/>
          <w:b/>
          <w:bCs/>
        </w:rPr>
      </w:pPr>
      <w:r w:rsidRPr="007E7A58">
        <w:rPr>
          <w:rFonts w:ascii="David" w:hAnsi="David" w:hint="cs"/>
          <w:b/>
          <w:bCs/>
          <w:rtl/>
        </w:rPr>
        <w:t>מה המעמד ההלכתי של נישואין אזרחיים:</w:t>
      </w:r>
    </w:p>
    <w:p w14:paraId="1F655757" w14:textId="09179344" w:rsidR="007E7A58" w:rsidRDefault="00F651FB" w:rsidP="007E7A58">
      <w:pPr>
        <w:pStyle w:val="ac"/>
        <w:numPr>
          <w:ilvl w:val="1"/>
          <w:numId w:val="22"/>
        </w:numPr>
        <w:bidi/>
        <w:rPr>
          <w:rFonts w:ascii="David" w:hAnsi="David"/>
        </w:rPr>
      </w:pPr>
      <w:r>
        <w:rPr>
          <w:rFonts w:ascii="David" w:hAnsi="David" w:hint="cs"/>
          <w:rtl/>
        </w:rPr>
        <w:t xml:space="preserve">המצב כיום הוא שכאשר אדם נישא בנישואין אזרחיים בחו"ל הוא צריך להגיע לבית הדין הרבני על מנת להתגרש (פס"ד פונק שלזינגר) - </w:t>
      </w:r>
      <w:r w:rsidR="00215289">
        <w:rPr>
          <w:rFonts w:ascii="David" w:hAnsi="David" w:hint="cs"/>
          <w:rtl/>
        </w:rPr>
        <w:t>בית הדין הרבני בדר"כ י</w:t>
      </w:r>
      <w:r w:rsidR="000D4687">
        <w:rPr>
          <w:rFonts w:ascii="David" w:hAnsi="David" w:hint="cs"/>
          <w:rtl/>
        </w:rPr>
        <w:t>סודר</w:t>
      </w:r>
      <w:r w:rsidR="00215289">
        <w:rPr>
          <w:rFonts w:ascii="David" w:hAnsi="David" w:hint="cs"/>
          <w:rtl/>
        </w:rPr>
        <w:t xml:space="preserve"> גט לחומרא בין בני הזוג</w:t>
      </w:r>
      <w:r w:rsidR="000D4687">
        <w:rPr>
          <w:rFonts w:ascii="David" w:hAnsi="David" w:hint="cs"/>
          <w:rtl/>
        </w:rPr>
        <w:t>. אולם, כל מקרה נבחן לגופו שכן הנסיבות מאוד משמעותיו וישפיעו על ההחלטה איזה גט צריך ואם בכלל.</w:t>
      </w:r>
      <w:r w:rsidR="00701BE1">
        <w:rPr>
          <w:rFonts w:ascii="David" w:hAnsi="David" w:hint="cs"/>
          <w:rtl/>
        </w:rPr>
        <w:t xml:space="preserve"> בנוסף, לכך מצטרף לכך השיקול של ההשלכות העתידיות (לדוג' אם יהיה גט לחומרא האישה לא תוכל להינשא לכהן</w:t>
      </w:r>
      <w:r w:rsidR="00E67356">
        <w:rPr>
          <w:rFonts w:ascii="David" w:hAnsi="David" w:hint="cs"/>
          <w:rtl/>
        </w:rPr>
        <w:t>.</w:t>
      </w:r>
    </w:p>
    <w:p w14:paraId="68795CA3" w14:textId="4B57B79A" w:rsidR="00E67356" w:rsidRPr="00E67356" w:rsidRDefault="00E67356" w:rsidP="00E67356">
      <w:pPr>
        <w:pStyle w:val="ac"/>
        <w:numPr>
          <w:ilvl w:val="1"/>
          <w:numId w:val="22"/>
        </w:numPr>
        <w:bidi/>
        <w:rPr>
          <w:rFonts w:ascii="David" w:hAnsi="David"/>
          <w:u w:val="single"/>
        </w:rPr>
      </w:pPr>
      <w:r w:rsidRPr="00E67356">
        <w:rPr>
          <w:rFonts w:ascii="David" w:hAnsi="David" w:hint="cs"/>
          <w:u w:val="single"/>
          <w:rtl/>
        </w:rPr>
        <w:t>שני אמירות גורפות של בתי הדין רבניים מהשנים האחרונות:</w:t>
      </w:r>
      <w:r>
        <w:rPr>
          <w:rFonts w:ascii="David" w:hAnsi="David" w:hint="cs"/>
          <w:u w:val="single"/>
          <w:rtl/>
        </w:rPr>
        <w:t xml:space="preserve"> </w:t>
      </w:r>
      <w:r w:rsidRPr="00E67356">
        <w:rPr>
          <w:rFonts w:ascii="David" w:hAnsi="David" w:hint="cs"/>
          <w:rtl/>
        </w:rPr>
        <w:t>על פניו אמירות אלו נראות שונות.</w:t>
      </w:r>
    </w:p>
    <w:p w14:paraId="0C05B0F4" w14:textId="55E95EAF" w:rsidR="00E67356" w:rsidRDefault="003B1EC9" w:rsidP="00E67356">
      <w:pPr>
        <w:pStyle w:val="ac"/>
        <w:numPr>
          <w:ilvl w:val="2"/>
          <w:numId w:val="22"/>
        </w:numPr>
        <w:bidi/>
        <w:rPr>
          <w:rFonts w:ascii="David" w:hAnsi="David"/>
        </w:rPr>
      </w:pPr>
      <w:r w:rsidRPr="009D6F84">
        <w:rPr>
          <w:rFonts w:ascii="David" w:hAnsi="David" w:hint="cs"/>
          <w:highlight w:val="cyan"/>
          <w:rtl/>
        </w:rPr>
        <w:t>אפריל 2018 בבית הדין ב"ש</w:t>
      </w:r>
      <w:r>
        <w:rPr>
          <w:rFonts w:ascii="David" w:hAnsi="David" w:hint="cs"/>
          <w:rtl/>
        </w:rPr>
        <w:t xml:space="preserve">: </w:t>
      </w:r>
      <w:r w:rsidR="009255F4">
        <w:rPr>
          <w:rFonts w:ascii="David" w:hAnsi="David" w:hint="cs"/>
          <w:rtl/>
        </w:rPr>
        <w:t>לדעת רבים מהפוסקים אין לחשוש מנישואין אזרחים ואין צורך בגט. אף שמעיקר הדין לא צריך גט פשטה ההוראה לסדר גט לחומרא היכן שאפשר</w:t>
      </w:r>
      <w:r>
        <w:rPr>
          <w:rFonts w:ascii="David" w:hAnsi="David" w:hint="cs"/>
          <w:rtl/>
        </w:rPr>
        <w:t>, אבל אם יש חשש לעיגון אין להקפיד על זה</w:t>
      </w:r>
      <w:r w:rsidR="009255F4">
        <w:rPr>
          <w:rFonts w:ascii="David" w:hAnsi="David" w:hint="cs"/>
          <w:rtl/>
        </w:rPr>
        <w:t>.</w:t>
      </w:r>
    </w:p>
    <w:p w14:paraId="64DD59F1" w14:textId="38C832E8" w:rsidR="00B4758D" w:rsidRDefault="00603541" w:rsidP="00B4758D">
      <w:pPr>
        <w:pStyle w:val="ac"/>
        <w:numPr>
          <w:ilvl w:val="2"/>
          <w:numId w:val="22"/>
        </w:numPr>
        <w:bidi/>
        <w:rPr>
          <w:rFonts w:ascii="David" w:hAnsi="David"/>
        </w:rPr>
      </w:pPr>
      <w:r w:rsidRPr="009D6F84">
        <w:rPr>
          <w:rFonts w:ascii="David" w:hAnsi="David" w:hint="cs"/>
          <w:highlight w:val="cyan"/>
          <w:rtl/>
        </w:rPr>
        <w:t>אוקטובר 2019  בבית הדין בפ"ת</w:t>
      </w:r>
      <w:r>
        <w:rPr>
          <w:rFonts w:ascii="David" w:hAnsi="David" w:hint="cs"/>
          <w:rtl/>
        </w:rPr>
        <w:t xml:space="preserve">: </w:t>
      </w:r>
      <w:r w:rsidR="007E337C">
        <w:rPr>
          <w:rtl/>
        </w:rPr>
        <w:t>הצדדים</w:t>
      </w:r>
      <w:r w:rsidR="003405A9">
        <w:rPr>
          <w:rFonts w:hint="cs"/>
          <w:rtl/>
        </w:rPr>
        <w:t xml:space="preserve"> </w:t>
      </w:r>
      <w:r w:rsidR="007E337C">
        <w:rPr>
          <w:rtl/>
        </w:rPr>
        <w:t xml:space="preserve">ערכו ביום </w:t>
      </w:r>
      <w:r w:rsidR="007E337C">
        <w:rPr>
          <w:rFonts w:hint="cs"/>
          <w:rtl/>
        </w:rPr>
        <w:t xml:space="preserve">טקס </w:t>
      </w:r>
      <w:r w:rsidR="007E337C">
        <w:rPr>
          <w:rtl/>
        </w:rPr>
        <w:t>נישואין אזרחיים בקפריסין הצדדים הגישו את תעודת הנישואין למשרד הפנים</w:t>
      </w:r>
      <w:r w:rsidR="007E337C">
        <w:t xml:space="preserve"> </w:t>
      </w:r>
      <w:r w:rsidR="007E337C">
        <w:rPr>
          <w:rtl/>
        </w:rPr>
        <w:t xml:space="preserve">אשר רשם אותם כנשואים </w:t>
      </w:r>
      <w:r w:rsidR="00C44784">
        <w:rPr>
          <w:rFonts w:hint="cs"/>
          <w:rtl/>
        </w:rPr>
        <w:t xml:space="preserve"> - </w:t>
      </w:r>
      <w:r w:rsidR="007E337C">
        <w:rPr>
          <w:rtl/>
        </w:rPr>
        <w:t>על פיה</w:t>
      </w:r>
      <w:r w:rsidR="007E337C">
        <w:rPr>
          <w:rFonts w:ascii="David" w:hAnsi="David" w:hint="cs"/>
          <w:rtl/>
        </w:rPr>
        <w:t xml:space="preserve"> </w:t>
      </w:r>
      <w:r>
        <w:rPr>
          <w:rFonts w:ascii="David" w:hAnsi="David" w:hint="cs"/>
          <w:rtl/>
        </w:rPr>
        <w:t xml:space="preserve">הדיינים במקרה הזה אומרים דבר שונה מהדיינים בב"ש. המנהג הרווח הוא לסדר גט בנישואין אזרחיים </w:t>
      </w:r>
      <w:r w:rsidR="005C547C">
        <w:rPr>
          <w:rFonts w:ascii="David" w:hAnsi="David" w:hint="cs"/>
          <w:rtl/>
        </w:rPr>
        <w:t>מצד ההלכה וזה לא רק גט לחומרא</w:t>
      </w:r>
      <w:r w:rsidR="006F294F">
        <w:rPr>
          <w:rFonts w:ascii="David" w:hAnsi="David" w:hint="cs"/>
          <w:rtl/>
        </w:rPr>
        <w:t>.</w:t>
      </w:r>
    </w:p>
    <w:p w14:paraId="0C0E8BA6" w14:textId="0EE1C6A0" w:rsidR="005C547C" w:rsidRPr="00B4758D" w:rsidRDefault="005C547C" w:rsidP="00BB763E">
      <w:pPr>
        <w:pStyle w:val="ac"/>
        <w:bidi/>
        <w:ind w:left="199"/>
        <w:rPr>
          <w:rFonts w:ascii="David" w:hAnsi="David"/>
        </w:rPr>
      </w:pPr>
      <w:r w:rsidRPr="00571B8A">
        <w:rPr>
          <w:rFonts w:ascii="David" w:hAnsi="David" w:hint="cs"/>
          <w:u w:val="single"/>
          <w:rtl/>
        </w:rPr>
        <w:t xml:space="preserve">איך אמירות אלו </w:t>
      </w:r>
      <w:r w:rsidR="00D25D5D" w:rsidRPr="00571B8A">
        <w:rPr>
          <w:rFonts w:ascii="David" w:hAnsi="David" w:hint="cs"/>
          <w:u w:val="single"/>
          <w:rtl/>
        </w:rPr>
        <w:t>מסתדרות אחת עם השנייה?</w:t>
      </w:r>
      <w:r w:rsidR="00D25D5D" w:rsidRPr="00B4758D">
        <w:rPr>
          <w:rFonts w:ascii="David" w:hAnsi="David" w:hint="cs"/>
          <w:rtl/>
        </w:rPr>
        <w:t xml:space="preserve"> </w:t>
      </w:r>
      <w:r w:rsidR="00B4758D" w:rsidRPr="00B4758D">
        <w:rPr>
          <w:rFonts w:ascii="David" w:hAnsi="David" w:hint="cs"/>
          <w:rtl/>
        </w:rPr>
        <w:t>האמירה הרווחת יותר היא האמירה הראשונה. אולם, יש עדיין מחלוקת לגבי מתי נוותר על הגט לחומרא.</w:t>
      </w:r>
      <w:r w:rsidR="00B4758D">
        <w:rPr>
          <w:rFonts w:ascii="David" w:hAnsi="David" w:hint="cs"/>
          <w:rtl/>
        </w:rPr>
        <w:t xml:space="preserve"> אם כך למה יש פער כול כך גדול בין שתי אמירות אלו?</w:t>
      </w:r>
      <w:r w:rsidR="007E0955">
        <w:rPr>
          <w:rFonts w:ascii="David" w:hAnsi="David" w:hint="cs"/>
          <w:rtl/>
        </w:rPr>
        <w:t xml:space="preserve"> בגלל הנסיבות בכל אחד מן המקרים. במקרה השני בי"ד </w:t>
      </w:r>
      <w:r w:rsidR="008978BB">
        <w:rPr>
          <w:rFonts w:ascii="David" w:hAnsi="David" w:hint="cs"/>
          <w:rtl/>
        </w:rPr>
        <w:t xml:space="preserve">מדובר במקרה שאישה רצתה להינשא לאדם אחר אבל היא הייתה גרושה בגט לחומרא מנישואין אזרחיים </w:t>
      </w:r>
      <w:r w:rsidR="00571B8A">
        <w:rPr>
          <w:rFonts w:ascii="David" w:hAnsi="David" w:hint="cs"/>
          <w:rtl/>
        </w:rPr>
        <w:t xml:space="preserve">ולכן הדיינים אמרו שהאישה גרושה לכל דבר וכן הוא מציג עמדה מחמירה לגבי מעמדו של הגט אותו היא קיבלה. לעומת זאת בב"ש המקרה היה שונה לחלוטין - באותו מקרה בית הדין מתעסק בחשש לממזרות. האיש התחתנה בנישואין אזרחים </w:t>
      </w:r>
      <w:r w:rsidR="00BB763E">
        <w:rPr>
          <w:rFonts w:ascii="David" w:hAnsi="David" w:hint="cs"/>
          <w:rtl/>
        </w:rPr>
        <w:t>ועזבה את בעלה וילדה ילדים מאחר, לכן לבי"ד הייתה מוטיבציה לומר כי יש צורך בגט רק לחומרא ומעיקר הדין לא צריך.</w:t>
      </w:r>
    </w:p>
    <w:p w14:paraId="2C93874E" w14:textId="01716E2E" w:rsidR="00AB2478" w:rsidRPr="00F8746F" w:rsidRDefault="008F3BB1" w:rsidP="00A83D2E">
      <w:pPr>
        <w:pStyle w:val="ac"/>
        <w:numPr>
          <w:ilvl w:val="1"/>
          <w:numId w:val="22"/>
        </w:numPr>
        <w:bidi/>
        <w:rPr>
          <w:rFonts w:ascii="David" w:hAnsi="David"/>
          <w:b/>
          <w:bCs/>
          <w:u w:val="single"/>
        </w:rPr>
      </w:pPr>
      <w:r w:rsidRPr="00F8746F">
        <w:rPr>
          <w:rFonts w:ascii="David" w:hAnsi="David" w:hint="cs"/>
          <w:b/>
          <w:bCs/>
          <w:u w:val="single"/>
          <w:rtl/>
        </w:rPr>
        <w:t>למה יש מקום לחשוב שצריך גט</w:t>
      </w:r>
      <w:r w:rsidR="000C7FF0">
        <w:rPr>
          <w:rFonts w:ascii="David" w:hAnsi="David" w:hint="cs"/>
          <w:b/>
          <w:bCs/>
          <w:u w:val="single"/>
          <w:rtl/>
        </w:rPr>
        <w:t xml:space="preserve"> בנישואין אזרחיים</w:t>
      </w:r>
      <w:r w:rsidRPr="00F8746F">
        <w:rPr>
          <w:rFonts w:ascii="David" w:hAnsi="David" w:hint="cs"/>
          <w:b/>
          <w:bCs/>
          <w:u w:val="single"/>
          <w:rtl/>
        </w:rPr>
        <w:t>?</w:t>
      </w:r>
    </w:p>
    <w:p w14:paraId="3C52809E" w14:textId="22C0C564" w:rsidR="00A514B1" w:rsidRDefault="00607CDF" w:rsidP="00B631A1">
      <w:pPr>
        <w:pStyle w:val="ac"/>
        <w:bidi/>
        <w:ind w:left="199"/>
        <w:rPr>
          <w:rFonts w:ascii="David" w:hAnsi="David"/>
        </w:rPr>
      </w:pPr>
      <w:r>
        <w:rPr>
          <w:rFonts w:ascii="David" w:hAnsi="David" w:hint="cs"/>
          <w:rtl/>
        </w:rPr>
        <w:t xml:space="preserve">שלושה מרכיבים לקידושין: מעשה, עדים וכוונה. </w:t>
      </w:r>
    </w:p>
    <w:p w14:paraId="02CF625E" w14:textId="406CAAEA" w:rsidR="004441A6" w:rsidRPr="00B631A1" w:rsidRDefault="00A20C00" w:rsidP="00B631A1">
      <w:pPr>
        <w:pStyle w:val="ac"/>
        <w:numPr>
          <w:ilvl w:val="2"/>
          <w:numId w:val="22"/>
        </w:numPr>
        <w:bidi/>
        <w:rPr>
          <w:rFonts w:ascii="David" w:hAnsi="David"/>
          <w:u w:val="single"/>
        </w:rPr>
      </w:pPr>
      <w:r>
        <w:rPr>
          <w:rFonts w:ascii="David" w:hAnsi="David" w:hint="cs"/>
          <w:rtl/>
        </w:rPr>
        <w:t xml:space="preserve">מעשה: </w:t>
      </w:r>
      <w:r w:rsidR="00CD2366">
        <w:rPr>
          <w:rFonts w:ascii="David" w:hAnsi="David" w:hint="cs"/>
          <w:rtl/>
        </w:rPr>
        <w:t xml:space="preserve">המעשה אינו דומה לקידושין דתיים </w:t>
      </w:r>
      <w:r w:rsidR="000F7E2B">
        <w:rPr>
          <w:rFonts w:ascii="David" w:hAnsi="David" w:hint="cs"/>
          <w:rtl/>
        </w:rPr>
        <w:t>לא מבחינת קידושי שטר (שכן התהליך שונה) ולא קידושין כסף</w:t>
      </w:r>
      <w:r w:rsidR="00603083">
        <w:rPr>
          <w:rFonts w:ascii="David" w:hAnsi="David" w:hint="cs"/>
          <w:rtl/>
        </w:rPr>
        <w:t xml:space="preserve"> (שכן צריך </w:t>
      </w:r>
      <w:r w:rsidR="00B519DB">
        <w:rPr>
          <w:rFonts w:ascii="David" w:hAnsi="David" w:hint="cs"/>
          <w:rtl/>
        </w:rPr>
        <w:t>ש</w:t>
      </w:r>
      <w:r w:rsidR="00603083">
        <w:rPr>
          <w:rFonts w:ascii="David" w:hAnsi="David" w:hint="cs"/>
          <w:rtl/>
        </w:rPr>
        <w:t>עדי</w:t>
      </w:r>
      <w:r w:rsidR="00964362">
        <w:rPr>
          <w:rFonts w:ascii="David" w:hAnsi="David" w:hint="cs"/>
          <w:rtl/>
        </w:rPr>
        <w:t>ם</w:t>
      </w:r>
      <w:r w:rsidR="00603083">
        <w:rPr>
          <w:rFonts w:ascii="David" w:hAnsi="David" w:hint="cs"/>
          <w:rtl/>
        </w:rPr>
        <w:t xml:space="preserve"> </w:t>
      </w:r>
      <w:r w:rsidR="00B519DB">
        <w:rPr>
          <w:rFonts w:ascii="David" w:hAnsi="David" w:hint="cs"/>
          <w:rtl/>
        </w:rPr>
        <w:t xml:space="preserve">כשרים וספציפיים </w:t>
      </w:r>
      <w:r w:rsidR="00603083">
        <w:rPr>
          <w:rFonts w:ascii="David" w:hAnsi="David" w:hint="cs"/>
          <w:rtl/>
        </w:rPr>
        <w:t>יראו את הטבעת)</w:t>
      </w:r>
      <w:r w:rsidR="000F7E2B">
        <w:rPr>
          <w:rFonts w:ascii="David" w:hAnsi="David" w:hint="cs"/>
          <w:rtl/>
        </w:rPr>
        <w:t xml:space="preserve">. החשש הוא מקידושי ביאה - שכן </w:t>
      </w:r>
      <w:r w:rsidR="00807683">
        <w:rPr>
          <w:rFonts w:ascii="David" w:hAnsi="David" w:hint="cs"/>
          <w:rtl/>
        </w:rPr>
        <w:t xml:space="preserve">קיום יחסים במסגרת נישואין </w:t>
      </w:r>
      <w:r w:rsidR="00AE2E71">
        <w:rPr>
          <w:rFonts w:ascii="David" w:hAnsi="David" w:hint="cs"/>
          <w:rtl/>
        </w:rPr>
        <w:t xml:space="preserve">אזרחיים מקרב את </w:t>
      </w:r>
      <w:r w:rsidR="00C01394">
        <w:rPr>
          <w:rFonts w:ascii="David" w:hAnsi="David" w:hint="cs"/>
          <w:rtl/>
        </w:rPr>
        <w:t>בני ה</w:t>
      </w:r>
      <w:r w:rsidR="00AE2E71">
        <w:rPr>
          <w:rFonts w:ascii="David" w:hAnsi="David" w:hint="cs"/>
          <w:rtl/>
        </w:rPr>
        <w:t xml:space="preserve">זוג </w:t>
      </w:r>
      <w:r w:rsidR="00C01394">
        <w:rPr>
          <w:rFonts w:ascii="David" w:hAnsi="David" w:hint="cs"/>
          <w:rtl/>
        </w:rPr>
        <w:t>ה</w:t>
      </w:r>
      <w:r w:rsidR="00AE2E71">
        <w:rPr>
          <w:rFonts w:ascii="David" w:hAnsi="David" w:hint="cs"/>
          <w:rtl/>
        </w:rPr>
        <w:t>נ</w:t>
      </w:r>
      <w:r w:rsidR="00C01394">
        <w:rPr>
          <w:rFonts w:ascii="David" w:hAnsi="David" w:hint="cs"/>
          <w:rtl/>
        </w:rPr>
        <w:t>שואים ל</w:t>
      </w:r>
      <w:r w:rsidR="00AE2E71">
        <w:rPr>
          <w:rFonts w:ascii="David" w:hAnsi="David" w:hint="cs"/>
          <w:rtl/>
        </w:rPr>
        <w:t>קידושי ביאה.</w:t>
      </w:r>
      <w:r w:rsidR="00F170DD">
        <w:rPr>
          <w:rFonts w:ascii="David" w:hAnsi="David" w:hint="cs"/>
          <w:rtl/>
        </w:rPr>
        <w:t xml:space="preserve"> </w:t>
      </w:r>
      <w:r w:rsidR="00F170DD" w:rsidRPr="00B631A1">
        <w:rPr>
          <w:rFonts w:ascii="David" w:hAnsi="David" w:hint="cs"/>
          <w:u w:val="single"/>
          <w:rtl/>
        </w:rPr>
        <w:t xml:space="preserve">מה ההבדל בין היחסים לפני הטקס האזרחי לאחרי הטקס ההלכתי? </w:t>
      </w:r>
    </w:p>
    <w:p w14:paraId="63287A3C" w14:textId="6EC8653F" w:rsidR="00A20C00" w:rsidRDefault="00F170DD" w:rsidP="00B631A1">
      <w:pPr>
        <w:pStyle w:val="ac"/>
        <w:numPr>
          <w:ilvl w:val="3"/>
          <w:numId w:val="22"/>
        </w:numPr>
        <w:bidi/>
        <w:rPr>
          <w:rFonts w:ascii="David" w:hAnsi="David"/>
        </w:rPr>
      </w:pPr>
      <w:r>
        <w:rPr>
          <w:rFonts w:ascii="David" w:hAnsi="David" w:hint="cs"/>
          <w:rtl/>
        </w:rPr>
        <w:t xml:space="preserve">כיוון שלאחר הטקס הוא במערכת יחסים מחייבת </w:t>
      </w:r>
      <w:r w:rsidR="004441A6">
        <w:rPr>
          <w:rFonts w:ascii="David" w:hAnsi="David" w:hint="cs"/>
          <w:rtl/>
        </w:rPr>
        <w:t>("אין אדם עושה בעילתו בעילת זנות), מבחינת התודעה לאחר הטקס יש ליחסי האישות יותר משמעות.</w:t>
      </w:r>
    </w:p>
    <w:p w14:paraId="18E11DD2" w14:textId="3F3414E0" w:rsidR="004441A6" w:rsidRDefault="004441A6" w:rsidP="00B631A1">
      <w:pPr>
        <w:pStyle w:val="ac"/>
        <w:numPr>
          <w:ilvl w:val="3"/>
          <w:numId w:val="22"/>
        </w:numPr>
        <w:bidi/>
        <w:rPr>
          <w:rFonts w:ascii="David" w:hAnsi="David"/>
        </w:rPr>
      </w:pPr>
      <w:r>
        <w:rPr>
          <w:rFonts w:ascii="David" w:hAnsi="David" w:hint="cs"/>
          <w:rtl/>
        </w:rPr>
        <w:t>בניגוד לקידושין בט</w:t>
      </w:r>
      <w:r w:rsidR="00603083">
        <w:rPr>
          <w:rFonts w:ascii="David" w:hAnsi="David" w:hint="cs"/>
          <w:rtl/>
        </w:rPr>
        <w:t>בעת ההלכה פסקה שאין צורך בעדים.</w:t>
      </w:r>
      <w:r w:rsidR="00964362">
        <w:rPr>
          <w:rFonts w:ascii="David" w:hAnsi="David" w:hint="cs"/>
          <w:rtl/>
        </w:rPr>
        <w:t xml:space="preserve"> העדים רק צריך לראות הזוג חיי בייחוד ואין צורך בעדים ספציפיים</w:t>
      </w:r>
      <w:r w:rsidR="006B51A3">
        <w:rPr>
          <w:rFonts w:ascii="David" w:hAnsi="David" w:hint="cs"/>
          <w:rtl/>
        </w:rPr>
        <w:t>. לכן במידה מסוימת יש גם דרך לטעון שיש עדי ייחוד</w:t>
      </w:r>
      <w:r w:rsidR="00A246AE">
        <w:rPr>
          <w:rFonts w:ascii="David" w:hAnsi="David" w:hint="cs"/>
          <w:rtl/>
        </w:rPr>
        <w:t>.</w:t>
      </w:r>
    </w:p>
    <w:p w14:paraId="0C364B1B" w14:textId="089F9563" w:rsidR="006D5E7B" w:rsidRDefault="006D5E7B" w:rsidP="00B631A1">
      <w:pPr>
        <w:pStyle w:val="ac"/>
        <w:numPr>
          <w:ilvl w:val="2"/>
          <w:numId w:val="22"/>
        </w:numPr>
        <w:bidi/>
        <w:rPr>
          <w:rFonts w:ascii="David" w:hAnsi="David"/>
        </w:rPr>
      </w:pPr>
      <w:r>
        <w:rPr>
          <w:rFonts w:ascii="David" w:hAnsi="David" w:hint="cs"/>
          <w:rtl/>
        </w:rPr>
        <w:t>עדים:</w:t>
      </w:r>
      <w:r w:rsidR="00964362">
        <w:rPr>
          <w:rFonts w:ascii="David" w:hAnsi="David" w:hint="cs"/>
          <w:rtl/>
        </w:rPr>
        <w:t xml:space="preserve"> העדים לרוב לא כשרים</w:t>
      </w:r>
      <w:r w:rsidR="0017769E">
        <w:rPr>
          <w:rFonts w:ascii="David" w:hAnsi="David" w:hint="cs"/>
          <w:rtl/>
        </w:rPr>
        <w:t xml:space="preserve"> ב</w:t>
      </w:r>
      <w:r w:rsidR="009F50B4">
        <w:rPr>
          <w:rFonts w:ascii="David" w:hAnsi="David" w:hint="cs"/>
          <w:rtl/>
        </w:rPr>
        <w:t xml:space="preserve">נישואין אזרחיים </w:t>
      </w:r>
    </w:p>
    <w:p w14:paraId="59B33CA5" w14:textId="77777777" w:rsidR="00B631A1" w:rsidRDefault="00CD2366" w:rsidP="00B631A1">
      <w:pPr>
        <w:pStyle w:val="ac"/>
        <w:numPr>
          <w:ilvl w:val="2"/>
          <w:numId w:val="22"/>
        </w:numPr>
        <w:bidi/>
        <w:rPr>
          <w:rFonts w:ascii="David" w:hAnsi="David"/>
        </w:rPr>
      </w:pPr>
      <w:r>
        <w:rPr>
          <w:rFonts w:ascii="David" w:hAnsi="David" w:hint="cs"/>
          <w:rtl/>
        </w:rPr>
        <w:lastRenderedPageBreak/>
        <w:t>כוונה:</w:t>
      </w:r>
      <w:r w:rsidR="00A246AE">
        <w:rPr>
          <w:rFonts w:ascii="David" w:hAnsi="David" w:hint="cs"/>
          <w:rtl/>
        </w:rPr>
        <w:t xml:space="preserve"> סביב המרכיב השלישי יש את המחלוקת המשמעותית ביותר מבחינת הפוסקים -</w:t>
      </w:r>
      <w:r w:rsidR="0006595F">
        <w:rPr>
          <w:rFonts w:ascii="David" w:hAnsi="David" w:hint="cs"/>
          <w:rtl/>
        </w:rPr>
        <w:t xml:space="preserve"> האם צריך כוונה ספציפית לקידושין כדת משה וישראל או שאנחנו יכולים להסתפק בכוונה כל שהיא לנישואין (כוונה להינשא בדרך כלשהי, כוונה אוניברסלית). </w:t>
      </w:r>
    </w:p>
    <w:p w14:paraId="37A2DE63" w14:textId="09077F39" w:rsidR="00B631A1" w:rsidRDefault="0006595F" w:rsidP="000E3591">
      <w:pPr>
        <w:pStyle w:val="ac"/>
        <w:bidi/>
        <w:ind w:left="199"/>
        <w:rPr>
          <w:rFonts w:ascii="David" w:hAnsi="David"/>
        </w:rPr>
      </w:pPr>
      <w:r w:rsidRPr="00B631A1">
        <w:rPr>
          <w:rFonts w:ascii="David" w:hAnsi="David" w:hint="cs"/>
          <w:b/>
          <w:bCs/>
          <w:rtl/>
        </w:rPr>
        <w:t>הרוב המוחלט של הפסוקים</w:t>
      </w:r>
      <w:r w:rsidRPr="00B631A1">
        <w:rPr>
          <w:rFonts w:ascii="David" w:hAnsi="David" w:hint="cs"/>
          <w:rtl/>
        </w:rPr>
        <w:t xml:space="preserve"> </w:t>
      </w:r>
      <w:r w:rsidR="0031185F">
        <w:rPr>
          <w:rFonts w:ascii="David" w:hAnsi="David" w:hint="cs"/>
          <w:rtl/>
        </w:rPr>
        <w:t xml:space="preserve">(ורוב הרבנים בבתי הדין בארץ) </w:t>
      </w:r>
      <w:r w:rsidRPr="00B631A1">
        <w:rPr>
          <w:rFonts w:ascii="David" w:hAnsi="David" w:hint="cs"/>
          <w:rtl/>
        </w:rPr>
        <w:t>אומר</w:t>
      </w:r>
      <w:r w:rsidR="0031185F">
        <w:rPr>
          <w:rFonts w:ascii="David" w:hAnsi="David" w:hint="cs"/>
          <w:rtl/>
        </w:rPr>
        <w:t>ים</w:t>
      </w:r>
      <w:r w:rsidRPr="00B631A1">
        <w:rPr>
          <w:rFonts w:ascii="David" w:hAnsi="David" w:hint="cs"/>
          <w:rtl/>
        </w:rPr>
        <w:t xml:space="preserve"> שהכוונה שההלכה דיברה עליה היא הכוונה הפרטיקולרית, צריך להתכוון לטקס ההלכתי.</w:t>
      </w:r>
      <w:r w:rsidR="00A246AE" w:rsidRPr="00B631A1">
        <w:rPr>
          <w:rFonts w:ascii="David" w:hAnsi="David" w:hint="cs"/>
          <w:rtl/>
        </w:rPr>
        <w:t xml:space="preserve"> </w:t>
      </w:r>
      <w:r w:rsidR="00FD046A" w:rsidRPr="00B631A1">
        <w:rPr>
          <w:rFonts w:ascii="David" w:hAnsi="David" w:hint="cs"/>
          <w:rtl/>
        </w:rPr>
        <w:t>לכן, רוב הפוסקים יטענו שאין קידושין בנישואין אזרחיים שכן לא התקיים מרכיב הכוונה.</w:t>
      </w:r>
    </w:p>
    <w:p w14:paraId="2433D0CC" w14:textId="463D4592" w:rsidR="00193D5D" w:rsidRPr="00B631A1" w:rsidRDefault="00FD046A" w:rsidP="000E3591">
      <w:pPr>
        <w:pStyle w:val="ac"/>
        <w:bidi/>
        <w:ind w:left="199"/>
        <w:rPr>
          <w:rFonts w:ascii="David" w:hAnsi="David"/>
        </w:rPr>
      </w:pPr>
      <w:r w:rsidRPr="00B631A1">
        <w:rPr>
          <w:rFonts w:ascii="David" w:hAnsi="David" w:hint="cs"/>
          <w:rtl/>
        </w:rPr>
        <w:t>מנגד</w:t>
      </w:r>
      <w:r w:rsidRPr="00B631A1">
        <w:rPr>
          <w:rFonts w:ascii="David" w:hAnsi="David" w:hint="cs"/>
          <w:b/>
          <w:bCs/>
          <w:rtl/>
        </w:rPr>
        <w:t>, גישת המיעוט</w:t>
      </w:r>
      <w:r w:rsidRPr="00B631A1">
        <w:rPr>
          <w:rFonts w:ascii="David" w:hAnsi="David" w:hint="cs"/>
          <w:rtl/>
        </w:rPr>
        <w:t xml:space="preserve"> חושבת שיש צורך בכוננה כללית ולא פרטיקולרית</w:t>
      </w:r>
      <w:r w:rsidR="00707EC4" w:rsidRPr="00B631A1">
        <w:rPr>
          <w:rFonts w:ascii="David" w:hAnsi="David" w:hint="cs"/>
          <w:rtl/>
        </w:rPr>
        <w:t xml:space="preserve">. מי שמבטא גישה זו הם שני פוסקים חשובים מאוד: </w:t>
      </w:r>
    </w:p>
    <w:p w14:paraId="379D0EA9" w14:textId="4CDF3F34" w:rsidR="00193D5D" w:rsidRDefault="003B4D3B" w:rsidP="000E3591">
      <w:pPr>
        <w:pStyle w:val="ac"/>
        <w:numPr>
          <w:ilvl w:val="3"/>
          <w:numId w:val="22"/>
        </w:numPr>
        <w:bidi/>
        <w:rPr>
          <w:rFonts w:ascii="David" w:hAnsi="David"/>
        </w:rPr>
      </w:pPr>
      <w:r w:rsidRPr="00193D5D">
        <w:rPr>
          <w:rFonts w:ascii="David" w:hAnsi="David" w:hint="cs"/>
          <w:rtl/>
        </w:rPr>
        <w:t>הראשון</w:t>
      </w:r>
      <w:r w:rsidR="00C945FD" w:rsidRPr="00193D5D">
        <w:rPr>
          <w:rFonts w:ascii="David" w:hAnsi="David" w:hint="cs"/>
          <w:rtl/>
        </w:rPr>
        <w:t>,</w:t>
      </w:r>
      <w:r w:rsidRPr="00193D5D">
        <w:rPr>
          <w:rFonts w:ascii="David" w:hAnsi="David" w:hint="cs"/>
          <w:rtl/>
        </w:rPr>
        <w:t xml:space="preserve"> הרב אליהו יוסף הנק</w:t>
      </w:r>
      <w:r w:rsidR="009F16A7">
        <w:rPr>
          <w:rFonts w:ascii="David" w:hAnsi="David" w:hint="cs"/>
          <w:rtl/>
        </w:rPr>
        <w:t>י</w:t>
      </w:r>
      <w:r w:rsidRPr="00193D5D">
        <w:rPr>
          <w:rFonts w:ascii="David" w:hAnsi="David" w:hint="cs"/>
          <w:rtl/>
        </w:rPr>
        <w:t>ן, רב במנהטן (גדול הפוסקים עד ל</w:t>
      </w:r>
      <w:r w:rsidR="00C945FD" w:rsidRPr="00193D5D">
        <w:rPr>
          <w:rFonts w:ascii="David" w:hAnsi="David" w:hint="cs"/>
          <w:rtl/>
        </w:rPr>
        <w:t xml:space="preserve">רב </w:t>
      </w:r>
      <w:r w:rsidRPr="00193D5D">
        <w:rPr>
          <w:rFonts w:ascii="David" w:hAnsi="David" w:hint="cs"/>
          <w:rtl/>
        </w:rPr>
        <w:t>במשה פי</w:t>
      </w:r>
      <w:r w:rsidR="00C945FD" w:rsidRPr="00193D5D">
        <w:rPr>
          <w:rFonts w:ascii="David" w:hAnsi="David" w:hint="cs"/>
          <w:rtl/>
        </w:rPr>
        <w:t>י</w:t>
      </w:r>
      <w:r w:rsidRPr="00193D5D">
        <w:rPr>
          <w:rFonts w:ascii="David" w:hAnsi="David" w:hint="cs"/>
          <w:rtl/>
        </w:rPr>
        <w:t>נשטיין שחלק עליו)</w:t>
      </w:r>
      <w:r w:rsidR="00C945FD" w:rsidRPr="00193D5D">
        <w:rPr>
          <w:rFonts w:ascii="David" w:hAnsi="David" w:hint="cs"/>
          <w:rtl/>
        </w:rPr>
        <w:t xml:space="preserve"> - לדעתו אין בהלכה צורך בכוונה לקידושין אלא בכוונה כלשהי להינשא.</w:t>
      </w:r>
      <w:r w:rsidR="00B64289" w:rsidRPr="00193D5D">
        <w:rPr>
          <w:rFonts w:ascii="David" w:hAnsi="David" w:hint="cs"/>
          <w:rtl/>
        </w:rPr>
        <w:t xml:space="preserve"> לכן, יהודי שנישא בטקס אזרחי נישא כדת משה וישראל.</w:t>
      </w:r>
    </w:p>
    <w:p w14:paraId="0C72247C" w14:textId="77777777" w:rsidR="000E3591" w:rsidRDefault="00C945FD" w:rsidP="000E3591">
      <w:pPr>
        <w:pStyle w:val="ac"/>
        <w:numPr>
          <w:ilvl w:val="3"/>
          <w:numId w:val="22"/>
        </w:numPr>
        <w:bidi/>
        <w:rPr>
          <w:rFonts w:ascii="David" w:hAnsi="David"/>
        </w:rPr>
      </w:pPr>
      <w:r w:rsidRPr="00193D5D">
        <w:rPr>
          <w:rFonts w:ascii="David" w:hAnsi="David" w:hint="cs"/>
          <w:rtl/>
        </w:rPr>
        <w:t xml:space="preserve">השני, </w:t>
      </w:r>
      <w:r w:rsidR="00EE675F" w:rsidRPr="00193D5D">
        <w:rPr>
          <w:rFonts w:ascii="David" w:hAnsi="David" w:hint="cs"/>
          <w:rtl/>
        </w:rPr>
        <w:t xml:space="preserve">החזון איש (הרב שרמן מתייחס עליו) - </w:t>
      </w:r>
      <w:r w:rsidR="008B6365" w:rsidRPr="00193D5D">
        <w:rPr>
          <w:rFonts w:ascii="David" w:hAnsi="David" w:hint="cs"/>
          <w:rtl/>
        </w:rPr>
        <w:t>"בדבר קידושין אזרחיים"</w:t>
      </w:r>
      <w:r w:rsidR="00EE675F" w:rsidRPr="00193D5D">
        <w:rPr>
          <w:rFonts w:ascii="David" w:hAnsi="David" w:hint="cs"/>
          <w:rtl/>
        </w:rPr>
        <w:t xml:space="preserve"> </w:t>
      </w:r>
      <w:r w:rsidR="008B6365" w:rsidRPr="00193D5D">
        <w:rPr>
          <w:rFonts w:ascii="David" w:hAnsi="David" w:hint="cs"/>
          <w:rtl/>
        </w:rPr>
        <w:t xml:space="preserve">- </w:t>
      </w:r>
      <w:r w:rsidR="00147EA9" w:rsidRPr="00193D5D">
        <w:rPr>
          <w:rFonts w:ascii="David" w:hAnsi="David" w:hint="cs"/>
          <w:rtl/>
        </w:rPr>
        <w:t>לדעתו כיוון שבני הזוג לא רוצים בזנות אלא בקשר מחייב, על אף שאינם הולכים בדרך התורה כל עו</w:t>
      </w:r>
      <w:r w:rsidR="00F6494A" w:rsidRPr="00193D5D">
        <w:rPr>
          <w:rFonts w:ascii="David" w:hAnsi="David" w:hint="cs"/>
          <w:rtl/>
        </w:rPr>
        <w:t>ד הם עושים מעשה כדרך התורה (קידושי ביאה) הם נשואים.</w:t>
      </w:r>
    </w:p>
    <w:p w14:paraId="7DE1F800" w14:textId="3DCD6713" w:rsidR="00D85941" w:rsidRDefault="009F16A7" w:rsidP="000E3591">
      <w:pPr>
        <w:pStyle w:val="ac"/>
        <w:bidi/>
        <w:ind w:left="199"/>
        <w:rPr>
          <w:rFonts w:ascii="David" w:hAnsi="David"/>
          <w:rtl/>
        </w:rPr>
      </w:pPr>
      <w:r w:rsidRPr="000E3591">
        <w:rPr>
          <w:rFonts w:ascii="David" w:hAnsi="David" w:hint="cs"/>
          <w:rtl/>
        </w:rPr>
        <w:t xml:space="preserve">הרב משה פיינשטיין אומר בניגוד לרב הנקין, שהכוונה הנדרשת היא קידושין כדת משה וישראל ולכן מי שלא עשה טקס הלכתי לא רצה </w:t>
      </w:r>
      <w:r w:rsidR="00E31F5A" w:rsidRPr="000E3591">
        <w:rPr>
          <w:rFonts w:ascii="David" w:hAnsi="David" w:hint="cs"/>
          <w:rtl/>
        </w:rPr>
        <w:t>להינשא</w:t>
      </w:r>
      <w:r w:rsidRPr="000E3591">
        <w:rPr>
          <w:rFonts w:ascii="David" w:hAnsi="David" w:hint="cs"/>
          <w:rtl/>
        </w:rPr>
        <w:t xml:space="preserve"> כדת משה וישראל ולכן אין צורך בגט. אבל כיוון שהרב הנקין הוא פוסק הלכה גדול, אם אפשר אז </w:t>
      </w:r>
      <w:r w:rsidR="00A83D2E" w:rsidRPr="000E3591">
        <w:rPr>
          <w:rFonts w:ascii="David" w:hAnsi="David" w:hint="cs"/>
          <w:rtl/>
        </w:rPr>
        <w:t>רצוי לסדר גט.</w:t>
      </w:r>
      <w:r w:rsidR="00E31F5A">
        <w:rPr>
          <w:rFonts w:ascii="David" w:hAnsi="David" w:hint="cs"/>
          <w:rtl/>
        </w:rPr>
        <w:t xml:space="preserve"> </w:t>
      </w:r>
    </w:p>
    <w:p w14:paraId="0BF81414" w14:textId="78AC87CE" w:rsidR="00E31F5A" w:rsidRDefault="00E31F5A" w:rsidP="00CA5824">
      <w:pPr>
        <w:pStyle w:val="ac"/>
        <w:bidi/>
        <w:spacing w:after="0"/>
        <w:ind w:left="199"/>
        <w:rPr>
          <w:rFonts w:ascii="David" w:hAnsi="David"/>
          <w:rtl/>
        </w:rPr>
      </w:pPr>
      <w:r>
        <w:rPr>
          <w:rFonts w:ascii="David" w:hAnsi="David" w:hint="cs"/>
          <w:rtl/>
        </w:rPr>
        <w:t xml:space="preserve">הבעיה גישתו של הרב פיינשטיין - </w:t>
      </w:r>
      <w:r w:rsidR="00286D6D">
        <w:rPr>
          <w:rFonts w:ascii="David" w:hAnsi="David" w:hint="cs"/>
          <w:rtl/>
        </w:rPr>
        <w:t>מה קורה במקרה של זוג שלא יכול להינשא כדת משה וישראל ולכן נישאו אזרחים - כמו כהן וגרושה (או אפילו אזרחיים התקופה הקומוניסטי</w:t>
      </w:r>
      <w:r w:rsidR="00286D6D">
        <w:rPr>
          <w:rFonts w:ascii="David" w:hAnsi="David" w:hint="eastAsia"/>
          <w:rtl/>
        </w:rPr>
        <w:t>ת</w:t>
      </w:r>
      <w:r w:rsidR="00286D6D">
        <w:rPr>
          <w:rFonts w:ascii="David" w:hAnsi="David" w:hint="cs"/>
          <w:rtl/>
        </w:rPr>
        <w:t xml:space="preserve"> שהיה אסור להם להינשא לפי הדת).</w:t>
      </w:r>
      <w:r w:rsidR="004A7920">
        <w:rPr>
          <w:rFonts w:ascii="David" w:hAnsi="David" w:hint="cs"/>
          <w:rtl/>
        </w:rPr>
        <w:t xml:space="preserve"> </w:t>
      </w:r>
      <w:r w:rsidR="002D602E">
        <w:rPr>
          <w:rFonts w:ascii="David" w:hAnsi="David" w:hint="cs"/>
          <w:rtl/>
        </w:rPr>
        <w:t xml:space="preserve">במקרה כזה יהיה </w:t>
      </w:r>
      <w:r w:rsidR="0004382D">
        <w:rPr>
          <w:rFonts w:ascii="David" w:hAnsi="David" w:hint="cs"/>
          <w:rtl/>
        </w:rPr>
        <w:t>חשש שהייתה כוונה להינשא כדת משה וישראל.</w:t>
      </w:r>
    </w:p>
    <w:p w14:paraId="79D8C6B3" w14:textId="2FA1E10F" w:rsidR="0031185F" w:rsidRPr="0031185F" w:rsidRDefault="0031185F" w:rsidP="0031185F">
      <w:pPr>
        <w:pBdr>
          <w:top w:val="single" w:sz="4" w:space="1" w:color="auto"/>
        </w:pBdr>
        <w:rPr>
          <w:rFonts w:ascii="David" w:hAnsi="David"/>
        </w:rPr>
      </w:pPr>
      <w:r>
        <w:rPr>
          <w:rFonts w:ascii="David" w:hAnsi="David" w:hint="cs"/>
          <w:rtl/>
        </w:rPr>
        <w:t>24.05.2022</w:t>
      </w:r>
    </w:p>
    <w:p w14:paraId="58C90BAD" w14:textId="4495CA02" w:rsidR="00FD046A" w:rsidRPr="00092C58" w:rsidRDefault="00092C58" w:rsidP="00092C58">
      <w:pPr>
        <w:rPr>
          <w:rFonts w:ascii="David" w:hAnsi="David"/>
        </w:rPr>
      </w:pPr>
      <w:r w:rsidRPr="00092C58">
        <w:rPr>
          <w:rFonts w:ascii="David" w:hAnsi="David" w:hint="cs"/>
          <w:rtl/>
        </w:rPr>
        <w:t>כיום לא מעט אנשים בוחרים להתחתן אזרחים מחוץ לישראל וכיוון שאחוז הגירושין גדל בית הדין פוגש לא מעט מקרים של גירושין של זוג שנישא אזרחית. אולם, בהמון מקרים אין פסק דין כיוון שיש הסכמה של הצדדים להתגרש. אבל עדיין ישנם לא מעט פסקי דין.</w:t>
      </w:r>
    </w:p>
    <w:p w14:paraId="41737BFA" w14:textId="2D57532D" w:rsidR="00092C58" w:rsidRPr="002C4969" w:rsidRDefault="00092C58" w:rsidP="002C4969">
      <w:pPr>
        <w:pStyle w:val="ac"/>
        <w:numPr>
          <w:ilvl w:val="0"/>
          <w:numId w:val="22"/>
        </w:numPr>
        <w:shd w:val="clear" w:color="auto" w:fill="FFF4CD" w:themeFill="accent1" w:themeFillTint="33"/>
        <w:bidi/>
        <w:rPr>
          <w:rFonts w:ascii="David" w:hAnsi="David"/>
          <w:b/>
          <w:bCs/>
        </w:rPr>
      </w:pPr>
      <w:r w:rsidRPr="002C4969">
        <w:rPr>
          <w:rFonts w:ascii="David" w:hAnsi="David" w:hint="cs"/>
          <w:b/>
          <w:bCs/>
          <w:rtl/>
        </w:rPr>
        <w:t>פסקי דין בנושא גירושין של בני זוג שנישאו אזרחית:</w:t>
      </w:r>
    </w:p>
    <w:p w14:paraId="0A1EA93C" w14:textId="4AFAEE70" w:rsidR="00092C58" w:rsidRPr="002C4969" w:rsidRDefault="00092C58" w:rsidP="00092C58">
      <w:pPr>
        <w:pStyle w:val="ac"/>
        <w:numPr>
          <w:ilvl w:val="1"/>
          <w:numId w:val="22"/>
        </w:numPr>
        <w:bidi/>
        <w:rPr>
          <w:rFonts w:ascii="David" w:hAnsi="David"/>
          <w:b/>
          <w:bCs/>
        </w:rPr>
      </w:pPr>
      <w:r w:rsidRPr="002C4969">
        <w:rPr>
          <w:rFonts w:ascii="David" w:hAnsi="David" w:hint="cs"/>
          <w:b/>
          <w:bCs/>
          <w:rtl/>
        </w:rPr>
        <w:t>שני פסקי דין מ- 2005 שניתנו תוך שלושה שבועות עם אותו הרכב:</w:t>
      </w:r>
    </w:p>
    <w:p w14:paraId="179A1E99" w14:textId="5E500CA2" w:rsidR="00092C58" w:rsidRDefault="00092C58" w:rsidP="00092C58">
      <w:pPr>
        <w:pStyle w:val="ac"/>
        <w:numPr>
          <w:ilvl w:val="2"/>
          <w:numId w:val="22"/>
        </w:numPr>
        <w:bidi/>
        <w:rPr>
          <w:rFonts w:ascii="David" w:hAnsi="David"/>
        </w:rPr>
      </w:pPr>
      <w:r w:rsidRPr="002C4969">
        <w:rPr>
          <w:rFonts w:ascii="David" w:hAnsi="David" w:hint="cs"/>
          <w:highlight w:val="cyan"/>
          <w:rtl/>
        </w:rPr>
        <w:t>פס"ד נובמבר 2005</w:t>
      </w:r>
      <w:r w:rsidR="00C5024D">
        <w:rPr>
          <w:rFonts w:ascii="David" w:hAnsi="David" w:hint="cs"/>
          <w:highlight w:val="cyan"/>
          <w:rtl/>
        </w:rPr>
        <w:t xml:space="preserve"> </w:t>
      </w:r>
      <w:r w:rsidRPr="002C4969">
        <w:rPr>
          <w:rFonts w:ascii="David" w:hAnsi="David" w:hint="cs"/>
          <w:highlight w:val="cyan"/>
          <w:rtl/>
        </w:rPr>
        <w:t>(2484-21-1)</w:t>
      </w:r>
      <w:r>
        <w:rPr>
          <w:rFonts w:ascii="David" w:hAnsi="David" w:hint="cs"/>
          <w:rtl/>
        </w:rPr>
        <w:t xml:space="preserve">: </w:t>
      </w:r>
      <w:r w:rsidR="002C4969">
        <w:rPr>
          <w:rFonts w:ascii="David" w:hAnsi="David" w:hint="cs"/>
          <w:rtl/>
        </w:rPr>
        <w:t>מקרה של נישואי פרגוואי (מבחינת ההלכה אין זה משנה אם זה נישואי פרגוואי או קפריסין). בית הדין קובע כי יש צורך במתן גט לחומרא מחשש לקידוש ביאה. בית הדין אומר שהיה מקום להגיד שאין טעם לחשוש שמדובר בנישואי פרגוואי כיוון שהם זוג חילוני שיכול היה להתחתן בארץ ובחר לא לעשות כן. עם זאת, יש מספר טעמים בגינם על אף שברור שלא רצו להינשא כדמו"י</w:t>
      </w:r>
      <w:r w:rsidR="00566A70">
        <w:rPr>
          <w:rFonts w:ascii="David" w:hAnsi="David" w:hint="cs"/>
          <w:rtl/>
        </w:rPr>
        <w:t xml:space="preserve"> דרוש גט לחומרא:</w:t>
      </w:r>
    </w:p>
    <w:p w14:paraId="2ED36207" w14:textId="01C5ADA5" w:rsidR="00566A70" w:rsidRDefault="00566A70" w:rsidP="00566A70">
      <w:pPr>
        <w:pStyle w:val="ac"/>
        <w:numPr>
          <w:ilvl w:val="3"/>
          <w:numId w:val="22"/>
        </w:numPr>
        <w:bidi/>
        <w:rPr>
          <w:rFonts w:ascii="David" w:hAnsi="David"/>
        </w:rPr>
      </w:pPr>
      <w:r>
        <w:rPr>
          <w:rFonts w:ascii="David" w:hAnsi="David" w:hint="cs"/>
          <w:rtl/>
        </w:rPr>
        <w:t>שיטת הרב הנקין שקובע כי מספיק כוונה להינשא ולא משנה אם מדובר בנישואין כדמו"י ולכן יש צורך בגט. בנוסף, הרב פיינשטיין אומר שאם אין כוונה להינשא כדמו"י אז מעיקר הדין לא צריך גט אבל יש מקום לתת גט לחומרא במידה ואפשרי. בית הדין קובע כי גישתו של הרב פיינשטיין היא הגישה הרווחת. בית הדין בודק האם היה מחויבות כלשהי לנישואין (לא בהכרח כדמו"י) וקובע שהייתה מחויבות, יתרה מזאת האישה רצתה להינשא כדמו"י בעוד הגבר לא רצה כי חשש ליהדותו.</w:t>
      </w:r>
    </w:p>
    <w:p w14:paraId="732167D8" w14:textId="4C2EC95C" w:rsidR="00566A70" w:rsidRDefault="008206CC" w:rsidP="00566A70">
      <w:pPr>
        <w:pStyle w:val="ac"/>
        <w:numPr>
          <w:ilvl w:val="3"/>
          <w:numId w:val="22"/>
        </w:numPr>
        <w:bidi/>
        <w:rPr>
          <w:rFonts w:ascii="David" w:hAnsi="David"/>
        </w:rPr>
      </w:pPr>
      <w:r>
        <w:rPr>
          <w:rFonts w:ascii="David" w:hAnsi="David" w:hint="cs"/>
          <w:rtl/>
        </w:rPr>
        <w:t>אם לא נסדר גט הציבור לא יבין איך זה הגיוני שלא סודר גט לאישה נשואה. אולם, במקום שמדובר בידועים בציבור אין מקום לחשוש לזה. לדעת פרופ' רדזינר מדובר בנימוק מזור שכן רוב האנשים לא בודקים אם אישה קיבל גט או לא.</w:t>
      </w:r>
    </w:p>
    <w:p w14:paraId="3393336B" w14:textId="773D7B90" w:rsidR="008206CC" w:rsidRDefault="008206CC" w:rsidP="008206CC">
      <w:pPr>
        <w:pStyle w:val="ac"/>
        <w:numPr>
          <w:ilvl w:val="3"/>
          <w:numId w:val="22"/>
        </w:numPr>
        <w:bidi/>
        <w:rPr>
          <w:rFonts w:ascii="David" w:hAnsi="David"/>
        </w:rPr>
      </w:pPr>
      <w:r>
        <w:rPr>
          <w:rFonts w:ascii="David" w:hAnsi="David" w:hint="cs"/>
          <w:rtl/>
        </w:rPr>
        <w:t xml:space="preserve">החידוש הגדול של ה"צפנת פענח" </w:t>
      </w:r>
      <w:r w:rsidR="00C5024D">
        <w:rPr>
          <w:rFonts w:ascii="David" w:hAnsi="David" w:hint="cs"/>
          <w:rtl/>
        </w:rPr>
        <w:t>שקובע כי היו שם נישואין כדין "בני נוח" ולכן צריך גט (שיטה ייחודית ולא מקובלת).</w:t>
      </w:r>
    </w:p>
    <w:p w14:paraId="2AE59F73" w14:textId="77777777" w:rsidR="00C5024D" w:rsidRDefault="00C5024D" w:rsidP="00C5024D">
      <w:pPr>
        <w:pStyle w:val="ac"/>
        <w:numPr>
          <w:ilvl w:val="2"/>
          <w:numId w:val="22"/>
        </w:numPr>
        <w:bidi/>
        <w:rPr>
          <w:rFonts w:ascii="David" w:hAnsi="David"/>
        </w:rPr>
      </w:pPr>
      <w:r w:rsidRPr="00D3381B">
        <w:rPr>
          <w:rFonts w:ascii="David" w:hAnsi="David" w:hint="cs"/>
          <w:highlight w:val="cyan"/>
          <w:rtl/>
        </w:rPr>
        <w:t>פס"ד דצמבר 2015 (2578-21-1):</w:t>
      </w:r>
      <w:r>
        <w:rPr>
          <w:rFonts w:ascii="David" w:hAnsi="David" w:hint="cs"/>
          <w:rtl/>
        </w:rPr>
        <w:t xml:space="preserve"> מדובר במקרה שהאישה מגיעה לבי"ד והגבר לא מגיע ומשוחחים איתו בטלפון. בית הדין קובע כי אין לחייב את האישה בגט. בנימוקים של בית הדין:</w:t>
      </w:r>
    </w:p>
    <w:p w14:paraId="0ED59535" w14:textId="77777777" w:rsidR="00C5024D" w:rsidRDefault="00C5024D" w:rsidP="00C5024D">
      <w:pPr>
        <w:pStyle w:val="ac"/>
        <w:numPr>
          <w:ilvl w:val="3"/>
          <w:numId w:val="22"/>
        </w:numPr>
        <w:bidi/>
        <w:rPr>
          <w:rFonts w:ascii="David" w:hAnsi="David"/>
        </w:rPr>
      </w:pPr>
      <w:r>
        <w:rPr>
          <w:rFonts w:ascii="David" w:hAnsi="David" w:hint="cs"/>
          <w:rtl/>
        </w:rPr>
        <w:t xml:space="preserve"> העמדה של הרב הנקין היא שגם בנישואין אזרחיים יש צורך לסדר גט, כיוון שמספיק כוונה אוניברסלית, אולם במקרה הזה הנישואין היו למטרת קבלת עבודה והייתה להם מחשבה להינשא כדמו"י בהמשך ולכן ברור שאין לחשוש לגישת הרב הנקין.</w:t>
      </w:r>
    </w:p>
    <w:p w14:paraId="3C7D785B" w14:textId="67233D21" w:rsidR="00E57DB6" w:rsidRDefault="00E57DB6" w:rsidP="00C5024D">
      <w:pPr>
        <w:pStyle w:val="ac"/>
        <w:numPr>
          <w:ilvl w:val="3"/>
          <w:numId w:val="22"/>
        </w:numPr>
        <w:bidi/>
        <w:rPr>
          <w:rFonts w:ascii="David" w:hAnsi="David"/>
        </w:rPr>
      </w:pPr>
      <w:r>
        <w:rPr>
          <w:rFonts w:ascii="David" w:hAnsi="David" w:hint="cs"/>
          <w:rtl/>
        </w:rPr>
        <w:t>הרב משה פיינשטיין קובע שאם בני זוג נישאו אבל לאחר הנישואין לא חיו בסביבה עם עדים כשרים הרי שאין נישואין. במקרה הזה חיו בסביבה לא יהודית כלל והסביבה כלל לא ידעו שהתקיימו נישואין שכן לא שינו את חייהם.</w:t>
      </w:r>
    </w:p>
    <w:p w14:paraId="4DECFFFE" w14:textId="3DCAD074" w:rsidR="00E57DB6" w:rsidRDefault="00E57DB6" w:rsidP="00E57DB6">
      <w:pPr>
        <w:pStyle w:val="ac"/>
        <w:bidi/>
        <w:ind w:left="369"/>
        <w:rPr>
          <w:rFonts w:ascii="David" w:hAnsi="David"/>
        </w:rPr>
      </w:pPr>
      <w:r>
        <w:rPr>
          <w:rFonts w:ascii="David" w:hAnsi="David" w:hint="cs"/>
          <w:rtl/>
        </w:rPr>
        <w:t>"על כן פסקנו שיש להתיר בלא גט, ובמיוחד כאש הבעל חי בארה"ב וסידור גט כרוך במאמצים" - משפט זה מעיד על כמה גט לחומרא הוא לא יציב וישנם הרכבים שיוותרו עליו משיקולים יחסית פשוטים.</w:t>
      </w:r>
    </w:p>
    <w:p w14:paraId="0CBA3355" w14:textId="38147D75" w:rsidR="00C5024D" w:rsidRDefault="00A53B2E" w:rsidP="00E57DB6">
      <w:pPr>
        <w:pStyle w:val="ac"/>
        <w:numPr>
          <w:ilvl w:val="1"/>
          <w:numId w:val="22"/>
        </w:numPr>
        <w:bidi/>
        <w:rPr>
          <w:rFonts w:ascii="David" w:hAnsi="David"/>
        </w:rPr>
      </w:pPr>
      <w:r>
        <w:rPr>
          <w:rFonts w:ascii="David" w:hAnsi="David" w:hint="cs"/>
          <w:rtl/>
        </w:rPr>
        <w:lastRenderedPageBreak/>
        <w:t>בעבר בתי הדין לא היו מוותרים בקלות על גט במקרים של נישואין אזרחים ואילו היום יש תנועה לכיוון הקלה בנושא. והיום בהמון מקרים די מהר כאשר לא מצליחים לסדר גט בי"ד בוחרים לוותר עליו.</w:t>
      </w:r>
      <w:r w:rsidR="00667CC2">
        <w:rPr>
          <w:rFonts w:ascii="David" w:hAnsi="David" w:hint="cs"/>
          <w:rtl/>
        </w:rPr>
        <w:t xml:space="preserve"> </w:t>
      </w:r>
      <w:r w:rsidR="00667CC2" w:rsidRPr="00667CC2">
        <w:rPr>
          <w:rFonts w:ascii="David" w:hAnsi="David" w:hint="cs"/>
          <w:b/>
          <w:bCs/>
          <w:u w:val="single"/>
          <w:rtl/>
        </w:rPr>
        <w:t>פסקי דין המעידים העל מגמת השינוי</w:t>
      </w:r>
      <w:r w:rsidR="00667CC2">
        <w:rPr>
          <w:rFonts w:ascii="David" w:hAnsi="David" w:hint="cs"/>
          <w:rtl/>
        </w:rPr>
        <w:t>:</w:t>
      </w:r>
    </w:p>
    <w:p w14:paraId="6C772828" w14:textId="57B9779E" w:rsidR="00A53B2E" w:rsidRDefault="00A53B2E" w:rsidP="00A53B2E">
      <w:pPr>
        <w:pStyle w:val="ac"/>
        <w:numPr>
          <w:ilvl w:val="2"/>
          <w:numId w:val="22"/>
        </w:numPr>
        <w:bidi/>
        <w:rPr>
          <w:rFonts w:ascii="David" w:hAnsi="David"/>
        </w:rPr>
      </w:pPr>
      <w:r w:rsidRPr="00D3381B">
        <w:rPr>
          <w:rFonts w:ascii="David" w:hAnsi="David" w:hint="cs"/>
          <w:highlight w:val="cyan"/>
          <w:rtl/>
        </w:rPr>
        <w:t>בג"ץ שטרייט</w:t>
      </w:r>
      <w:r>
        <w:rPr>
          <w:rFonts w:ascii="David" w:hAnsi="David" w:hint="cs"/>
          <w:rtl/>
        </w:rPr>
        <w:t>: גבר רצה לקבל היתר נישואין והאישה סרבה לתת גט 8 שנים ובית הדין העדיף לתת היתר נישואין על פני לוותר על הגט. על אף שהם נישאו בנישואין אזרחים! -היום דבר זה לא היה עולה על הדת וברור שהיה נפסק שאין צורך בגט.</w:t>
      </w:r>
    </w:p>
    <w:p w14:paraId="012EBCB2" w14:textId="4456D14C" w:rsidR="00A53B2E" w:rsidRDefault="00D3381B" w:rsidP="00A53B2E">
      <w:pPr>
        <w:pStyle w:val="ac"/>
        <w:numPr>
          <w:ilvl w:val="2"/>
          <w:numId w:val="22"/>
        </w:numPr>
        <w:bidi/>
        <w:rPr>
          <w:rFonts w:ascii="David" w:hAnsi="David"/>
        </w:rPr>
      </w:pPr>
      <w:r w:rsidRPr="00D3381B">
        <w:rPr>
          <w:rFonts w:ascii="David" w:hAnsi="David" w:hint="cs"/>
          <w:highlight w:val="cyan"/>
          <w:rtl/>
        </w:rPr>
        <w:t>פס"ד 1980</w:t>
      </w:r>
      <w:r>
        <w:rPr>
          <w:rFonts w:ascii="David" w:hAnsi="David" w:hint="cs"/>
          <w:rtl/>
        </w:rPr>
        <w:t>: הגבר נטש את האישה ונעלם, באישה במשך 20 שנה מבקשת גט והגבר לא נמצא. כלומר, היא חייבת בגט על אף שנישאו אזרחית - לבסוף לאחר 20 שנה בית הדין קובע שאין צורך בגט כיוון שנישאו אזרחית, ומבקש אישור מהרב עובדיה יוסף והרב משאש, כיוון שבאותו תקופה ראו בהחלטה כזו צעד מאוד מהפכני.</w:t>
      </w:r>
    </w:p>
    <w:p w14:paraId="51A82341" w14:textId="2615CEF6" w:rsidR="00D3381B" w:rsidRDefault="00667CC2" w:rsidP="00D3381B">
      <w:pPr>
        <w:pStyle w:val="ac"/>
        <w:numPr>
          <w:ilvl w:val="2"/>
          <w:numId w:val="22"/>
        </w:numPr>
        <w:bidi/>
        <w:rPr>
          <w:rFonts w:ascii="David" w:hAnsi="David"/>
        </w:rPr>
      </w:pPr>
      <w:r w:rsidRPr="00667CC2">
        <w:rPr>
          <w:rFonts w:ascii="David" w:hAnsi="David" w:hint="cs"/>
          <w:highlight w:val="cyan"/>
          <w:rtl/>
        </w:rPr>
        <w:t>פס"ד של בית הדין הגדול:</w:t>
      </w:r>
      <w:r>
        <w:rPr>
          <w:rFonts w:ascii="David" w:hAnsi="David" w:hint="cs"/>
          <w:rtl/>
        </w:rPr>
        <w:t xml:space="preserve"> האם יש לקצוב את הזמן לצורך איתור הבעל?</w:t>
      </w:r>
      <w:r w:rsidR="00D3381B">
        <w:rPr>
          <w:rFonts w:ascii="David" w:hAnsi="David" w:hint="cs"/>
          <w:rtl/>
        </w:rPr>
        <w:t xml:space="preserve"> בני הזוג שנישאו אזרחית והסכימו להתגרש אבל הבעל לא מגיע לבית הדין. האישה מבקשת לקבוע כי אין צורך בגט ובית הדין האזורי לא מוכן לוותר לה וקובע שמקום שאפשר לתת גט צריך לתת. לכן היא מערערת לבית הדין הגדול. בית הדין הגדול קובע שההחלטה של בית הדין האזורי היא הגיונית אבל יש לקצוב זאת בזמן. בית הדין הגדול קבוע שחצי שנה זה זמן הגיוני לקבוע שאם הגבר לא מגיע אי אפשר לסדר גט לחומרא ואפשר לוותר עליו.</w:t>
      </w:r>
      <w:r>
        <w:rPr>
          <w:rFonts w:ascii="David" w:hAnsi="David" w:hint="cs"/>
          <w:rtl/>
        </w:rPr>
        <w:t xml:space="preserve"> באותו מקרה לבסוף במהלך החצי שנה אותר הגבר וסודר הגט.</w:t>
      </w:r>
    </w:p>
    <w:p w14:paraId="2DB18185" w14:textId="06DA2848" w:rsidR="00667CC2" w:rsidRDefault="002E0D39" w:rsidP="00667CC2">
      <w:pPr>
        <w:pStyle w:val="ac"/>
        <w:numPr>
          <w:ilvl w:val="2"/>
          <w:numId w:val="22"/>
        </w:numPr>
        <w:bidi/>
        <w:rPr>
          <w:rFonts w:ascii="David" w:hAnsi="David"/>
        </w:rPr>
      </w:pPr>
      <w:r w:rsidRPr="00CE2565">
        <w:rPr>
          <w:rFonts w:ascii="David" w:hAnsi="David" w:hint="cs"/>
          <w:highlight w:val="cyan"/>
          <w:rtl/>
        </w:rPr>
        <w:t>פס"ד משנת 2009</w:t>
      </w:r>
      <w:r>
        <w:rPr>
          <w:rFonts w:ascii="David" w:hAnsi="David" w:hint="cs"/>
          <w:rtl/>
        </w:rPr>
        <w:t>: באותו מקרה מוותרים על הגט על אף שהבעל מוכן לתת גט. מדוע מוותרים על הגט? כי לאישה יש בן זוג כהן והיא רוצה להינשא אליו. בית הדין מזהיר ואומר שאי אפשר ללמוד מהמקרה הזה למקרים אחרים ויש כאן נסיבות מיוחדות. זה מלמד אותנו כי לא רק מקרים של עגינות יוותרו על הגט אלא גם ברצון להינשא לכהן (לא כל הרכב היה מוותר על גט)</w:t>
      </w:r>
      <w:r w:rsidR="00306251">
        <w:rPr>
          <w:rFonts w:ascii="David" w:hAnsi="David" w:hint="cs"/>
          <w:rtl/>
        </w:rPr>
        <w:t xml:space="preserve">. מה הדילמה שעמדה מול בי"ד? את הנישואין השניים שלה האישה רוצה לעשות ברבנות, בי"ד יכול היה לבחור להקשות ולבקש גט אבל ככול הנראה אם הם לא יאפשרו להם להינשא כדת משה וישראל הם יחיו כלא נישואין או יינשאו אזרחית. </w:t>
      </w:r>
    </w:p>
    <w:p w14:paraId="075E8A3B" w14:textId="319F04D9" w:rsidR="00306251" w:rsidRPr="00AA3469" w:rsidRDefault="00306251" w:rsidP="00AA3469">
      <w:pPr>
        <w:pStyle w:val="ac"/>
        <w:numPr>
          <w:ilvl w:val="1"/>
          <w:numId w:val="22"/>
        </w:numPr>
        <w:bidi/>
        <w:rPr>
          <w:rFonts w:ascii="David" w:hAnsi="David"/>
          <w:b/>
          <w:bCs/>
          <w:u w:val="single"/>
        </w:rPr>
      </w:pPr>
      <w:r>
        <w:rPr>
          <w:rFonts w:ascii="David" w:hAnsi="David" w:hint="cs"/>
          <w:rtl/>
        </w:rPr>
        <w:t xml:space="preserve">מה הבעיה במקרה הזה? בית הדין יוצא מנקודת הנחה שאם הוא ייתן גט לחומרא זה ימנע ממנה להינשא לכהן. כלומר אם לא היה לא בן זוג כהן והיו נותנים לה גט ואח"כ היא הייתה מכירה אותו הם לא היו יכולים להינשא. </w:t>
      </w:r>
      <w:r w:rsidRPr="00306251">
        <w:rPr>
          <w:rFonts w:ascii="David" w:hAnsi="David" w:hint="cs"/>
          <w:b/>
          <w:bCs/>
          <w:u w:val="single"/>
          <w:rtl/>
        </w:rPr>
        <w:t>מה הגישה הרווחת לגבי היכולות של אישה להינשא לכהן אם קיבלה גט לחומרא:</w:t>
      </w:r>
      <w:r>
        <w:rPr>
          <w:rFonts w:ascii="David" w:hAnsi="David" w:hint="cs"/>
          <w:b/>
          <w:bCs/>
          <w:u w:val="single"/>
          <w:rtl/>
        </w:rPr>
        <w:t xml:space="preserve"> </w:t>
      </w:r>
      <w:r>
        <w:rPr>
          <w:rFonts w:ascii="David" w:hAnsi="David" w:hint="cs"/>
          <w:rtl/>
        </w:rPr>
        <w:t xml:space="preserve">יש מחלוקת בין אשכנזים לספרדים </w:t>
      </w:r>
      <w:r w:rsidR="00EA1D11">
        <w:rPr>
          <w:rFonts w:ascii="David" w:hAnsi="David" w:hint="cs"/>
          <w:rtl/>
        </w:rPr>
        <w:t>כבר בשו"ע.</w:t>
      </w:r>
      <w:r w:rsidR="00AA3469">
        <w:rPr>
          <w:rFonts w:ascii="David" w:hAnsi="David" w:hint="cs"/>
          <w:rtl/>
        </w:rPr>
        <w:t xml:space="preserve"> </w:t>
      </w:r>
      <w:r w:rsidR="00EA1D11" w:rsidRPr="00AA3469">
        <w:rPr>
          <w:rFonts w:ascii="David" w:hAnsi="David" w:hint="cs"/>
          <w:rtl/>
        </w:rPr>
        <w:t>הרמ"א - אפילו מקרים בהם עושים גט לחומרא רק מחשש שאולי היו בעבר היו קידושין (אפילו פחות ודאי מנישואין אזרחיים), היא לא יכולה להינשא לכהן.</w:t>
      </w:r>
      <w:r w:rsidR="00AA3469" w:rsidRPr="00AA3469">
        <w:rPr>
          <w:rFonts w:ascii="David" w:hAnsi="David" w:hint="cs"/>
          <w:rtl/>
        </w:rPr>
        <w:t xml:space="preserve"> נראה שזו הגישה המרכזית</w:t>
      </w:r>
      <w:r w:rsidR="00EC4509">
        <w:rPr>
          <w:rFonts w:ascii="David" w:hAnsi="David" w:hint="cs"/>
          <w:rtl/>
        </w:rPr>
        <w:t xml:space="preserve">. </w:t>
      </w:r>
      <w:r w:rsidR="00EC4509">
        <w:rPr>
          <w:rFonts w:ascii="David" w:hAnsi="David" w:hint="cs"/>
          <w:u w:val="single"/>
          <w:rtl/>
        </w:rPr>
        <w:t>על אף שאפשר לוותר על גט שכזה אם הוא ניתן יהיה אסור לה להינשא לכהן.</w:t>
      </w:r>
    </w:p>
    <w:p w14:paraId="7B72C6B4" w14:textId="77777777" w:rsidR="00DF6981" w:rsidRDefault="00EA1D11" w:rsidP="00DF6981">
      <w:pPr>
        <w:pStyle w:val="ac"/>
        <w:numPr>
          <w:ilvl w:val="1"/>
          <w:numId w:val="22"/>
        </w:numPr>
        <w:bidi/>
        <w:rPr>
          <w:rFonts w:ascii="David" w:hAnsi="David"/>
        </w:rPr>
      </w:pPr>
      <w:r w:rsidRPr="00FD5DB4">
        <w:rPr>
          <w:rFonts w:ascii="David" w:hAnsi="David" w:hint="cs"/>
          <w:highlight w:val="cyan"/>
          <w:rtl/>
        </w:rPr>
        <w:t>בג"ץ בני נוח</w:t>
      </w:r>
      <w:r w:rsidRPr="00FD5DB4">
        <w:rPr>
          <w:rFonts w:ascii="David" w:hAnsi="David" w:hint="cs"/>
          <w:rtl/>
        </w:rPr>
        <w:t xml:space="preserve">: </w:t>
      </w:r>
    </w:p>
    <w:p w14:paraId="7061A031" w14:textId="1C657629" w:rsidR="00C51819" w:rsidRPr="00DF6981" w:rsidRDefault="00C51819" w:rsidP="00DF6981">
      <w:pPr>
        <w:pStyle w:val="ac"/>
        <w:bidi/>
        <w:ind w:left="199"/>
        <w:rPr>
          <w:rFonts w:ascii="David" w:hAnsi="David"/>
        </w:rPr>
      </w:pPr>
      <w:r w:rsidRPr="00DF6981">
        <w:rPr>
          <w:rFonts w:ascii="David" w:hAnsi="David" w:hint="cs"/>
          <w:rtl/>
        </w:rPr>
        <w:t>במקרה בבית הדין: בני זוג נישאים בקפריסין על אף שיכלו להינשא בארץ. באישה ניגשת לבית הדין ומבקשת התרת נישואים. בי"ד קובע כי לא היו נישואים מעולם ולא קובע גט לחומרא</w:t>
      </w:r>
      <w:r w:rsidR="00DF6981" w:rsidRPr="00DF6981">
        <w:rPr>
          <w:rFonts w:ascii="David" w:hAnsi="David" w:hint="cs"/>
          <w:rtl/>
        </w:rPr>
        <w:t xml:space="preserve"> כי האישה עשתה בעיות. היא מערערת לבי"ד הגדול שם נקבע אותו דבר כמו בבית הדין האזורי. האישה מערערת לעליון ואומרת שלא נתנו לה בכלל לדון בטענת שלה רק בגלל שנישאה אזרחית.</w:t>
      </w:r>
    </w:p>
    <w:p w14:paraId="7E94EA28" w14:textId="7D3DCFFD" w:rsidR="00FD5DB4" w:rsidRDefault="00FD5DB4" w:rsidP="00DF6981">
      <w:pPr>
        <w:pStyle w:val="ac"/>
        <w:bidi/>
        <w:ind w:left="199"/>
        <w:rPr>
          <w:rFonts w:ascii="David" w:hAnsi="David"/>
          <w:rtl/>
        </w:rPr>
      </w:pPr>
      <w:r w:rsidRPr="00FD5DB4">
        <w:rPr>
          <w:rFonts w:ascii="David" w:hAnsi="David" w:hint="cs"/>
          <w:rtl/>
        </w:rPr>
        <w:t xml:space="preserve">החשד של בית המשפט העליון היה שבית הדין הרבני לא מכיר כלל בנישואין אזרחים ולכן ברק פונה לבית הדין הרבני שיסבירו למה הם בחרו באותו מקרה להתיר את הנישואין. תשובת בתי הדין הרבניים - הרב דיכובסקי עונה כי בדקנו את הסיבה לגירושין ולא היה מקום לשלום בית ולכן פסקו התרת נישואין. </w:t>
      </w:r>
    </w:p>
    <w:p w14:paraId="47610CA1" w14:textId="0D747827" w:rsidR="00DF6981" w:rsidRPr="00FD5DB4" w:rsidRDefault="00DF6981" w:rsidP="00DF6981">
      <w:pPr>
        <w:pStyle w:val="ac"/>
        <w:bidi/>
        <w:ind w:left="199"/>
        <w:rPr>
          <w:rFonts w:ascii="David" w:hAnsi="David"/>
        </w:rPr>
      </w:pPr>
      <w:r>
        <w:rPr>
          <w:rFonts w:ascii="David" w:hAnsi="David" w:hint="cs"/>
          <w:rtl/>
        </w:rPr>
        <w:t xml:space="preserve">נפסק - </w:t>
      </w:r>
      <w:r w:rsidR="00787FE7">
        <w:rPr>
          <w:rFonts w:ascii="David" w:hAnsi="David" w:hint="cs"/>
          <w:rtl/>
        </w:rPr>
        <w:t xml:space="preserve"> </w:t>
      </w:r>
      <w:r w:rsidRPr="00FD5DB4">
        <w:rPr>
          <w:rFonts w:ascii="David" w:hAnsi="David" w:hint="cs"/>
          <w:rtl/>
        </w:rPr>
        <w:t>ברק קובע כי נישואין אזרחים יקבעו בבי"ד הרבניים ואילו כל הנושאים הנלווים לגירושין לא ידונו בהם כיוון שהכריכה לא תהיה כנה.</w:t>
      </w:r>
    </w:p>
    <w:p w14:paraId="590D219A" w14:textId="2B9CBFCD" w:rsidR="00FD5DB4" w:rsidRDefault="007C6939" w:rsidP="00FD5DB4">
      <w:pPr>
        <w:pStyle w:val="ac"/>
        <w:numPr>
          <w:ilvl w:val="2"/>
          <w:numId w:val="22"/>
        </w:numPr>
        <w:bidi/>
        <w:rPr>
          <w:rFonts w:ascii="David" w:hAnsi="David"/>
        </w:rPr>
      </w:pPr>
      <w:r>
        <w:rPr>
          <w:rFonts w:ascii="David" w:hAnsi="David" w:hint="cs"/>
          <w:rtl/>
        </w:rPr>
        <w:t xml:space="preserve">הרב שרמן יוצא כנגד פס"ד של בני נוח מיד לאחר שהוא נפסק, זאת על אף שהוא חתום עליו! כמו כן, הרב דיכובסקי עצמו אומר שאין לפס"ד הרבה משמעות הלכתית, הרב דיכובסקי כותב כי היה חשש שללא מתן פס"ד זה הייתה נשללת מבתי הדין הרבניים הסמכות להתיר נישואים אזרחים. </w:t>
      </w:r>
      <w:r w:rsidR="00FD5DB4" w:rsidRPr="00FD5DB4">
        <w:rPr>
          <w:rFonts w:ascii="David" w:hAnsi="David" w:hint="cs"/>
          <w:rtl/>
        </w:rPr>
        <w:t>דבר זה צריך להדליק נורות אדומות וככול הנראה לומר לנו שכל מטרתם הייתה לשמר את הסמכות בבתי הדין הרבניים.</w:t>
      </w:r>
      <w:r w:rsidR="006D4CB5">
        <w:rPr>
          <w:rFonts w:ascii="David" w:hAnsi="David" w:hint="cs"/>
          <w:rtl/>
        </w:rPr>
        <w:t xml:space="preserve"> </w:t>
      </w:r>
    </w:p>
    <w:p w14:paraId="3776EEE8" w14:textId="2F252C0E" w:rsidR="006D4CB5" w:rsidRPr="006D4CB5" w:rsidRDefault="006D4CB5" w:rsidP="006D4CB5">
      <w:pPr>
        <w:pStyle w:val="ac"/>
        <w:numPr>
          <w:ilvl w:val="2"/>
          <w:numId w:val="22"/>
        </w:numPr>
        <w:bidi/>
        <w:rPr>
          <w:rFonts w:ascii="David" w:hAnsi="David"/>
        </w:rPr>
      </w:pPr>
      <w:r>
        <w:rPr>
          <w:rFonts w:ascii="David" w:hAnsi="David" w:hint="cs"/>
          <w:rtl/>
        </w:rPr>
        <w:t>מאמר - "גירושין של זוג שנישאו בנישואין אזרחים"- במאמר הזה נאמר שפסק דין של ביד"ר בבני נוח נכתב בעצתו של הרב שמעון יעקבי היועץ המשפט לבתי הדין הרבניים. גם זה מעלה חשש שאין כנות מלאה לגבי הפס"ד.</w:t>
      </w:r>
    </w:p>
    <w:p w14:paraId="35D3423B" w14:textId="654C1214" w:rsidR="00ED076E" w:rsidRPr="00CA5824" w:rsidRDefault="00FD5DB4" w:rsidP="00CA5824">
      <w:pPr>
        <w:pStyle w:val="ac"/>
        <w:numPr>
          <w:ilvl w:val="2"/>
          <w:numId w:val="22"/>
        </w:numPr>
        <w:bidi/>
        <w:rPr>
          <w:rFonts w:ascii="David" w:hAnsi="David"/>
        </w:rPr>
      </w:pPr>
      <w:r w:rsidRPr="007C6939">
        <w:rPr>
          <w:rFonts w:ascii="David" w:hAnsi="David" w:hint="cs"/>
          <w:u w:val="single"/>
          <w:rtl/>
        </w:rPr>
        <w:t>אמירות של ברק מתוך הספר של זאב סגל ובנדור</w:t>
      </w:r>
      <w:r w:rsidRPr="007C6939">
        <w:rPr>
          <w:rFonts w:ascii="David" w:hAnsi="David" w:hint="cs"/>
          <w:rtl/>
        </w:rPr>
        <w:t>: ברק</w:t>
      </w:r>
      <w:r w:rsidRPr="00DA4E56">
        <w:rPr>
          <w:rFonts w:ascii="David" w:hAnsi="David" w:hint="cs"/>
          <w:rtl/>
        </w:rPr>
        <w:t xml:space="preserve"> אומר שהנושא של גירושין ונישואין בישראל זה פגיעה בזכויות אדם</w:t>
      </w:r>
      <w:r>
        <w:rPr>
          <w:rFonts w:ascii="David" w:hAnsi="David" w:hint="cs"/>
          <w:rtl/>
        </w:rPr>
        <w:t>. ברק חושב שהטענה של חשש לממזרים במקרה של נישואין אזרחיים היא פיקטיבי</w:t>
      </w:r>
      <w:r>
        <w:rPr>
          <w:rFonts w:ascii="David" w:hAnsi="David" w:hint="eastAsia"/>
          <w:rtl/>
        </w:rPr>
        <w:t>ת</w:t>
      </w:r>
      <w:r>
        <w:rPr>
          <w:rFonts w:ascii="David" w:hAnsi="David" w:hint="cs"/>
          <w:rtl/>
        </w:rPr>
        <w:t xml:space="preserve"> - כיוון שאדם שנישא בנישואין אזרחיים על אף שהיה יכול להינשא כדמו"י אין ספק שהנישואים האזרחים אינם תופסים ולכן אין חשש לממזרות. הבעיה באמירה של ברק היא שהוא מניח שפס"ד בני נוח שינה משהו בגישה של בי"ד הרבניים. בפועל לא תמיד נפסק שאין צורך בגט. </w:t>
      </w:r>
      <w:r w:rsidRPr="00DA4E56">
        <w:rPr>
          <w:rFonts w:ascii="David" w:hAnsi="David" w:hint="cs"/>
          <w:rtl/>
        </w:rPr>
        <w:t xml:space="preserve"> </w:t>
      </w:r>
    </w:p>
    <w:p w14:paraId="7766216C" w14:textId="5913F018" w:rsidR="00352561" w:rsidRPr="00352561" w:rsidRDefault="00352561" w:rsidP="00352561">
      <w:pPr>
        <w:pBdr>
          <w:top w:val="single" w:sz="4" w:space="1" w:color="auto"/>
        </w:pBdr>
        <w:rPr>
          <w:rFonts w:ascii="David" w:hAnsi="David"/>
        </w:rPr>
      </w:pPr>
      <w:r>
        <w:rPr>
          <w:rFonts w:ascii="David" w:hAnsi="David" w:hint="cs"/>
          <w:rtl/>
        </w:rPr>
        <w:lastRenderedPageBreak/>
        <w:t>31.05.2022</w:t>
      </w:r>
    </w:p>
    <w:p w14:paraId="28DBCD33" w14:textId="325E6820" w:rsidR="000E792E" w:rsidRPr="000E792E" w:rsidRDefault="00352561" w:rsidP="000E792E">
      <w:pPr>
        <w:pStyle w:val="ac"/>
        <w:numPr>
          <w:ilvl w:val="1"/>
          <w:numId w:val="22"/>
        </w:numPr>
        <w:bidi/>
        <w:rPr>
          <w:rFonts w:ascii="David" w:hAnsi="David"/>
        </w:rPr>
      </w:pPr>
      <w:r>
        <w:rPr>
          <w:rFonts w:ascii="David" w:hAnsi="David" w:hint="cs"/>
          <w:rtl/>
        </w:rPr>
        <w:t xml:space="preserve">בג"ץ </w:t>
      </w:r>
      <w:r w:rsidR="000E792E">
        <w:rPr>
          <w:rFonts w:ascii="David" w:hAnsi="David" w:hint="cs"/>
          <w:rtl/>
        </w:rPr>
        <w:t>מהשבוע</w:t>
      </w:r>
      <w:r>
        <w:rPr>
          <w:rFonts w:ascii="David" w:hAnsi="David" w:hint="cs"/>
          <w:rtl/>
        </w:rPr>
        <w:t xml:space="preserve"> האחרון </w:t>
      </w:r>
      <w:r>
        <w:rPr>
          <w:rFonts w:ascii="David" w:hAnsi="David"/>
          <w:rtl/>
        </w:rPr>
        <w:t>–</w:t>
      </w:r>
      <w:r>
        <w:rPr>
          <w:rFonts w:ascii="David" w:hAnsi="David" w:hint="cs"/>
          <w:rtl/>
        </w:rPr>
        <w:t xml:space="preserve"> עותר בן לאב יהודי ואם שאינה יהוד</w:t>
      </w:r>
      <w:r w:rsidR="00CA5824">
        <w:rPr>
          <w:rFonts w:ascii="David" w:hAnsi="David" w:hint="cs"/>
          <w:rtl/>
        </w:rPr>
        <w:t>י</w:t>
      </w:r>
      <w:r>
        <w:rPr>
          <w:rFonts w:ascii="David" w:hAnsi="David" w:hint="cs"/>
          <w:rtl/>
        </w:rPr>
        <w:t xml:space="preserve">יה ועותר על כך שהוא לא יכול להינשא, הוא מבקש מבית המשפט העליון לחייב את הכנסת להסדיר נישואים אזרחים עבור אנשים כמוהו או עבור כולם. לדעתו מכוח פקודת רישום נישואין מ- 1919 אפשר להינשא מנישואים אזרחיים </w:t>
      </w:r>
      <w:r>
        <w:rPr>
          <w:rFonts w:ascii="David" w:hAnsi="David"/>
          <w:rtl/>
        </w:rPr>
        <w:t>–</w:t>
      </w:r>
      <w:r>
        <w:rPr>
          <w:rFonts w:ascii="David" w:hAnsi="David" w:hint="cs"/>
          <w:rtl/>
        </w:rPr>
        <w:t xml:space="preserve"> בעזרת הפקיד שאחראי על הרישום. העתירה כמובן סולקה על הסף, כיוון שהכרעה בנושא היא באחריות הרשות המחוקקת ולא הרשות השופטת.</w:t>
      </w:r>
    </w:p>
    <w:p w14:paraId="46BA8ACF" w14:textId="772B6A5C" w:rsidR="00AC57A0" w:rsidRDefault="00732FEA" w:rsidP="00732FEA">
      <w:pPr>
        <w:pStyle w:val="ac"/>
        <w:numPr>
          <w:ilvl w:val="0"/>
          <w:numId w:val="22"/>
        </w:numPr>
        <w:shd w:val="clear" w:color="auto" w:fill="FFF4CD" w:themeFill="accent1" w:themeFillTint="33"/>
        <w:bidi/>
        <w:rPr>
          <w:rFonts w:ascii="David" w:hAnsi="David"/>
        </w:rPr>
      </w:pPr>
      <w:r>
        <w:rPr>
          <w:rFonts w:ascii="David" w:hAnsi="David" w:hint="cs"/>
          <w:rtl/>
        </w:rPr>
        <w:t xml:space="preserve">השפעתו של </w:t>
      </w:r>
      <w:r w:rsidR="000E792E">
        <w:rPr>
          <w:rFonts w:ascii="David" w:hAnsi="David" w:hint="cs"/>
          <w:rtl/>
        </w:rPr>
        <w:t xml:space="preserve"> </w:t>
      </w:r>
      <w:r w:rsidR="000E792E" w:rsidRPr="000E792E">
        <w:rPr>
          <w:rFonts w:ascii="David" w:hAnsi="David" w:hint="cs"/>
          <w:highlight w:val="cyan"/>
          <w:rtl/>
        </w:rPr>
        <w:t>פס"ד בני נוח</w:t>
      </w:r>
      <w:r>
        <w:rPr>
          <w:rFonts w:ascii="David" w:hAnsi="David" w:hint="cs"/>
          <w:rtl/>
        </w:rPr>
        <w:t xml:space="preserve"> על בתי הדין הרבניים:</w:t>
      </w:r>
      <w:r w:rsidR="000E792E">
        <w:rPr>
          <w:rFonts w:ascii="David" w:hAnsi="David" w:hint="cs"/>
          <w:rtl/>
        </w:rPr>
        <w:t xml:space="preserve"> </w:t>
      </w:r>
    </w:p>
    <w:p w14:paraId="429A32FA" w14:textId="407E79CD" w:rsidR="00FD5DB4" w:rsidRDefault="000E792E" w:rsidP="00732FEA">
      <w:pPr>
        <w:pStyle w:val="ac"/>
        <w:numPr>
          <w:ilvl w:val="1"/>
          <w:numId w:val="22"/>
        </w:numPr>
        <w:bidi/>
        <w:rPr>
          <w:rFonts w:ascii="David" w:hAnsi="David"/>
        </w:rPr>
      </w:pPr>
      <w:r>
        <w:rPr>
          <w:rFonts w:ascii="David" w:hAnsi="David" w:hint="cs"/>
          <w:rtl/>
        </w:rPr>
        <w:t xml:space="preserve">כאשר אנחנו מסתכלים על </w:t>
      </w:r>
      <w:r w:rsidRPr="00790DE2">
        <w:rPr>
          <w:rFonts w:ascii="David" w:hAnsi="David" w:hint="cs"/>
          <w:u w:val="single"/>
          <w:rtl/>
        </w:rPr>
        <w:t>פס"ד של בית הדין הגדול</w:t>
      </w:r>
      <w:r>
        <w:rPr>
          <w:rFonts w:ascii="David" w:hAnsi="David" w:hint="cs"/>
          <w:rtl/>
        </w:rPr>
        <w:t xml:space="preserve"> אפשר לראות שהרב דיכובסקי מנסה לענות על שתי שאלות מרכזיות</w:t>
      </w:r>
      <w:r w:rsidR="00790DE2">
        <w:rPr>
          <w:rFonts w:ascii="David" w:hAnsi="David" w:hint="cs"/>
          <w:rtl/>
        </w:rPr>
        <w:t xml:space="preserve"> (על מנת לרצות את </w:t>
      </w:r>
      <w:r w:rsidR="00EE176A">
        <w:rPr>
          <w:rFonts w:ascii="David" w:hAnsi="David" w:hint="cs"/>
          <w:rtl/>
        </w:rPr>
        <w:t>ביהמ"ש העליון וברק)</w:t>
      </w:r>
      <w:r>
        <w:rPr>
          <w:rFonts w:ascii="David" w:hAnsi="David" w:hint="cs"/>
          <w:rtl/>
        </w:rPr>
        <w:t>:</w:t>
      </w:r>
    </w:p>
    <w:p w14:paraId="6B151E09" w14:textId="6F2832F0" w:rsidR="000E792E" w:rsidRDefault="000E792E" w:rsidP="00732FEA">
      <w:pPr>
        <w:pStyle w:val="ac"/>
        <w:numPr>
          <w:ilvl w:val="2"/>
          <w:numId w:val="22"/>
        </w:numPr>
        <w:bidi/>
        <w:rPr>
          <w:rFonts w:ascii="David" w:hAnsi="David"/>
        </w:rPr>
      </w:pPr>
      <w:r>
        <w:rPr>
          <w:rFonts w:ascii="David" w:hAnsi="David" w:hint="cs"/>
          <w:rtl/>
        </w:rPr>
        <w:t xml:space="preserve">בשלב הראשון הוא מנסה להראות כי </w:t>
      </w:r>
      <w:r w:rsidRPr="00790DE2">
        <w:rPr>
          <w:rFonts w:ascii="David" w:hAnsi="David" w:hint="cs"/>
          <w:b/>
          <w:bCs/>
          <w:rtl/>
        </w:rPr>
        <w:t xml:space="preserve">למרות שלא סודר גט היה מהלך של התרת נישואין וכי מהלך של התרת נישואין </w:t>
      </w:r>
      <w:r w:rsidR="00790DE2" w:rsidRPr="00790DE2">
        <w:rPr>
          <w:rFonts w:ascii="David" w:hAnsi="David" w:hint="cs"/>
          <w:b/>
          <w:bCs/>
          <w:rtl/>
        </w:rPr>
        <w:t>הוא מהלך הלכתי</w:t>
      </w:r>
      <w:r w:rsidR="00790DE2">
        <w:rPr>
          <w:rFonts w:ascii="David" w:hAnsi="David" w:hint="cs"/>
          <w:rtl/>
        </w:rPr>
        <w:t>. מדוע חשוב שהתרת נישואין אזרחים תהיה מהלך הלכתי? מכיוון של על פי חוק בתי הדין הרבניים צריכים לשפוט על פי דין תורה.</w:t>
      </w:r>
      <w:r>
        <w:rPr>
          <w:rFonts w:ascii="David" w:hAnsi="David" w:hint="cs"/>
          <w:rtl/>
        </w:rPr>
        <w:t xml:space="preserve"> </w:t>
      </w:r>
    </w:p>
    <w:p w14:paraId="192CDEA7" w14:textId="3EAA58DD" w:rsidR="000E792E" w:rsidRDefault="00790DE2" w:rsidP="00732FEA">
      <w:pPr>
        <w:pStyle w:val="ac"/>
        <w:numPr>
          <w:ilvl w:val="2"/>
          <w:numId w:val="22"/>
        </w:numPr>
        <w:bidi/>
        <w:rPr>
          <w:rFonts w:ascii="David" w:hAnsi="David"/>
        </w:rPr>
      </w:pPr>
      <w:r>
        <w:rPr>
          <w:rFonts w:ascii="David" w:hAnsi="David" w:hint="cs"/>
          <w:rtl/>
        </w:rPr>
        <w:t xml:space="preserve">בשלב השני הוא ניסה להראות </w:t>
      </w:r>
      <w:r w:rsidRPr="00790DE2">
        <w:rPr>
          <w:rFonts w:ascii="David" w:hAnsi="David" w:hint="cs"/>
          <w:b/>
          <w:bCs/>
          <w:rtl/>
        </w:rPr>
        <w:t xml:space="preserve">שעצם קיומם של הנישואים הוא </w:t>
      </w:r>
      <w:r w:rsidRPr="00790DE2">
        <w:rPr>
          <w:rFonts w:ascii="David" w:hAnsi="David" w:hint="cs"/>
          <w:b/>
          <w:bCs/>
          <w:u w:val="single"/>
          <w:rtl/>
        </w:rPr>
        <w:t>לא</w:t>
      </w:r>
      <w:r w:rsidRPr="00790DE2">
        <w:rPr>
          <w:rFonts w:ascii="David" w:hAnsi="David" w:hint="cs"/>
          <w:b/>
          <w:bCs/>
          <w:rtl/>
        </w:rPr>
        <w:t xml:space="preserve"> עילת הגירושין עצמה</w:t>
      </w:r>
      <w:r>
        <w:rPr>
          <w:rFonts w:ascii="David" w:hAnsi="David" w:hint="cs"/>
          <w:rtl/>
        </w:rPr>
        <w:t>. מדוע זה חשוב? כי מדינת ישראל מכירה בנישואין אזרחים ולא ייתכן שבית הדין הרבני בעצם יגיד שעצם קיום הוא עילת הגירושין. הרב דיכובסקי קובע שהסיבה לפירוק הנישואין הוא קרע בלתי ניתן לאיחוי. הרב דיכובסקי מוסיף שזו היא עילה שאינה ייחודית לנישואין אזרחים ומשתמשים בה גם כאשר מפרקים נישואין כדת משה וישראל</w:t>
      </w:r>
      <w:r w:rsidR="00EE176A">
        <w:rPr>
          <w:rFonts w:ascii="David" w:hAnsi="David" w:hint="cs"/>
          <w:rtl/>
        </w:rPr>
        <w:t xml:space="preserve"> (עילת רבנו ירוחם </w:t>
      </w:r>
      <w:r w:rsidR="00EE176A">
        <w:rPr>
          <w:rFonts w:ascii="David" w:hAnsi="David"/>
          <w:rtl/>
        </w:rPr>
        <w:t>–</w:t>
      </w:r>
      <w:r w:rsidR="00EE176A">
        <w:rPr>
          <w:rFonts w:ascii="David" w:hAnsi="David" w:hint="cs"/>
          <w:rtl/>
        </w:rPr>
        <w:t xml:space="preserve"> נדון בהמשך)</w:t>
      </w:r>
      <w:r>
        <w:rPr>
          <w:rFonts w:ascii="David" w:hAnsi="David" w:hint="cs"/>
          <w:rtl/>
        </w:rPr>
        <w:t>.</w:t>
      </w:r>
    </w:p>
    <w:p w14:paraId="281FF7EB" w14:textId="7652B128" w:rsidR="00EE176A" w:rsidRDefault="00EE176A" w:rsidP="00732FEA">
      <w:pPr>
        <w:pStyle w:val="ac"/>
        <w:numPr>
          <w:ilvl w:val="3"/>
          <w:numId w:val="22"/>
        </w:numPr>
        <w:bidi/>
        <w:rPr>
          <w:rFonts w:ascii="David" w:hAnsi="David"/>
        </w:rPr>
      </w:pPr>
      <w:r>
        <w:rPr>
          <w:rFonts w:ascii="David" w:hAnsi="David" w:hint="cs"/>
          <w:rtl/>
        </w:rPr>
        <w:t xml:space="preserve">פרופ' רדזינר אומר כי די סביר שהיו מחייבים גט גם אם באותו מקרה היה מדובר בנישואין כדת משה וישראל. אולם, הפער הוא לגבי היכולת להתיר את הנישואין. נישואין אזרחים יותר קל להתיר כי לא חייב גט לפי פס"ד זה </w:t>
      </w:r>
      <w:r>
        <w:rPr>
          <w:rFonts w:ascii="David" w:hAnsi="David"/>
          <w:rtl/>
        </w:rPr>
        <w:t>–</w:t>
      </w:r>
      <w:r>
        <w:rPr>
          <w:rFonts w:ascii="David" w:hAnsi="David" w:hint="cs"/>
          <w:rtl/>
        </w:rPr>
        <w:t xml:space="preserve"> ברק משבח את בית הדין על כך בפסק דינו.. </w:t>
      </w:r>
    </w:p>
    <w:p w14:paraId="769972B0" w14:textId="041CD29E" w:rsidR="00EE176A" w:rsidRPr="00EE176A" w:rsidRDefault="00EE176A" w:rsidP="00732FEA">
      <w:pPr>
        <w:pStyle w:val="ac"/>
        <w:numPr>
          <w:ilvl w:val="1"/>
          <w:numId w:val="22"/>
        </w:numPr>
        <w:bidi/>
        <w:rPr>
          <w:rFonts w:ascii="David" w:hAnsi="David"/>
          <w:u w:val="single"/>
        </w:rPr>
      </w:pPr>
      <w:r w:rsidRPr="00EE176A">
        <w:rPr>
          <w:rFonts w:ascii="David" w:hAnsi="David" w:hint="cs"/>
          <w:u w:val="single"/>
          <w:rtl/>
        </w:rPr>
        <w:t>לדעת פרופ' רדזינר טוען כי פס"ד זה של הרב דיכובסקי לא הוביל כלל לשינוי בבית הדין הרבניים לגבי שני השלבים:</w:t>
      </w:r>
    </w:p>
    <w:p w14:paraId="4DD66A1D" w14:textId="28A4DAA4" w:rsidR="004937D9" w:rsidRPr="004937D9" w:rsidRDefault="004937D9" w:rsidP="00732FEA">
      <w:pPr>
        <w:pStyle w:val="ac"/>
        <w:numPr>
          <w:ilvl w:val="2"/>
          <w:numId w:val="22"/>
        </w:numPr>
        <w:bidi/>
        <w:rPr>
          <w:rFonts w:ascii="David" w:hAnsi="David"/>
          <w:b/>
          <w:bCs/>
        </w:rPr>
      </w:pPr>
      <w:r w:rsidRPr="004937D9">
        <w:rPr>
          <w:rFonts w:ascii="David" w:hAnsi="David" w:hint="cs"/>
          <w:b/>
          <w:bCs/>
          <w:rtl/>
        </w:rPr>
        <w:t>הצורך בעילת גירושין:</w:t>
      </w:r>
      <w:r w:rsidR="000D5707">
        <w:rPr>
          <w:rFonts w:ascii="David" w:hAnsi="David" w:hint="cs"/>
          <w:b/>
          <w:bCs/>
          <w:rtl/>
        </w:rPr>
        <w:t xml:space="preserve"> </w:t>
      </w:r>
    </w:p>
    <w:p w14:paraId="3FDCF5FE" w14:textId="145BDE66" w:rsidR="004937D9" w:rsidRDefault="00EE176A" w:rsidP="00732FEA">
      <w:pPr>
        <w:pStyle w:val="ac"/>
        <w:bidi/>
        <w:ind w:left="369"/>
        <w:rPr>
          <w:rFonts w:ascii="David" w:hAnsi="David"/>
        </w:rPr>
      </w:pPr>
      <w:r>
        <w:rPr>
          <w:rFonts w:ascii="David" w:hAnsi="David" w:hint="cs"/>
          <w:rtl/>
        </w:rPr>
        <w:t>מקרה שבו בני הזוג נישאו מקפריסין מבחירה הבעל דרוש גירושין לאלתר ואילו האישה מבקשת לנהל מו"מ על הסכם הגירושין ועל הצורך בגירושין.</w:t>
      </w:r>
      <w:r w:rsidR="004937D9">
        <w:rPr>
          <w:rFonts w:ascii="David" w:hAnsi="David" w:hint="cs"/>
          <w:rtl/>
        </w:rPr>
        <w:t xml:space="preserve"> בית הדין קובע כי כאשר בני זוג נישאים בהליך של נישואין אזרחים אין צורך בעילת גירושין ועצם העובדה שמדובר בנישואין אזרחים זה מספק. אולם, בגלל פס"ד של בית המשפט העליון שקבע שלא ניתן לחייב גירושין על סמך עילת נישואין אזרחים כשלעצמה נדון בעילת הגירושין של קרע בלתי ניתן לאיחוי </w:t>
      </w:r>
      <w:r w:rsidR="004937D9">
        <w:rPr>
          <w:rFonts w:ascii="David" w:hAnsi="David"/>
          <w:rtl/>
        </w:rPr>
        <w:t>–</w:t>
      </w:r>
      <w:r w:rsidR="004937D9">
        <w:rPr>
          <w:rFonts w:ascii="David" w:hAnsi="David" w:hint="cs"/>
          <w:rtl/>
        </w:rPr>
        <w:t xml:space="preserve"> נקבע כי מתקיימת עילת גירושין זו ולכן יש לגרשם. כלומר, אין שינוי בתודעה ההלכתית לגבי היכולת להתיר נישואין אזרחים</w:t>
      </w:r>
      <w:r w:rsidR="000D5707">
        <w:rPr>
          <w:rFonts w:ascii="David" w:hAnsi="David" w:hint="cs"/>
          <w:rtl/>
        </w:rPr>
        <w:t xml:space="preserve"> ללא עילה</w:t>
      </w:r>
      <w:r w:rsidR="004937D9">
        <w:rPr>
          <w:rFonts w:ascii="David" w:hAnsi="David" w:hint="cs"/>
          <w:rtl/>
        </w:rPr>
        <w:t xml:space="preserve"> והסיבה לדון בעילת </w:t>
      </w:r>
      <w:r w:rsidR="000D5707">
        <w:rPr>
          <w:rFonts w:ascii="David" w:hAnsi="David" w:hint="cs"/>
          <w:rtl/>
        </w:rPr>
        <w:t>גירושין</w:t>
      </w:r>
      <w:r w:rsidR="004937D9">
        <w:rPr>
          <w:rFonts w:ascii="David" w:hAnsi="David" w:hint="cs"/>
          <w:rtl/>
        </w:rPr>
        <w:t xml:space="preserve"> היא רק בשלב פסיקת בית המשפט העליון.</w:t>
      </w:r>
    </w:p>
    <w:p w14:paraId="118DBBFD" w14:textId="202969B0" w:rsidR="004937D9" w:rsidRPr="000D5707" w:rsidRDefault="000D5707" w:rsidP="00732FEA">
      <w:pPr>
        <w:pStyle w:val="ac"/>
        <w:numPr>
          <w:ilvl w:val="2"/>
          <w:numId w:val="22"/>
        </w:numPr>
        <w:bidi/>
        <w:rPr>
          <w:rFonts w:ascii="David" w:hAnsi="David"/>
        </w:rPr>
      </w:pPr>
      <w:r>
        <w:rPr>
          <w:rFonts w:ascii="David" w:hAnsi="David" w:hint="cs"/>
          <w:b/>
          <w:bCs/>
          <w:rtl/>
        </w:rPr>
        <w:t>מהלך התר נישואין הוא מהלך הלכתי:</w:t>
      </w:r>
    </w:p>
    <w:p w14:paraId="2F1416C6" w14:textId="27B6A255" w:rsidR="0038617C" w:rsidRDefault="000D5707" w:rsidP="00732FEA">
      <w:pPr>
        <w:pStyle w:val="ac"/>
        <w:numPr>
          <w:ilvl w:val="4"/>
          <w:numId w:val="22"/>
        </w:numPr>
        <w:bidi/>
        <w:rPr>
          <w:rFonts w:ascii="David" w:hAnsi="David"/>
        </w:rPr>
      </w:pPr>
      <w:r>
        <w:rPr>
          <w:rFonts w:ascii="David" w:hAnsi="David" w:hint="cs"/>
          <w:rtl/>
        </w:rPr>
        <w:t>הרב דיכובסקי מגיע למסקנה בפס"ד הצפנת פענח. שיטתו של הצפנת פענח (הרב רוזין) היא שיטה ייחודית ושונה מזו של רוב הפוסקים. הצפנת פענח טוען כי לנישואין אזרחים יש מעמד הלכתי לא כי יש להם תוקף של קידושין, אלא כי</w:t>
      </w:r>
      <w:r w:rsidR="004A6F8F">
        <w:rPr>
          <w:rFonts w:ascii="David" w:hAnsi="David" w:hint="cs"/>
          <w:rtl/>
        </w:rPr>
        <w:t xml:space="preserve"> יש להם מעמד הלכתי בפני עצמם.</w:t>
      </w:r>
      <w:r>
        <w:rPr>
          <w:rFonts w:ascii="David" w:hAnsi="David" w:hint="cs"/>
          <w:rtl/>
        </w:rPr>
        <w:t xml:space="preserve"> </w:t>
      </w:r>
      <w:r w:rsidRPr="004A6F8F">
        <w:rPr>
          <w:rFonts w:ascii="David" w:hAnsi="David" w:hint="cs"/>
          <w:rtl/>
        </w:rPr>
        <w:t>יש את האנושות כולה שעליה חלים מצוות בני נוח, היהדות בשלב מסוים כאשר ניתנה התורה הוא יצאה ממצות בני נוח</w:t>
      </w:r>
      <w:r w:rsidR="004A6F8F" w:rsidRPr="004A6F8F">
        <w:rPr>
          <w:rFonts w:ascii="David" w:hAnsi="David" w:hint="cs"/>
          <w:rtl/>
        </w:rPr>
        <w:t xml:space="preserve"> וקיבלה מצוות וחוקים משל עצמה. לדעת הרב רוזין משניתנה התורה היא לא מחקה את מה שהיה קודם, היהודים הם עדיין בני נוח ולכן כאשר יהודים לא נישאו כמו שהתורה מצוות אותם והם נישאו בנישואין אזרחים, אנחנו נאמר כי הם נמצאים בקומה תחתונה יותר של כלל האנושות וזה מחייב אותם מתוקף היותם בני נוח</w:t>
      </w:r>
      <w:r w:rsidR="004A6F8F">
        <w:rPr>
          <w:rFonts w:ascii="David" w:hAnsi="David" w:hint="cs"/>
          <w:rtl/>
        </w:rPr>
        <w:t xml:space="preserve"> (רוב הפוסקים חושבים כי מרגע שניתנה התורה מצוות בני נוח לא חלות על עמ"י). </w:t>
      </w:r>
      <w:r w:rsidR="0038617C">
        <w:rPr>
          <w:rFonts w:ascii="David" w:hAnsi="David" w:hint="cs"/>
          <w:rtl/>
        </w:rPr>
        <w:t>הרב רוזין קובע כי לנישואי בני נוח יש צורך בתן גט.</w:t>
      </w:r>
    </w:p>
    <w:p w14:paraId="247E616F" w14:textId="6507C541" w:rsidR="0038617C" w:rsidRDefault="0038617C" w:rsidP="00732FEA">
      <w:pPr>
        <w:pStyle w:val="ac"/>
        <w:numPr>
          <w:ilvl w:val="4"/>
          <w:numId w:val="22"/>
        </w:numPr>
        <w:bidi/>
        <w:rPr>
          <w:rFonts w:ascii="David" w:hAnsi="David"/>
        </w:rPr>
      </w:pPr>
      <w:r>
        <w:rPr>
          <w:rFonts w:ascii="David" w:hAnsi="David" w:hint="cs"/>
          <w:rtl/>
        </w:rPr>
        <w:t xml:space="preserve">כאן חל השינוי שהרב דיכובסקי עושה בפס"ד דינו </w:t>
      </w:r>
      <w:r>
        <w:rPr>
          <w:rFonts w:ascii="David" w:hAnsi="David"/>
          <w:rtl/>
        </w:rPr>
        <w:t>–</w:t>
      </w:r>
      <w:r>
        <w:rPr>
          <w:rFonts w:ascii="David" w:hAnsi="David" w:hint="cs"/>
          <w:rtl/>
        </w:rPr>
        <w:t xml:space="preserve"> הרב דיכובסקי טוען טענה שאף אחד לא טען וממציא אותה באותו רגע. לטענתו של הרב דיכובסקי הפוסקים קיבלו את טיעוניו של הצפנת פענח לגבי המעמד של נישואין אזרחים אך לא קיבלו את טענתו לגבי הצורך בגט. אולם, אם נסתכל על הפוסקים השונים אנחנו נראה כי הפוסקים השונים לא מקבלים את שיטתו של הצפנת פענח מתחילתה ועד סופה. כלומר, הרב דיכובסקי מטעה את הקוראים לחשוב כי לא קיבלו רק את הצורך בגט ואילו בפועל לא קיבלו את שיטתו כלל.</w:t>
      </w:r>
    </w:p>
    <w:p w14:paraId="762728AD" w14:textId="7E78F520" w:rsidR="0038617C" w:rsidRDefault="00A872A6" w:rsidP="00732FEA">
      <w:pPr>
        <w:pStyle w:val="ac"/>
        <w:numPr>
          <w:ilvl w:val="4"/>
          <w:numId w:val="22"/>
        </w:numPr>
        <w:bidi/>
        <w:rPr>
          <w:rFonts w:ascii="David" w:hAnsi="David"/>
        </w:rPr>
      </w:pPr>
      <w:r>
        <w:rPr>
          <w:rFonts w:ascii="David" w:hAnsi="David" w:hint="cs"/>
          <w:rtl/>
        </w:rPr>
        <w:t>אם כך, כיצד יתגרשו בני זוג שנישאו בנישואי בני נוח? על ידי גירושין בני נוח, כלומר גירושין אזרחיים על ידי פסק דין של בית משפט (המצאה של הרב דיכובסקי). מה עושה הרב דיכובסקי כדי למנוע מבית המשפט העליון להגיע למסקנה שמי שנישא בנישואין אזרחים ילך להתגרש בביהמ"ש? הרב דיכובסקי מוסיף כי יש לבדוק בכל מקרה את האפשרות לגט הן מבחינה הלכתית והן מבחינה מעשית. במידה וייקבע כי לא ניתן לסדר גט אזי יותרו הנישואין בדרך של פס"ד.</w:t>
      </w:r>
    </w:p>
    <w:p w14:paraId="0160C364" w14:textId="51838964" w:rsidR="00A872A6" w:rsidRPr="00732FEA" w:rsidRDefault="00A872A6" w:rsidP="00732FEA">
      <w:pPr>
        <w:pStyle w:val="ac"/>
        <w:numPr>
          <w:ilvl w:val="1"/>
          <w:numId w:val="22"/>
        </w:numPr>
        <w:bidi/>
        <w:rPr>
          <w:rFonts w:ascii="David" w:hAnsi="David"/>
          <w:b/>
          <w:bCs/>
          <w:u w:val="single"/>
        </w:rPr>
      </w:pPr>
      <w:r w:rsidRPr="00732FEA">
        <w:rPr>
          <w:rFonts w:ascii="David" w:hAnsi="David" w:hint="cs"/>
          <w:b/>
          <w:bCs/>
          <w:u w:val="single"/>
          <w:rtl/>
        </w:rPr>
        <w:lastRenderedPageBreak/>
        <w:t>דוגמאות:</w:t>
      </w:r>
    </w:p>
    <w:p w14:paraId="3E3A9E8A" w14:textId="3CCA2A7A" w:rsidR="00A872A6" w:rsidRDefault="00A872A6" w:rsidP="00A872A6">
      <w:pPr>
        <w:pStyle w:val="ac"/>
        <w:numPr>
          <w:ilvl w:val="3"/>
          <w:numId w:val="22"/>
        </w:numPr>
        <w:bidi/>
        <w:rPr>
          <w:rFonts w:ascii="David" w:hAnsi="David"/>
        </w:rPr>
      </w:pPr>
      <w:r>
        <w:rPr>
          <w:rFonts w:ascii="David" w:hAnsi="David" w:hint="cs"/>
          <w:rtl/>
        </w:rPr>
        <w:t xml:space="preserve">פס"ד של </w:t>
      </w:r>
      <w:r w:rsidR="00732FEA">
        <w:rPr>
          <w:rFonts w:ascii="David" w:hAnsi="David" w:hint="cs"/>
          <w:rtl/>
        </w:rPr>
        <w:t xml:space="preserve">בית דין אזורי בתל אביב: מדובר על זוג שפרוד כבר שנתיים וחצי, הפירוד קרה כי הבעל הרביץ לי ובגד בי. בית הדין לא אומר כי מותר לוותר על הגט כי מדובר בנישואין אזרחים, אבל לא מפריע לא לכפות את הגט. לכן, בית הדין כבר בדיון ראשון קובע שניתן להכניס את הגבר למאסר (ההגבלה הכי קשה) עד שייתן גט. </w:t>
      </w:r>
    </w:p>
    <w:p w14:paraId="4A57CD34" w14:textId="4BE6E709" w:rsidR="00FF6C4C" w:rsidRDefault="00732FEA" w:rsidP="00732FEA">
      <w:pPr>
        <w:pStyle w:val="ac"/>
        <w:numPr>
          <w:ilvl w:val="3"/>
          <w:numId w:val="22"/>
        </w:numPr>
        <w:bidi/>
        <w:rPr>
          <w:rFonts w:ascii="David" w:hAnsi="David"/>
        </w:rPr>
      </w:pPr>
      <w:r>
        <w:rPr>
          <w:rFonts w:ascii="David" w:hAnsi="David" w:hint="cs"/>
          <w:rtl/>
        </w:rPr>
        <w:t xml:space="preserve">פס"ד בחיפה </w:t>
      </w:r>
      <w:r>
        <w:rPr>
          <w:rFonts w:ascii="David" w:hAnsi="David"/>
          <w:rtl/>
        </w:rPr>
        <w:t>–</w:t>
      </w:r>
      <w:r>
        <w:rPr>
          <w:rFonts w:ascii="David" w:hAnsi="David" w:hint="cs"/>
          <w:rtl/>
        </w:rPr>
        <w:t xml:space="preserve"> בני זוג שנישאו בנישואין אזרחים, בן הזוג לא רוצה להתגרש כי הוא מנסה לסחוט את האישה, האישה מבקשת </w:t>
      </w:r>
      <w:r w:rsidR="00FF6C4C">
        <w:rPr>
          <w:rFonts w:ascii="David" w:hAnsi="David" w:hint="cs"/>
          <w:rtl/>
        </w:rPr>
        <w:t>לפרק את הנישואין. בית הדין קובע שאין לפרק את הנישואין במקום ויש קודם לתת צווי הגבלה. רק אם צווי ההגבלה לא יעבדו יש מקום אולי לוותר על הגט כיוון שזהו רק גט לחומרא.</w:t>
      </w:r>
    </w:p>
    <w:p w14:paraId="77EB3BED" w14:textId="77777777" w:rsidR="00C43472" w:rsidRDefault="00FF6C4C" w:rsidP="00FF6C4C">
      <w:pPr>
        <w:pStyle w:val="ac"/>
        <w:numPr>
          <w:ilvl w:val="3"/>
          <w:numId w:val="22"/>
        </w:numPr>
        <w:bidi/>
        <w:rPr>
          <w:rFonts w:ascii="David" w:hAnsi="David"/>
        </w:rPr>
      </w:pPr>
      <w:r>
        <w:rPr>
          <w:rFonts w:ascii="David" w:hAnsi="David" w:hint="cs"/>
          <w:rtl/>
        </w:rPr>
        <w:t xml:space="preserve">פס"ד של בית הדין הרבני הגדול </w:t>
      </w:r>
      <w:r>
        <w:rPr>
          <w:rFonts w:ascii="David" w:hAnsi="David"/>
          <w:rtl/>
        </w:rPr>
        <w:t>–</w:t>
      </w:r>
      <w:r>
        <w:rPr>
          <w:rFonts w:ascii="David" w:hAnsi="David" w:hint="cs"/>
          <w:rtl/>
        </w:rPr>
        <w:t xml:space="preserve"> בני זוג שנישאו לפני 8 שנים בנישואין אזרחים. לאורך כל הנישואין לא קיימו יחסי אישות. הבעל הגיש תביעת גירושין ובית הדין האזורי מתיר את הנישואין (ככל הנראה כי לא היו קידושי ביאה) ולכן האישה מערערת. האישה נופלת על הרכב שבו יושב הרב דיכובסקי.</w:t>
      </w:r>
    </w:p>
    <w:p w14:paraId="1BDC0F3D" w14:textId="5D464E34" w:rsidR="00FF6C4C" w:rsidRDefault="00FF6C4C" w:rsidP="00CA5824">
      <w:pPr>
        <w:pStyle w:val="ac"/>
        <w:numPr>
          <w:ilvl w:val="4"/>
          <w:numId w:val="22"/>
        </w:numPr>
        <w:bidi/>
        <w:spacing w:after="0"/>
        <w:rPr>
          <w:rFonts w:ascii="David" w:hAnsi="David"/>
        </w:rPr>
      </w:pPr>
      <w:r>
        <w:rPr>
          <w:rFonts w:ascii="David" w:hAnsi="David" w:hint="cs"/>
          <w:rtl/>
        </w:rPr>
        <w:t>כביכול לפי פס"ד בני נוח הרב דיכובסקי רואה נישואין אלו כנישואי</w:t>
      </w:r>
      <w:r w:rsidR="00C43472">
        <w:rPr>
          <w:rFonts w:ascii="David" w:hAnsi="David" w:hint="cs"/>
          <w:rtl/>
        </w:rPr>
        <w:t xml:space="preserve"> בני נוח ואין לגרשם על הסף, </w:t>
      </w:r>
      <w:r>
        <w:rPr>
          <w:rFonts w:ascii="David" w:hAnsi="David" w:hint="cs"/>
          <w:rtl/>
        </w:rPr>
        <w:t>לכן הרב דיכובסקי נכנס לבעיה</w:t>
      </w:r>
      <w:r w:rsidR="00C43472">
        <w:rPr>
          <w:rFonts w:ascii="David" w:hAnsi="David" w:hint="cs"/>
          <w:rtl/>
        </w:rPr>
        <w:t xml:space="preserve"> -</w:t>
      </w:r>
      <w:r>
        <w:rPr>
          <w:rFonts w:ascii="David" w:hAnsi="David" w:hint="cs"/>
          <w:rtl/>
        </w:rPr>
        <w:t xml:space="preserve"> הרב דיכובסקי בפס"ד זה קובע כי נישואי בני נוח כוללים בתוכם גם קיום יחסי אישות. </w:t>
      </w:r>
      <w:r w:rsidRPr="00C43472">
        <w:rPr>
          <w:rFonts w:ascii="David" w:hAnsi="David" w:hint="cs"/>
          <w:rtl/>
        </w:rPr>
        <w:t>ברור שהרב דיכ</w:t>
      </w:r>
      <w:r w:rsidR="00C43472">
        <w:rPr>
          <w:rFonts w:ascii="David" w:hAnsi="David" w:hint="cs"/>
          <w:rtl/>
        </w:rPr>
        <w:t>ו</w:t>
      </w:r>
      <w:r w:rsidRPr="00C43472">
        <w:rPr>
          <w:rFonts w:ascii="David" w:hAnsi="David" w:hint="cs"/>
          <w:rtl/>
        </w:rPr>
        <w:t>בסקי מכניס את האלמנט של קיום יחסים על מנת להתיר את הנישואין בקלות, הוא מסתבך עם עצמו שכן בפס"ד בני נוח הוא הגדיר אחרת מה הם נישואין בני נוח</w:t>
      </w:r>
      <w:r w:rsidR="00C43472">
        <w:rPr>
          <w:rFonts w:ascii="David" w:hAnsi="David" w:hint="cs"/>
          <w:rtl/>
        </w:rPr>
        <w:t xml:space="preserve"> </w:t>
      </w:r>
      <w:r w:rsidR="00C43472">
        <w:rPr>
          <w:rFonts w:ascii="David" w:hAnsi="David"/>
          <w:rtl/>
        </w:rPr>
        <w:t>–</w:t>
      </w:r>
      <w:r w:rsidR="00C43472">
        <w:rPr>
          <w:rFonts w:ascii="David" w:hAnsi="David" w:hint="cs"/>
          <w:rtl/>
        </w:rPr>
        <w:t xml:space="preserve"> נישואין אזרחים (וברור שבחוק האזרחי נישואים אזרחיים אינם מחייבים קיום יחסי אישות).</w:t>
      </w:r>
    </w:p>
    <w:p w14:paraId="6D32F99A" w14:textId="790E4677" w:rsidR="00C43472" w:rsidRPr="00C43472" w:rsidRDefault="00C43472" w:rsidP="00C43472">
      <w:pPr>
        <w:pStyle w:val="21"/>
      </w:pPr>
      <w:bookmarkStart w:id="17" w:name="_Toc107438164"/>
      <w:r>
        <w:rPr>
          <w:rFonts w:hint="cs"/>
          <w:rtl/>
        </w:rPr>
        <w:t>גירושין</w:t>
      </w:r>
      <w:bookmarkEnd w:id="17"/>
    </w:p>
    <w:p w14:paraId="72A511C1" w14:textId="77777777" w:rsidR="003A66A4" w:rsidRDefault="00C43472" w:rsidP="003A66A4">
      <w:pPr>
        <w:pStyle w:val="ac"/>
        <w:numPr>
          <w:ilvl w:val="0"/>
          <w:numId w:val="23"/>
        </w:numPr>
        <w:shd w:val="clear" w:color="auto" w:fill="FFF4CD" w:themeFill="accent1" w:themeFillTint="33"/>
        <w:bidi/>
        <w:spacing w:after="0"/>
        <w:rPr>
          <w:rFonts w:ascii="David" w:hAnsi="David"/>
        </w:rPr>
      </w:pPr>
      <w:r w:rsidRPr="003A66A4">
        <w:rPr>
          <w:rFonts w:ascii="David" w:hAnsi="David" w:hint="cs"/>
          <w:b/>
          <w:bCs/>
          <w:shd w:val="clear" w:color="auto" w:fill="FFF4CD" w:themeFill="accent1" w:themeFillTint="33"/>
          <w:rtl/>
        </w:rPr>
        <w:t>הקדמה</w:t>
      </w:r>
      <w:r>
        <w:rPr>
          <w:rFonts w:ascii="David" w:hAnsi="David" w:hint="cs"/>
          <w:rtl/>
        </w:rPr>
        <w:t xml:space="preserve">: </w:t>
      </w:r>
    </w:p>
    <w:p w14:paraId="27F72D5D" w14:textId="67DAA943" w:rsidR="00C43472" w:rsidRDefault="00C43472" w:rsidP="003A66A4">
      <w:pPr>
        <w:rPr>
          <w:rFonts w:ascii="David" w:hAnsi="David"/>
          <w:rtl/>
        </w:rPr>
      </w:pPr>
      <w:r w:rsidRPr="003A66A4">
        <w:rPr>
          <w:rFonts w:ascii="David" w:hAnsi="David" w:hint="cs"/>
          <w:rtl/>
        </w:rPr>
        <w:t>למה דיני גירושין הלכתיים יוצרים בעיות? דיני הגירושין במידה רבה הם תמונת ראי של הנישואין. קידושין הם פעולה פרטית של בני הזוג. זאת בשונה מנישואין אזרחים שבהם גם אם אחד מבני הזוג אינו מעוניין להתגרש בית הדין יכול לקבוע כי הזוג גרוש בניגוד לרצונו. בהלכה יש בעיה במקרים שהם אחד מבני הזוג לא רוצה להתגרש הוא לא יכול להתגרש.</w:t>
      </w:r>
      <w:r w:rsidR="003A66A4" w:rsidRPr="003A66A4">
        <w:rPr>
          <w:rFonts w:ascii="David" w:hAnsi="David" w:hint="cs"/>
          <w:rtl/>
        </w:rPr>
        <w:t xml:space="preserve"> במהלך השנים נעשו ניסיונות לפתרונות רדיקליים של וויתור על גט ולצידם ניתנו פתרונות פחות רדיקלים שכן דורשים גט </w:t>
      </w:r>
      <w:r w:rsidR="003A66A4" w:rsidRPr="003A66A4">
        <w:rPr>
          <w:rFonts w:ascii="David" w:hAnsi="David"/>
          <w:rtl/>
        </w:rPr>
        <w:t>–</w:t>
      </w:r>
      <w:r w:rsidR="003A66A4" w:rsidRPr="003A66A4">
        <w:rPr>
          <w:rFonts w:ascii="David" w:hAnsi="David" w:hint="cs"/>
          <w:rtl/>
        </w:rPr>
        <w:t xml:space="preserve"> ניצור דרכים לגרום לצד הסרבן לשתף פעולה.</w:t>
      </w:r>
    </w:p>
    <w:p w14:paraId="20FA8A08" w14:textId="77777777" w:rsidR="003A66A4" w:rsidRDefault="003A66A4" w:rsidP="003A66A4">
      <w:pPr>
        <w:rPr>
          <w:rFonts w:ascii="David" w:hAnsi="David"/>
          <w:rtl/>
        </w:rPr>
      </w:pPr>
      <w:r>
        <w:rPr>
          <w:rFonts w:ascii="David" w:hAnsi="David" w:hint="cs"/>
          <w:rtl/>
        </w:rPr>
        <w:t xml:space="preserve">הליך הגירושין מורכב גם הוא </w:t>
      </w:r>
      <w:r w:rsidRPr="00243BCA">
        <w:rPr>
          <w:rFonts w:ascii="David" w:hAnsi="David" w:hint="cs"/>
          <w:b/>
          <w:bCs/>
          <w:u w:val="single"/>
          <w:rtl/>
        </w:rPr>
        <w:t>ממעשה, עדים וכוונה.</w:t>
      </w:r>
      <w:r>
        <w:rPr>
          <w:rFonts w:ascii="David" w:hAnsi="David" w:hint="cs"/>
          <w:rtl/>
        </w:rPr>
        <w:t xml:space="preserve"> </w:t>
      </w:r>
    </w:p>
    <w:p w14:paraId="5F649DCB" w14:textId="2A75DCC5" w:rsidR="00243BCA" w:rsidRPr="00243BCA" w:rsidRDefault="003A66A4" w:rsidP="00243BCA">
      <w:pPr>
        <w:pStyle w:val="ac"/>
        <w:numPr>
          <w:ilvl w:val="2"/>
          <w:numId w:val="23"/>
        </w:numPr>
        <w:bidi/>
        <w:rPr>
          <w:rFonts w:ascii="David" w:hAnsi="David"/>
          <w:rtl/>
        </w:rPr>
      </w:pPr>
      <w:r w:rsidRPr="00243BCA">
        <w:rPr>
          <w:rFonts w:ascii="David" w:hAnsi="David" w:hint="cs"/>
          <w:u w:val="single"/>
          <w:rtl/>
        </w:rPr>
        <w:t>מעשה</w:t>
      </w:r>
      <w:r w:rsidRPr="00A575D2">
        <w:rPr>
          <w:rFonts w:ascii="David" w:hAnsi="David" w:hint="cs"/>
          <w:rtl/>
        </w:rPr>
        <w:t xml:space="preserve"> - מתן גט. יש רק אופציה אחת בשונה מקידושין שם יש שלוש אופציות.</w:t>
      </w:r>
      <w:r w:rsidR="00A575D2" w:rsidRPr="00A575D2">
        <w:rPr>
          <w:rFonts w:ascii="David" w:hAnsi="David" w:hint="cs"/>
          <w:rtl/>
        </w:rPr>
        <w:t xml:space="preserve"> כיצד שהגט רשום זה מאוד משמעותי, אפילו ברמת שמות בני הזוג. </w:t>
      </w:r>
      <w:r w:rsidR="00A575D2">
        <w:rPr>
          <w:rFonts w:ascii="David" w:hAnsi="David" w:hint="cs"/>
          <w:rtl/>
        </w:rPr>
        <w:t>כמו כן, הגט כתוב בארמית ולא ניסו לתרגמו מהפחד לטעויות.</w:t>
      </w:r>
      <w:r w:rsidR="00243BCA">
        <w:rPr>
          <w:rFonts w:ascii="David" w:hAnsi="David" w:hint="cs"/>
        </w:rPr>
        <w:t xml:space="preserve"> </w:t>
      </w:r>
      <w:r w:rsidR="00243BCA" w:rsidRPr="00243BCA">
        <w:rPr>
          <w:rFonts w:ascii="David" w:hAnsi="David" w:hint="cs"/>
          <w:rtl/>
        </w:rPr>
        <w:t>נוסח הגט: בגט הבעל מציין כי הוא משחרר את האישה מרצון ושלא היה אנוס לעשות זאת.</w:t>
      </w:r>
    </w:p>
    <w:p w14:paraId="5CE75799" w14:textId="73128B40" w:rsidR="003A66A4" w:rsidRPr="00A575D2" w:rsidRDefault="003A66A4" w:rsidP="00A575D2">
      <w:pPr>
        <w:pStyle w:val="ac"/>
        <w:numPr>
          <w:ilvl w:val="2"/>
          <w:numId w:val="23"/>
        </w:numPr>
        <w:bidi/>
        <w:rPr>
          <w:rFonts w:ascii="David" w:hAnsi="David"/>
          <w:rtl/>
        </w:rPr>
      </w:pPr>
      <w:r w:rsidRPr="00243BCA">
        <w:rPr>
          <w:rFonts w:ascii="David" w:hAnsi="David" w:hint="cs"/>
          <w:u w:val="single"/>
          <w:rtl/>
        </w:rPr>
        <w:t>עדים</w:t>
      </w:r>
      <w:r w:rsidRPr="00A575D2">
        <w:rPr>
          <w:rFonts w:ascii="David" w:hAnsi="David" w:hint="cs"/>
          <w:rtl/>
        </w:rPr>
        <w:t xml:space="preserve"> </w:t>
      </w:r>
      <w:r w:rsidRPr="00A575D2">
        <w:rPr>
          <w:rFonts w:ascii="David" w:hAnsi="David"/>
          <w:rtl/>
        </w:rPr>
        <w:t>–</w:t>
      </w:r>
      <w:r w:rsidRPr="00A575D2">
        <w:rPr>
          <w:rFonts w:ascii="David" w:hAnsi="David" w:hint="cs"/>
          <w:rtl/>
        </w:rPr>
        <w:t xml:space="preserve"> רואים את מתן הגט. אין בחירה לעדים ובית הדין מביא אותם.</w:t>
      </w:r>
    </w:p>
    <w:p w14:paraId="4A9C6B59" w14:textId="518A5602" w:rsidR="003A66A4" w:rsidRDefault="003A66A4" w:rsidP="00A575D2">
      <w:pPr>
        <w:pStyle w:val="ac"/>
        <w:numPr>
          <w:ilvl w:val="2"/>
          <w:numId w:val="23"/>
        </w:numPr>
        <w:bidi/>
        <w:spacing w:after="0"/>
        <w:rPr>
          <w:rFonts w:ascii="David" w:hAnsi="David"/>
        </w:rPr>
      </w:pPr>
      <w:r w:rsidRPr="00243BCA">
        <w:rPr>
          <w:rFonts w:ascii="David" w:hAnsi="David" w:hint="cs"/>
          <w:u w:val="single"/>
          <w:rtl/>
        </w:rPr>
        <w:t>כוונה</w:t>
      </w:r>
      <w:r w:rsidRPr="00A575D2">
        <w:rPr>
          <w:rFonts w:ascii="David" w:hAnsi="David" w:hint="cs"/>
          <w:rtl/>
        </w:rPr>
        <w:t xml:space="preserve"> </w:t>
      </w:r>
      <w:r w:rsidRPr="00A575D2">
        <w:rPr>
          <w:rFonts w:ascii="David" w:hAnsi="David"/>
          <w:rtl/>
        </w:rPr>
        <w:t>–</w:t>
      </w:r>
      <w:r w:rsidRPr="00A575D2">
        <w:rPr>
          <w:rFonts w:ascii="David" w:hAnsi="David" w:hint="cs"/>
          <w:rtl/>
        </w:rPr>
        <w:t xml:space="preserve"> כוונת הצדדים לתת את הגט</w:t>
      </w:r>
      <w:r w:rsidR="00243BCA">
        <w:rPr>
          <w:rFonts w:ascii="David" w:hAnsi="David" w:hint="cs"/>
          <w:rtl/>
        </w:rPr>
        <w:t>. זוהי הבעיה הגדול היותר, כיוון שאם אחד מבני הזוג לא רוצה קשה הרבה יותר לפרק את הנישואין (נדון בהרחבה).</w:t>
      </w:r>
    </w:p>
    <w:p w14:paraId="05D96AFF" w14:textId="67761C43" w:rsidR="000E323C" w:rsidRDefault="00A575D2" w:rsidP="00CA5824">
      <w:pPr>
        <w:rPr>
          <w:rFonts w:ascii="David" w:hAnsi="David"/>
          <w:rtl/>
        </w:rPr>
      </w:pPr>
      <w:r>
        <w:rPr>
          <w:rFonts w:ascii="David" w:hAnsi="David" w:hint="cs"/>
          <w:rtl/>
        </w:rPr>
        <w:t xml:space="preserve">בנוסף לאלו נוצר תנאי מאוד משמעותי לגירושין והוא </w:t>
      </w:r>
      <w:r w:rsidRPr="00243BCA">
        <w:rPr>
          <w:rFonts w:ascii="David" w:hAnsi="David" w:hint="cs"/>
          <w:b/>
          <w:bCs/>
          <w:rtl/>
        </w:rPr>
        <w:t>ביצוע הליך סידור הגט בבית הדין</w:t>
      </w:r>
      <w:r>
        <w:rPr>
          <w:rFonts w:ascii="David" w:hAnsi="David" w:hint="cs"/>
          <w:rtl/>
        </w:rPr>
        <w:t xml:space="preserve"> </w:t>
      </w:r>
      <w:r>
        <w:rPr>
          <w:rFonts w:ascii="David" w:hAnsi="David"/>
          <w:rtl/>
        </w:rPr>
        <w:t>–</w:t>
      </w:r>
      <w:r>
        <w:rPr>
          <w:rFonts w:ascii="David" w:hAnsi="David" w:hint="cs"/>
          <w:rtl/>
        </w:rPr>
        <w:t xml:space="preserve"> אם הגירושין לא בוצעו בבית דין כנראה שהגט לא יהיה תקף (כאשר אומרים גירושין פרטיים מדובר בגירושין בבית דין פרטי). </w:t>
      </w:r>
    </w:p>
    <w:p w14:paraId="226E1B27" w14:textId="7C9B2208" w:rsidR="003A66A4" w:rsidRPr="000E323C" w:rsidRDefault="00243BCA" w:rsidP="000E323C">
      <w:pPr>
        <w:pStyle w:val="ac"/>
        <w:numPr>
          <w:ilvl w:val="0"/>
          <w:numId w:val="23"/>
        </w:numPr>
        <w:shd w:val="clear" w:color="auto" w:fill="FFF4CD" w:themeFill="accent1" w:themeFillTint="33"/>
        <w:bidi/>
        <w:spacing w:after="0"/>
        <w:rPr>
          <w:rFonts w:ascii="David" w:hAnsi="David"/>
          <w:b/>
          <w:bCs/>
        </w:rPr>
      </w:pPr>
      <w:r w:rsidRPr="000E323C">
        <w:rPr>
          <w:rFonts w:ascii="David" w:hAnsi="David" w:hint="cs"/>
          <w:b/>
          <w:bCs/>
          <w:rtl/>
        </w:rPr>
        <w:t>כוונתם הצדדים במתן גט:</w:t>
      </w:r>
    </w:p>
    <w:p w14:paraId="667592BA" w14:textId="0ECAE95B" w:rsidR="00243BCA" w:rsidRPr="000E323C" w:rsidRDefault="00243BCA" w:rsidP="000E323C">
      <w:pPr>
        <w:rPr>
          <w:rFonts w:ascii="David" w:hAnsi="David"/>
        </w:rPr>
      </w:pPr>
      <w:r w:rsidRPr="000E323C">
        <w:rPr>
          <w:rFonts w:ascii="David" w:hAnsi="David" w:hint="cs"/>
          <w:rtl/>
        </w:rPr>
        <w:t xml:space="preserve">יש צורך ברצון של בני הזוג </w:t>
      </w:r>
      <w:r w:rsidRPr="000E323C">
        <w:rPr>
          <w:rFonts w:ascii="David" w:hAnsi="David"/>
          <w:rtl/>
        </w:rPr>
        <w:t>–</w:t>
      </w:r>
      <w:r w:rsidRPr="000E323C">
        <w:rPr>
          <w:rFonts w:ascii="David" w:hAnsi="David" w:hint="cs"/>
          <w:rtl/>
        </w:rPr>
        <w:t xml:space="preserve"> </w:t>
      </w:r>
      <w:r w:rsidRPr="000E323C">
        <w:rPr>
          <w:rFonts w:ascii="David" w:hAnsi="David" w:hint="cs"/>
          <w:b/>
          <w:bCs/>
          <w:rtl/>
        </w:rPr>
        <w:t>אולם הרצון של בני הזוג שונה מבחינה הלכתית:</w:t>
      </w:r>
    </w:p>
    <w:p w14:paraId="19670594" w14:textId="69323709" w:rsidR="00243BCA" w:rsidRDefault="00243BCA" w:rsidP="000E323C">
      <w:pPr>
        <w:pStyle w:val="ac"/>
        <w:numPr>
          <w:ilvl w:val="1"/>
          <w:numId w:val="23"/>
        </w:numPr>
        <w:bidi/>
        <w:rPr>
          <w:rFonts w:ascii="David" w:hAnsi="David"/>
        </w:rPr>
      </w:pPr>
      <w:r w:rsidRPr="006E76D8">
        <w:rPr>
          <w:rFonts w:ascii="David" w:hAnsi="David" w:hint="cs"/>
          <w:b/>
          <w:bCs/>
          <w:rtl/>
        </w:rPr>
        <w:t>הגבר</w:t>
      </w:r>
      <w:r>
        <w:rPr>
          <w:rFonts w:ascii="David" w:hAnsi="David" w:hint="cs"/>
          <w:rtl/>
        </w:rPr>
        <w:t xml:space="preserve"> </w:t>
      </w:r>
      <w:r>
        <w:rPr>
          <w:rFonts w:ascii="David" w:hAnsi="David"/>
          <w:rtl/>
        </w:rPr>
        <w:t>–</w:t>
      </w:r>
      <w:r>
        <w:rPr>
          <w:rFonts w:ascii="David" w:hAnsi="David" w:hint="cs"/>
          <w:rtl/>
        </w:rPr>
        <w:t xml:space="preserve"> יש חובה </w:t>
      </w:r>
      <w:r w:rsidRPr="00243BCA">
        <w:rPr>
          <w:rFonts w:ascii="David" w:hAnsi="David" w:hint="cs"/>
          <w:b/>
          <w:bCs/>
          <w:rtl/>
        </w:rPr>
        <w:t>מדיאוריתא</w:t>
      </w:r>
      <w:r>
        <w:rPr>
          <w:rFonts w:ascii="David" w:hAnsi="David" w:hint="cs"/>
          <w:b/>
          <w:bCs/>
          <w:rtl/>
        </w:rPr>
        <w:t>.</w:t>
      </w:r>
      <w:r w:rsidR="000E323C">
        <w:rPr>
          <w:rFonts w:ascii="David" w:hAnsi="David" w:hint="cs"/>
          <w:rtl/>
        </w:rPr>
        <w:t xml:space="preserve"> כבר בתלמוד רשום כי יש צורך ברצון של הגבר.</w:t>
      </w:r>
    </w:p>
    <w:p w14:paraId="36BF2BFD" w14:textId="44321417" w:rsidR="00243BCA" w:rsidRDefault="00243BCA" w:rsidP="000E323C">
      <w:pPr>
        <w:pStyle w:val="ac"/>
        <w:numPr>
          <w:ilvl w:val="1"/>
          <w:numId w:val="23"/>
        </w:numPr>
        <w:bidi/>
        <w:rPr>
          <w:rFonts w:ascii="David" w:hAnsi="David"/>
        </w:rPr>
      </w:pPr>
      <w:r w:rsidRPr="006E76D8">
        <w:rPr>
          <w:rFonts w:ascii="David" w:hAnsi="David" w:hint="cs"/>
          <w:b/>
          <w:bCs/>
          <w:rtl/>
        </w:rPr>
        <w:t>האישה</w:t>
      </w:r>
      <w:r>
        <w:rPr>
          <w:rFonts w:ascii="David" w:hAnsi="David" w:hint="cs"/>
          <w:rtl/>
        </w:rPr>
        <w:t xml:space="preserve"> </w:t>
      </w:r>
      <w:r>
        <w:rPr>
          <w:rFonts w:ascii="David" w:hAnsi="David"/>
          <w:rtl/>
        </w:rPr>
        <w:t>–</w:t>
      </w:r>
      <w:r>
        <w:rPr>
          <w:rFonts w:ascii="David" w:hAnsi="David" w:hint="cs"/>
          <w:rtl/>
        </w:rPr>
        <w:t xml:space="preserve"> יש חובה </w:t>
      </w:r>
      <w:r w:rsidR="000E323C">
        <w:rPr>
          <w:rFonts w:ascii="David" w:hAnsi="David" w:hint="cs"/>
          <w:b/>
          <w:bCs/>
          <w:rtl/>
        </w:rPr>
        <w:t>מדרבנן.</w:t>
      </w:r>
      <w:r>
        <w:rPr>
          <w:rFonts w:ascii="David" w:hAnsi="David" w:hint="cs"/>
          <w:rtl/>
        </w:rPr>
        <w:t xml:space="preserve"> עד למאה 11 היה אפשר לגרש אישה בניגוד לרצונה, אולם בעולם האשכנזי נקבע חרם דרבנו גרשום ובו נקבע כי גבר לא יכול לגרש את אשתו בניגוד </w:t>
      </w:r>
      <w:r w:rsidR="000E323C">
        <w:rPr>
          <w:rFonts w:ascii="David" w:hAnsi="David" w:hint="cs"/>
          <w:rtl/>
        </w:rPr>
        <w:t>לרצונה</w:t>
      </w:r>
      <w:r>
        <w:rPr>
          <w:rFonts w:ascii="David" w:hAnsi="David" w:hint="cs"/>
          <w:rtl/>
        </w:rPr>
        <w:t>.</w:t>
      </w:r>
      <w:r w:rsidR="000E323C">
        <w:rPr>
          <w:rFonts w:ascii="David" w:hAnsi="David" w:hint="cs"/>
          <w:rtl/>
        </w:rPr>
        <w:t xml:space="preserve"> ברמה העקרונית רבנו גרשום שינה את המציאות באופן דרמטי, שכן גבר לא היה זקוק לשום עילת גירושין כדי לגרש את אשתו (בתלמוד כתוב שיכול היה לגרשה אפילו אם בישלה לא תבשיל לא טוב או ראה אישה יפה יותר). </w:t>
      </w:r>
      <w:r w:rsidR="000E323C" w:rsidRPr="000E323C">
        <w:rPr>
          <w:rFonts w:ascii="David" w:hAnsi="David" w:hint="cs"/>
          <w:u w:val="single"/>
          <w:rtl/>
        </w:rPr>
        <w:t>הבעיה בחרם דרבנו גרשום ה</w:t>
      </w:r>
      <w:r w:rsidR="000E323C">
        <w:rPr>
          <w:rFonts w:ascii="David" w:hAnsi="David" w:hint="cs"/>
          <w:u w:val="single"/>
          <w:rtl/>
        </w:rPr>
        <w:t>וא שיש מחלוקת לגבי קבלתו בעולם הספרדי.</w:t>
      </w:r>
    </w:p>
    <w:p w14:paraId="0D299418" w14:textId="306CAEAB" w:rsidR="000E323C" w:rsidRDefault="000E323C" w:rsidP="002C1726">
      <w:pPr>
        <w:pStyle w:val="ac"/>
        <w:numPr>
          <w:ilvl w:val="2"/>
          <w:numId w:val="23"/>
        </w:numPr>
        <w:bidi/>
        <w:rPr>
          <w:rFonts w:ascii="David" w:hAnsi="David"/>
        </w:rPr>
      </w:pPr>
      <w:r w:rsidRPr="002C1726">
        <w:rPr>
          <w:rFonts w:ascii="David" w:hAnsi="David" w:hint="cs"/>
          <w:u w:val="single"/>
          <w:rtl/>
        </w:rPr>
        <w:t>ערוך השולחן:</w:t>
      </w:r>
      <w:r>
        <w:rPr>
          <w:rFonts w:ascii="David" w:hAnsi="David" w:hint="cs"/>
          <w:rtl/>
        </w:rPr>
        <w:t xml:space="preserve"> לטענתו גם בקבילות הפרדיות שלא קיבלו את חרדם דרבנו גרשום לגבי ביגמיה, קיבלו את חרם דרבנו גרשום לגבי גירוש אישה בעל כורחה.</w:t>
      </w:r>
    </w:p>
    <w:p w14:paraId="3D02175B" w14:textId="11FC914E" w:rsidR="002C1726" w:rsidRPr="002C1726" w:rsidRDefault="002C1726" w:rsidP="002C1726">
      <w:pPr>
        <w:pStyle w:val="ac"/>
        <w:numPr>
          <w:ilvl w:val="2"/>
          <w:numId w:val="23"/>
        </w:numPr>
        <w:bidi/>
        <w:rPr>
          <w:rFonts w:ascii="David" w:hAnsi="David"/>
        </w:rPr>
      </w:pPr>
      <w:r>
        <w:rPr>
          <w:rFonts w:ascii="David" w:hAnsi="David" w:hint="cs"/>
          <w:u w:val="single"/>
          <w:rtl/>
        </w:rPr>
        <w:t>שו"ת הר"ן:</w:t>
      </w:r>
      <w:r>
        <w:rPr>
          <w:rFonts w:ascii="David" w:hAnsi="David" w:hint="cs"/>
          <w:rtl/>
        </w:rPr>
        <w:t xml:space="preserve"> מקרה של גבר שרוצה לעלות לארץ ונשבע לכך, אשתו לא רוצה לעלות לארץ ולכן הוא רוצה להתגרש ואשתו לא רוצה. הר"ן אומר כי בספרד אסור לגרש אישה בעל כורחה לא רק בגלל המלך הקתולי, אלא גם מסיבה הלכתית או כי קיימת תקנה ספרדית או מתוקף תקנתנו של רבנו גרשום. הר"ן קובע כי הוא צריך להישאר בספרד עם אשתו.</w:t>
      </w:r>
    </w:p>
    <w:p w14:paraId="2F72D841" w14:textId="77777777" w:rsidR="006E76D8" w:rsidRDefault="002C1726" w:rsidP="002C1726">
      <w:pPr>
        <w:pStyle w:val="ac"/>
        <w:numPr>
          <w:ilvl w:val="2"/>
          <w:numId w:val="23"/>
        </w:numPr>
        <w:bidi/>
        <w:rPr>
          <w:rFonts w:ascii="David" w:hAnsi="David"/>
        </w:rPr>
      </w:pPr>
      <w:r w:rsidRPr="006E76D8">
        <w:rPr>
          <w:rFonts w:ascii="David" w:hAnsi="David" w:hint="cs"/>
          <w:u w:val="single"/>
          <w:rtl/>
        </w:rPr>
        <w:lastRenderedPageBreak/>
        <w:t>השולחן ערוך:</w:t>
      </w:r>
      <w:r>
        <w:rPr>
          <w:rFonts w:ascii="David" w:hAnsi="David" w:hint="cs"/>
          <w:rtl/>
        </w:rPr>
        <w:t xml:space="preserve"> לדעת רבי יוסף קארו הגבר יכול גרש אישה בעל כורחה ואין שינוי מההלכה התלמודית. </w:t>
      </w:r>
      <w:r w:rsidRPr="009A1E5A">
        <w:rPr>
          <w:rFonts w:ascii="David" w:hAnsi="David" w:hint="cs"/>
          <w:u w:val="single"/>
          <w:rtl/>
        </w:rPr>
        <w:t>הרמ"א</w:t>
      </w:r>
      <w:r>
        <w:rPr>
          <w:rFonts w:ascii="David" w:hAnsi="David" w:hint="cs"/>
          <w:rtl/>
        </w:rPr>
        <w:t xml:space="preserve"> חולק עליו ואומר כי </w:t>
      </w:r>
      <w:r w:rsidR="006E76D8">
        <w:rPr>
          <w:rFonts w:ascii="David" w:hAnsi="David" w:hint="cs"/>
          <w:rtl/>
        </w:rPr>
        <w:t>בהלכה האשכנזית</w:t>
      </w:r>
      <w:r>
        <w:rPr>
          <w:rFonts w:ascii="David" w:hAnsi="David" w:hint="cs"/>
          <w:rtl/>
        </w:rPr>
        <w:t xml:space="preserve"> </w:t>
      </w:r>
      <w:r w:rsidR="006E76D8">
        <w:rPr>
          <w:rFonts w:ascii="David" w:hAnsi="David" w:hint="cs"/>
          <w:rtl/>
        </w:rPr>
        <w:t>יש את חרם דרבנו גרשום ואי אפשר לגרש אישה בעל כורחה. אבל גורשה בעל כורחה ונישאת הבעל לא נחשב עבריין. שני דברים ניתן להבין מאמירה זו:</w:t>
      </w:r>
    </w:p>
    <w:p w14:paraId="3181E46E" w14:textId="44928304" w:rsidR="006E76D8" w:rsidRDefault="006E76D8" w:rsidP="006E76D8">
      <w:pPr>
        <w:pStyle w:val="ac"/>
        <w:numPr>
          <w:ilvl w:val="4"/>
          <w:numId w:val="23"/>
        </w:numPr>
        <w:bidi/>
        <w:rPr>
          <w:rFonts w:ascii="David" w:hAnsi="David"/>
        </w:rPr>
      </w:pPr>
      <w:r>
        <w:rPr>
          <w:rFonts w:ascii="David" w:hAnsi="David" w:hint="cs"/>
          <w:rtl/>
        </w:rPr>
        <w:t>הבעל נחשב עבריין עד שהאישה לא נישאת. אולי ישנה אפילו צפייה שיינשא לה בשנית.</w:t>
      </w:r>
    </w:p>
    <w:p w14:paraId="5475B3DB" w14:textId="3EEE98D9" w:rsidR="002C1726" w:rsidRDefault="006E76D8" w:rsidP="006E76D8">
      <w:pPr>
        <w:pStyle w:val="ac"/>
        <w:numPr>
          <w:ilvl w:val="4"/>
          <w:numId w:val="23"/>
        </w:numPr>
        <w:bidi/>
        <w:rPr>
          <w:rFonts w:ascii="David" w:hAnsi="David"/>
        </w:rPr>
      </w:pPr>
      <w:r>
        <w:rPr>
          <w:rFonts w:ascii="David" w:hAnsi="David" w:hint="cs"/>
          <w:rtl/>
        </w:rPr>
        <w:t>הגט תקף גם אם הוא ניתן בניגוד לרצונה של האישה. עם זאת, ישנה גישה שאומרת שגט כזה לא תקף.</w:t>
      </w:r>
      <w:r w:rsidR="002C1726">
        <w:rPr>
          <w:rFonts w:ascii="David" w:hAnsi="David" w:hint="cs"/>
          <w:rtl/>
        </w:rPr>
        <w:t xml:space="preserve"> </w:t>
      </w:r>
    </w:p>
    <w:p w14:paraId="65DE5FD2" w14:textId="0300C663" w:rsidR="00A13B8A" w:rsidRPr="00A13B8A" w:rsidRDefault="006E76D8" w:rsidP="00A13B8A">
      <w:pPr>
        <w:pStyle w:val="ac"/>
        <w:numPr>
          <w:ilvl w:val="1"/>
          <w:numId w:val="23"/>
        </w:numPr>
        <w:bidi/>
        <w:rPr>
          <w:rFonts w:ascii="David" w:hAnsi="David"/>
          <w:b/>
          <w:bCs/>
          <w:u w:val="single"/>
        </w:rPr>
      </w:pPr>
      <w:r w:rsidRPr="00A13B8A">
        <w:rPr>
          <w:rFonts w:ascii="David" w:hAnsi="David" w:hint="cs"/>
          <w:b/>
          <w:bCs/>
          <w:u w:val="single"/>
          <w:rtl/>
        </w:rPr>
        <w:t>מה ההשלכה של הפער בין ספרדים לאשכנזים בנוגע למתן גט?</w:t>
      </w:r>
      <w:r w:rsidR="00A13B8A">
        <w:rPr>
          <w:rFonts w:ascii="David" w:hAnsi="David" w:hint="cs"/>
          <w:b/>
          <w:bCs/>
          <w:u w:val="single"/>
          <w:rtl/>
        </w:rPr>
        <w:t xml:space="preserve"> </w:t>
      </w:r>
      <w:r w:rsidR="00A13B8A">
        <w:rPr>
          <w:rFonts w:ascii="David" w:hAnsi="David" w:hint="cs"/>
          <w:rtl/>
        </w:rPr>
        <w:t xml:space="preserve"> כאשר ישנה סרבנות גט של אישה בית הדין מעדיף לתת היתר נישואין ולא להטיל סנקציות על האישה. </w:t>
      </w:r>
      <w:r w:rsidR="00A13B8A" w:rsidRPr="00A13B8A">
        <w:rPr>
          <w:rFonts w:ascii="David" w:hAnsi="David" w:hint="cs"/>
          <w:u w:val="single"/>
          <w:rtl/>
        </w:rPr>
        <w:t>למה בית הדין מעדיף היתר נישואין על פני הטלת סנקציות על האישה</w:t>
      </w:r>
      <w:r w:rsidR="00A13B8A" w:rsidRPr="00A13B8A">
        <w:rPr>
          <w:rFonts w:ascii="David" w:hAnsi="David" w:hint="cs"/>
          <w:rtl/>
        </w:rPr>
        <w:t xml:space="preserve">? </w:t>
      </w:r>
    </w:p>
    <w:p w14:paraId="12E47B83" w14:textId="53A3F4DA" w:rsidR="006E76D8" w:rsidRDefault="00A13B8A" w:rsidP="00A13B8A">
      <w:pPr>
        <w:pStyle w:val="ac"/>
        <w:numPr>
          <w:ilvl w:val="3"/>
          <w:numId w:val="23"/>
        </w:numPr>
        <w:bidi/>
        <w:rPr>
          <w:rFonts w:ascii="David" w:hAnsi="David"/>
        </w:rPr>
      </w:pPr>
      <w:r>
        <w:rPr>
          <w:rFonts w:ascii="David" w:hAnsi="David" w:hint="cs"/>
          <w:rtl/>
        </w:rPr>
        <w:t>כיוון שהחרם בנוגע לגירוש אישה בעל כוחה התקבל בתפוצה רחבה יותר בשונה מהחרם על בגימיה.</w:t>
      </w:r>
    </w:p>
    <w:p w14:paraId="184996B2" w14:textId="53F53CF7" w:rsidR="00A13B8A" w:rsidRDefault="00A13B8A" w:rsidP="00CA5824">
      <w:pPr>
        <w:pStyle w:val="ac"/>
        <w:numPr>
          <w:ilvl w:val="3"/>
          <w:numId w:val="23"/>
        </w:numPr>
        <w:bidi/>
        <w:spacing w:after="0"/>
        <w:rPr>
          <w:rFonts w:ascii="David" w:hAnsi="David"/>
        </w:rPr>
      </w:pPr>
      <w:r>
        <w:rPr>
          <w:rFonts w:ascii="David" w:hAnsi="David" w:hint="cs"/>
          <w:rtl/>
        </w:rPr>
        <w:t>חרם של גירוש אישה בעל כורחה אין דרך לעקוף אותו והחרם על הביגמיה יש דרך לעקוף אותו בעזרת היתר 100 הרבניים.</w:t>
      </w:r>
    </w:p>
    <w:p w14:paraId="729F13CD" w14:textId="1ADC5DDE" w:rsidR="00A13B8A" w:rsidRPr="009157CA" w:rsidRDefault="009157CA" w:rsidP="009157CA">
      <w:pPr>
        <w:pBdr>
          <w:top w:val="single" w:sz="4" w:space="1" w:color="auto"/>
        </w:pBdr>
        <w:rPr>
          <w:rFonts w:ascii="David" w:hAnsi="David"/>
        </w:rPr>
      </w:pPr>
      <w:r>
        <w:rPr>
          <w:rFonts w:ascii="David" w:hAnsi="David" w:hint="cs"/>
          <w:rtl/>
        </w:rPr>
        <w:t xml:space="preserve">07.06.2022 </w:t>
      </w:r>
      <w:r>
        <w:rPr>
          <w:rFonts w:ascii="David" w:hAnsi="David"/>
          <w:rtl/>
        </w:rPr>
        <w:t>–</w:t>
      </w:r>
      <w:r>
        <w:rPr>
          <w:rFonts w:ascii="David" w:hAnsi="David" w:hint="cs"/>
          <w:rtl/>
        </w:rPr>
        <w:t xml:space="preserve"> </w:t>
      </w:r>
      <w:r w:rsidRPr="009157CA">
        <w:rPr>
          <w:rFonts w:ascii="David" w:hAnsi="David" w:hint="cs"/>
          <w:color w:val="FF0000"/>
          <w:rtl/>
        </w:rPr>
        <w:t>סיכום של הודיה</w:t>
      </w:r>
    </w:p>
    <w:p w14:paraId="5B39EBFF" w14:textId="77777777" w:rsidR="009157CA" w:rsidRPr="009157CA" w:rsidRDefault="009157CA" w:rsidP="009157CA">
      <w:pPr>
        <w:rPr>
          <w:rFonts w:ascii="David" w:hAnsi="David"/>
          <w:rtl/>
        </w:rPr>
      </w:pPr>
      <w:r w:rsidRPr="009157CA">
        <w:rPr>
          <w:rFonts w:ascii="David" w:hAnsi="David" w:hint="cs"/>
          <w:u w:val="single"/>
          <w:rtl/>
        </w:rPr>
        <w:t>שו"ת הרא"ש כלל מב סימן א</w:t>
      </w:r>
      <w:r w:rsidRPr="009157CA">
        <w:rPr>
          <w:rFonts w:ascii="David" w:hAnsi="David" w:hint="cs"/>
          <w:rtl/>
        </w:rPr>
        <w:t xml:space="preserve">: עוסק באדם שהיה נשוי ולאחר שנתיים התברר כי אשתו חולה באפילפסיה, מחלה שבימי הביניים נתפסה כשד שנכנס באדם וכי מדובר במחלה מדבקת. משכך, הבעל רוצה להתגרש. הרא"ש סבור כי מחלה זו יכולה להביא לכפיית גט גם אם מדובר בגבר. האישה לא מוכנה להתגרש/דורשת תנאים כספיים קשים, מה שמביא לסיטואציה בה מצד אחד הגבר לא יכול לגרש אותה, ומצד שני היא דורשת ממנו שאר כסות ועונה (זכויות חיי נישואין). מכאן השאלה האם הוא יכול לגרש אותה בעל כורחה. הרא"ש מציין את תקנת רבינו גרשום כטענה מצד האישה (שאין לגרשה בעל כורחה), ובמקביל מציין את הבעיה לפיה כוח האישה גדול מכוחו של האיש, שכן אם הגבר היה לוקה במחלה האישה הייתה יכולה לבוא לביה"ד ולדרוש שיכפו עליו לתת לה גט, בעוד שהוא לא יכול לגרש אותה בעל כורחה. משכך, הליכה ע"פ תקנת רבינו גרשום מעלה כי כפיית הגבר מעלה חיוב כנגד דאורייתא אך לא מעלה חיוב מדרבנן בגירוש האישה (סיטואציה לא הגיונית) </w:t>
      </w:r>
      <w:r w:rsidRPr="009157CA">
        <w:rPr>
          <w:rFonts w:ascii="David" w:hAnsi="David"/>
          <w:rtl/>
        </w:rPr>
        <w:t>–</w:t>
      </w:r>
      <w:r w:rsidRPr="009157CA">
        <w:rPr>
          <w:rFonts w:ascii="David" w:hAnsi="David" w:hint="cs"/>
          <w:rtl/>
        </w:rPr>
        <w:t xml:space="preserve"> חיזוק כוח האישה על כוח האיש יוצר בעיה במדרג ההלכתי. על כן, הרא"ש </w:t>
      </w:r>
      <w:r w:rsidRPr="009157CA">
        <w:rPr>
          <w:rFonts w:ascii="David" w:hAnsi="David" w:hint="cs"/>
          <w:b/>
          <w:bCs/>
          <w:rtl/>
        </w:rPr>
        <w:t>משווה את כוח האיש לכוחה של האישה,</w:t>
      </w:r>
      <w:r w:rsidRPr="009157CA">
        <w:rPr>
          <w:rFonts w:ascii="David" w:hAnsi="David" w:hint="cs"/>
          <w:rtl/>
        </w:rPr>
        <w:t xml:space="preserve"> וקובע כי כוחה אינו גדול משל האיש. עד לתקנת רבינו גרשום רק האישה הזדקקה לעילת גירושין, ולאחר התקנה נדרש הגבר לעילות גירושין גם הוא, ולכן </w:t>
      </w:r>
      <w:r w:rsidRPr="009157CA">
        <w:rPr>
          <w:rFonts w:ascii="David" w:hAnsi="David" w:hint="cs"/>
          <w:b/>
          <w:bCs/>
          <w:rtl/>
        </w:rPr>
        <w:t xml:space="preserve">הרא"ש קובע כי אותן עילות גירושין של האישה יהוו עילות גירושין גם לגבר. </w:t>
      </w:r>
    </w:p>
    <w:p w14:paraId="581F7C5D" w14:textId="77777777" w:rsidR="009157CA" w:rsidRPr="009157CA" w:rsidRDefault="009157CA" w:rsidP="009157CA">
      <w:pPr>
        <w:rPr>
          <w:rFonts w:ascii="David" w:hAnsi="David"/>
          <w:rtl/>
        </w:rPr>
      </w:pPr>
      <w:r w:rsidRPr="009157CA">
        <w:rPr>
          <w:rFonts w:ascii="David" w:hAnsi="David" w:hint="cs"/>
          <w:rtl/>
        </w:rPr>
        <w:t xml:space="preserve">לעניין זה יש צד שני, שכן ישנן עילות גירושין שאינן שוות מבחינת ההשלכות. עילת בגידה </w:t>
      </w:r>
      <w:r w:rsidRPr="009157CA">
        <w:rPr>
          <w:rFonts w:ascii="David" w:hAnsi="David"/>
          <w:rtl/>
        </w:rPr>
        <w:t>–</w:t>
      </w:r>
      <w:r w:rsidRPr="009157CA">
        <w:rPr>
          <w:rFonts w:ascii="David" w:hAnsi="David" w:hint="cs"/>
          <w:rtl/>
        </w:rPr>
        <w:t xml:space="preserve"> בעוד שבמקרה של אישה שבוגדת ביה"ד מחויב להתערב מאחר ולזוג אסור להמשיך לחיות ביחד (אסורה על בעלה), במקרה של גבר שבגד אין בעיה הלכתית שימשיכו לגור ביחד. הבגידה לכשעצמה כעילה עצמאית הינה עילה חזקה כאשר היא מגיעה מצידו של הגב, בעוד שכאשר היא מגיעה מצידה של האישה הינה עילה חלשה מאוד. </w:t>
      </w:r>
    </w:p>
    <w:p w14:paraId="4AF2D6BF" w14:textId="5CE8B71F" w:rsidR="009157CA" w:rsidRPr="009157CA" w:rsidRDefault="009157CA" w:rsidP="009F4A37">
      <w:pPr>
        <w:pStyle w:val="21"/>
        <w:rPr>
          <w:rtl/>
        </w:rPr>
      </w:pPr>
      <w:bookmarkStart w:id="18" w:name="_Toc107438165"/>
      <w:r w:rsidRPr="009157CA">
        <w:rPr>
          <w:rFonts w:hint="cs"/>
          <w:rtl/>
        </w:rPr>
        <w:t>סרבנות גט</w:t>
      </w:r>
      <w:r w:rsidR="00F572F5">
        <w:rPr>
          <w:rFonts w:hint="cs"/>
          <w:rtl/>
        </w:rPr>
        <w:t xml:space="preserve"> ועילות גירושין</w:t>
      </w:r>
      <w:bookmarkEnd w:id="18"/>
    </w:p>
    <w:p w14:paraId="61254ADB" w14:textId="77777777" w:rsidR="009157CA" w:rsidRPr="009157CA" w:rsidRDefault="009157CA" w:rsidP="009157CA">
      <w:pPr>
        <w:rPr>
          <w:rFonts w:ascii="David" w:hAnsi="David"/>
          <w:rtl/>
        </w:rPr>
      </w:pPr>
      <w:r w:rsidRPr="009157CA">
        <w:rPr>
          <w:rFonts w:ascii="David" w:hAnsi="David" w:hint="cs"/>
          <w:rtl/>
        </w:rPr>
        <w:t xml:space="preserve">הבעייתיות בדיני הגירושין ההלכתיים היא בראש ובראשונה בצורך של רצון שני הצדדים להתגרש. בעייתיות נוספת היא בעיית העילות, אשר לא מכסות את כל המקרים האפשריים, ביניהם אחד המקרים הנפוצים ביותר </w:t>
      </w:r>
      <w:r w:rsidRPr="009157CA">
        <w:rPr>
          <w:rFonts w:ascii="David" w:hAnsi="David"/>
          <w:rtl/>
        </w:rPr>
        <w:t>–</w:t>
      </w:r>
      <w:r w:rsidRPr="009157CA">
        <w:rPr>
          <w:rFonts w:ascii="David" w:hAnsi="David" w:hint="cs"/>
          <w:rtl/>
        </w:rPr>
        <w:t xml:space="preserve"> הזוג פשוט לא רוצה להמשיך בנישואין מסיבות שאינן מהותיות בהכרח. הדיון בנושא יהיה </w:t>
      </w:r>
      <w:r w:rsidRPr="009157CA">
        <w:rPr>
          <w:rFonts w:ascii="David" w:hAnsi="David" w:hint="cs"/>
          <w:b/>
          <w:bCs/>
          <w:rtl/>
        </w:rPr>
        <w:t>בשני מישורים:</w:t>
      </w:r>
      <w:r w:rsidRPr="009157CA">
        <w:rPr>
          <w:rFonts w:ascii="David" w:hAnsi="David" w:hint="cs"/>
          <w:rtl/>
        </w:rPr>
        <w:t xml:space="preserve"> במישור הרצון ובמישור הרשימה המצומצמת של עילות הגירושין. </w:t>
      </w:r>
    </w:p>
    <w:p w14:paraId="6EB59BDB" w14:textId="77777777" w:rsidR="009157CA" w:rsidRPr="009157CA" w:rsidRDefault="009157CA" w:rsidP="009157CA">
      <w:pPr>
        <w:rPr>
          <w:rFonts w:ascii="David" w:hAnsi="David"/>
          <w:rtl/>
        </w:rPr>
      </w:pPr>
      <w:r w:rsidRPr="009157CA">
        <w:rPr>
          <w:rFonts w:ascii="David" w:hAnsi="David" w:hint="cs"/>
          <w:rtl/>
        </w:rPr>
        <w:t xml:space="preserve">בעבר, התפיסה בעולם הייתה כי גירושין הינם סוג של חטא שיש לעשות רק במקרים קיצוניים, ומשכך על המדינה לשמור שלא יבצעו אותו בצורה שכיחה. מכאן ניתן לראות שינוי התנהגות לא רק בהלכה אלא בעולם כולו </w:t>
      </w:r>
      <w:r w:rsidRPr="009157CA">
        <w:rPr>
          <w:rFonts w:ascii="David" w:hAnsi="David"/>
          <w:rtl/>
        </w:rPr>
        <w:t>–</w:t>
      </w:r>
      <w:r w:rsidRPr="009157CA">
        <w:rPr>
          <w:rFonts w:ascii="David" w:hAnsi="David" w:hint="cs"/>
          <w:rtl/>
        </w:rPr>
        <w:t xml:space="preserve"> אנשים לא צריכים להיות כבולים למערכת יחסים שהם אינם מעוניינים בה. </w:t>
      </w:r>
    </w:p>
    <w:p w14:paraId="48291AC4" w14:textId="77777777" w:rsidR="009157CA" w:rsidRPr="009157CA" w:rsidRDefault="009157CA" w:rsidP="009157CA">
      <w:pPr>
        <w:numPr>
          <w:ilvl w:val="1"/>
          <w:numId w:val="10"/>
        </w:numPr>
        <w:rPr>
          <w:rFonts w:ascii="David" w:hAnsi="David"/>
          <w:rtl/>
        </w:rPr>
      </w:pPr>
      <w:r w:rsidRPr="009157CA">
        <w:rPr>
          <w:rFonts w:ascii="David" w:hAnsi="David" w:hint="cs"/>
          <w:b/>
          <w:bCs/>
          <w:rtl/>
        </w:rPr>
        <w:t>רצון הצדדים</w:t>
      </w:r>
    </w:p>
    <w:p w14:paraId="6BF4B4EE" w14:textId="77777777" w:rsidR="009157CA" w:rsidRPr="009157CA" w:rsidRDefault="009157CA" w:rsidP="009157CA">
      <w:pPr>
        <w:rPr>
          <w:rFonts w:ascii="David" w:hAnsi="David"/>
          <w:rtl/>
        </w:rPr>
      </w:pPr>
      <w:r w:rsidRPr="009157CA">
        <w:rPr>
          <w:rFonts w:ascii="David" w:hAnsi="David" w:hint="cs"/>
          <w:rtl/>
        </w:rPr>
        <w:t xml:space="preserve">גט צריך להינתן מרצון הצדדים, כאשר </w:t>
      </w:r>
      <w:r w:rsidRPr="009157CA">
        <w:rPr>
          <w:rFonts w:ascii="David" w:hAnsi="David" w:hint="cs"/>
          <w:b/>
          <w:bCs/>
          <w:rtl/>
        </w:rPr>
        <w:t>הדרישה לרצונו של הבעל</w:t>
      </w:r>
      <w:r w:rsidRPr="009157CA">
        <w:rPr>
          <w:rFonts w:ascii="David" w:hAnsi="David" w:hint="cs"/>
          <w:rtl/>
        </w:rPr>
        <w:t xml:space="preserve"> משמעותית יותר כי היא נדרשת מדאורייתא. </w:t>
      </w:r>
    </w:p>
    <w:p w14:paraId="25CE0599" w14:textId="77777777" w:rsidR="009157CA" w:rsidRPr="009157CA" w:rsidRDefault="009157CA" w:rsidP="009157CA">
      <w:pPr>
        <w:rPr>
          <w:rFonts w:ascii="David" w:hAnsi="David"/>
          <w:rtl/>
        </w:rPr>
      </w:pPr>
      <w:r w:rsidRPr="009157CA">
        <w:rPr>
          <w:rFonts w:ascii="David" w:hAnsi="David"/>
          <w:noProof/>
        </w:rPr>
        <w:drawing>
          <wp:anchor distT="0" distB="0" distL="114300" distR="114300" simplePos="0" relativeHeight="251664384" behindDoc="0" locked="0" layoutInCell="1" allowOverlap="1" wp14:anchorId="2EB08C5D" wp14:editId="46058A0D">
            <wp:simplePos x="0" y="0"/>
            <wp:positionH relativeFrom="margin">
              <wp:align>center</wp:align>
            </wp:positionH>
            <wp:positionV relativeFrom="paragraph">
              <wp:posOffset>231775</wp:posOffset>
            </wp:positionV>
            <wp:extent cx="6616700" cy="767715"/>
            <wp:effectExtent l="0" t="0" r="0"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1313" t="59934" r="2051" b="30441"/>
                    <a:stretch/>
                  </pic:blipFill>
                  <pic:spPr bwMode="auto">
                    <a:xfrm>
                      <a:off x="0" y="0"/>
                      <a:ext cx="6616700" cy="7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7CA">
        <w:rPr>
          <w:rFonts w:ascii="David" w:hAnsi="David" w:hint="cs"/>
          <w:u w:val="single"/>
          <w:rtl/>
        </w:rPr>
        <w:t>תלמוד בבלי מסכת גיטין דף פח עמוד ב</w:t>
      </w:r>
      <w:r w:rsidRPr="009157CA">
        <w:rPr>
          <w:rFonts w:ascii="David" w:hAnsi="David" w:hint="cs"/>
          <w:rtl/>
        </w:rPr>
        <w:t xml:space="preserve">: </w:t>
      </w:r>
    </w:p>
    <w:p w14:paraId="6BB9913A" w14:textId="77777777" w:rsidR="009157CA" w:rsidRPr="009157CA" w:rsidRDefault="009157CA" w:rsidP="009157CA">
      <w:pPr>
        <w:rPr>
          <w:rFonts w:ascii="David" w:hAnsi="David"/>
          <w:rtl/>
        </w:rPr>
      </w:pPr>
      <w:r w:rsidRPr="009157CA">
        <w:rPr>
          <w:rFonts w:ascii="David" w:hAnsi="David" w:hint="cs"/>
          <w:rtl/>
        </w:rPr>
        <w:t xml:space="preserve"> גט מעושה (בכפיה) יכול להיות כשר, תלוי היכן התבצעה הכפייה. אם הכפייה התבצעה בביה"ד הלכתי בישראל הגט כשר, בעוד שאם כפיית הגט התבצעה בבית משפט שאינו הלכתי (ערכאות של גויים) הוא אינו כשר. מכאן ניתן להבין כי ניתן לכפות גט, ללא תנאים/עילות. גם בערכאות של גויים, אם הדבר נעשה תוך הלקאת הסרבן באמירת "עשה מה שישראל אומרים לך", הגט כשר (מדובר בהוצאה לפעול של פסיקה רבנית ולא ברצון שופטים בערכאות של גויים). </w:t>
      </w:r>
    </w:p>
    <w:p w14:paraId="49054552" w14:textId="77777777" w:rsidR="009157CA" w:rsidRPr="009157CA" w:rsidRDefault="009157CA" w:rsidP="009157CA">
      <w:pPr>
        <w:rPr>
          <w:rFonts w:ascii="David" w:hAnsi="David"/>
          <w:rtl/>
        </w:rPr>
      </w:pPr>
      <w:r w:rsidRPr="009157CA">
        <w:rPr>
          <w:rFonts w:ascii="David" w:hAnsi="David" w:hint="cs"/>
          <w:rtl/>
        </w:rPr>
        <w:lastRenderedPageBreak/>
        <w:t xml:space="preserve">הישארות ברובד של משנה זו מקלה על העניין </w:t>
      </w:r>
      <w:r w:rsidRPr="009157CA">
        <w:rPr>
          <w:rFonts w:ascii="David" w:hAnsi="David"/>
          <w:rtl/>
        </w:rPr>
        <w:t>–</w:t>
      </w:r>
      <w:r w:rsidRPr="009157CA">
        <w:rPr>
          <w:rFonts w:ascii="David" w:hAnsi="David" w:hint="cs"/>
          <w:rtl/>
        </w:rPr>
        <w:t xml:space="preserve"> ניתן לכפות גט. עם זאת, המצב כיום הוא אינו כזה. משנה זו צוטטה בשנים האחרונות פעמים רבות בבתי הדין, בעיקר הקטע לפיו כפיית גט בערכאות של גויים יוצרת גט פסול </w:t>
      </w:r>
      <w:r w:rsidRPr="009157CA">
        <w:rPr>
          <w:rFonts w:ascii="David" w:hAnsi="David"/>
          <w:rtl/>
        </w:rPr>
        <w:t>–</w:t>
      </w:r>
      <w:r w:rsidRPr="009157CA">
        <w:rPr>
          <w:rFonts w:ascii="David" w:hAnsi="David" w:hint="cs"/>
          <w:rtl/>
        </w:rPr>
        <w:t xml:space="preserve"> בעיקר בתביעות נזיקיות. אם ביהמ"ש קבע שהגבר צריך לשלם לאשתו סכומים גבוהים בגין סרבנות גט, ביה"ד יכול לטעון לכפיית גט בערכאות של גויים. ניתן אף לראות כי מספר המקרים בהם נכפה גט בישראל הוא מאוד נמוך, כך שמשמעות פסק דין לכפייה בישראל כאשר מדובר בגבר היא מאסר. </w:t>
      </w:r>
    </w:p>
    <w:p w14:paraId="6A414051" w14:textId="77777777" w:rsidR="009157CA" w:rsidRPr="009157CA" w:rsidRDefault="009157CA" w:rsidP="009157CA">
      <w:pPr>
        <w:rPr>
          <w:rFonts w:ascii="David" w:hAnsi="David"/>
          <w:rtl/>
        </w:rPr>
      </w:pPr>
      <w:r w:rsidRPr="00184DA1">
        <w:rPr>
          <w:rFonts w:ascii="David" w:hAnsi="David" w:hint="cs"/>
          <w:highlight w:val="cyan"/>
          <w:rtl/>
        </w:rPr>
        <w:t>פס"ד משנת 1993/4</w:t>
      </w:r>
      <w:r w:rsidRPr="009157CA">
        <w:rPr>
          <w:rFonts w:ascii="David" w:hAnsi="David" w:hint="cs"/>
          <w:rtl/>
        </w:rPr>
        <w:t xml:space="preserve">: פס"ד המייצגת עמדה נוכחת בהלכה היהודית. דיון בשאלה האם ניתן לכפות גט, </w:t>
      </w:r>
      <w:r w:rsidRPr="009157CA">
        <w:rPr>
          <w:rFonts w:ascii="David" w:hAnsi="David" w:hint="cs"/>
          <w:b/>
          <w:bCs/>
          <w:rtl/>
        </w:rPr>
        <w:t>לפני</w:t>
      </w:r>
      <w:r w:rsidRPr="009157CA">
        <w:rPr>
          <w:rFonts w:ascii="David" w:hAnsi="David" w:hint="cs"/>
          <w:rtl/>
        </w:rPr>
        <w:t xml:space="preserve"> התיקון שתוקן בשנת 1995 שקבע כי כפייה יכולה להיעשות בדרכים אחרות מלבד מאסר. האישה רוצה להתגרש מאחר ובעלה מכה אותה, נרקומן ומבצע בה מעשים מגונים ואף נאשם בפלילים כמה פעמים ומצוי בכלא. הימצאות בכלא מהווה עילת גירושין. ביה"ד קובע כי אמנם ניתן לקבוע כי במקרה זה יש לכפות גט, אך </w:t>
      </w:r>
      <w:r w:rsidRPr="009157CA">
        <w:rPr>
          <w:rFonts w:ascii="David" w:hAnsi="David" w:hint="cs"/>
          <w:b/>
          <w:bCs/>
          <w:rtl/>
        </w:rPr>
        <w:t>מדיניות בתי הדין בארץ היא כי לא כופין גיטין</w:t>
      </w:r>
      <w:r w:rsidRPr="009157CA">
        <w:rPr>
          <w:rFonts w:ascii="David" w:hAnsi="David" w:hint="cs"/>
          <w:rtl/>
        </w:rPr>
        <w:t xml:space="preserve">, לא משנה מאיזו עילה. ביה"ד מציע לחייב אותו בכפייה בדרך של ברירה (כפייה אשר ניתן להימלט ממנה בעת קיום החיובים של הנישואין). </w:t>
      </w:r>
    </w:p>
    <w:p w14:paraId="644D41FC" w14:textId="77777777" w:rsidR="009157CA" w:rsidRPr="009157CA" w:rsidRDefault="009157CA" w:rsidP="009157CA">
      <w:pPr>
        <w:rPr>
          <w:rFonts w:ascii="David" w:hAnsi="David"/>
          <w:rtl/>
        </w:rPr>
      </w:pPr>
      <w:r w:rsidRPr="009157CA">
        <w:rPr>
          <w:rFonts w:ascii="David" w:hAnsi="David" w:hint="cs"/>
          <w:rtl/>
        </w:rPr>
        <w:t xml:space="preserve">המוטיבציה של הפוסקים לצמצם את האפשרות לכפיית גט נובעת מהחשש לפסילת הגט, שכן מתן גט ע"י כפייה שלא ניתן להצדיקה הלכתית עלול להביא לאשת איש ולממזרים. </w:t>
      </w:r>
    </w:p>
    <w:p w14:paraId="02E9433B" w14:textId="77777777" w:rsidR="009157CA" w:rsidRPr="009157CA" w:rsidRDefault="009157CA" w:rsidP="009157CA">
      <w:pPr>
        <w:rPr>
          <w:rFonts w:ascii="David" w:hAnsi="David"/>
          <w:rtl/>
        </w:rPr>
      </w:pPr>
      <w:r w:rsidRPr="009157CA">
        <w:rPr>
          <w:rFonts w:ascii="David" w:hAnsi="David" w:hint="cs"/>
          <w:rtl/>
        </w:rPr>
        <w:t xml:space="preserve">ניתן לראות את היחס של רב שמואל (אמורא) למשנה במסכת גיטין: "גט המעושה בישראל, </w:t>
      </w:r>
      <w:r w:rsidRPr="009157CA">
        <w:rPr>
          <w:rFonts w:ascii="David" w:hAnsi="David" w:hint="cs"/>
          <w:b/>
          <w:bCs/>
          <w:rtl/>
        </w:rPr>
        <w:t>כדין</w:t>
      </w:r>
      <w:r w:rsidRPr="009157CA">
        <w:rPr>
          <w:rFonts w:ascii="David" w:hAnsi="David" w:hint="cs"/>
          <w:rtl/>
        </w:rPr>
        <w:t xml:space="preserve"> </w:t>
      </w:r>
      <w:r w:rsidRPr="009157CA">
        <w:rPr>
          <w:rFonts w:ascii="David" w:hAnsi="David"/>
          <w:rtl/>
        </w:rPr>
        <w:t>–</w:t>
      </w:r>
      <w:r w:rsidRPr="009157CA">
        <w:rPr>
          <w:rFonts w:ascii="David" w:hAnsi="David" w:hint="cs"/>
          <w:rtl/>
        </w:rPr>
        <w:t xml:space="preserve"> כשר", כאשר המילה כדין מכילה בעיקר את הצורך בעילות גירושין. הגט יהיה כשר רק אם נכפה כאשר לאישה יש עילות הגירושין המתאימות. </w:t>
      </w:r>
    </w:p>
    <w:p w14:paraId="49C4EA60" w14:textId="77777777" w:rsidR="009157CA" w:rsidRPr="009157CA" w:rsidRDefault="009157CA" w:rsidP="009157CA">
      <w:pPr>
        <w:rPr>
          <w:rFonts w:ascii="David" w:hAnsi="David"/>
          <w:rtl/>
        </w:rPr>
      </w:pPr>
      <w:r w:rsidRPr="009157CA">
        <w:rPr>
          <w:rFonts w:ascii="David" w:hAnsi="David" w:hint="cs"/>
          <w:u w:val="single"/>
          <w:rtl/>
        </w:rPr>
        <w:t>שו"ע אבן העזר סימן קנד סעיף כא</w:t>
      </w:r>
      <w:r w:rsidRPr="009157CA">
        <w:rPr>
          <w:rFonts w:ascii="David" w:hAnsi="David" w:hint="cs"/>
          <w:rtl/>
        </w:rPr>
        <w:t xml:space="preserve">: כל עילות הגירושין המופעיות בספרות התלמודית ושנאמר כי על ידן הגבר </w:t>
      </w:r>
      <w:r w:rsidRPr="009157CA">
        <w:rPr>
          <w:rFonts w:ascii="David" w:hAnsi="David" w:hint="cs"/>
          <w:b/>
          <w:bCs/>
          <w:rtl/>
        </w:rPr>
        <w:t>יוציא</w:t>
      </w:r>
      <w:r w:rsidRPr="009157CA">
        <w:rPr>
          <w:rFonts w:ascii="David" w:hAnsi="David" w:hint="cs"/>
          <w:rtl/>
        </w:rPr>
        <w:t xml:space="preserve"> את אשתו, גם אם לא כתוב שכופין אותו </w:t>
      </w:r>
      <w:r w:rsidRPr="009157CA">
        <w:rPr>
          <w:rFonts w:ascii="David" w:hAnsi="David"/>
          <w:rtl/>
        </w:rPr>
        <w:t>–</w:t>
      </w:r>
      <w:r w:rsidRPr="009157CA">
        <w:rPr>
          <w:rFonts w:ascii="David" w:hAnsi="David" w:hint="cs"/>
          <w:rtl/>
        </w:rPr>
        <w:t xml:space="preserve"> ניתן לכפות אותו (גם במלקות). עם זאת, ישנה דעה מצמצמת הרבה יותר לפיה כל עוד לא מובא השורש כ.פ.ה אלא "יוציא" בלבד </w:t>
      </w:r>
      <w:r w:rsidRPr="009157CA">
        <w:rPr>
          <w:rFonts w:ascii="David" w:hAnsi="David"/>
          <w:rtl/>
        </w:rPr>
        <w:t>–</w:t>
      </w:r>
      <w:r w:rsidRPr="009157CA">
        <w:rPr>
          <w:rFonts w:ascii="David" w:hAnsi="David" w:hint="cs"/>
          <w:rtl/>
        </w:rPr>
        <w:t xml:space="preserve"> אין לכפות במלקות אלא יש לומר לאיש כי הוא חייב לגרש את אשתו וכי הוא בגדר עבריין. יש לכפות רק בעילות בהן נכתב כי ניתן לכפות. מדובר בפער עצום, שכן מספר העילות שנכתב בהן המפורש שכופין להוציא הוא 4: </w:t>
      </w:r>
      <w:r w:rsidRPr="009157CA">
        <w:rPr>
          <w:rFonts w:ascii="David" w:hAnsi="David"/>
          <w:rtl/>
        </w:rPr>
        <w:t>סכנת חיים כתוצאה מהמשך קשר הנישואין, מאיסה מוצדקת, נישואין אסורים ועקרות.</w:t>
      </w:r>
      <w:r w:rsidRPr="009157CA">
        <w:rPr>
          <w:rFonts w:ascii="David" w:hAnsi="David" w:hint="cs"/>
          <w:rtl/>
        </w:rPr>
        <w:t xml:space="preserve"> השו"ע לא מכריע בין שתי הדעות. הרמ"א מנסה להכריע, וקובע כי ראוי להחמיר </w:t>
      </w:r>
      <w:r w:rsidRPr="009157CA">
        <w:rPr>
          <w:rFonts w:ascii="David" w:hAnsi="David"/>
          <w:rtl/>
        </w:rPr>
        <w:t>–</w:t>
      </w:r>
      <w:r w:rsidRPr="009157CA">
        <w:rPr>
          <w:rFonts w:ascii="David" w:hAnsi="David" w:hint="cs"/>
          <w:rtl/>
        </w:rPr>
        <w:t xml:space="preserve"> כאשר קיים ספק האם לכפות גט או לא, עדיף שלא לכפות על מנת שלא יהיה ספקות בנוגע לכשרות הגט. </w:t>
      </w:r>
      <w:r w:rsidRPr="009157CA">
        <w:rPr>
          <w:rFonts w:ascii="David" w:hAnsi="David" w:hint="cs"/>
          <w:b/>
          <w:bCs/>
          <w:rtl/>
        </w:rPr>
        <w:t>הכרעה זו הפכה את כפיית הגט לאקט נדיר עד כדי לא קיים, מושג תיאורטי בלבד.</w:t>
      </w:r>
      <w:r w:rsidRPr="009157CA">
        <w:rPr>
          <w:rFonts w:ascii="David" w:hAnsi="David" w:hint="cs"/>
          <w:rtl/>
        </w:rPr>
        <w:t xml:space="preserve"> עצירה בנקודה זו יכלה להביא לבעיה קשה, אך בהמשך דברי הרמ"א ניתן לראות שינוי כלשהו של התמונה </w:t>
      </w:r>
      <w:r w:rsidRPr="009157CA">
        <w:rPr>
          <w:rFonts w:ascii="David" w:hAnsi="David"/>
          <w:rtl/>
        </w:rPr>
        <w:t>–</w:t>
      </w:r>
      <w:r w:rsidRPr="009157CA">
        <w:rPr>
          <w:rFonts w:ascii="David" w:hAnsi="David" w:hint="cs"/>
          <w:rtl/>
        </w:rPr>
        <w:t xml:space="preserve"> הרחקות דרבנו תם. ניתן לבצע הרחקות חברתיות כלפי סרבן גט, כאשר ברוב המקרים הדבר יכול להביא לשינוי עמדת הבעל. רשימת ההרחקות בנתונה במקור אינה רשימה סגורה, והרמ"א כותב כי במידה וביה"ד רואה סנקציה אחרת אשר תהיה יעילה לגבי אותו סרבן, ניתן להשתמש בה. </w:t>
      </w:r>
      <w:r w:rsidRPr="009157CA">
        <w:rPr>
          <w:rFonts w:ascii="David" w:hAnsi="David" w:hint="cs"/>
          <w:b/>
          <w:bCs/>
          <w:rtl/>
        </w:rPr>
        <w:t>פתרון נוסף</w:t>
      </w:r>
      <w:r w:rsidRPr="009157CA">
        <w:rPr>
          <w:rFonts w:ascii="David" w:hAnsi="David" w:hint="cs"/>
          <w:rtl/>
        </w:rPr>
        <w:t xml:space="preserve"> שמציע הרמ"א הוא שבכל מקום בו יש מחלוקת האם כופין או לא </w:t>
      </w:r>
      <w:r w:rsidRPr="009157CA">
        <w:rPr>
          <w:rFonts w:ascii="David" w:hAnsi="David"/>
          <w:rtl/>
        </w:rPr>
        <w:t>–</w:t>
      </w:r>
      <w:r w:rsidRPr="009157CA">
        <w:rPr>
          <w:rFonts w:ascii="David" w:hAnsi="David" w:hint="cs"/>
          <w:rtl/>
        </w:rPr>
        <w:t xml:space="preserve"> ניתן לכפות עליו לשלם את הכתובה מיד, במטרה לגרום </w:t>
      </w:r>
      <w:r w:rsidRPr="009157CA">
        <w:rPr>
          <w:rFonts w:ascii="David" w:hAnsi="David"/>
          <w:noProof/>
        </w:rPr>
        <w:drawing>
          <wp:anchor distT="0" distB="0" distL="114300" distR="114300" simplePos="0" relativeHeight="251665408" behindDoc="0" locked="0" layoutInCell="1" allowOverlap="1" wp14:anchorId="5D8DEC63" wp14:editId="28B27FBD">
            <wp:simplePos x="0" y="0"/>
            <wp:positionH relativeFrom="margin">
              <wp:align>center</wp:align>
            </wp:positionH>
            <wp:positionV relativeFrom="paragraph">
              <wp:posOffset>583565</wp:posOffset>
            </wp:positionV>
            <wp:extent cx="6702425" cy="1016000"/>
            <wp:effectExtent l="0" t="0" r="3175" b="0"/>
            <wp:wrapSquare wrapText="bothSides"/>
            <wp:docPr id="11" name="תמונה 1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תמונה שמכילה טקסט&#10;&#10;התיאור נוצר באופן אוטומטי"/>
                    <pic:cNvPicPr/>
                  </pic:nvPicPr>
                  <pic:blipFill rotWithShape="1">
                    <a:blip r:embed="rId16" cstate="print">
                      <a:extLst>
                        <a:ext uri="{28A0092B-C50C-407E-A947-70E740481C1C}">
                          <a14:useLocalDpi xmlns:a14="http://schemas.microsoft.com/office/drawing/2010/main" val="0"/>
                        </a:ext>
                      </a:extLst>
                    </a:blip>
                    <a:srcRect l="51545" t="52011" r="1683" b="36486"/>
                    <a:stretch/>
                  </pic:blipFill>
                  <pic:spPr bwMode="auto">
                    <a:xfrm>
                      <a:off x="0" y="0"/>
                      <a:ext cx="6702425"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7CA">
        <w:rPr>
          <w:rFonts w:ascii="David" w:hAnsi="David" w:hint="cs"/>
          <w:rtl/>
        </w:rPr>
        <w:t xml:space="preserve">לו להיכנס למו"מ עם אשתו. </w:t>
      </w:r>
    </w:p>
    <w:p w14:paraId="250E8948" w14:textId="7E2FD4CA" w:rsidR="00184DA1" w:rsidRDefault="009157CA" w:rsidP="00184DA1">
      <w:pPr>
        <w:rPr>
          <w:rFonts w:ascii="David" w:hAnsi="David"/>
          <w:rtl/>
        </w:rPr>
      </w:pPr>
      <w:r w:rsidRPr="00A2534B">
        <w:rPr>
          <w:rFonts w:ascii="David" w:hAnsi="David" w:hint="cs"/>
          <w:b/>
          <w:bCs/>
          <w:rtl/>
        </w:rPr>
        <w:t>רבינו תם</w:t>
      </w:r>
      <w:r w:rsidRPr="009157CA">
        <w:rPr>
          <w:rFonts w:ascii="David" w:hAnsi="David" w:hint="cs"/>
          <w:rtl/>
        </w:rPr>
        <w:t xml:space="preserve"> עוסק בעילת מאיס עליי, כאשר ע"פ הגאונים ניתן לכפות גט בגינה (עילה רחבה מאוד לכפיית גט). רבינו תם אומר כי מאחר וזוהי עילה של הגאונים והיא אינה מופיעה בתלמוד, אין לכפות גט בגין עילה זו, וכפייה כזו תביא לגט מעושה פסול. זוהי אמירה משמעותית ביחס לעילה נפוצה יחסית. רבינו תם מציע הרחקות במקום כפיית הגט </w:t>
      </w:r>
      <w:r w:rsidRPr="009157CA">
        <w:rPr>
          <w:rFonts w:ascii="David" w:hAnsi="David"/>
          <w:rtl/>
        </w:rPr>
        <w:t>–</w:t>
      </w:r>
      <w:r w:rsidRPr="009157CA">
        <w:rPr>
          <w:rFonts w:ascii="David" w:hAnsi="David" w:hint="cs"/>
          <w:rtl/>
        </w:rPr>
        <w:t xml:space="preserve"> אסור לכפות, מותר להרחיק חברתית. הרחקות אינן מהוות כפייה כלשהי שכן הן אינן פעולה ישירה כלפי אותו סרבן, הן מכוונות לקהילה ולסרבן קיים שיקול הדעת אם לעשות כדבר ביה"ד ("אם ירצה יקיים"), זאת בעוד שמלקות מהוות פעולה ישירה מול הסרבן, פעולה שלא מאפשרת לו לפעול מתוך שיקול דעת עצמאי. </w:t>
      </w:r>
      <w:r w:rsidRPr="009157CA">
        <w:rPr>
          <w:rFonts w:ascii="David" w:hAnsi="David" w:hint="cs"/>
          <w:b/>
          <w:bCs/>
          <w:rtl/>
        </w:rPr>
        <w:t>זהו</w:t>
      </w:r>
      <w:r w:rsidRPr="009157CA">
        <w:rPr>
          <w:rFonts w:ascii="David" w:hAnsi="David" w:hint="cs"/>
          <w:rtl/>
        </w:rPr>
        <w:t xml:space="preserve"> </w:t>
      </w:r>
      <w:r w:rsidRPr="009157CA">
        <w:rPr>
          <w:rFonts w:ascii="David" w:hAnsi="David" w:hint="cs"/>
          <w:b/>
          <w:bCs/>
          <w:rtl/>
        </w:rPr>
        <w:t>המקור להרחקות רבינו תם.</w:t>
      </w:r>
      <w:r w:rsidRPr="009157CA">
        <w:rPr>
          <w:rFonts w:ascii="David" w:hAnsi="David" w:hint="cs"/>
          <w:rtl/>
        </w:rPr>
        <w:t xml:space="preserve"> </w:t>
      </w:r>
    </w:p>
    <w:p w14:paraId="631EC676" w14:textId="77777777" w:rsidR="009157CA" w:rsidRDefault="009157CA" w:rsidP="009157CA">
      <w:pPr>
        <w:rPr>
          <w:rFonts w:ascii="David" w:hAnsi="David"/>
          <w:rtl/>
        </w:rPr>
      </w:pPr>
      <w:r w:rsidRPr="009157CA">
        <w:rPr>
          <w:rFonts w:ascii="David" w:hAnsi="David" w:hint="cs"/>
          <w:rtl/>
        </w:rPr>
        <w:t xml:space="preserve">ההבדל בין דברי הרמ"א לדברי רבינו תם: ע"פ רבינו תם ביה"ד יכול להטיל הרחקות על הסרבן ללא עילה מסוימת אלא בכל אימת שייראה להם לנכון, בעוד שהרמ"א אומר כי יש להטיל הרחקות על הסרבן רק בעילות חיוב הוצאת גט אשר לא נכתב בהן כי יש לכפות גט. פער זה מהווה מקור למחלוקת בבתי הדין גם כיום </w:t>
      </w:r>
      <w:r w:rsidRPr="009157CA">
        <w:rPr>
          <w:rFonts w:ascii="David" w:hAnsi="David"/>
          <w:rtl/>
        </w:rPr>
        <w:t>–</w:t>
      </w:r>
      <w:r w:rsidRPr="009157CA">
        <w:rPr>
          <w:rFonts w:ascii="David" w:hAnsi="David" w:hint="cs"/>
          <w:rtl/>
        </w:rPr>
        <w:t xml:space="preserve"> האם ניתן להטיל הרחקות באופן הנתון לשיקול דעת עצמאי של הדיינים או רק כאשר קיימות עילות חיוב.</w:t>
      </w:r>
    </w:p>
    <w:p w14:paraId="5A5A0C86" w14:textId="754886E4" w:rsidR="009157CA" w:rsidRPr="006E7C59" w:rsidRDefault="009157CA" w:rsidP="006E7C59">
      <w:pPr>
        <w:pBdr>
          <w:top w:val="single" w:sz="4" w:space="1" w:color="auto"/>
        </w:pBdr>
        <w:rPr>
          <w:rFonts w:ascii="David" w:hAnsi="David"/>
        </w:rPr>
      </w:pPr>
      <w:r>
        <w:rPr>
          <w:rFonts w:ascii="David" w:hAnsi="David" w:hint="cs"/>
          <w:rtl/>
        </w:rPr>
        <w:t>12.06.2022</w:t>
      </w:r>
    </w:p>
    <w:p w14:paraId="131B5A47" w14:textId="723E87B1" w:rsidR="000C4CB6" w:rsidRDefault="006E7C59" w:rsidP="00C87578">
      <w:pPr>
        <w:pStyle w:val="ac"/>
        <w:numPr>
          <w:ilvl w:val="0"/>
          <w:numId w:val="25"/>
        </w:numPr>
        <w:shd w:val="clear" w:color="auto" w:fill="FFF4CD" w:themeFill="accent1" w:themeFillTint="33"/>
        <w:bidi/>
        <w:rPr>
          <w:rFonts w:ascii="David" w:hAnsi="David"/>
        </w:rPr>
      </w:pPr>
      <w:r w:rsidRPr="0004798C">
        <w:rPr>
          <w:rFonts w:ascii="David" w:hAnsi="David" w:hint="cs"/>
          <w:b/>
          <w:bCs/>
          <w:shd w:val="clear" w:color="auto" w:fill="FFF4CD" w:themeFill="accent1" w:themeFillTint="33"/>
          <w:rtl/>
        </w:rPr>
        <w:t xml:space="preserve">שתי </w:t>
      </w:r>
      <w:r w:rsidR="0004798C" w:rsidRPr="0004798C">
        <w:rPr>
          <w:rFonts w:ascii="David" w:hAnsi="David" w:hint="cs"/>
          <w:b/>
          <w:bCs/>
          <w:shd w:val="clear" w:color="auto" w:fill="FFF4CD" w:themeFill="accent1" w:themeFillTint="33"/>
          <w:rtl/>
        </w:rPr>
        <w:t>הבחנות</w:t>
      </w:r>
      <w:r w:rsidRPr="0004798C">
        <w:rPr>
          <w:rFonts w:ascii="David" w:hAnsi="David" w:hint="cs"/>
          <w:b/>
          <w:bCs/>
          <w:shd w:val="clear" w:color="auto" w:fill="FFF4CD" w:themeFill="accent1" w:themeFillTint="33"/>
          <w:rtl/>
        </w:rPr>
        <w:t xml:space="preserve"> חשובות</w:t>
      </w:r>
      <w:r w:rsidR="00184DA1">
        <w:rPr>
          <w:rFonts w:ascii="David" w:hAnsi="David" w:hint="cs"/>
          <w:b/>
          <w:bCs/>
          <w:shd w:val="clear" w:color="auto" w:fill="FFF4CD" w:themeFill="accent1" w:themeFillTint="33"/>
          <w:rtl/>
        </w:rPr>
        <w:t xml:space="preserve"> בהרחקות דרבנו תם</w:t>
      </w:r>
      <w:r>
        <w:rPr>
          <w:rFonts w:ascii="David" w:hAnsi="David" w:hint="cs"/>
          <w:rtl/>
        </w:rPr>
        <w:t>:</w:t>
      </w:r>
    </w:p>
    <w:p w14:paraId="63D0048F" w14:textId="08E4602C" w:rsidR="006E7C59" w:rsidRDefault="006E7C59" w:rsidP="00C87578">
      <w:pPr>
        <w:pStyle w:val="ac"/>
        <w:numPr>
          <w:ilvl w:val="2"/>
          <w:numId w:val="25"/>
        </w:numPr>
        <w:bidi/>
        <w:rPr>
          <w:rFonts w:ascii="David" w:hAnsi="David"/>
        </w:rPr>
      </w:pPr>
      <w:r w:rsidRPr="00CA5824">
        <w:rPr>
          <w:rFonts w:ascii="David" w:hAnsi="David" w:hint="cs"/>
          <w:b/>
          <w:bCs/>
          <w:rtl/>
        </w:rPr>
        <w:t xml:space="preserve">ההבחנה ראשונה </w:t>
      </w:r>
      <w:r>
        <w:rPr>
          <w:rFonts w:ascii="David" w:hAnsi="David"/>
          <w:rtl/>
        </w:rPr>
        <w:t>–</w:t>
      </w:r>
      <w:r>
        <w:rPr>
          <w:rFonts w:ascii="David" w:hAnsi="David" w:hint="cs"/>
          <w:rtl/>
        </w:rPr>
        <w:t xml:space="preserve"> אסור לכפות גט בטענת מאיס עלי, אבל מותר לעשות הרחקות. למה?</w:t>
      </w:r>
      <w:r w:rsidR="002D13B6">
        <w:rPr>
          <w:rFonts w:ascii="David" w:hAnsi="David" w:hint="cs"/>
          <w:rtl/>
        </w:rPr>
        <w:t xml:space="preserve"> כאשר מדברים על כפייה אנחנו מדברים על הפלת כוח על אדם על מנת שהוא ישנה דעתו, לעומת זאת כאשר מדובר בהרחקות, ההרחקות הן לא מופנות אל </w:t>
      </w:r>
      <w:r w:rsidR="002D13B6">
        <w:rPr>
          <w:rFonts w:ascii="David" w:hAnsi="David" w:hint="cs"/>
          <w:rtl/>
        </w:rPr>
        <w:lastRenderedPageBreak/>
        <w:t>הסרבן אלא מופנות אל הציבור שיבצעו את ההרחקות.</w:t>
      </w:r>
      <w:r w:rsidR="00100BFD">
        <w:rPr>
          <w:rFonts w:ascii="David" w:hAnsi="David" w:hint="cs"/>
          <w:rtl/>
        </w:rPr>
        <w:t xml:space="preserve"> מוקד פס"ד בהרחקות הן הציבור. להבחנה זו הייתה משמעות מאוד משמעותית גם </w:t>
      </w:r>
      <w:r w:rsidR="006D392D">
        <w:rPr>
          <w:rFonts w:ascii="David" w:hAnsi="David" w:hint="cs"/>
          <w:rtl/>
        </w:rPr>
        <w:t>במשפט</w:t>
      </w:r>
      <w:r w:rsidR="00100BFD">
        <w:rPr>
          <w:rFonts w:ascii="David" w:hAnsi="David" w:hint="cs"/>
          <w:rtl/>
        </w:rPr>
        <w:t xml:space="preserve"> הישראלי בפרשת </w:t>
      </w:r>
      <w:r w:rsidR="00D82AB0">
        <w:rPr>
          <w:rFonts w:ascii="David" w:hAnsi="David" w:hint="cs"/>
          <w:rtl/>
        </w:rPr>
        <w:t xml:space="preserve">עודד גז </w:t>
      </w:r>
      <w:r w:rsidR="00D82AB0">
        <w:rPr>
          <w:rFonts w:ascii="David" w:hAnsi="David"/>
          <w:rtl/>
        </w:rPr>
        <w:t>–</w:t>
      </w:r>
      <w:r w:rsidR="00D82AB0">
        <w:rPr>
          <w:rFonts w:ascii="David" w:hAnsi="David" w:hint="cs"/>
          <w:rtl/>
        </w:rPr>
        <w:t xml:space="preserve"> שם רובינשטיין אמר שההרחקות הן כלפי הציבור ולא כפלי הסרבן וכי הן בגדר המלצה.</w:t>
      </w:r>
    </w:p>
    <w:p w14:paraId="063C6758" w14:textId="6BC9A55C" w:rsidR="00E9262D" w:rsidRDefault="006D392D" w:rsidP="00C87578">
      <w:pPr>
        <w:pStyle w:val="ac"/>
        <w:numPr>
          <w:ilvl w:val="2"/>
          <w:numId w:val="25"/>
        </w:numPr>
        <w:bidi/>
        <w:rPr>
          <w:rFonts w:ascii="David" w:hAnsi="David"/>
        </w:rPr>
      </w:pPr>
      <w:r w:rsidRPr="00CA5824">
        <w:rPr>
          <w:rFonts w:ascii="David" w:hAnsi="David" w:hint="cs"/>
          <w:b/>
          <w:bCs/>
          <w:rtl/>
        </w:rPr>
        <w:t>הבחנה שנייה</w:t>
      </w:r>
      <w:r>
        <w:rPr>
          <w:rFonts w:ascii="David" w:hAnsi="David" w:hint="cs"/>
          <w:rtl/>
        </w:rPr>
        <w:t xml:space="preserve">  - ההבחנה בין </w:t>
      </w:r>
      <w:r w:rsidR="009D03FB">
        <w:rPr>
          <w:rFonts w:ascii="David" w:hAnsi="David" w:hint="cs"/>
          <w:rtl/>
        </w:rPr>
        <w:t>ההלכה כפי שנכתבה על ידי רבנו תם לבין הדרך שבה הם מובאים אצל הרמ"א. אצל הרמ"א. אצל הרמ"א ברור לגמרי</w:t>
      </w:r>
      <w:r w:rsidR="00523801">
        <w:rPr>
          <w:rFonts w:ascii="David" w:hAnsi="David" w:hint="cs"/>
          <w:rtl/>
        </w:rPr>
        <w:t xml:space="preserve"> שמאותן עילות שבהן חייב לתת גט אסור לכפות אבל מותר לעשות הרחקות. משמע בעילות שלא חייב לתת גט לא ניתן לעשות הרחקות, מה כן ניתן לעשות? כמעט כלום. לעומת זאת, כאשר הולכים למקור של רבנו תם, אין את הדבר הזה </w:t>
      </w:r>
      <w:r w:rsidR="00523801">
        <w:rPr>
          <w:rFonts w:ascii="David" w:hAnsi="David"/>
          <w:rtl/>
        </w:rPr>
        <w:t>–</w:t>
      </w:r>
      <w:r w:rsidR="00523801">
        <w:rPr>
          <w:rFonts w:ascii="David" w:hAnsi="David" w:hint="cs"/>
          <w:rtl/>
        </w:rPr>
        <w:t xml:space="preserve"> לדעת רבנו תם ההרחקות תלויות בשק"ד של בי"ד</w:t>
      </w:r>
      <w:r w:rsidR="00ED143C">
        <w:rPr>
          <w:rFonts w:ascii="David" w:hAnsi="David" w:hint="cs"/>
          <w:rtl/>
        </w:rPr>
        <w:t xml:space="preserve"> ואינן מוגבלות</w:t>
      </w:r>
      <w:r w:rsidR="00523801">
        <w:rPr>
          <w:rFonts w:ascii="David" w:hAnsi="David" w:hint="cs"/>
          <w:rtl/>
        </w:rPr>
        <w:t xml:space="preserve"> ול</w:t>
      </w:r>
      <w:r w:rsidR="00ED143C">
        <w:rPr>
          <w:rFonts w:ascii="David" w:hAnsi="David" w:hint="cs"/>
          <w:rtl/>
        </w:rPr>
        <w:t>א תלויות בעילות או בהחלטה האם חייב לתת גט.</w:t>
      </w:r>
    </w:p>
    <w:p w14:paraId="31D9A904" w14:textId="192A84A7" w:rsidR="00C55F04" w:rsidRDefault="00C55F04" w:rsidP="00C55F04">
      <w:pPr>
        <w:pStyle w:val="ac"/>
        <w:bidi/>
        <w:ind w:left="369"/>
        <w:rPr>
          <w:rFonts w:ascii="David" w:hAnsi="David"/>
          <w:rtl/>
        </w:rPr>
      </w:pPr>
      <w:r>
        <w:rPr>
          <w:rFonts w:ascii="David" w:hAnsi="David" w:hint="cs"/>
          <w:rtl/>
        </w:rPr>
        <w:t>כיצד הפער הזה נוצר? לרמ"א לא היה את ספרו של רבנו תם והוא הכיר את דבריו רק דרך ספרים אחרים ואנשים אחרים</w:t>
      </w:r>
      <w:r w:rsidR="000C1138">
        <w:rPr>
          <w:rFonts w:ascii="David" w:hAnsi="David" w:hint="cs"/>
          <w:rtl/>
        </w:rPr>
        <w:t xml:space="preserve">, מה שייצר צמצום של המקור של רבנו תם. הפער הזה יוצר מחלוקות רבות בבית הדין בארץ שכן חלק </w:t>
      </w:r>
      <w:r w:rsidR="000054DF">
        <w:rPr>
          <w:rFonts w:ascii="David" w:hAnsi="David" w:hint="cs"/>
          <w:rtl/>
        </w:rPr>
        <w:t>מהדיינים יטענו שניתן לתת הרחקות גם שלא מדובר בחיוב אלא רק במצווה.</w:t>
      </w:r>
    </w:p>
    <w:p w14:paraId="4482DF9F" w14:textId="470BAE76" w:rsidR="00C55F04" w:rsidRPr="00184DA1" w:rsidRDefault="00781FCB" w:rsidP="00C87578">
      <w:pPr>
        <w:pStyle w:val="ac"/>
        <w:numPr>
          <w:ilvl w:val="0"/>
          <w:numId w:val="25"/>
        </w:numPr>
        <w:shd w:val="clear" w:color="auto" w:fill="FFF4CD" w:themeFill="accent1" w:themeFillTint="33"/>
        <w:bidi/>
        <w:rPr>
          <w:rFonts w:ascii="David" w:hAnsi="David"/>
          <w:b/>
          <w:bCs/>
        </w:rPr>
      </w:pPr>
      <w:r w:rsidRPr="00184DA1">
        <w:rPr>
          <w:rFonts w:ascii="David" w:hAnsi="David" w:hint="cs"/>
          <w:b/>
          <w:bCs/>
          <w:rtl/>
        </w:rPr>
        <w:t>שתי מופעים להרחקות רבנו תם בימנו:</w:t>
      </w:r>
    </w:p>
    <w:p w14:paraId="04894A3D" w14:textId="0B1075EC" w:rsidR="00CA48F5" w:rsidRDefault="00CA48F5" w:rsidP="00C87578">
      <w:pPr>
        <w:pStyle w:val="ac"/>
        <w:numPr>
          <w:ilvl w:val="2"/>
          <w:numId w:val="25"/>
        </w:numPr>
        <w:bidi/>
        <w:rPr>
          <w:rFonts w:ascii="David" w:hAnsi="David"/>
        </w:rPr>
      </w:pPr>
      <w:r w:rsidRPr="00184DA1">
        <w:rPr>
          <w:rFonts w:ascii="David" w:hAnsi="David" w:hint="cs"/>
          <w:u w:val="single"/>
          <w:rtl/>
        </w:rPr>
        <w:t xml:space="preserve">החוק </w:t>
      </w:r>
      <w:r w:rsidR="000F5BD4" w:rsidRPr="00184DA1">
        <w:rPr>
          <w:rFonts w:ascii="David" w:hAnsi="David" w:hint="cs"/>
          <w:u w:val="single"/>
          <w:rtl/>
        </w:rPr>
        <w:t>(צווי הגבלה)</w:t>
      </w:r>
      <w:r w:rsidR="000F5BD4">
        <w:rPr>
          <w:rFonts w:ascii="David" w:hAnsi="David" w:hint="cs"/>
          <w:rtl/>
        </w:rPr>
        <w:t xml:space="preserve"> </w:t>
      </w:r>
      <w:r>
        <w:rPr>
          <w:rFonts w:ascii="David" w:hAnsi="David"/>
          <w:rtl/>
        </w:rPr>
        <w:t>–</w:t>
      </w:r>
      <w:r>
        <w:rPr>
          <w:rFonts w:ascii="David" w:hAnsi="David" w:hint="cs"/>
          <w:rtl/>
        </w:rPr>
        <w:t xml:space="preserve"> שמייחס את עצמו להרחקות דרבנו תם</w:t>
      </w:r>
      <w:r w:rsidR="006D34A7">
        <w:rPr>
          <w:rFonts w:ascii="David" w:hAnsi="David" w:hint="cs"/>
          <w:rtl/>
        </w:rPr>
        <w:t xml:space="preserve"> </w:t>
      </w:r>
      <w:r w:rsidR="006D34A7">
        <w:rPr>
          <w:rFonts w:ascii="David" w:hAnsi="David"/>
          <w:rtl/>
        </w:rPr>
        <w:t>–</w:t>
      </w:r>
      <w:r w:rsidR="006D34A7">
        <w:rPr>
          <w:rFonts w:ascii="David" w:hAnsi="David" w:hint="cs"/>
          <w:rtl/>
        </w:rPr>
        <w:t xml:space="preserve"> אולם יש שם מספר מוגבלת של הרחקות</w:t>
      </w:r>
      <w:r w:rsidR="00184DA1">
        <w:rPr>
          <w:rFonts w:ascii="David" w:hAnsi="David" w:hint="cs"/>
          <w:rtl/>
        </w:rPr>
        <w:t xml:space="preserve"> ואין לא בהכרח תואמות את ההרחקות הקלאסיות</w:t>
      </w:r>
      <w:r>
        <w:rPr>
          <w:rFonts w:ascii="David" w:hAnsi="David" w:hint="cs"/>
          <w:rtl/>
        </w:rPr>
        <w:t>.</w:t>
      </w:r>
      <w:r w:rsidR="00184DA1">
        <w:rPr>
          <w:rFonts w:ascii="David" w:hAnsi="David" w:hint="cs"/>
          <w:rtl/>
        </w:rPr>
        <w:t xml:space="preserve"> לדוג' אי מתן אפשרות לחדש רישיון נהיגה.</w:t>
      </w:r>
    </w:p>
    <w:p w14:paraId="75B01640" w14:textId="2065C6FD" w:rsidR="003A7075" w:rsidRDefault="003A7075" w:rsidP="00C87578">
      <w:pPr>
        <w:pStyle w:val="ac"/>
        <w:numPr>
          <w:ilvl w:val="2"/>
          <w:numId w:val="25"/>
        </w:numPr>
        <w:bidi/>
        <w:rPr>
          <w:rFonts w:ascii="David" w:hAnsi="David"/>
        </w:rPr>
      </w:pPr>
      <w:r w:rsidRPr="00184DA1">
        <w:rPr>
          <w:rFonts w:ascii="David" w:hAnsi="David" w:hint="cs"/>
          <w:u w:val="single"/>
          <w:rtl/>
        </w:rPr>
        <w:t xml:space="preserve">הרחקות </w:t>
      </w:r>
      <w:r w:rsidR="0037351C" w:rsidRPr="00184DA1">
        <w:rPr>
          <w:rFonts w:ascii="David" w:hAnsi="David" w:hint="cs"/>
          <w:u w:val="single"/>
          <w:rtl/>
        </w:rPr>
        <w:t>הקלאסיות</w:t>
      </w:r>
      <w:r w:rsidR="0037351C">
        <w:rPr>
          <w:rFonts w:ascii="David" w:hAnsi="David" w:hint="cs"/>
          <w:rtl/>
        </w:rPr>
        <w:t xml:space="preserve"> </w:t>
      </w:r>
      <w:r w:rsidR="0037351C">
        <w:rPr>
          <w:rFonts w:ascii="David" w:hAnsi="David"/>
          <w:rtl/>
        </w:rPr>
        <w:t>–</w:t>
      </w:r>
      <w:r w:rsidR="0037351C">
        <w:rPr>
          <w:rFonts w:ascii="David" w:hAnsi="David" w:hint="cs"/>
          <w:rtl/>
        </w:rPr>
        <w:t xml:space="preserve"> הרחקות </w:t>
      </w:r>
      <w:r>
        <w:rPr>
          <w:rFonts w:ascii="David" w:hAnsi="David" w:hint="cs"/>
          <w:rtl/>
        </w:rPr>
        <w:t xml:space="preserve">דרבנו תם </w:t>
      </w:r>
      <w:r w:rsidR="00184DA1">
        <w:rPr>
          <w:rFonts w:ascii="David" w:hAnsi="David" w:hint="cs"/>
          <w:rtl/>
        </w:rPr>
        <w:t xml:space="preserve">המקוריות </w:t>
      </w:r>
      <w:r>
        <w:rPr>
          <w:rFonts w:ascii="David" w:hAnsi="David"/>
          <w:rtl/>
        </w:rPr>
        <w:t>–</w:t>
      </w:r>
      <w:r>
        <w:rPr>
          <w:rFonts w:ascii="David" w:hAnsi="David" w:hint="cs"/>
          <w:rtl/>
        </w:rPr>
        <w:t xml:space="preserve"> במצב המקורי שלהם. בתי דין בוחר להפעיל את ההרחקות.</w:t>
      </w:r>
    </w:p>
    <w:p w14:paraId="03A166FF" w14:textId="77777777" w:rsidR="00023F3A" w:rsidRPr="00184DA1" w:rsidRDefault="003A7075" w:rsidP="00C87578">
      <w:pPr>
        <w:pStyle w:val="ac"/>
        <w:numPr>
          <w:ilvl w:val="1"/>
          <w:numId w:val="25"/>
        </w:numPr>
        <w:bidi/>
        <w:rPr>
          <w:rFonts w:ascii="David" w:hAnsi="David"/>
          <w:b/>
          <w:bCs/>
        </w:rPr>
      </w:pPr>
      <w:r w:rsidRPr="00184DA1">
        <w:rPr>
          <w:rFonts w:ascii="David" w:hAnsi="David" w:hint="cs"/>
          <w:b/>
          <w:bCs/>
          <w:rtl/>
        </w:rPr>
        <w:t>מה הבעיות</w:t>
      </w:r>
      <w:r w:rsidR="00023F3A" w:rsidRPr="00184DA1">
        <w:rPr>
          <w:rFonts w:ascii="David" w:hAnsi="David" w:hint="cs"/>
          <w:b/>
          <w:bCs/>
          <w:rtl/>
        </w:rPr>
        <w:t xml:space="preserve"> בהרחקות האלו?</w:t>
      </w:r>
    </w:p>
    <w:p w14:paraId="490A13C3" w14:textId="201FB3A9" w:rsidR="00CA48F5" w:rsidRDefault="00C62DCD" w:rsidP="00C87578">
      <w:pPr>
        <w:pStyle w:val="ac"/>
        <w:numPr>
          <w:ilvl w:val="2"/>
          <w:numId w:val="25"/>
        </w:numPr>
        <w:bidi/>
        <w:rPr>
          <w:rFonts w:ascii="David" w:hAnsi="David"/>
        </w:rPr>
      </w:pPr>
      <w:r>
        <w:rPr>
          <w:rFonts w:ascii="David" w:hAnsi="David" w:hint="cs"/>
          <w:rtl/>
        </w:rPr>
        <w:t>חוסר סמכות של בית הדין -</w:t>
      </w:r>
      <w:r w:rsidR="003036D7">
        <w:rPr>
          <w:rFonts w:ascii="David" w:hAnsi="David" w:hint="cs"/>
          <w:rtl/>
        </w:rPr>
        <w:t xml:space="preserve"> </w:t>
      </w:r>
      <w:r w:rsidR="000F5BD4">
        <w:rPr>
          <w:rFonts w:ascii="David" w:hAnsi="David" w:hint="cs"/>
          <w:rtl/>
        </w:rPr>
        <w:t>לטענת סרבנים רבים</w:t>
      </w:r>
      <w:r>
        <w:rPr>
          <w:rFonts w:ascii="David" w:hAnsi="David" w:hint="cs"/>
          <w:rtl/>
        </w:rPr>
        <w:t xml:space="preserve"> </w:t>
      </w:r>
      <w:r w:rsidR="00023F3A">
        <w:rPr>
          <w:rFonts w:ascii="David" w:hAnsi="David" w:hint="cs"/>
          <w:rtl/>
        </w:rPr>
        <w:t xml:space="preserve">אין במשפט הישראלי </w:t>
      </w:r>
      <w:r>
        <w:rPr>
          <w:rFonts w:ascii="David" w:hAnsi="David" w:hint="cs"/>
          <w:rtl/>
        </w:rPr>
        <w:t>חוק שקובע שלבית הדין יש סמכות לתת הרחקות</w:t>
      </w:r>
      <w:r w:rsidR="000F5BD4">
        <w:rPr>
          <w:rFonts w:ascii="David" w:hAnsi="David" w:hint="cs"/>
          <w:rtl/>
        </w:rPr>
        <w:t xml:space="preserve"> דרבנו תם</w:t>
      </w:r>
      <w:r>
        <w:rPr>
          <w:rFonts w:ascii="David" w:hAnsi="David" w:hint="cs"/>
          <w:rtl/>
        </w:rPr>
        <w:t>.</w:t>
      </w:r>
    </w:p>
    <w:p w14:paraId="29E7E16D" w14:textId="7794D1F3" w:rsidR="00781FCB" w:rsidRDefault="00781FCB" w:rsidP="00C87578">
      <w:pPr>
        <w:pStyle w:val="ac"/>
        <w:numPr>
          <w:ilvl w:val="2"/>
          <w:numId w:val="25"/>
        </w:numPr>
        <w:bidi/>
        <w:rPr>
          <w:rFonts w:ascii="David" w:hAnsi="David"/>
        </w:rPr>
      </w:pPr>
      <w:r>
        <w:rPr>
          <w:rFonts w:ascii="David" w:hAnsi="David" w:hint="cs"/>
          <w:rtl/>
        </w:rPr>
        <w:t xml:space="preserve">שיימינג </w:t>
      </w:r>
      <w:r w:rsidR="009612D9">
        <w:rPr>
          <w:rFonts w:ascii="David" w:hAnsi="David"/>
          <w:rtl/>
        </w:rPr>
        <w:t>–</w:t>
      </w:r>
      <w:r>
        <w:rPr>
          <w:rFonts w:ascii="David" w:hAnsi="David" w:hint="cs"/>
          <w:rtl/>
        </w:rPr>
        <w:t xml:space="preserve"> </w:t>
      </w:r>
      <w:r w:rsidR="009612D9">
        <w:rPr>
          <w:rFonts w:ascii="David" w:hAnsi="David" w:hint="cs"/>
          <w:rtl/>
        </w:rPr>
        <w:t>במשפט הישראלי שיימינג נחשב דבר לא ראוי.</w:t>
      </w:r>
    </w:p>
    <w:p w14:paraId="234761C9" w14:textId="6404E607" w:rsidR="009612D9" w:rsidRDefault="009612D9" w:rsidP="00C87578">
      <w:pPr>
        <w:pStyle w:val="ac"/>
        <w:numPr>
          <w:ilvl w:val="2"/>
          <w:numId w:val="25"/>
        </w:numPr>
        <w:bidi/>
        <w:rPr>
          <w:rFonts w:ascii="David" w:hAnsi="David"/>
        </w:rPr>
      </w:pPr>
      <w:r>
        <w:rPr>
          <w:rFonts w:ascii="David" w:hAnsi="David" w:hint="cs"/>
          <w:rtl/>
        </w:rPr>
        <w:t>ההרחקות יעילות בעיקר רק כלפי ציבור דתי</w:t>
      </w:r>
      <w:r w:rsidR="00E12E0E">
        <w:rPr>
          <w:rFonts w:ascii="David" w:hAnsi="David" w:hint="cs"/>
          <w:rtl/>
        </w:rPr>
        <w:t xml:space="preserve"> (וגם לא בהכרח)</w:t>
      </w:r>
      <w:r>
        <w:rPr>
          <w:rFonts w:ascii="David" w:hAnsi="David" w:hint="cs"/>
          <w:rtl/>
        </w:rPr>
        <w:t>.</w:t>
      </w:r>
      <w:r w:rsidR="00E12E0E">
        <w:rPr>
          <w:rFonts w:ascii="David" w:hAnsi="David" w:hint="cs"/>
          <w:rtl/>
        </w:rPr>
        <w:t xml:space="preserve"> לדוג' אסור להכניס אותו לבית כנסת. עם זאת, במקרה של שיימיניג</w:t>
      </w:r>
      <w:r w:rsidR="00C97F78">
        <w:rPr>
          <w:rFonts w:ascii="David" w:hAnsi="David" w:hint="cs"/>
          <w:rtl/>
        </w:rPr>
        <w:t xml:space="preserve"> אולי דווקא הציבור החילוני כן יהיה מושפע.</w:t>
      </w:r>
      <w:r>
        <w:rPr>
          <w:rFonts w:ascii="David" w:hAnsi="David" w:hint="cs"/>
          <w:rtl/>
        </w:rPr>
        <w:t xml:space="preserve"> </w:t>
      </w:r>
    </w:p>
    <w:p w14:paraId="2AF99234" w14:textId="487021DF" w:rsidR="005168F2" w:rsidRDefault="005168F2" w:rsidP="00C87578">
      <w:pPr>
        <w:pStyle w:val="ac"/>
        <w:numPr>
          <w:ilvl w:val="1"/>
          <w:numId w:val="25"/>
        </w:numPr>
        <w:bidi/>
        <w:rPr>
          <w:rFonts w:ascii="David" w:hAnsi="David"/>
        </w:rPr>
      </w:pPr>
      <w:r w:rsidRPr="000F5BD4">
        <w:rPr>
          <w:rFonts w:ascii="David" w:hAnsi="David" w:hint="cs"/>
          <w:highlight w:val="cyan"/>
          <w:rtl/>
        </w:rPr>
        <w:t>פס"</w:t>
      </w:r>
      <w:r w:rsidR="00DA32F9" w:rsidRPr="00DA32F9">
        <w:rPr>
          <w:rFonts w:ascii="David" w:hAnsi="David" w:hint="cs"/>
          <w:highlight w:val="cyan"/>
          <w:rtl/>
        </w:rPr>
        <w:t>ד פלוני</w:t>
      </w:r>
      <w:r>
        <w:rPr>
          <w:rFonts w:ascii="David" w:hAnsi="David" w:hint="cs"/>
          <w:rtl/>
        </w:rPr>
        <w:t>:</w:t>
      </w:r>
      <w:r w:rsidR="00DA32F9">
        <w:rPr>
          <w:rFonts w:ascii="David" w:hAnsi="David" w:hint="cs"/>
          <w:rtl/>
        </w:rPr>
        <w:t xml:space="preserve"> </w:t>
      </w:r>
      <w:r w:rsidR="009819AD">
        <w:rPr>
          <w:rFonts w:ascii="David" w:hAnsi="David" w:hint="cs"/>
          <w:rtl/>
        </w:rPr>
        <w:t xml:space="preserve">פס"ד </w:t>
      </w:r>
      <w:r w:rsidR="008D7C92">
        <w:rPr>
          <w:rFonts w:ascii="David" w:hAnsi="David" w:hint="cs"/>
          <w:rtl/>
        </w:rPr>
        <w:t>שמלשלב</w:t>
      </w:r>
      <w:r w:rsidR="009819AD">
        <w:rPr>
          <w:rFonts w:ascii="David" w:hAnsi="David" w:hint="cs"/>
          <w:rtl/>
        </w:rPr>
        <w:t xml:space="preserve"> גם הרחקות דרבנו תם וגם צווי הגבלה. </w:t>
      </w:r>
      <w:r w:rsidR="00DA32F9">
        <w:rPr>
          <w:rFonts w:ascii="David" w:hAnsi="David" w:hint="cs"/>
          <w:rtl/>
        </w:rPr>
        <w:t xml:space="preserve">באותו מקרה הבעל חייב לגרש את אישתו, עילת הגירושין המרכזית היא שהם חיים שנה וחצי בנפרד. </w:t>
      </w:r>
      <w:r w:rsidR="00C97BC1">
        <w:rPr>
          <w:rFonts w:ascii="David" w:hAnsi="David" w:hint="cs"/>
          <w:rtl/>
        </w:rPr>
        <w:t>דיון והכרעה: יש לתת הרחקות לבעל ולא מדובר בכפייה אלא הציבור פורש מהסרבן. על אף שאין ח</w:t>
      </w:r>
      <w:r w:rsidR="005278A2">
        <w:rPr>
          <w:rFonts w:ascii="David" w:hAnsi="David" w:hint="cs"/>
          <w:rtl/>
        </w:rPr>
        <w:t>יוב לגרש אפשר לעשות הרחקות (נוקטים בגישתו המקורית של רבנו תם). בית הדין רושם רשימה של הרחקות כנגד הבעל</w:t>
      </w:r>
      <w:r w:rsidR="009819AD">
        <w:rPr>
          <w:rFonts w:ascii="David" w:hAnsi="David" w:hint="cs"/>
          <w:rtl/>
        </w:rPr>
        <w:t xml:space="preserve"> מבחינת הקהילה ובנוסף מוסיפים הרחקות של החוק הישראלי מאפשר </w:t>
      </w:r>
      <w:r w:rsidR="009819AD">
        <w:rPr>
          <w:rFonts w:ascii="David" w:hAnsi="David"/>
          <w:rtl/>
        </w:rPr>
        <w:t>–</w:t>
      </w:r>
      <w:r w:rsidR="009819AD">
        <w:rPr>
          <w:rFonts w:ascii="David" w:hAnsi="David" w:hint="cs"/>
          <w:rtl/>
        </w:rPr>
        <w:t xml:space="preserve"> כמו לא לחדש רישיון נהיגה ולא לצאת מהארץ.</w:t>
      </w:r>
    </w:p>
    <w:p w14:paraId="6229433A" w14:textId="5EDF3AC6" w:rsidR="005168F2" w:rsidRDefault="009819AD" w:rsidP="00C87578">
      <w:pPr>
        <w:pStyle w:val="ac"/>
        <w:numPr>
          <w:ilvl w:val="1"/>
          <w:numId w:val="25"/>
        </w:numPr>
        <w:bidi/>
        <w:rPr>
          <w:rFonts w:ascii="David" w:hAnsi="David"/>
        </w:rPr>
      </w:pPr>
      <w:r w:rsidRPr="009819AD">
        <w:rPr>
          <w:rFonts w:ascii="David" w:hAnsi="David" w:hint="cs"/>
          <w:highlight w:val="cyan"/>
          <w:rtl/>
        </w:rPr>
        <w:t xml:space="preserve">פס"ד </w:t>
      </w:r>
      <w:r w:rsidR="00573D4F" w:rsidRPr="00573D4F">
        <w:rPr>
          <w:rFonts w:ascii="David" w:hAnsi="David" w:hint="cs"/>
          <w:highlight w:val="cyan"/>
          <w:rtl/>
        </w:rPr>
        <w:t>כהן נ' כהן</w:t>
      </w:r>
      <w:r w:rsidR="00573D4F">
        <w:rPr>
          <w:rFonts w:ascii="David" w:hAnsi="David" w:hint="cs"/>
          <w:rtl/>
        </w:rPr>
        <w:t xml:space="preserve">: ההחלטה הראשונה בפס"ד זה היא דומה לפס"ד הקודם </w:t>
      </w:r>
      <w:r w:rsidR="00573D4F">
        <w:rPr>
          <w:rFonts w:ascii="David" w:hAnsi="David"/>
          <w:rtl/>
        </w:rPr>
        <w:t>–</w:t>
      </w:r>
      <w:r w:rsidR="00573D4F">
        <w:rPr>
          <w:rFonts w:ascii="David" w:hAnsi="David" w:hint="cs"/>
          <w:rtl/>
        </w:rPr>
        <w:t xml:space="preserve"> גם צווי הגבלה וגם הרחקות קלאסיות. ה</w:t>
      </w:r>
      <w:r w:rsidR="00E33CAA">
        <w:rPr>
          <w:rFonts w:ascii="David" w:hAnsi="David" w:hint="cs"/>
          <w:rtl/>
        </w:rPr>
        <w:t>החלטה השנייה קובעת שהאישה יכולה לפרסם</w:t>
      </w:r>
      <w:r w:rsidR="00256DD4">
        <w:rPr>
          <w:rFonts w:ascii="David" w:hAnsi="David" w:hint="cs"/>
          <w:rtl/>
        </w:rPr>
        <w:t xml:space="preserve"> בכל דרך שתבחר</w:t>
      </w:r>
      <w:r w:rsidR="00E33CAA">
        <w:rPr>
          <w:rFonts w:ascii="David" w:hAnsi="David" w:hint="cs"/>
          <w:rtl/>
        </w:rPr>
        <w:t xml:space="preserve"> את תמונתו של הגבר יחד עם פס"ד ללא תוספת</w:t>
      </w:r>
      <w:r w:rsidR="00256DD4">
        <w:rPr>
          <w:rFonts w:ascii="David" w:hAnsi="David" w:hint="cs"/>
          <w:rtl/>
        </w:rPr>
        <w:t xml:space="preserve"> מעבר ל</w:t>
      </w:r>
      <w:r w:rsidR="00181046">
        <w:rPr>
          <w:rFonts w:ascii="David" w:hAnsi="David" w:hint="cs"/>
          <w:rtl/>
        </w:rPr>
        <w:t>כך (האישה יכולה לפרסם</w:t>
      </w:r>
      <w:r w:rsidR="00003746">
        <w:rPr>
          <w:rFonts w:ascii="David" w:hAnsi="David" w:hint="cs"/>
          <w:rtl/>
        </w:rPr>
        <w:t xml:space="preserve"> ולא בית הדין מפרסם עבורה)</w:t>
      </w:r>
      <w:r w:rsidR="00181046">
        <w:rPr>
          <w:rFonts w:ascii="David" w:hAnsi="David" w:hint="cs"/>
          <w:rtl/>
        </w:rPr>
        <w:t>.</w:t>
      </w:r>
      <w:r w:rsidR="00003746">
        <w:rPr>
          <w:rFonts w:ascii="David" w:hAnsi="David" w:hint="cs"/>
          <w:rtl/>
        </w:rPr>
        <w:t xml:space="preserve"> </w:t>
      </w:r>
      <w:r w:rsidR="000F7F50">
        <w:rPr>
          <w:rFonts w:ascii="David" w:hAnsi="David" w:hint="cs"/>
          <w:rtl/>
        </w:rPr>
        <w:t>בי"ד נוקט בדרך עקיפה מאוד ורק מאפשר לאישה לפרסם ולא עושה זאת בעצמו, על מנת להתרחק ככול שאפשר מכפיית גט.</w:t>
      </w:r>
      <w:r w:rsidR="00181046">
        <w:rPr>
          <w:rFonts w:ascii="David" w:hAnsi="David" w:hint="cs"/>
          <w:rtl/>
        </w:rPr>
        <w:t xml:space="preserve"> </w:t>
      </w:r>
    </w:p>
    <w:p w14:paraId="34DE9BF7" w14:textId="684AA1C6" w:rsidR="00C55F1B" w:rsidRDefault="00C55F1B" w:rsidP="00C55F1B">
      <w:pPr>
        <w:pStyle w:val="ac"/>
        <w:bidi/>
        <w:ind w:left="199"/>
        <w:rPr>
          <w:rFonts w:ascii="David" w:hAnsi="David"/>
        </w:rPr>
      </w:pPr>
      <w:r>
        <w:rPr>
          <w:rFonts w:ascii="David" w:hAnsi="David" w:hint="cs"/>
          <w:rtl/>
        </w:rPr>
        <w:t xml:space="preserve">יש המון פסקי דין שפוסקים כמו פס"ד זה, הבעיה היא שבפס"ד של עודד גז </w:t>
      </w:r>
      <w:r w:rsidR="00764940">
        <w:rPr>
          <w:rFonts w:ascii="David" w:hAnsi="David" w:hint="cs"/>
          <w:rtl/>
        </w:rPr>
        <w:t xml:space="preserve">חלק מהשופטים אומרים שמודבר בתופעה לא נפוצה </w:t>
      </w:r>
      <w:r w:rsidR="00764940">
        <w:rPr>
          <w:rFonts w:ascii="David" w:hAnsi="David"/>
          <w:rtl/>
        </w:rPr>
        <w:t>–</w:t>
      </w:r>
      <w:r w:rsidR="00764940">
        <w:rPr>
          <w:rFonts w:ascii="David" w:hAnsi="David" w:hint="cs"/>
          <w:rtl/>
        </w:rPr>
        <w:t xml:space="preserve"> אולם בפועל זו תופעה נפוצה ואפילו גדל בגלל פס"ד ואישור בית הדין העליון</w:t>
      </w:r>
      <w:r w:rsidR="00DF705D">
        <w:rPr>
          <w:rFonts w:ascii="David" w:hAnsi="David" w:hint="cs"/>
          <w:rtl/>
        </w:rPr>
        <w:t>.</w:t>
      </w:r>
    </w:p>
    <w:p w14:paraId="2486C635" w14:textId="1BE1DC46" w:rsidR="00385E00" w:rsidRDefault="00764940" w:rsidP="00C87578">
      <w:pPr>
        <w:pStyle w:val="ac"/>
        <w:numPr>
          <w:ilvl w:val="1"/>
          <w:numId w:val="25"/>
        </w:numPr>
        <w:bidi/>
        <w:rPr>
          <w:rFonts w:ascii="David" w:hAnsi="David"/>
        </w:rPr>
      </w:pPr>
      <w:r w:rsidRPr="00D73F5D">
        <w:rPr>
          <w:rFonts w:ascii="David" w:hAnsi="David" w:hint="cs"/>
          <w:highlight w:val="cyan"/>
          <w:rtl/>
        </w:rPr>
        <w:t>פס"ד עודד גז</w:t>
      </w:r>
      <w:r>
        <w:rPr>
          <w:rFonts w:ascii="David" w:hAnsi="David" w:hint="cs"/>
          <w:rtl/>
        </w:rPr>
        <w:t>:</w:t>
      </w:r>
    </w:p>
    <w:p w14:paraId="42CC334F" w14:textId="5611EB6A" w:rsidR="00764940" w:rsidRDefault="00764940" w:rsidP="00C87578">
      <w:pPr>
        <w:pStyle w:val="ac"/>
        <w:numPr>
          <w:ilvl w:val="2"/>
          <w:numId w:val="25"/>
        </w:numPr>
        <w:bidi/>
        <w:rPr>
          <w:rFonts w:ascii="David" w:hAnsi="David"/>
        </w:rPr>
      </w:pPr>
      <w:r>
        <w:rPr>
          <w:rFonts w:ascii="David" w:hAnsi="David" w:hint="cs"/>
          <w:rtl/>
        </w:rPr>
        <w:t xml:space="preserve">רובינשטיין </w:t>
      </w:r>
      <w:r>
        <w:rPr>
          <w:rFonts w:ascii="David" w:hAnsi="David"/>
          <w:rtl/>
        </w:rPr>
        <w:t>–</w:t>
      </w:r>
      <w:r>
        <w:rPr>
          <w:rFonts w:ascii="David" w:hAnsi="David" w:hint="cs"/>
          <w:rtl/>
        </w:rPr>
        <w:t xml:space="preserve"> ברוב הסנקציות אין להתערב כי מדובר בהמלצה לציבור ולא </w:t>
      </w:r>
      <w:r w:rsidR="008645A8">
        <w:rPr>
          <w:rFonts w:ascii="David" w:hAnsi="David" w:hint="cs"/>
          <w:rtl/>
        </w:rPr>
        <w:t xml:space="preserve">חובה. יש בעיה קשה </w:t>
      </w:r>
      <w:r w:rsidR="00BC409C">
        <w:rPr>
          <w:rFonts w:ascii="David" w:hAnsi="David" w:hint="cs"/>
          <w:rtl/>
        </w:rPr>
        <w:t>ב</w:t>
      </w:r>
      <w:r w:rsidR="008645A8">
        <w:rPr>
          <w:rFonts w:ascii="David" w:hAnsi="David" w:hint="cs"/>
          <w:rtl/>
        </w:rPr>
        <w:t>טיעון שלו</w:t>
      </w:r>
      <w:r w:rsidR="00BC409C">
        <w:rPr>
          <w:rFonts w:ascii="David" w:hAnsi="David" w:hint="cs"/>
          <w:rtl/>
        </w:rPr>
        <w:t xml:space="preserve"> -</w:t>
      </w:r>
      <w:r w:rsidR="008645A8">
        <w:rPr>
          <w:rFonts w:ascii="David" w:hAnsi="David" w:hint="cs"/>
          <w:rtl/>
        </w:rPr>
        <w:t xml:space="preserve"> כיוון שבי"ד לא חושב שהוא ממלי</w:t>
      </w:r>
      <w:r w:rsidR="00BC409C">
        <w:rPr>
          <w:rFonts w:ascii="David" w:hAnsi="David" w:hint="cs"/>
          <w:rtl/>
        </w:rPr>
        <w:t>ץ הוא רואה זה חיוב דתי גמור.</w:t>
      </w:r>
      <w:r w:rsidR="008645A8">
        <w:rPr>
          <w:rFonts w:ascii="David" w:hAnsi="David" w:hint="cs"/>
          <w:rtl/>
        </w:rPr>
        <w:t xml:space="preserve"> נכון שאין </w:t>
      </w:r>
      <w:r w:rsidR="00BC409C">
        <w:rPr>
          <w:rFonts w:ascii="David" w:hAnsi="David" w:hint="cs"/>
          <w:rtl/>
        </w:rPr>
        <w:t>לבי"ד</w:t>
      </w:r>
      <w:r w:rsidR="008645A8">
        <w:rPr>
          <w:rFonts w:ascii="David" w:hAnsi="David" w:hint="cs"/>
          <w:rtl/>
        </w:rPr>
        <w:t xml:space="preserve"> דרך לחייב את הציבור אבל זה לא אומר שבי"ד לא חושב שהוא מחייב.</w:t>
      </w:r>
      <w:r w:rsidR="008D3612">
        <w:rPr>
          <w:rFonts w:ascii="David" w:hAnsi="David" w:hint="cs"/>
          <w:rtl/>
        </w:rPr>
        <w:t xml:space="preserve"> אולם, רובינשטיין מתערב בעניין הקבורה</w:t>
      </w:r>
      <w:r w:rsidR="00E51E81">
        <w:rPr>
          <w:rFonts w:ascii="David" w:hAnsi="David" w:hint="cs"/>
          <w:rtl/>
        </w:rPr>
        <w:t xml:space="preserve"> וקובע שאין לקבל סנקציה זו</w:t>
      </w:r>
      <w:r w:rsidR="008B2265">
        <w:rPr>
          <w:rFonts w:ascii="David" w:hAnsi="David" w:hint="cs"/>
          <w:rtl/>
        </w:rPr>
        <w:t xml:space="preserve"> כיוון שזו פגיעה חמורה בזכויות אדם</w:t>
      </w:r>
      <w:r w:rsidR="00E51E81">
        <w:rPr>
          <w:rFonts w:ascii="David" w:hAnsi="David" w:hint="cs"/>
          <w:rtl/>
        </w:rPr>
        <w:t>.</w:t>
      </w:r>
    </w:p>
    <w:p w14:paraId="088122B2" w14:textId="5BE360E3" w:rsidR="008B2265" w:rsidRDefault="008B2265" w:rsidP="00C87578">
      <w:pPr>
        <w:pStyle w:val="ac"/>
        <w:numPr>
          <w:ilvl w:val="2"/>
          <w:numId w:val="25"/>
        </w:numPr>
        <w:bidi/>
        <w:rPr>
          <w:rFonts w:ascii="David" w:hAnsi="David"/>
        </w:rPr>
      </w:pPr>
      <w:r>
        <w:rPr>
          <w:rFonts w:ascii="David" w:hAnsi="David" w:hint="cs"/>
          <w:rtl/>
        </w:rPr>
        <w:t xml:space="preserve">עמית </w:t>
      </w:r>
      <w:r>
        <w:rPr>
          <w:rFonts w:ascii="David" w:hAnsi="David"/>
          <w:rtl/>
        </w:rPr>
        <w:t>–</w:t>
      </w:r>
      <w:r>
        <w:rPr>
          <w:rFonts w:ascii="David" w:hAnsi="David" w:hint="cs"/>
          <w:rtl/>
        </w:rPr>
        <w:t xml:space="preserve"> אני לא מתערב במה שעושה בית הדין</w:t>
      </w:r>
      <w:r w:rsidR="001619E7">
        <w:rPr>
          <w:rFonts w:ascii="David" w:hAnsi="David" w:hint="cs"/>
          <w:rtl/>
        </w:rPr>
        <w:t xml:space="preserve"> כיוון שבית הדין עושה דבר טוב. אם בי"ד עוזר לעגנות אין זה מתפקידי להפריע לו</w:t>
      </w:r>
      <w:r w:rsidR="00D73F5D">
        <w:rPr>
          <w:rFonts w:ascii="David" w:hAnsi="David" w:hint="cs"/>
          <w:rtl/>
        </w:rPr>
        <w:t>.</w:t>
      </w:r>
    </w:p>
    <w:p w14:paraId="3D08DB14" w14:textId="7EBA4157" w:rsidR="00D73F5D" w:rsidRDefault="00D73F5D" w:rsidP="00C87578">
      <w:pPr>
        <w:pStyle w:val="ac"/>
        <w:numPr>
          <w:ilvl w:val="4"/>
          <w:numId w:val="25"/>
        </w:numPr>
        <w:bidi/>
        <w:rPr>
          <w:rFonts w:ascii="David" w:hAnsi="David"/>
        </w:rPr>
      </w:pPr>
      <w:r>
        <w:rPr>
          <w:rFonts w:ascii="David" w:hAnsi="David" w:hint="cs"/>
          <w:rtl/>
        </w:rPr>
        <w:t xml:space="preserve">פס"ד מתעסק במה הן הרחקות דרבנו תם ומה המקום שלהם בעולם המודרני </w:t>
      </w:r>
      <w:r>
        <w:rPr>
          <w:rFonts w:ascii="David" w:hAnsi="David"/>
          <w:rtl/>
        </w:rPr>
        <w:t>–</w:t>
      </w:r>
      <w:r>
        <w:rPr>
          <w:rFonts w:ascii="David" w:hAnsi="David" w:hint="cs"/>
          <w:rtl/>
        </w:rPr>
        <w:t xml:space="preserve"> לבסוף בית המשפט העליון קובע שזה אפשרי לבצע אותן.</w:t>
      </w:r>
    </w:p>
    <w:p w14:paraId="4A699E44" w14:textId="5E65F380" w:rsidR="00CA5824" w:rsidRDefault="00CA5824" w:rsidP="00CA5824">
      <w:pPr>
        <w:rPr>
          <w:rFonts w:ascii="David" w:hAnsi="David"/>
          <w:rtl/>
        </w:rPr>
      </w:pPr>
    </w:p>
    <w:p w14:paraId="083B5018" w14:textId="77777777" w:rsidR="00CA5824" w:rsidRPr="00CA5824" w:rsidRDefault="00CA5824" w:rsidP="00CA5824">
      <w:pPr>
        <w:rPr>
          <w:rFonts w:ascii="David" w:hAnsi="David"/>
        </w:rPr>
      </w:pPr>
    </w:p>
    <w:p w14:paraId="1E93401D" w14:textId="4A69E45A" w:rsidR="008822A0" w:rsidRPr="00D63CA2" w:rsidRDefault="00930726" w:rsidP="00C87578">
      <w:pPr>
        <w:pStyle w:val="ac"/>
        <w:numPr>
          <w:ilvl w:val="0"/>
          <w:numId w:val="25"/>
        </w:numPr>
        <w:shd w:val="clear" w:color="auto" w:fill="FFF4CD" w:themeFill="accent1" w:themeFillTint="33"/>
        <w:bidi/>
        <w:rPr>
          <w:rFonts w:ascii="David" w:hAnsi="David"/>
          <w:b/>
          <w:bCs/>
        </w:rPr>
      </w:pPr>
      <w:r w:rsidRPr="005C57BA">
        <w:rPr>
          <w:rFonts w:ascii="David" w:hAnsi="David" w:hint="cs"/>
          <w:b/>
          <w:bCs/>
          <w:rtl/>
        </w:rPr>
        <w:lastRenderedPageBreak/>
        <w:t xml:space="preserve">החוק הישראלי שמתעסק </w:t>
      </w:r>
      <w:r w:rsidR="00C87578">
        <w:rPr>
          <w:rFonts w:ascii="David" w:hAnsi="David" w:hint="cs"/>
          <w:b/>
          <w:bCs/>
          <w:rtl/>
        </w:rPr>
        <w:t>ב</w:t>
      </w:r>
      <w:r w:rsidRPr="005C57BA">
        <w:rPr>
          <w:rFonts w:ascii="David" w:hAnsi="David" w:hint="cs"/>
          <w:b/>
          <w:bCs/>
          <w:rtl/>
        </w:rPr>
        <w:t>הרחקות דרבנו תם</w:t>
      </w:r>
    </w:p>
    <w:p w14:paraId="7911C3A9" w14:textId="231C819B" w:rsidR="00930726" w:rsidRPr="00811435" w:rsidRDefault="00D63CA2" w:rsidP="00811435">
      <w:pPr>
        <w:rPr>
          <w:rFonts w:ascii="David" w:hAnsi="David"/>
        </w:rPr>
      </w:pPr>
      <w:r w:rsidRPr="00811435">
        <w:rPr>
          <w:rFonts w:ascii="David" w:hAnsi="David" w:hint="cs"/>
          <w:b/>
          <w:bCs/>
          <w:u w:val="single"/>
          <w:rtl/>
        </w:rPr>
        <w:t>רקע</w:t>
      </w:r>
      <w:r w:rsidRPr="00811435">
        <w:rPr>
          <w:rFonts w:ascii="David" w:hAnsi="David" w:hint="cs"/>
          <w:b/>
          <w:bCs/>
          <w:rtl/>
        </w:rPr>
        <w:t xml:space="preserve">: </w:t>
      </w:r>
      <w:r w:rsidR="00F73579" w:rsidRPr="00811435">
        <w:rPr>
          <w:rFonts w:ascii="David" w:hAnsi="David" w:hint="cs"/>
          <w:rtl/>
        </w:rPr>
        <w:t>בעבר הס</w:t>
      </w:r>
      <w:r w:rsidR="00C87578">
        <w:rPr>
          <w:rFonts w:ascii="David" w:hAnsi="David" w:hint="cs"/>
          <w:rtl/>
        </w:rPr>
        <w:t>עיף</w:t>
      </w:r>
      <w:r w:rsidR="00F73579" w:rsidRPr="00811435">
        <w:rPr>
          <w:rFonts w:ascii="David" w:hAnsi="David" w:hint="cs"/>
          <w:rtl/>
        </w:rPr>
        <w:t xml:space="preserve"> היחיד שהתעסק בסרבנות גט בחוק הישראלי היה סעיף 6 לחוק בתי דין רבניים</w:t>
      </w:r>
      <w:r w:rsidR="005B4F00" w:rsidRPr="00811435">
        <w:rPr>
          <w:rFonts w:ascii="David" w:hAnsi="David" w:hint="cs"/>
          <w:rtl/>
        </w:rPr>
        <w:t xml:space="preserve"> (קביעת מאסר לבי"ד)</w:t>
      </w:r>
      <w:r w:rsidR="00F73579" w:rsidRPr="00811435">
        <w:rPr>
          <w:rFonts w:ascii="David" w:hAnsi="David" w:hint="cs"/>
          <w:rtl/>
        </w:rPr>
        <w:t>. ס' זה קובע שלושה תנאים מצטברים</w:t>
      </w:r>
      <w:r w:rsidR="00BE34FC" w:rsidRPr="00811435">
        <w:rPr>
          <w:rFonts w:ascii="David" w:hAnsi="David" w:hint="cs"/>
          <w:rtl/>
        </w:rPr>
        <w:t xml:space="preserve"> לשימוש בסנקציות כנגד </w:t>
      </w:r>
      <w:r w:rsidR="00670BC0" w:rsidRPr="00811435">
        <w:rPr>
          <w:rFonts w:ascii="David" w:hAnsi="David" w:hint="cs"/>
          <w:rtl/>
        </w:rPr>
        <w:t>סרבן גט</w:t>
      </w:r>
      <w:r w:rsidR="00BE34FC" w:rsidRPr="00811435">
        <w:rPr>
          <w:rFonts w:ascii="David" w:hAnsi="David" w:hint="cs"/>
          <w:rtl/>
        </w:rPr>
        <w:t>:</w:t>
      </w:r>
    </w:p>
    <w:p w14:paraId="5C9F21ED" w14:textId="1AE9959D" w:rsidR="00BE34FC" w:rsidRDefault="00BE34FC" w:rsidP="00C87578">
      <w:pPr>
        <w:pStyle w:val="ac"/>
        <w:numPr>
          <w:ilvl w:val="2"/>
          <w:numId w:val="25"/>
        </w:numPr>
        <w:bidi/>
        <w:rPr>
          <w:rFonts w:ascii="David" w:hAnsi="David"/>
        </w:rPr>
      </w:pPr>
      <w:r>
        <w:rPr>
          <w:rFonts w:ascii="David" w:hAnsi="David" w:hint="cs"/>
          <w:rtl/>
        </w:rPr>
        <w:t>פס"ד שקובע כפיית גט (פס"ד מאוד נדירים).</w:t>
      </w:r>
    </w:p>
    <w:p w14:paraId="2CAB414A" w14:textId="4EF98201" w:rsidR="00BE34FC" w:rsidRDefault="006746A6" w:rsidP="00C87578">
      <w:pPr>
        <w:pStyle w:val="ac"/>
        <w:numPr>
          <w:ilvl w:val="2"/>
          <w:numId w:val="25"/>
        </w:numPr>
        <w:bidi/>
        <w:rPr>
          <w:rFonts w:ascii="David" w:hAnsi="David"/>
        </w:rPr>
      </w:pPr>
      <w:r>
        <w:rPr>
          <w:rFonts w:ascii="David" w:hAnsi="David" w:hint="cs"/>
          <w:rtl/>
        </w:rPr>
        <w:t>פס"ד עובר ליועמ"ש שקובע האם אפשר ל</w:t>
      </w:r>
      <w:r w:rsidR="005B4F00">
        <w:rPr>
          <w:rFonts w:ascii="David" w:hAnsi="David" w:hint="cs"/>
          <w:rtl/>
        </w:rPr>
        <w:t>הכניס למאסר</w:t>
      </w:r>
      <w:r>
        <w:rPr>
          <w:rFonts w:ascii="David" w:hAnsi="David" w:hint="cs"/>
          <w:rtl/>
        </w:rPr>
        <w:t>.</w:t>
      </w:r>
    </w:p>
    <w:p w14:paraId="0F68FE00" w14:textId="03BF4FB5" w:rsidR="006746A6" w:rsidRDefault="00670BC0" w:rsidP="00C87578">
      <w:pPr>
        <w:pStyle w:val="ac"/>
        <w:numPr>
          <w:ilvl w:val="2"/>
          <w:numId w:val="25"/>
        </w:numPr>
        <w:bidi/>
        <w:rPr>
          <w:rFonts w:ascii="David" w:hAnsi="David"/>
        </w:rPr>
      </w:pPr>
      <w:r>
        <w:rPr>
          <w:rFonts w:ascii="David" w:hAnsi="David" w:hint="cs"/>
          <w:rtl/>
        </w:rPr>
        <w:t>פס"ד והחלטת היועמ"ש עוברים לבית המשפט המחוזי שקובע בהחלטה סופית האם אפשר לאסור את הסרבן.</w:t>
      </w:r>
    </w:p>
    <w:p w14:paraId="5D618122" w14:textId="18E77118" w:rsidR="00DF51A8" w:rsidRDefault="00DF51A8" w:rsidP="00DF51A8">
      <w:pPr>
        <w:rPr>
          <w:rFonts w:ascii="David" w:hAnsi="David"/>
          <w:rtl/>
        </w:rPr>
      </w:pPr>
      <w:r>
        <w:rPr>
          <w:rFonts w:ascii="David" w:hAnsi="David" w:hint="cs"/>
          <w:rtl/>
        </w:rPr>
        <w:t xml:space="preserve">הרציונל של התנאים </w:t>
      </w:r>
      <w:r>
        <w:rPr>
          <w:rFonts w:ascii="David" w:hAnsi="David"/>
          <w:rtl/>
        </w:rPr>
        <w:t>–</w:t>
      </w:r>
      <w:r>
        <w:rPr>
          <w:rFonts w:ascii="David" w:hAnsi="David" w:hint="cs"/>
          <w:rtl/>
        </w:rPr>
        <w:t xml:space="preserve"> היה פחד שבית הדין יעשה שימוש מופרז בכוחו ויכניס המון גברים למאסר ולכן </w:t>
      </w:r>
      <w:r w:rsidR="00002F78">
        <w:rPr>
          <w:rFonts w:ascii="David" w:hAnsi="David" w:hint="cs"/>
          <w:rtl/>
        </w:rPr>
        <w:t xml:space="preserve">החוק הגביל זאת למקרים קיצוניים בלבד. בפועל הבעיה הפוכה </w:t>
      </w:r>
      <w:r w:rsidR="00002F78">
        <w:rPr>
          <w:rFonts w:ascii="David" w:hAnsi="David"/>
          <w:rtl/>
        </w:rPr>
        <w:t>–</w:t>
      </w:r>
      <w:r w:rsidR="00002F78">
        <w:rPr>
          <w:rFonts w:ascii="David" w:hAnsi="David" w:hint="cs"/>
          <w:rtl/>
        </w:rPr>
        <w:t xml:space="preserve"> בית הדין בקושי משתמש בכוח שלו.</w:t>
      </w:r>
    </w:p>
    <w:p w14:paraId="01EA711A" w14:textId="77777777" w:rsidR="00811435" w:rsidRPr="00DF51A8" w:rsidRDefault="00811435" w:rsidP="00811435">
      <w:pPr>
        <w:rPr>
          <w:rFonts w:ascii="David" w:hAnsi="David"/>
        </w:rPr>
      </w:pPr>
    </w:p>
    <w:p w14:paraId="1E59AB0B" w14:textId="1D603612" w:rsidR="00DF0D99" w:rsidRPr="000C63CB" w:rsidRDefault="00D63CA2" w:rsidP="000C63CB">
      <w:pPr>
        <w:rPr>
          <w:rFonts w:ascii="David" w:hAnsi="David"/>
          <w:u w:val="single"/>
        </w:rPr>
      </w:pPr>
      <w:r w:rsidRPr="000C63CB">
        <w:rPr>
          <w:rFonts w:ascii="David" w:hAnsi="David" w:hint="cs"/>
          <w:u w:val="single"/>
          <w:rtl/>
        </w:rPr>
        <w:t xml:space="preserve">החוק הישראלי </w:t>
      </w:r>
      <w:r w:rsidR="00FA3F5C" w:rsidRPr="000C63CB">
        <w:rPr>
          <w:rFonts w:ascii="David" w:hAnsi="David" w:hint="cs"/>
          <w:u w:val="single"/>
          <w:rtl/>
        </w:rPr>
        <w:t xml:space="preserve">שעוסק בהרחקות </w:t>
      </w:r>
      <w:r w:rsidR="00DF51A8" w:rsidRPr="000C63CB">
        <w:rPr>
          <w:rFonts w:ascii="David" w:hAnsi="David" w:hint="cs"/>
          <w:u w:val="single"/>
          <w:rtl/>
        </w:rPr>
        <w:t>נחקק</w:t>
      </w:r>
      <w:r w:rsidR="00FA3F5C" w:rsidRPr="000C63CB">
        <w:rPr>
          <w:rFonts w:ascii="David" w:hAnsi="David" w:hint="cs"/>
          <w:u w:val="single"/>
          <w:rtl/>
        </w:rPr>
        <w:t xml:space="preserve"> ב1995 -</w:t>
      </w:r>
      <w:r w:rsidR="00FA3F5C" w:rsidRPr="000C63CB">
        <w:rPr>
          <w:rFonts w:ascii="David" w:hAnsi="David" w:hint="cs"/>
          <w:b/>
          <w:bCs/>
          <w:u w:val="single"/>
          <w:rtl/>
        </w:rPr>
        <w:t xml:space="preserve"> </w:t>
      </w:r>
      <w:r w:rsidR="00C37838" w:rsidRPr="000C63CB">
        <w:rPr>
          <w:rFonts w:ascii="David" w:hAnsi="David"/>
          <w:b/>
          <w:bCs/>
          <w:u w:val="single"/>
          <w:rtl/>
        </w:rPr>
        <w:t>חוק בתי דין רבניים (קיום פסקי דין של גירושין), תשנ"ה-1995</w:t>
      </w:r>
      <w:r w:rsidR="001F7B04" w:rsidRPr="000C63CB">
        <w:rPr>
          <w:rFonts w:ascii="David" w:hAnsi="David" w:hint="cs"/>
          <w:u w:val="single"/>
          <w:rtl/>
        </w:rPr>
        <w:t>:</w:t>
      </w:r>
    </w:p>
    <w:p w14:paraId="7F553AD7" w14:textId="73DF0276" w:rsidR="00DF51A8" w:rsidRDefault="00DF0D99" w:rsidP="00C87578">
      <w:pPr>
        <w:pStyle w:val="ac"/>
        <w:numPr>
          <w:ilvl w:val="1"/>
          <w:numId w:val="25"/>
        </w:numPr>
        <w:bidi/>
        <w:rPr>
          <w:rFonts w:ascii="David" w:hAnsi="David"/>
        </w:rPr>
      </w:pPr>
      <w:r>
        <w:rPr>
          <w:rFonts w:ascii="David" w:hAnsi="David" w:hint="cs"/>
          <w:rtl/>
        </w:rPr>
        <w:t xml:space="preserve">דברי המבוא להצעת החוק </w:t>
      </w:r>
      <w:r>
        <w:rPr>
          <w:rFonts w:ascii="David" w:hAnsi="David"/>
          <w:rtl/>
        </w:rPr>
        <w:t>–</w:t>
      </w:r>
      <w:r>
        <w:rPr>
          <w:rFonts w:ascii="David" w:hAnsi="David" w:hint="cs"/>
          <w:rtl/>
        </w:rPr>
        <w:t xml:space="preserve"> מוזכר שכרגע יש רק את ס' 6 והוא מגביל את בי"ד רק לכפייה ורק למאסר וזה מאוד בעייתי. כיוון שעל פי דין תורה כפיית גט היא מקרה מאוד נדיר ואם נכפה גט כאשר היה אסור יהיה מדובר בגט מעושה. אולם, בהלכה ישנם אפשריות רבות עוצמה </w:t>
      </w:r>
      <w:r w:rsidR="008822A0">
        <w:rPr>
          <w:rFonts w:ascii="David" w:hAnsi="David" w:hint="cs"/>
          <w:rtl/>
        </w:rPr>
        <w:t>לסנקציות גם במקרה שלא מדובר בכפייה ואפשריות אלו נקראות הרחקות דרבנו תם.</w:t>
      </w:r>
      <w:r w:rsidR="00DF51A8">
        <w:rPr>
          <w:rFonts w:ascii="David" w:hAnsi="David" w:hint="cs"/>
          <w:rtl/>
        </w:rPr>
        <w:t xml:space="preserve"> </w:t>
      </w:r>
      <w:r w:rsidR="00F51114">
        <w:rPr>
          <w:rFonts w:ascii="David" w:hAnsi="David" w:hint="cs"/>
          <w:rtl/>
        </w:rPr>
        <w:t xml:space="preserve">המטרה של ההסבר הזה היא כדי לגרום לבית הדין לקבל </w:t>
      </w:r>
      <w:r w:rsidR="0003330E">
        <w:rPr>
          <w:rFonts w:ascii="David" w:hAnsi="David" w:hint="cs"/>
          <w:rtl/>
        </w:rPr>
        <w:t>את החוק הזה ולכן יש צורך לדבר אל בי"ד בשפה שלו.</w:t>
      </w:r>
    </w:p>
    <w:p w14:paraId="4D6E59DC" w14:textId="5AEBF2DC" w:rsidR="0003330E" w:rsidRDefault="00C94D24" w:rsidP="00C87578">
      <w:pPr>
        <w:pStyle w:val="ac"/>
        <w:numPr>
          <w:ilvl w:val="1"/>
          <w:numId w:val="25"/>
        </w:numPr>
        <w:bidi/>
        <w:rPr>
          <w:rFonts w:ascii="David" w:hAnsi="David"/>
        </w:rPr>
      </w:pPr>
      <w:r>
        <w:rPr>
          <w:rFonts w:ascii="David" w:hAnsi="David" w:hint="cs"/>
          <w:rtl/>
        </w:rPr>
        <w:t xml:space="preserve">מדוע עד לפני חקיקת החוק בי"ד לא עשה </w:t>
      </w:r>
      <w:r w:rsidR="00030EDE">
        <w:rPr>
          <w:rFonts w:ascii="David" w:hAnsi="David" w:hint="cs"/>
          <w:rtl/>
        </w:rPr>
        <w:t xml:space="preserve">כמעט </w:t>
      </w:r>
      <w:r>
        <w:rPr>
          <w:rFonts w:ascii="David" w:hAnsi="David" w:hint="cs"/>
          <w:rtl/>
        </w:rPr>
        <w:t>שימוש בהרחקות דרבנו תם?</w:t>
      </w:r>
      <w:r w:rsidR="00030EDE">
        <w:rPr>
          <w:rFonts w:ascii="David" w:hAnsi="David" w:hint="cs"/>
          <w:rtl/>
        </w:rPr>
        <w:t xml:space="preserve"> התפיסה ההלכתית של רוב הדיינים השתנתה לקולא </w:t>
      </w:r>
      <w:r w:rsidR="00F91AB9">
        <w:rPr>
          <w:rFonts w:ascii="David" w:hAnsi="David" w:hint="cs"/>
          <w:rtl/>
        </w:rPr>
        <w:t>לאט מאז סוף שנות השמונים.</w:t>
      </w:r>
    </w:p>
    <w:p w14:paraId="28D0BB17" w14:textId="7388FB11" w:rsidR="00F91AB9" w:rsidRDefault="007C7A2F" w:rsidP="00C87578">
      <w:pPr>
        <w:pStyle w:val="ac"/>
        <w:numPr>
          <w:ilvl w:val="1"/>
          <w:numId w:val="25"/>
        </w:numPr>
        <w:bidi/>
        <w:rPr>
          <w:rFonts w:ascii="David" w:hAnsi="David"/>
        </w:rPr>
      </w:pPr>
      <w:r w:rsidRPr="00C87578">
        <w:rPr>
          <w:rFonts w:ascii="David" w:hAnsi="David" w:hint="cs"/>
          <w:highlight w:val="green"/>
          <w:rtl/>
        </w:rPr>
        <w:t>ס' 2:</w:t>
      </w:r>
      <w:r>
        <w:rPr>
          <w:rFonts w:ascii="David" w:hAnsi="David" w:hint="cs"/>
          <w:rtl/>
        </w:rPr>
        <w:t xml:space="preserve"> </w:t>
      </w:r>
      <w:r w:rsidR="00F91AB9">
        <w:rPr>
          <w:rFonts w:ascii="David" w:hAnsi="David" w:hint="cs"/>
          <w:rtl/>
        </w:rPr>
        <w:t>צו</w:t>
      </w:r>
      <w:r w:rsidR="00FA341C">
        <w:rPr>
          <w:rFonts w:ascii="David" w:hAnsi="David" w:hint="cs"/>
          <w:rtl/>
        </w:rPr>
        <w:t>וי</w:t>
      </w:r>
      <w:r w:rsidR="00F91AB9">
        <w:rPr>
          <w:rFonts w:ascii="David" w:hAnsi="David" w:hint="cs"/>
          <w:rtl/>
        </w:rPr>
        <w:t xml:space="preserve"> הגבלה </w:t>
      </w:r>
      <w:r w:rsidR="006473AB">
        <w:rPr>
          <w:rFonts w:ascii="David" w:hAnsi="David"/>
          <w:rtl/>
        </w:rPr>
        <w:t>–</w:t>
      </w:r>
      <w:r w:rsidR="00F91AB9">
        <w:rPr>
          <w:rFonts w:ascii="David" w:hAnsi="David" w:hint="cs"/>
          <w:rtl/>
        </w:rPr>
        <w:t xml:space="preserve"> </w:t>
      </w:r>
      <w:r w:rsidR="006473AB">
        <w:rPr>
          <w:rFonts w:ascii="David" w:hAnsi="David" w:hint="cs"/>
          <w:rtl/>
        </w:rPr>
        <w:t xml:space="preserve">עיכוב יציאה מהארץ, עיכוב דרכון, עיכוב רישיון, לעסוק במקצוע שעוסק רישיון, להחזיק חשבון בנק, </w:t>
      </w:r>
      <w:r w:rsidR="007F67B4">
        <w:rPr>
          <w:rFonts w:ascii="David" w:hAnsi="David" w:hint="cs"/>
          <w:rtl/>
        </w:rPr>
        <w:t xml:space="preserve">וכו'. היה האדם שניתן נגדו צו ההגבלה אסיר או עצור (לא בגלל סרבנות גט) אפשר לפגוע בזכויות כאסיר </w:t>
      </w:r>
      <w:r w:rsidR="007F67B4">
        <w:rPr>
          <w:rFonts w:ascii="David" w:hAnsi="David"/>
          <w:rtl/>
        </w:rPr>
        <w:t>–</w:t>
      </w:r>
      <w:r w:rsidR="007F67B4">
        <w:rPr>
          <w:rFonts w:ascii="David" w:hAnsi="David" w:hint="cs"/>
          <w:rtl/>
        </w:rPr>
        <w:t xml:space="preserve"> לקבל מ</w:t>
      </w:r>
      <w:r w:rsidR="00FA341C">
        <w:rPr>
          <w:rFonts w:ascii="David" w:hAnsi="David" w:hint="cs"/>
          <w:rtl/>
        </w:rPr>
        <w:t xml:space="preserve">בקרים, לצאת לחופשה, לצאת לעבוד וכו'. לאנשים מאוד עניים </w:t>
      </w:r>
      <w:r w:rsidR="00FA341C">
        <w:rPr>
          <w:rFonts w:ascii="David" w:hAnsi="David"/>
          <w:rtl/>
        </w:rPr>
        <w:t>–</w:t>
      </w:r>
      <w:r w:rsidR="00FA341C">
        <w:rPr>
          <w:rFonts w:ascii="David" w:hAnsi="David" w:hint="cs"/>
          <w:rtl/>
        </w:rPr>
        <w:t xml:space="preserve"> אפשר לפגוע ב</w:t>
      </w:r>
      <w:r>
        <w:rPr>
          <w:rFonts w:ascii="David" w:hAnsi="David" w:hint="cs"/>
          <w:rtl/>
        </w:rPr>
        <w:t>גמלאות ובקצבאות.</w:t>
      </w:r>
    </w:p>
    <w:p w14:paraId="5C2A1171" w14:textId="70AC09D9" w:rsidR="007C7A2F" w:rsidRPr="00706C82" w:rsidRDefault="007C7A2F" w:rsidP="00706C82">
      <w:pPr>
        <w:pStyle w:val="ac"/>
        <w:numPr>
          <w:ilvl w:val="1"/>
          <w:numId w:val="25"/>
        </w:numPr>
        <w:bidi/>
        <w:rPr>
          <w:rFonts w:ascii="David" w:hAnsi="David"/>
        </w:rPr>
      </w:pPr>
      <w:r w:rsidRPr="00C87578">
        <w:rPr>
          <w:rFonts w:ascii="David" w:hAnsi="David" w:hint="cs"/>
          <w:highlight w:val="green"/>
          <w:rtl/>
        </w:rPr>
        <w:t>ס' 3:</w:t>
      </w:r>
      <w:r>
        <w:rPr>
          <w:rFonts w:ascii="David" w:hAnsi="David" w:hint="cs"/>
          <w:rtl/>
        </w:rPr>
        <w:t xml:space="preserve"> (מחליף את ס' 6 </w:t>
      </w:r>
      <w:r w:rsidR="007C283B">
        <w:rPr>
          <w:rFonts w:ascii="David" w:hAnsi="David" w:hint="cs"/>
          <w:rtl/>
        </w:rPr>
        <w:t xml:space="preserve">בפועל) </w:t>
      </w:r>
      <w:r>
        <w:rPr>
          <w:rFonts w:ascii="David" w:hAnsi="David" w:hint="cs"/>
          <w:rtl/>
        </w:rPr>
        <w:t>אפשר לשלו</w:t>
      </w:r>
      <w:r w:rsidR="007C283B">
        <w:rPr>
          <w:rFonts w:ascii="David" w:hAnsi="David" w:hint="cs"/>
          <w:rtl/>
        </w:rPr>
        <w:t xml:space="preserve">ח לחמש שנים ואז לשלוח לעוד חמש שנים. </w:t>
      </w:r>
      <w:r w:rsidR="007C283B" w:rsidRPr="00706C82">
        <w:rPr>
          <w:rFonts w:ascii="David" w:hAnsi="David" w:hint="cs"/>
          <w:rtl/>
        </w:rPr>
        <w:t>לאחר עשר שנים מה עושים? היה על כך בג"ץ</w:t>
      </w:r>
      <w:r w:rsidR="006154CC" w:rsidRPr="00706C82">
        <w:rPr>
          <w:rFonts w:ascii="David" w:hAnsi="David" w:hint="cs"/>
          <w:rtl/>
        </w:rPr>
        <w:t xml:space="preserve"> גורדסקי</w:t>
      </w:r>
      <w:r w:rsidR="004959B1" w:rsidRPr="00706C82">
        <w:rPr>
          <w:rFonts w:ascii="David" w:hAnsi="David" w:hint="cs"/>
          <w:rtl/>
        </w:rPr>
        <w:t xml:space="preserve"> </w:t>
      </w:r>
      <w:r w:rsidR="004959B1" w:rsidRPr="00706C82">
        <w:rPr>
          <w:rFonts w:ascii="David" w:hAnsi="David"/>
          <w:rtl/>
        </w:rPr>
        <w:t>–</w:t>
      </w:r>
      <w:r w:rsidR="004959B1" w:rsidRPr="00706C82">
        <w:rPr>
          <w:rFonts w:ascii="David" w:hAnsi="David" w:hint="cs"/>
          <w:rtl/>
        </w:rPr>
        <w:t xml:space="preserve"> </w:t>
      </w:r>
      <w:r w:rsidR="008A5B1C" w:rsidRPr="00706C82">
        <w:rPr>
          <w:rFonts w:ascii="David" w:hAnsi="David" w:hint="cs"/>
          <w:rtl/>
        </w:rPr>
        <w:t>נקבע כי מכן והלאה המאסר יהיה בגין ביזיון בית משפט ו</w:t>
      </w:r>
      <w:r w:rsidR="0056243A" w:rsidRPr="00706C82">
        <w:rPr>
          <w:rFonts w:ascii="David" w:hAnsi="David" w:hint="cs"/>
          <w:rtl/>
        </w:rPr>
        <w:t>כיוון ש</w:t>
      </w:r>
      <w:r w:rsidR="006154CC" w:rsidRPr="00706C82">
        <w:rPr>
          <w:rFonts w:ascii="David" w:hAnsi="David" w:hint="cs"/>
          <w:rtl/>
        </w:rPr>
        <w:t>תקופת המאסר לא מוגבלת בגין ביזיון בית משפט</w:t>
      </w:r>
      <w:r w:rsidR="0056243A" w:rsidRPr="00706C82">
        <w:rPr>
          <w:rFonts w:ascii="David" w:hAnsi="David" w:hint="cs"/>
          <w:rtl/>
        </w:rPr>
        <w:t xml:space="preserve"> הוא נאשר בכלא עד שי</w:t>
      </w:r>
      <w:r w:rsidR="00E85B06" w:rsidRPr="00706C82">
        <w:rPr>
          <w:rFonts w:ascii="David" w:hAnsi="David" w:hint="cs"/>
          <w:rtl/>
        </w:rPr>
        <w:t>י</w:t>
      </w:r>
      <w:r w:rsidR="0056243A" w:rsidRPr="00706C82">
        <w:rPr>
          <w:rFonts w:ascii="David" w:hAnsi="David" w:hint="cs"/>
          <w:rtl/>
        </w:rPr>
        <w:t>תן גט</w:t>
      </w:r>
      <w:r w:rsidR="006154CC" w:rsidRPr="00706C82">
        <w:rPr>
          <w:rFonts w:ascii="David" w:hAnsi="David" w:hint="cs"/>
          <w:rtl/>
        </w:rPr>
        <w:t>.</w:t>
      </w:r>
      <w:r w:rsidRPr="00706C82">
        <w:rPr>
          <w:rFonts w:ascii="David" w:hAnsi="David" w:hint="cs"/>
          <w:rtl/>
        </w:rPr>
        <w:t xml:space="preserve"> </w:t>
      </w:r>
    </w:p>
    <w:p w14:paraId="07B63645" w14:textId="5E1D7A60" w:rsidR="00B06269" w:rsidRDefault="00B06269" w:rsidP="00050744">
      <w:pPr>
        <w:pStyle w:val="ac"/>
        <w:numPr>
          <w:ilvl w:val="1"/>
          <w:numId w:val="25"/>
        </w:numPr>
        <w:bidi/>
        <w:rPr>
          <w:rFonts w:ascii="David" w:hAnsi="David"/>
        </w:rPr>
      </w:pPr>
      <w:r w:rsidRPr="00050744">
        <w:rPr>
          <w:rFonts w:ascii="David" w:hAnsi="David" w:hint="cs"/>
          <w:highlight w:val="green"/>
          <w:rtl/>
        </w:rPr>
        <w:t xml:space="preserve">ס' </w:t>
      </w:r>
      <w:r w:rsidR="00050744" w:rsidRPr="00050744">
        <w:rPr>
          <w:rFonts w:ascii="David" w:hAnsi="David" w:hint="cs"/>
          <w:highlight w:val="green"/>
          <w:rtl/>
        </w:rPr>
        <w:t>5:</w:t>
      </w:r>
      <w:r w:rsidR="00050744">
        <w:rPr>
          <w:rFonts w:ascii="David" w:hAnsi="David" w:hint="cs"/>
          <w:rtl/>
        </w:rPr>
        <w:t xml:space="preserve"> </w:t>
      </w:r>
      <w:r w:rsidR="00050744" w:rsidRPr="00050744">
        <w:rPr>
          <w:rFonts w:ascii="David" w:hAnsi="David" w:hint="cs"/>
          <w:rtl/>
        </w:rPr>
        <w:t xml:space="preserve"> אומר כי בעת מתן הגט יפקעו ההגבלות, בעת שאמצעי הלחץ מביא לתוצאה הם מפסיקים מיד</w:t>
      </w:r>
      <w:r w:rsidR="005A571E">
        <w:rPr>
          <w:rFonts w:ascii="David" w:hAnsi="David" w:hint="cs"/>
          <w:rtl/>
        </w:rPr>
        <w:t>.</w:t>
      </w:r>
    </w:p>
    <w:p w14:paraId="7596BBDA" w14:textId="77777777" w:rsidR="00C051B0" w:rsidRDefault="00E85B06" w:rsidP="00C87578">
      <w:pPr>
        <w:pStyle w:val="ac"/>
        <w:numPr>
          <w:ilvl w:val="1"/>
          <w:numId w:val="25"/>
        </w:numPr>
        <w:bidi/>
        <w:rPr>
          <w:rFonts w:ascii="David" w:hAnsi="David"/>
        </w:rPr>
      </w:pPr>
      <w:r w:rsidRPr="00C87578">
        <w:rPr>
          <w:rFonts w:ascii="David" w:hAnsi="David" w:hint="cs"/>
          <w:highlight w:val="green"/>
          <w:rtl/>
        </w:rPr>
        <w:t>ס' 1:</w:t>
      </w:r>
      <w:r>
        <w:rPr>
          <w:rFonts w:ascii="David" w:hAnsi="David" w:hint="cs"/>
          <w:rtl/>
        </w:rPr>
        <w:t xml:space="preserve"> </w:t>
      </w:r>
    </w:p>
    <w:p w14:paraId="0EB6D46A" w14:textId="20DA6664" w:rsidR="00E85B06" w:rsidRDefault="00EA3F71" w:rsidP="000C63CB">
      <w:pPr>
        <w:pStyle w:val="ac"/>
        <w:bidi/>
        <w:ind w:left="227"/>
        <w:rPr>
          <w:rFonts w:ascii="David" w:hAnsi="David"/>
        </w:rPr>
      </w:pPr>
      <w:r>
        <w:rPr>
          <w:rFonts w:ascii="David" w:hAnsi="David" w:hint="cs"/>
          <w:rtl/>
        </w:rPr>
        <w:t>ס' 1(</w:t>
      </w:r>
      <w:r w:rsidR="00833431">
        <w:rPr>
          <w:rFonts w:ascii="David" w:hAnsi="David" w:hint="cs"/>
          <w:rtl/>
        </w:rPr>
        <w:t>ב)</w:t>
      </w:r>
      <w:r w:rsidR="00833431">
        <w:rPr>
          <w:rFonts w:ascii="David" w:hAnsi="David" w:hint="cs"/>
        </w:rPr>
        <w:t xml:space="preserve"> </w:t>
      </w:r>
      <w:r w:rsidR="00833431">
        <w:rPr>
          <w:rFonts w:ascii="David" w:hAnsi="David" w:hint="cs"/>
          <w:rtl/>
        </w:rPr>
        <w:t xml:space="preserve"> - סעיף שהרבה פעמים תוקפים את בתי הדין בגינו, סעיף זה קובע שנין להפעיל את צווי ההגבלה בכל פס"ד לגירושין</w:t>
      </w:r>
      <w:r w:rsidR="00522C4D">
        <w:rPr>
          <w:rFonts w:ascii="David" w:hAnsi="David" w:hint="cs"/>
          <w:rtl/>
        </w:rPr>
        <w:t>. כלומר, גם אם פס"ד הוא רק המלצה לגירושין בי"ד יכול להפעיל צווי הגבלה.</w:t>
      </w:r>
    </w:p>
    <w:p w14:paraId="2D662ECC" w14:textId="60C947A3" w:rsidR="000C5492" w:rsidRDefault="000C5492" w:rsidP="00C87578">
      <w:pPr>
        <w:pStyle w:val="ac"/>
        <w:bidi/>
        <w:ind w:left="199"/>
        <w:rPr>
          <w:rFonts w:ascii="David" w:hAnsi="David"/>
        </w:rPr>
      </w:pPr>
      <w:r>
        <w:rPr>
          <w:rFonts w:ascii="David" w:hAnsi="David" w:hint="cs"/>
          <w:rtl/>
        </w:rPr>
        <w:t>הוויכוח הגדול בבתי הדין בנוגע לס' זה היא האם אפשר לשים הרחקות בפס"ד שאינם חיוב.</w:t>
      </w:r>
    </w:p>
    <w:p w14:paraId="24CE3113" w14:textId="2502EE3D" w:rsidR="0027605D" w:rsidRDefault="0027605D" w:rsidP="000C63CB">
      <w:pPr>
        <w:pStyle w:val="ac"/>
        <w:bidi/>
        <w:ind w:left="227"/>
        <w:rPr>
          <w:rFonts w:ascii="David" w:hAnsi="David"/>
          <w:rtl/>
        </w:rPr>
      </w:pPr>
      <w:r>
        <w:rPr>
          <w:rFonts w:ascii="David" w:hAnsi="David" w:hint="cs"/>
          <w:rtl/>
        </w:rPr>
        <w:t>ס' 1(</w:t>
      </w:r>
      <w:r w:rsidR="00906F00">
        <w:rPr>
          <w:rFonts w:ascii="David" w:hAnsi="David" w:hint="cs"/>
          <w:rtl/>
        </w:rPr>
        <w:t>ג</w:t>
      </w:r>
      <w:r w:rsidR="00A21CCF">
        <w:rPr>
          <w:rFonts w:ascii="David" w:hAnsi="David" w:hint="cs"/>
          <w:rtl/>
        </w:rPr>
        <w:t xml:space="preserve">)- כאשר אישה מסרבת לתת גט אפשר לתת לה צווי הגבלה אבל </w:t>
      </w:r>
      <w:r w:rsidR="00906F00">
        <w:rPr>
          <w:rFonts w:ascii="David" w:hAnsi="David" w:hint="cs"/>
          <w:rtl/>
        </w:rPr>
        <w:t xml:space="preserve">בכפוף לאישור של נשיא בית הדין הגדול. נשיא בית הדין הגדול עושה </w:t>
      </w:r>
      <w:r w:rsidR="00657AAF">
        <w:rPr>
          <w:rFonts w:ascii="David" w:hAnsi="David" w:hint="cs"/>
          <w:rtl/>
        </w:rPr>
        <w:t>שימוע.</w:t>
      </w:r>
      <w:r w:rsidR="008B4179">
        <w:rPr>
          <w:rFonts w:ascii="David" w:hAnsi="David" w:hint="cs"/>
          <w:rtl/>
        </w:rPr>
        <w:t xml:space="preserve"> ככול הנראה הסיבה שהתנאים לאישה מוגבלים יותר היא כיוון שלגבר יש דרכים נוספות </w:t>
      </w:r>
      <w:r w:rsidR="004A6F32">
        <w:rPr>
          <w:rFonts w:ascii="David" w:hAnsi="David" w:hint="cs"/>
          <w:rtl/>
        </w:rPr>
        <w:t>לצאת מהעגינות. ואכן החוק בסעיף 1(ו) מתייחס לזה במידה מסוימת:</w:t>
      </w:r>
    </w:p>
    <w:p w14:paraId="6C737131" w14:textId="3142FAFC" w:rsidR="001B7085" w:rsidRDefault="001B7085" w:rsidP="000C63CB">
      <w:pPr>
        <w:pStyle w:val="ac"/>
        <w:bidi/>
        <w:ind w:left="227"/>
        <w:rPr>
          <w:rFonts w:ascii="David" w:hAnsi="David"/>
        </w:rPr>
      </w:pPr>
      <w:r>
        <w:rPr>
          <w:rFonts w:ascii="David" w:hAnsi="David" w:hint="cs"/>
          <w:rtl/>
        </w:rPr>
        <w:t xml:space="preserve">ס' 1(ו) </w:t>
      </w:r>
      <w:r>
        <w:rPr>
          <w:rFonts w:ascii="David" w:hAnsi="David"/>
          <w:rtl/>
        </w:rPr>
        <w:t>–</w:t>
      </w:r>
      <w:r>
        <w:rPr>
          <w:rFonts w:ascii="David" w:hAnsi="David" w:hint="cs"/>
          <w:rtl/>
        </w:rPr>
        <w:t xml:space="preserve"> גבר שבחר ללכת במסלול של צווי הגבלה כנגד אשתו לא יכול לבקש במשך שלוש</w:t>
      </w:r>
      <w:r w:rsidR="008B4179">
        <w:rPr>
          <w:rFonts w:ascii="David" w:hAnsi="David" w:hint="cs"/>
          <w:rtl/>
        </w:rPr>
        <w:t xml:space="preserve"> שנים היתר מיום מתן צו ההגבלה.</w:t>
      </w:r>
      <w:r w:rsidR="004A6F32">
        <w:rPr>
          <w:rFonts w:ascii="David" w:hAnsi="David" w:hint="cs"/>
          <w:rtl/>
        </w:rPr>
        <w:t xml:space="preserve"> ס' זה גורם לכך שגם גברים שאינם מעוניינים בהיתר נישואים יעדיפו היתר מהפחד שאם הוא ילך על מסלול צווי הגבלה הוא לא יכול לבקש היתר במשך שלוש שנים.</w:t>
      </w:r>
      <w:r w:rsidR="009414B2">
        <w:rPr>
          <w:rFonts w:ascii="David" w:hAnsi="David" w:hint="cs"/>
          <w:rtl/>
        </w:rPr>
        <w:t xml:space="preserve"> כלומר, החוק מתמרץ במידה מסוימת ללכת על המסלול של לשאת אישה שנייה.</w:t>
      </w:r>
    </w:p>
    <w:p w14:paraId="1DDF6BE8" w14:textId="55AA084C" w:rsidR="004A25C9" w:rsidRPr="00C87578" w:rsidRDefault="004A25C9" w:rsidP="00C87578">
      <w:pPr>
        <w:pStyle w:val="ac"/>
        <w:numPr>
          <w:ilvl w:val="1"/>
          <w:numId w:val="25"/>
        </w:numPr>
        <w:bidi/>
        <w:rPr>
          <w:rFonts w:ascii="David" w:hAnsi="David"/>
          <w:u w:val="single"/>
        </w:rPr>
      </w:pPr>
      <w:r w:rsidRPr="00C87578">
        <w:rPr>
          <w:rFonts w:ascii="David" w:hAnsi="David" w:hint="cs"/>
          <w:u w:val="single"/>
          <w:rtl/>
        </w:rPr>
        <w:t xml:space="preserve">מדוע </w:t>
      </w:r>
      <w:r w:rsidR="00811435" w:rsidRPr="00C87578">
        <w:rPr>
          <w:rFonts w:ascii="David" w:hAnsi="David" w:hint="cs"/>
          <w:u w:val="single"/>
          <w:rtl/>
        </w:rPr>
        <w:t xml:space="preserve">בפועל רק במעט </w:t>
      </w:r>
      <w:r w:rsidR="00C87578">
        <w:rPr>
          <w:rFonts w:ascii="David" w:hAnsi="David" w:hint="cs"/>
          <w:u w:val="single"/>
          <w:rtl/>
        </w:rPr>
        <w:t xml:space="preserve">מאוד </w:t>
      </w:r>
      <w:r w:rsidR="00811435" w:rsidRPr="00C87578">
        <w:rPr>
          <w:rFonts w:ascii="David" w:hAnsi="David" w:hint="cs"/>
          <w:u w:val="single"/>
          <w:rtl/>
        </w:rPr>
        <w:t>תיקים יש צווי הגבלה</w:t>
      </w:r>
      <w:r w:rsidR="00532EC2" w:rsidRPr="00C87578">
        <w:rPr>
          <w:rFonts w:ascii="David" w:hAnsi="David" w:hint="cs"/>
          <w:u w:val="single"/>
          <w:rtl/>
        </w:rPr>
        <w:t xml:space="preserve"> (35 בשנה)</w:t>
      </w:r>
      <w:r w:rsidR="007F4718" w:rsidRPr="00C87578">
        <w:rPr>
          <w:rFonts w:ascii="David" w:hAnsi="David" w:hint="cs"/>
          <w:u w:val="single"/>
          <w:rtl/>
        </w:rPr>
        <w:t>?</w:t>
      </w:r>
    </w:p>
    <w:p w14:paraId="63196875" w14:textId="1F3B68AB" w:rsidR="0027605D" w:rsidRDefault="007F4718" w:rsidP="00C87578">
      <w:pPr>
        <w:pStyle w:val="ac"/>
        <w:numPr>
          <w:ilvl w:val="2"/>
          <w:numId w:val="25"/>
        </w:numPr>
        <w:bidi/>
        <w:rPr>
          <w:rFonts w:ascii="David" w:hAnsi="David"/>
        </w:rPr>
      </w:pPr>
      <w:r>
        <w:rPr>
          <w:rFonts w:ascii="David" w:hAnsi="David" w:hint="cs"/>
          <w:rtl/>
        </w:rPr>
        <w:t xml:space="preserve"> בחלק נכבד מהמקרים </w:t>
      </w:r>
      <w:r w:rsidR="00664F66">
        <w:rPr>
          <w:rFonts w:ascii="David" w:hAnsi="David" w:hint="cs"/>
          <w:rtl/>
        </w:rPr>
        <w:t xml:space="preserve">בי"ד מתחיל באיומים והמקרים בהם הוא מטיל סנקציות זה במקרים בהם האיומים לא הועילו. </w:t>
      </w:r>
      <w:r w:rsidR="00532EC2">
        <w:rPr>
          <w:rFonts w:ascii="David" w:hAnsi="David" w:hint="cs"/>
          <w:rtl/>
        </w:rPr>
        <w:t>כלומר, האיומים על מתן צווי הגבלה ככול הנראה מספיק על מנת לגרום לגברים לתת גט.</w:t>
      </w:r>
    </w:p>
    <w:p w14:paraId="108CA519" w14:textId="77777777" w:rsidR="001C0554" w:rsidRDefault="004A25C9" w:rsidP="00C87578">
      <w:pPr>
        <w:pStyle w:val="ac"/>
        <w:numPr>
          <w:ilvl w:val="2"/>
          <w:numId w:val="25"/>
        </w:numPr>
        <w:bidi/>
        <w:rPr>
          <w:rFonts w:ascii="David" w:hAnsi="David"/>
        </w:rPr>
      </w:pPr>
      <w:r>
        <w:rPr>
          <w:rFonts w:ascii="David" w:hAnsi="David" w:hint="cs"/>
          <w:rtl/>
        </w:rPr>
        <w:t xml:space="preserve">חלק </w:t>
      </w:r>
      <w:r w:rsidR="001835E0">
        <w:rPr>
          <w:rFonts w:ascii="David" w:hAnsi="David" w:hint="cs"/>
          <w:rtl/>
        </w:rPr>
        <w:t xml:space="preserve">קטן מהרבנים לא מקבל את החוק </w:t>
      </w:r>
      <w:r w:rsidR="001835E0">
        <w:rPr>
          <w:rFonts w:ascii="David" w:hAnsi="David"/>
          <w:rtl/>
        </w:rPr>
        <w:t>–</w:t>
      </w:r>
      <w:r w:rsidR="001835E0">
        <w:rPr>
          <w:rFonts w:ascii="David" w:hAnsi="David" w:hint="cs"/>
          <w:rtl/>
        </w:rPr>
        <w:t xml:space="preserve"> הרבניים האלה הולכים ופוחתים ככול שמגיעים רבניים חדשים שהחוק לא מפריע להם.</w:t>
      </w:r>
      <w:r w:rsidR="000B5A97">
        <w:rPr>
          <w:rFonts w:ascii="David" w:hAnsi="David" w:hint="cs"/>
          <w:rtl/>
        </w:rPr>
        <w:t xml:space="preserve"> הבעיה לטענתם היא צווי ההגבלה הם לא הרחקות דרבנו תם</w:t>
      </w:r>
      <w:r w:rsidR="001C0554">
        <w:rPr>
          <w:rFonts w:ascii="David" w:hAnsi="David" w:hint="cs"/>
          <w:rtl/>
        </w:rPr>
        <w:t>.</w:t>
      </w:r>
    </w:p>
    <w:p w14:paraId="7E6307F7" w14:textId="67B2DCF8" w:rsidR="001E7750" w:rsidRDefault="00EA3803" w:rsidP="00C87578">
      <w:pPr>
        <w:pStyle w:val="ac"/>
        <w:numPr>
          <w:ilvl w:val="1"/>
          <w:numId w:val="25"/>
        </w:numPr>
        <w:bidi/>
        <w:rPr>
          <w:rFonts w:ascii="David" w:hAnsi="David"/>
        </w:rPr>
      </w:pPr>
      <w:r>
        <w:rPr>
          <w:rFonts w:ascii="David" w:hAnsi="David" w:hint="cs"/>
          <w:rtl/>
        </w:rPr>
        <w:t xml:space="preserve">הדיין יוסף גולדברג </w:t>
      </w:r>
      <w:r>
        <w:rPr>
          <w:rFonts w:ascii="David" w:hAnsi="David"/>
          <w:rtl/>
        </w:rPr>
        <w:t>–</w:t>
      </w:r>
      <w:r>
        <w:rPr>
          <w:rFonts w:ascii="David" w:hAnsi="David" w:hint="cs"/>
          <w:rtl/>
        </w:rPr>
        <w:t xml:space="preserve"> ספר חשוב בנושא של גט מעושה: עמדתו היא עמדה מאוד מחמירה בנושא. לספר הזה יש כמה נספחים והוא עוסק בסוגיה של הרחקות דרבנו תם. </w:t>
      </w:r>
      <w:r w:rsidR="00847B26">
        <w:rPr>
          <w:rFonts w:ascii="David" w:hAnsi="David" w:hint="cs"/>
          <w:rtl/>
        </w:rPr>
        <w:t xml:space="preserve">בספרו הוא עונה על השאלה - </w:t>
      </w:r>
      <w:r>
        <w:rPr>
          <w:rFonts w:ascii="David" w:hAnsi="David" w:hint="cs"/>
          <w:rtl/>
        </w:rPr>
        <w:t>האם צווי ההגבלה על פי חוק הם כמו הרחקות דרבנו תם מבחינה הלכתית?</w:t>
      </w:r>
      <w:r w:rsidR="00847B26">
        <w:rPr>
          <w:rFonts w:ascii="David" w:hAnsi="David" w:hint="cs"/>
          <w:rtl/>
        </w:rPr>
        <w:t xml:space="preserve"> </w:t>
      </w:r>
      <w:r w:rsidR="00A33545">
        <w:rPr>
          <w:rFonts w:ascii="David" w:hAnsi="David" w:hint="cs"/>
          <w:rtl/>
        </w:rPr>
        <w:t>הוא קובע שאין שום מקרה בו ניתן לעשות שימוש בצווי הגבלה.</w:t>
      </w:r>
      <w:r w:rsidR="002A5C22">
        <w:rPr>
          <w:rFonts w:ascii="David" w:hAnsi="David" w:hint="cs"/>
          <w:rtl/>
        </w:rPr>
        <w:t xml:space="preserve"> </w:t>
      </w:r>
      <w:r w:rsidR="002A5C22" w:rsidRPr="002A5C22">
        <w:rPr>
          <w:rFonts w:ascii="David" w:hAnsi="David"/>
          <w:rtl/>
        </w:rPr>
        <w:t>מה שעושה הרב גולדברג זה הדבר הבא: הוא אוסף עמדות מחמירות שכל אחת מטפלת בכל נקודה אחרת</w:t>
      </w:r>
      <w:r w:rsidR="002A5C22">
        <w:rPr>
          <w:rFonts w:ascii="David" w:hAnsi="David" w:hint="cs"/>
          <w:rtl/>
        </w:rPr>
        <w:t>.</w:t>
      </w:r>
    </w:p>
    <w:p w14:paraId="452B233D" w14:textId="0624100F" w:rsidR="004A25C9" w:rsidRDefault="00D30338" w:rsidP="001E7750">
      <w:pPr>
        <w:pStyle w:val="ac"/>
        <w:bidi/>
        <w:ind w:left="199"/>
        <w:rPr>
          <w:rFonts w:ascii="David" w:hAnsi="David"/>
          <w:rtl/>
        </w:rPr>
      </w:pPr>
      <w:r w:rsidRPr="001E7750">
        <w:rPr>
          <w:rFonts w:ascii="David" w:hAnsi="David" w:hint="cs"/>
          <w:rtl/>
        </w:rPr>
        <w:lastRenderedPageBreak/>
        <w:t xml:space="preserve">ישנה דעה שקובעת כי ההרחקות רלוונטיות רק לקהילה בה האדם נמצא ואם הוא עובר לקהילה אחרת ההרחקות לא קיימות. </w:t>
      </w:r>
      <w:r w:rsidR="001E7750">
        <w:rPr>
          <w:rFonts w:ascii="David" w:hAnsi="David" w:hint="cs"/>
          <w:rtl/>
        </w:rPr>
        <w:t xml:space="preserve">צווי הרחקה הם </w:t>
      </w:r>
      <w:r w:rsidR="00284658">
        <w:rPr>
          <w:rFonts w:ascii="David" w:hAnsi="David" w:hint="cs"/>
          <w:rtl/>
        </w:rPr>
        <w:t>בעייתיי</w:t>
      </w:r>
      <w:r w:rsidR="00284658">
        <w:rPr>
          <w:rFonts w:ascii="David" w:hAnsi="David" w:hint="eastAsia"/>
          <w:rtl/>
        </w:rPr>
        <w:t>ם</w:t>
      </w:r>
      <w:r w:rsidR="001E7750">
        <w:rPr>
          <w:rFonts w:ascii="David" w:hAnsi="David" w:hint="cs"/>
          <w:rtl/>
        </w:rPr>
        <w:t xml:space="preserve"> מהבחינה הזו, </w:t>
      </w:r>
      <w:r w:rsidR="00284658">
        <w:rPr>
          <w:rFonts w:ascii="David" w:hAnsi="David" w:hint="cs"/>
          <w:rtl/>
        </w:rPr>
        <w:t xml:space="preserve">שכן לקחת למישהו דרכון בעצם מונעות ממנו לצאת לקהילה בה ההרחקות לא יהיו </w:t>
      </w:r>
      <w:r w:rsidR="00FE4ACC">
        <w:rPr>
          <w:rFonts w:ascii="David" w:hAnsi="David" w:hint="cs"/>
          <w:rtl/>
        </w:rPr>
        <w:t>קיימות.</w:t>
      </w:r>
    </w:p>
    <w:p w14:paraId="54557E25" w14:textId="55C57D0B" w:rsidR="00C87578" w:rsidRDefault="00FE4ACC" w:rsidP="00706C82">
      <w:pPr>
        <w:pStyle w:val="ac"/>
        <w:bidi/>
        <w:spacing w:after="0"/>
        <w:ind w:left="199"/>
        <w:rPr>
          <w:rFonts w:ascii="David" w:hAnsi="David"/>
          <w:rtl/>
        </w:rPr>
      </w:pPr>
      <w:r>
        <w:rPr>
          <w:rFonts w:ascii="David" w:hAnsi="David" w:hint="cs"/>
          <w:rtl/>
        </w:rPr>
        <w:t xml:space="preserve">בנוסף, יש גישה באחרונים שאומרת שההרחקות הן ללא קשר לסרבנות גט </w:t>
      </w:r>
      <w:r>
        <w:rPr>
          <w:rFonts w:ascii="David" w:hAnsi="David"/>
          <w:rtl/>
        </w:rPr>
        <w:t>–</w:t>
      </w:r>
      <w:r>
        <w:rPr>
          <w:rFonts w:ascii="David" w:hAnsi="David" w:hint="cs"/>
          <w:rtl/>
        </w:rPr>
        <w:t xml:space="preserve"> ושהוא יבין לבד. הרב גולדברג לוקח גישה זו ופוסק לפיה לגבי צווי הגבלה. בצווי ההגבלה בחוק עצמו כתוב שמדובר </w:t>
      </w:r>
      <w:r w:rsidR="00FB02A7">
        <w:rPr>
          <w:rFonts w:ascii="David" w:hAnsi="David" w:hint="cs"/>
          <w:rtl/>
        </w:rPr>
        <w:t xml:space="preserve">בחוק שאמור למנוע סרבנות גט </w:t>
      </w:r>
      <w:r w:rsidR="00FB02A7">
        <w:rPr>
          <w:rFonts w:ascii="David" w:hAnsi="David"/>
          <w:rtl/>
        </w:rPr>
        <w:t>–</w:t>
      </w:r>
      <w:r w:rsidR="00FB02A7">
        <w:rPr>
          <w:rFonts w:ascii="David" w:hAnsi="David" w:hint="cs"/>
          <w:rtl/>
        </w:rPr>
        <w:t xml:space="preserve"> כלומר גם אם בפס"ד הדין שלו לא צוין</w:t>
      </w:r>
      <w:r w:rsidR="00C87578">
        <w:rPr>
          <w:rFonts w:ascii="David" w:hAnsi="David" w:hint="cs"/>
          <w:rtl/>
        </w:rPr>
        <w:t xml:space="preserve"> שהסיבה להרחקות היא סרבנות גט, </w:t>
      </w:r>
      <w:r w:rsidR="00FB02A7">
        <w:rPr>
          <w:rFonts w:ascii="David" w:hAnsi="David" w:hint="cs"/>
          <w:rtl/>
        </w:rPr>
        <w:t>בחוק צוין</w:t>
      </w:r>
      <w:r w:rsidR="00C87578">
        <w:rPr>
          <w:rFonts w:ascii="David" w:hAnsi="David" w:hint="cs"/>
          <w:rtl/>
        </w:rPr>
        <w:t xml:space="preserve"> במפורש ולכן אי אפשר לעשות שימוש בהרחקות מתוקף החוק</w:t>
      </w:r>
      <w:r w:rsidR="00FB02A7">
        <w:rPr>
          <w:rFonts w:ascii="David" w:hAnsi="David" w:hint="cs"/>
          <w:rtl/>
        </w:rPr>
        <w:t>.</w:t>
      </w:r>
    </w:p>
    <w:p w14:paraId="6C6D9988" w14:textId="1D426127" w:rsidR="00C87578" w:rsidRDefault="00C87578" w:rsidP="00C87578">
      <w:pPr>
        <w:pBdr>
          <w:top w:val="single" w:sz="4" w:space="1" w:color="auto"/>
        </w:pBdr>
        <w:rPr>
          <w:rFonts w:ascii="David" w:hAnsi="David"/>
          <w:rtl/>
        </w:rPr>
      </w:pPr>
      <w:r>
        <w:rPr>
          <w:rFonts w:ascii="David" w:hAnsi="David" w:hint="cs"/>
          <w:rtl/>
        </w:rPr>
        <w:t>14.06.2022</w:t>
      </w:r>
    </w:p>
    <w:p w14:paraId="1695DDC7" w14:textId="0477F7E6" w:rsidR="00F572F5" w:rsidRPr="00F572F5" w:rsidRDefault="00F572F5" w:rsidP="00F572F5">
      <w:pPr>
        <w:pBdr>
          <w:top w:val="single" w:sz="4" w:space="1" w:color="auto"/>
        </w:pBdr>
        <w:shd w:val="clear" w:color="auto" w:fill="FFF4CD" w:themeFill="accent1" w:themeFillTint="33"/>
        <w:rPr>
          <w:rFonts w:ascii="David" w:hAnsi="David"/>
          <w:b/>
          <w:bCs/>
        </w:rPr>
      </w:pPr>
      <w:r w:rsidRPr="00F572F5">
        <w:rPr>
          <w:rFonts w:ascii="David" w:hAnsi="David" w:hint="cs"/>
          <w:b/>
          <w:bCs/>
          <w:rtl/>
        </w:rPr>
        <w:t>עילות גירושין</w:t>
      </w:r>
    </w:p>
    <w:p w14:paraId="37B7DB3C" w14:textId="76A125AD" w:rsidR="006623FC"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rPr>
          <w:b/>
          <w:bCs/>
          <w:rtl/>
        </w:rPr>
      </w:pPr>
      <w:r w:rsidRPr="006623FC">
        <w:rPr>
          <w:rFonts w:hint="cs"/>
          <w:b/>
          <w:bCs/>
          <w:u w:val="single"/>
          <w:rtl/>
        </w:rPr>
        <w:t>עילות גירושין על פי שרשבסקי</w:t>
      </w:r>
      <w:r w:rsidR="009601AD">
        <w:rPr>
          <w:rFonts w:hint="cs"/>
          <w:b/>
          <w:bCs/>
          <w:u w:val="single"/>
          <w:rtl/>
        </w:rPr>
        <w:t xml:space="preserve"> (</w:t>
      </w:r>
      <w:r w:rsidR="009601AD">
        <w:rPr>
          <w:rFonts w:hint="cs"/>
          <w:rtl/>
        </w:rPr>
        <w:t>סיכום חומרי קריאה)</w:t>
      </w:r>
      <w:r>
        <w:rPr>
          <w:rFonts w:hint="cs"/>
          <w:b/>
          <w:bCs/>
          <w:rtl/>
        </w:rPr>
        <w:t>:</w:t>
      </w:r>
    </w:p>
    <w:p w14:paraId="3CE2B285" w14:textId="17415DFC" w:rsidR="006623FC"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rPr>
          <w:rtl/>
        </w:rPr>
      </w:pPr>
      <w:r w:rsidRPr="000C0645">
        <w:rPr>
          <w:b/>
          <w:bCs/>
          <w:rtl/>
        </w:rPr>
        <w:t>סעיף 47- גירושין שלא על פי הסכם</w:t>
      </w:r>
      <w:r>
        <w:rPr>
          <w:rtl/>
        </w:rPr>
        <w:t>:</w:t>
      </w:r>
      <w:r>
        <w:rPr>
          <w:rFonts w:hint="cs"/>
          <w:rtl/>
        </w:rPr>
        <w:t xml:space="preserve"> </w:t>
      </w:r>
      <w:r>
        <w:rPr>
          <w:rtl/>
        </w:rPr>
        <w:t>במקרה שאין הסכם בין הבעל והאישה לשם גירושין, מגיש הצד המעוניין תביעת גירושין נגד הצד השני לבית הדין, בה הוא מבקש פסק דין לחיוב הצד הנתבע לקבל או לתת את הגט. תפקידו של בית הדין לבדוק לפי הטענות וההוכחות של הצדדים, אם קיימים נימוקים לפי הדין כדי לחייב לגירושין או לא. צורה זו של פסק הדין דרושה משום שהגירושין לא נעשים על ידי בית הדין אלא על ידי הצדדים.</w:t>
      </w:r>
    </w:p>
    <w:p w14:paraId="5FE7747A" w14:textId="77777777" w:rsidR="006623FC" w:rsidRPr="000C0645"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rPr>
          <w:b/>
          <w:bCs/>
          <w:rtl/>
        </w:rPr>
      </w:pPr>
      <w:r w:rsidRPr="000C0645">
        <w:rPr>
          <w:b/>
          <w:bCs/>
          <w:rtl/>
        </w:rPr>
        <w:t>סעיף 48- זכות האישה לגירושין:</w:t>
      </w:r>
    </w:p>
    <w:p w14:paraId="4D6C5632" w14:textId="77777777" w:rsidR="006623FC" w:rsidRPr="000C0645"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rPr>
          <w:u w:val="single"/>
          <w:rtl/>
        </w:rPr>
      </w:pPr>
      <w:r w:rsidRPr="000C0645">
        <w:rPr>
          <w:u w:val="single"/>
          <w:rtl/>
        </w:rPr>
        <w:t>נימוקים אובייקטיבים-</w:t>
      </w:r>
    </w:p>
    <w:p w14:paraId="503388E4" w14:textId="77777777" w:rsidR="006623FC" w:rsidRDefault="006623FC" w:rsidP="006623FC">
      <w:pPr>
        <w:pStyle w:val="23"/>
        <w:numPr>
          <w:ilvl w:val="3"/>
          <w:numId w:val="26"/>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מומים – כמו צרעת. אם זה מומים שהיו קיימים לפני צריכה להוכיח שלא ידעה על קיומם לפני.</w:t>
      </w:r>
    </w:p>
    <w:p w14:paraId="64176CAA" w14:textId="77777777" w:rsidR="006623FC" w:rsidRDefault="006623FC" w:rsidP="006623FC">
      <w:pPr>
        <w:pStyle w:val="23"/>
        <w:numPr>
          <w:ilvl w:val="3"/>
          <w:numId w:val="26"/>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טענת האישה הגבר אינו מסוגל להוליד- צריכה להוכיח שזו הסיבה שבגינה היא רוצה להתגרש ואל מדובר רק בצירוץ לקבלת גט. אם יש לה ילדים מנישואיו קודמים אין מקום לעילה זו.</w:t>
      </w:r>
    </w:p>
    <w:p w14:paraId="71B0ADCA" w14:textId="77777777" w:rsidR="006623FC" w:rsidRDefault="006623FC" w:rsidP="006623FC">
      <w:pPr>
        <w:pStyle w:val="23"/>
        <w:numPr>
          <w:ilvl w:val="3"/>
          <w:numId w:val="26"/>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טענת האישה כי הבעל אינו מסוגל לקיים מצוות עונה;</w:t>
      </w:r>
    </w:p>
    <w:p w14:paraId="22081E23" w14:textId="77777777" w:rsidR="006623FC" w:rsidRPr="000C0645"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rPr>
          <w:u w:val="single"/>
          <w:rtl/>
        </w:rPr>
      </w:pPr>
      <w:r w:rsidRPr="000C0645">
        <w:rPr>
          <w:u w:val="single"/>
          <w:rtl/>
        </w:rPr>
        <w:t>נימוקים הכרוכים בהתנהגות הבעל-</w:t>
      </w:r>
    </w:p>
    <w:p w14:paraId="2C78F304" w14:textId="77777777" w:rsidR="006623FC" w:rsidRDefault="006623FC" w:rsidP="006623FC">
      <w:pPr>
        <w:pStyle w:val="23"/>
        <w:numPr>
          <w:ilvl w:val="3"/>
          <w:numId w:val="27"/>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הבעל מסרב לקיים חובת העונה;</w:t>
      </w:r>
    </w:p>
    <w:p w14:paraId="370FB32D" w14:textId="77777777" w:rsidR="006623FC" w:rsidRDefault="006623FC" w:rsidP="006623FC">
      <w:pPr>
        <w:pStyle w:val="23"/>
        <w:numPr>
          <w:ilvl w:val="3"/>
          <w:numId w:val="27"/>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הבעל מסרב לתת לה מזונות;</w:t>
      </w:r>
    </w:p>
    <w:p w14:paraId="70598D34" w14:textId="27C38899" w:rsidR="006623FC" w:rsidRDefault="006623FC" w:rsidP="006623FC">
      <w:pPr>
        <w:pStyle w:val="23"/>
        <w:numPr>
          <w:ilvl w:val="3"/>
          <w:numId w:val="27"/>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pPr>
      <w:r>
        <w:rPr>
          <w:rtl/>
        </w:rPr>
        <w:t>הבעל מתנהג עימה שלא כדין – לא די בהתנהגות חד פעמית וצריך להוכיח שזו התנהגות חוזרת ונשנת. תחת עילה זו נכסים גם מקרים בהם הבל נוהג להכות, להעליב או לקלל את האישה. גם מקרים בהם מכשיל אותה במזיד לעבור על דת משה (במקרה של עובר על דת משה מספיק חד פעמי).</w:t>
      </w:r>
    </w:p>
    <w:p w14:paraId="135C174C" w14:textId="00748138" w:rsidR="007D11E0" w:rsidRDefault="007D11E0" w:rsidP="006623FC">
      <w:pPr>
        <w:pStyle w:val="23"/>
        <w:numPr>
          <w:ilvl w:val="3"/>
          <w:numId w:val="27"/>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Fonts w:hint="cs"/>
          <w:rtl/>
        </w:rPr>
        <w:t xml:space="preserve">בגידת הבעל </w:t>
      </w:r>
      <w:r>
        <w:rPr>
          <w:rtl/>
        </w:rPr>
        <w:t>–</w:t>
      </w:r>
      <w:r>
        <w:rPr>
          <w:rFonts w:hint="cs"/>
          <w:rtl/>
        </w:rPr>
        <w:t xml:space="preserve"> עילת רו</w:t>
      </w:r>
      <w:r w:rsidR="00A51FB0">
        <w:rPr>
          <w:rFonts w:hint="cs"/>
          <w:rtl/>
        </w:rPr>
        <w:t>ע</w:t>
      </w:r>
      <w:r>
        <w:rPr>
          <w:rFonts w:hint="cs"/>
          <w:rtl/>
        </w:rPr>
        <w:t>ה זונות.</w:t>
      </w:r>
    </w:p>
    <w:p w14:paraId="368AE526" w14:textId="77777777" w:rsidR="006623FC" w:rsidRPr="000C0645"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rPr>
          <w:b/>
          <w:bCs/>
          <w:rtl/>
        </w:rPr>
      </w:pPr>
      <w:r w:rsidRPr="000C0645">
        <w:rPr>
          <w:b/>
          <w:bCs/>
          <w:rtl/>
        </w:rPr>
        <w:t>סעיף 49- זכות הבעל לגירושין:</w:t>
      </w:r>
    </w:p>
    <w:p w14:paraId="0985B3F5" w14:textId="77777777" w:rsidR="006623FC"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rPr>
          <w:rtl/>
        </w:rPr>
      </w:pPr>
      <w:r w:rsidRPr="000C0645">
        <w:rPr>
          <w:u w:val="single"/>
          <w:rtl/>
        </w:rPr>
        <w:t>נימוקים אובייקטיבים-</w:t>
      </w:r>
    </w:p>
    <w:p w14:paraId="6955669D" w14:textId="77777777" w:rsidR="006623FC"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rPr>
          <w:rtl/>
        </w:rPr>
      </w:pPr>
      <w:r w:rsidRPr="00E00570">
        <w:rPr>
          <w:rFonts w:hint="cs"/>
          <w:rtl/>
        </w:rPr>
        <w:t>(1</w:t>
      </w:r>
      <w:r>
        <w:rPr>
          <w:rtl/>
        </w:rPr>
        <w:t>) טענת מומים;</w:t>
      </w:r>
    </w:p>
    <w:p w14:paraId="0C4E801C" w14:textId="77777777" w:rsidR="006623FC" w:rsidRDefault="006623FC" w:rsidP="006623FC">
      <w:pPr>
        <w:pStyle w:val="23"/>
        <w:numPr>
          <w:ilvl w:val="3"/>
          <w:numId w:val="29"/>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שהה עימה עשר שנים ולא ילדה;</w:t>
      </w:r>
    </w:p>
    <w:p w14:paraId="3A957B4D" w14:textId="27B319C4" w:rsidR="006623FC" w:rsidRDefault="006623FC" w:rsidP="006623FC">
      <w:pPr>
        <w:pStyle w:val="23"/>
        <w:numPr>
          <w:ilvl w:val="3"/>
          <w:numId w:val="29"/>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זכויות האישה לכתובה במקרי מומים.</w:t>
      </w:r>
      <w:r w:rsidR="00F572F5">
        <w:rPr>
          <w:rFonts w:hint="cs"/>
          <w:rtl/>
        </w:rPr>
        <w:t xml:space="preserve"> לא תמיד האישה תקבל כתובה במקרה של מומים.</w:t>
      </w:r>
    </w:p>
    <w:p w14:paraId="13A81D9B" w14:textId="77777777" w:rsidR="006623FC" w:rsidRPr="000C0645"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rPr>
          <w:u w:val="single"/>
          <w:rtl/>
        </w:rPr>
      </w:pPr>
      <w:r w:rsidRPr="000C0645">
        <w:rPr>
          <w:u w:val="single"/>
          <w:rtl/>
        </w:rPr>
        <w:t>חיוב האישה לגירושין מטעמים שבהתנהגותה-</w:t>
      </w:r>
    </w:p>
    <w:p w14:paraId="3384749D" w14:textId="77777777" w:rsidR="006623FC" w:rsidRDefault="006623FC" w:rsidP="006623FC">
      <w:pPr>
        <w:pStyle w:val="23"/>
        <w:numPr>
          <w:ilvl w:val="3"/>
          <w:numId w:val="28"/>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עוברת על דת משה – גורמת לבעלה לעבור על מצוות הדת.</w:t>
      </w:r>
    </w:p>
    <w:p w14:paraId="7B7A7270" w14:textId="77777777" w:rsidR="006623FC" w:rsidRDefault="006623FC" w:rsidP="006623FC">
      <w:pPr>
        <w:pStyle w:val="23"/>
        <w:numPr>
          <w:ilvl w:val="3"/>
          <w:numId w:val="28"/>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עוברת על דת יהודית – עוברת על מנהגי הצניעות או מתנהגת בפריצות.</w:t>
      </w:r>
    </w:p>
    <w:p w14:paraId="238536DD" w14:textId="77777777" w:rsidR="006623FC" w:rsidRDefault="006623FC" w:rsidP="006623FC">
      <w:pPr>
        <w:pStyle w:val="23"/>
        <w:pBdr>
          <w:top w:val="single" w:sz="4" w:space="1" w:color="auto"/>
          <w:left w:val="single" w:sz="4" w:space="4" w:color="auto"/>
          <w:bottom w:val="single" w:sz="4" w:space="1" w:color="auto"/>
          <w:right w:val="single" w:sz="4" w:space="4" w:color="auto"/>
        </w:pBdr>
        <w:shd w:val="clear" w:color="auto" w:fill="FFFFFF" w:themeFill="background1"/>
        <w:spacing w:line="360" w:lineRule="auto"/>
        <w:ind w:firstLine="283"/>
        <w:rPr>
          <w:rtl/>
        </w:rPr>
      </w:pPr>
      <w:r>
        <w:rPr>
          <w:rFonts w:hint="cs"/>
          <w:rtl/>
        </w:rPr>
        <w:t>**</w:t>
      </w:r>
      <w:r>
        <w:rPr>
          <w:rtl/>
        </w:rPr>
        <w:t xml:space="preserve">אין זכות לגירושין אם סלח לה </w:t>
      </w:r>
      <w:r>
        <w:rPr>
          <w:rFonts w:hint="cs"/>
          <w:rtl/>
        </w:rPr>
        <w:t>-</w:t>
      </w:r>
      <w:r>
        <w:rPr>
          <w:rFonts w:hint="cs"/>
        </w:rPr>
        <w:t xml:space="preserve"> </w:t>
      </w:r>
      <w:r>
        <w:rPr>
          <w:rtl/>
        </w:rPr>
        <w:t>גם בעוברת על דת יהודית וגם בעוברת על דת משה</w:t>
      </w:r>
      <w:r>
        <w:rPr>
          <w:rFonts w:hint="cs"/>
          <w:rtl/>
        </w:rPr>
        <w:t>.</w:t>
      </w:r>
    </w:p>
    <w:p w14:paraId="48967FA5" w14:textId="77777777" w:rsidR="006623FC" w:rsidRDefault="006623FC" w:rsidP="006623FC">
      <w:pPr>
        <w:pStyle w:val="23"/>
        <w:numPr>
          <w:ilvl w:val="3"/>
          <w:numId w:val="28"/>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rPr>
          <w:rtl/>
        </w:rPr>
      </w:pPr>
      <w:r>
        <w:rPr>
          <w:rtl/>
        </w:rPr>
        <w:t>מעשי כיעור- מעשים המצדיקים חשד שזנתה.</w:t>
      </w:r>
    </w:p>
    <w:p w14:paraId="50ABC218" w14:textId="77777777" w:rsidR="006623FC" w:rsidRPr="003E640B" w:rsidRDefault="006623FC" w:rsidP="006623FC">
      <w:pPr>
        <w:pStyle w:val="23"/>
        <w:numPr>
          <w:ilvl w:val="3"/>
          <w:numId w:val="28"/>
        </w:numPr>
        <w:pBdr>
          <w:top w:val="single" w:sz="4" w:space="1" w:color="auto"/>
          <w:left w:val="single" w:sz="4" w:space="4" w:color="auto"/>
          <w:bottom w:val="single" w:sz="4" w:space="1" w:color="auto"/>
          <w:right w:val="single" w:sz="4" w:space="4" w:color="auto"/>
        </w:pBdr>
        <w:shd w:val="clear" w:color="auto" w:fill="FFFFFF" w:themeFill="background1"/>
        <w:spacing w:line="360" w:lineRule="auto"/>
        <w:ind w:left="283"/>
      </w:pPr>
      <w:r>
        <w:rPr>
          <w:rtl/>
        </w:rPr>
        <w:t>אישה שזנתה תחת בעלה.</w:t>
      </w:r>
    </w:p>
    <w:p w14:paraId="1D7CD4CB" w14:textId="73D7DA97" w:rsidR="001E7750" w:rsidRPr="006623FC" w:rsidRDefault="006623FC" w:rsidP="00427228">
      <w:pPr>
        <w:pStyle w:val="ac"/>
        <w:numPr>
          <w:ilvl w:val="1"/>
          <w:numId w:val="25"/>
        </w:numPr>
        <w:bidi/>
        <w:spacing w:after="0"/>
        <w:rPr>
          <w:rFonts w:ascii="David" w:hAnsi="David"/>
          <w:b/>
          <w:bCs/>
        </w:rPr>
      </w:pPr>
      <w:r w:rsidRPr="006623FC">
        <w:rPr>
          <w:rFonts w:ascii="David" w:hAnsi="David" w:hint="cs"/>
          <w:b/>
          <w:bCs/>
          <w:rtl/>
        </w:rPr>
        <w:t>קיימות מספר בעיות בעילות הגירושין:</w:t>
      </w:r>
    </w:p>
    <w:p w14:paraId="34CCC99D" w14:textId="72E74C70" w:rsidR="006623FC" w:rsidRPr="00DE4099" w:rsidRDefault="006623FC" w:rsidP="00DE4099">
      <w:pPr>
        <w:pStyle w:val="ac"/>
        <w:numPr>
          <w:ilvl w:val="2"/>
          <w:numId w:val="25"/>
        </w:numPr>
        <w:bidi/>
        <w:rPr>
          <w:rFonts w:ascii="David" w:hAnsi="David"/>
        </w:rPr>
      </w:pPr>
      <w:r w:rsidRPr="00DE4099">
        <w:rPr>
          <w:rFonts w:ascii="David" w:hAnsi="David" w:hint="cs"/>
          <w:u w:val="single"/>
          <w:rtl/>
        </w:rPr>
        <w:t>בעיית ההוכחה</w:t>
      </w:r>
      <w:r w:rsidR="00DE4099" w:rsidRPr="00DE4099">
        <w:rPr>
          <w:rFonts w:ascii="David" w:hAnsi="David" w:hint="cs"/>
          <w:u w:val="single"/>
          <w:rtl/>
        </w:rPr>
        <w:t xml:space="preserve"> והתראה</w:t>
      </w:r>
      <w:r w:rsidR="00DE4099">
        <w:rPr>
          <w:rFonts w:ascii="David" w:hAnsi="David" w:hint="cs"/>
          <w:rtl/>
        </w:rPr>
        <w:t>:</w:t>
      </w:r>
      <w:r>
        <w:rPr>
          <w:rFonts w:ascii="David" w:hAnsi="David" w:hint="cs"/>
          <w:rtl/>
        </w:rPr>
        <w:t xml:space="preserve"> יש עילות, בעיקר עילות של התנגדות כמו </w:t>
      </w:r>
      <w:r w:rsidR="00DE4099">
        <w:rPr>
          <w:rFonts w:ascii="David" w:hAnsi="David" w:hint="cs"/>
          <w:rtl/>
        </w:rPr>
        <w:t>בגידה</w:t>
      </w:r>
      <w:r>
        <w:rPr>
          <w:rFonts w:ascii="David" w:hAnsi="David" w:hint="cs"/>
          <w:rtl/>
        </w:rPr>
        <w:t xml:space="preserve"> ואלימות שצריך להוכיח אותן. הבעיה היא שמאוד קשה להוכיח אותן.</w:t>
      </w:r>
      <w:r w:rsidR="00DE4099">
        <w:rPr>
          <w:rFonts w:ascii="David" w:hAnsi="David" w:hint="cs"/>
          <w:rtl/>
        </w:rPr>
        <w:t xml:space="preserve"> מדובר בדר"כ בהוכחות שמאוד קשה להביא. יתרה מזאת, </w:t>
      </w:r>
      <w:r w:rsidRPr="00DE4099">
        <w:rPr>
          <w:rFonts w:ascii="David" w:hAnsi="David" w:hint="cs"/>
          <w:rtl/>
        </w:rPr>
        <w:t xml:space="preserve">חלק מהעילות זקוקות להתראה </w:t>
      </w:r>
      <w:r w:rsidR="00DE4099" w:rsidRPr="00DE4099">
        <w:rPr>
          <w:rFonts w:ascii="David" w:hAnsi="David" w:hint="cs"/>
          <w:rtl/>
        </w:rPr>
        <w:t>מראש מלבד הוכחה.</w:t>
      </w:r>
    </w:p>
    <w:p w14:paraId="59E37DAB" w14:textId="12DD8284" w:rsidR="00DE4099" w:rsidRDefault="007D11E0" w:rsidP="00DE4099">
      <w:pPr>
        <w:pStyle w:val="ac"/>
        <w:numPr>
          <w:ilvl w:val="2"/>
          <w:numId w:val="25"/>
        </w:numPr>
        <w:bidi/>
        <w:rPr>
          <w:rFonts w:ascii="David" w:hAnsi="David"/>
        </w:rPr>
      </w:pPr>
      <w:r>
        <w:rPr>
          <w:rFonts w:ascii="David" w:hAnsi="David" w:hint="cs"/>
          <w:u w:val="single"/>
          <w:rtl/>
        </w:rPr>
        <w:t>רשימת העילות מאוד מצומצמת:</w:t>
      </w:r>
      <w:r w:rsidRPr="007D11E0">
        <w:rPr>
          <w:rFonts w:ascii="David" w:hAnsi="David" w:hint="cs"/>
          <w:rtl/>
        </w:rPr>
        <w:t xml:space="preserve"> </w:t>
      </w:r>
      <w:r w:rsidR="00DE4099" w:rsidRPr="007D11E0">
        <w:rPr>
          <w:rFonts w:ascii="David" w:hAnsi="David" w:hint="cs"/>
          <w:rtl/>
        </w:rPr>
        <w:t xml:space="preserve">העילות האלה לא מחסות את כול המצבים בהם היינו רוצים לאפשר לבני זוג להתגרש </w:t>
      </w:r>
      <w:r w:rsidR="00DE4099">
        <w:rPr>
          <w:rFonts w:ascii="David" w:hAnsi="David" w:hint="cs"/>
          <w:rtl/>
        </w:rPr>
        <w:t xml:space="preserve">(בייחוד היום) </w:t>
      </w:r>
      <w:r w:rsidR="00DE4099">
        <w:rPr>
          <w:rFonts w:ascii="David" w:hAnsi="David"/>
          <w:rtl/>
        </w:rPr>
        <w:t>–</w:t>
      </w:r>
      <w:r w:rsidR="00DE4099">
        <w:rPr>
          <w:rFonts w:ascii="David" w:hAnsi="David" w:hint="cs"/>
          <w:rtl/>
        </w:rPr>
        <w:t xml:space="preserve"> לדוג' אם בן זוג אחד עוזה את האחר. האם עצם העזיבה או עצם כך שלא חיים יחד מספיק כדי להתגרש?</w:t>
      </w:r>
      <w:r>
        <w:rPr>
          <w:rFonts w:ascii="David" w:hAnsi="David" w:hint="cs"/>
          <w:rtl/>
        </w:rPr>
        <w:t xml:space="preserve"> </w:t>
      </w:r>
      <w:r>
        <w:rPr>
          <w:rFonts w:ascii="David" w:hAnsi="David" w:hint="cs"/>
          <w:rtl/>
        </w:rPr>
        <w:lastRenderedPageBreak/>
        <w:t>כמו כן, התנהגויות שבעבר היו בסדר והיום לא היו מתקבלים על הדעת. לגו' בגידה על ידי ההגבר (עילת רו</w:t>
      </w:r>
      <w:r w:rsidR="00213F0E">
        <w:rPr>
          <w:rFonts w:ascii="David" w:hAnsi="David" w:hint="cs"/>
          <w:rtl/>
        </w:rPr>
        <w:t>עה</w:t>
      </w:r>
      <w:r>
        <w:rPr>
          <w:rFonts w:ascii="David" w:hAnsi="David" w:hint="cs"/>
          <w:rtl/>
        </w:rPr>
        <w:t xml:space="preserve"> זונות </w:t>
      </w:r>
      <w:r>
        <w:rPr>
          <w:rFonts w:ascii="David" w:hAnsi="David"/>
          <w:rtl/>
        </w:rPr>
        <w:t>–</w:t>
      </w:r>
      <w:r>
        <w:rPr>
          <w:rFonts w:ascii="David" w:hAnsi="David" w:hint="cs"/>
          <w:rtl/>
        </w:rPr>
        <w:t xml:space="preserve"> הנימוק לעילה זו הוא העובדה שהוא מבזבז כסף על נשים אחרות).</w:t>
      </w:r>
    </w:p>
    <w:p w14:paraId="205AE81B" w14:textId="1DDA5CBE" w:rsidR="00F572F5" w:rsidRDefault="00F572F5" w:rsidP="00F572F5">
      <w:pPr>
        <w:pStyle w:val="ac"/>
        <w:bidi/>
        <w:ind w:left="369"/>
        <w:rPr>
          <w:rFonts w:ascii="David" w:hAnsi="David"/>
          <w:rtl/>
        </w:rPr>
      </w:pPr>
      <w:r>
        <w:rPr>
          <w:rFonts w:ascii="David" w:hAnsi="David" w:hint="cs"/>
          <w:rtl/>
        </w:rPr>
        <w:t>כיוון שבתי הדין הרבניים הם בתי דין מדינתיים הם נחשפים להמון עילות גירושין שאינן הלכתיות שכן כול האזרחים מגיעים אליהם. בשל כך, בית הדין מבין שעליו להרחיב את עילות הגירושין הקיימות. מציאות זו יוצרת מצב בו חלק מההרכבים יחייבו בני זוג להתגרש בגין עילות מסוימות וחלק מההרכבים לא יחייב ואולי רק ימליץ.</w:t>
      </w:r>
    </w:p>
    <w:p w14:paraId="58CCA1B8" w14:textId="423E6D2E" w:rsidR="00F572F5" w:rsidRPr="00AA2773" w:rsidRDefault="00F572F5" w:rsidP="00AA2773">
      <w:pPr>
        <w:pStyle w:val="ac"/>
        <w:numPr>
          <w:ilvl w:val="0"/>
          <w:numId w:val="25"/>
        </w:numPr>
        <w:shd w:val="clear" w:color="auto" w:fill="FFF4CD" w:themeFill="accent1" w:themeFillTint="33"/>
        <w:bidi/>
        <w:rPr>
          <w:rFonts w:ascii="David" w:hAnsi="David"/>
          <w:b/>
          <w:bCs/>
        </w:rPr>
      </w:pPr>
      <w:r w:rsidRPr="00AA2773">
        <w:rPr>
          <w:rFonts w:ascii="David" w:hAnsi="David" w:hint="cs"/>
          <w:b/>
          <w:bCs/>
          <w:rtl/>
        </w:rPr>
        <w:t>עילות גירושין חדשות:</w:t>
      </w:r>
    </w:p>
    <w:p w14:paraId="1CB4AEB8" w14:textId="77777777" w:rsidR="00D97843" w:rsidRPr="00D97843" w:rsidRDefault="00F572F5" w:rsidP="00D97843">
      <w:pPr>
        <w:rPr>
          <w:rFonts w:ascii="David" w:hAnsi="David"/>
        </w:rPr>
      </w:pPr>
      <w:r w:rsidRPr="00D97843">
        <w:rPr>
          <w:rFonts w:ascii="David" w:hAnsi="David" w:hint="cs"/>
          <w:b/>
          <w:bCs/>
          <w:shd w:val="clear" w:color="auto" w:fill="FFF4CD" w:themeFill="accent1" w:themeFillTint="33"/>
          <w:rtl/>
        </w:rPr>
        <w:t>עילות מות הנישואין</w:t>
      </w:r>
      <w:r w:rsidR="00AA2773" w:rsidRPr="00D97843">
        <w:rPr>
          <w:rFonts w:ascii="David" w:hAnsi="David" w:hint="cs"/>
          <w:b/>
          <w:bCs/>
          <w:shd w:val="clear" w:color="auto" w:fill="FFF4CD" w:themeFill="accent1" w:themeFillTint="33"/>
          <w:rtl/>
        </w:rPr>
        <w:t xml:space="preserve"> (רבנו ירוחם):</w:t>
      </w:r>
      <w:r w:rsidR="00AA2773" w:rsidRPr="00D97843">
        <w:rPr>
          <w:rFonts w:ascii="David" w:hAnsi="David" w:hint="cs"/>
          <w:rtl/>
        </w:rPr>
        <w:t xml:space="preserve"> העילה הנפוצה יותר בעולם לגירושין במערכות משפט שדורשות עילה, היא עילת מות הנישואין/ קרע בלתי ניתן לאיחוי. למות הנישואין יכולות להיות גם הוכחות אובייקטיביות </w:t>
      </w:r>
      <w:r w:rsidR="00AA2773" w:rsidRPr="00D97843">
        <w:rPr>
          <w:rFonts w:ascii="David" w:hAnsi="David"/>
          <w:rtl/>
        </w:rPr>
        <w:t>–</w:t>
      </w:r>
      <w:r w:rsidR="00AA2773" w:rsidRPr="00D97843">
        <w:rPr>
          <w:rFonts w:ascii="David" w:hAnsi="David" w:hint="cs"/>
          <w:rtl/>
        </w:rPr>
        <w:t xml:space="preserve"> מגורים בנפרד, בני זוג חדשים וכו'. </w:t>
      </w:r>
    </w:p>
    <w:p w14:paraId="4913C8F6" w14:textId="77777777" w:rsidR="00D97843" w:rsidRDefault="00AA2773" w:rsidP="00D97843">
      <w:pPr>
        <w:pStyle w:val="ac"/>
        <w:numPr>
          <w:ilvl w:val="1"/>
          <w:numId w:val="25"/>
        </w:numPr>
        <w:bidi/>
        <w:rPr>
          <w:rFonts w:ascii="David" w:hAnsi="David"/>
        </w:rPr>
      </w:pPr>
      <w:r w:rsidRPr="00D97843">
        <w:rPr>
          <w:rFonts w:ascii="David" w:hAnsi="David" w:hint="cs"/>
          <w:u w:val="single"/>
          <w:rtl/>
        </w:rPr>
        <w:t>במדינת ישראל עילה זו בעייתית במיוחד</w:t>
      </w:r>
      <w:r w:rsidRPr="00D97843">
        <w:rPr>
          <w:rFonts w:ascii="David" w:hAnsi="David" w:hint="cs"/>
          <w:rtl/>
        </w:rPr>
        <w:t xml:space="preserve"> </w:t>
      </w:r>
      <w:r w:rsidRPr="00D97843">
        <w:rPr>
          <w:rFonts w:ascii="David" w:hAnsi="David"/>
          <w:rtl/>
        </w:rPr>
        <w:t>–</w:t>
      </w:r>
      <w:r w:rsidRPr="00D97843">
        <w:rPr>
          <w:rFonts w:ascii="David" w:hAnsi="David" w:hint="cs"/>
          <w:rtl/>
        </w:rPr>
        <w:t xml:space="preserve"> </w:t>
      </w:r>
      <w:r w:rsidR="00431EE8" w:rsidRPr="00D97843">
        <w:rPr>
          <w:rFonts w:ascii="David" w:hAnsi="David" w:hint="cs"/>
          <w:rtl/>
        </w:rPr>
        <w:t xml:space="preserve">בארץ </w:t>
      </w:r>
      <w:r w:rsidRPr="00D97843">
        <w:rPr>
          <w:rFonts w:ascii="David" w:hAnsi="David" w:hint="cs"/>
          <w:rtl/>
        </w:rPr>
        <w:t>בני זוג בארץ צריכים שיתוף פעולה אחד של השני</w:t>
      </w:r>
      <w:r w:rsidR="00431EE8" w:rsidRPr="00D97843">
        <w:rPr>
          <w:rFonts w:ascii="David" w:hAnsi="David" w:hint="cs"/>
          <w:rtl/>
        </w:rPr>
        <w:t>, לכן</w:t>
      </w:r>
      <w:r w:rsidRPr="00D97843">
        <w:rPr>
          <w:rFonts w:ascii="David" w:hAnsi="David" w:hint="cs"/>
          <w:rtl/>
        </w:rPr>
        <w:t xml:space="preserve"> יש נטייה לסח</w:t>
      </w:r>
      <w:r w:rsidR="003F5249" w:rsidRPr="00D97843">
        <w:rPr>
          <w:rFonts w:ascii="David" w:hAnsi="David" w:hint="cs"/>
          <w:rtl/>
        </w:rPr>
        <w:t>טנות</w:t>
      </w:r>
      <w:r w:rsidRPr="00D97843">
        <w:rPr>
          <w:rFonts w:ascii="David" w:hAnsi="David" w:hint="cs"/>
          <w:rtl/>
        </w:rPr>
        <w:t>,</w:t>
      </w:r>
      <w:r w:rsidR="003F5249" w:rsidRPr="00D97843">
        <w:rPr>
          <w:rFonts w:ascii="David" w:hAnsi="David" w:hint="cs"/>
          <w:rtl/>
        </w:rPr>
        <w:t xml:space="preserve"> זאת</w:t>
      </w:r>
      <w:r w:rsidRPr="00D97843">
        <w:rPr>
          <w:rFonts w:ascii="David" w:hAnsi="David" w:hint="cs"/>
          <w:rtl/>
        </w:rPr>
        <w:t xml:space="preserve"> בניגוד למדינות אחרות בהם בית המשפט מחליט האם מדובר </w:t>
      </w:r>
      <w:r w:rsidR="003F5249" w:rsidRPr="00D97843">
        <w:rPr>
          <w:rFonts w:ascii="David" w:hAnsi="David" w:hint="cs"/>
          <w:rtl/>
        </w:rPr>
        <w:t>במות הנישואין או לא. הצד שמעוניין לסחוט ינסה לשכנע את בית הדין שלא מתקיימת עילת מות הנישואין ושהוא מעוניין בשלום בית. כדי לעשות שימוש בעילה זו ושלא תהיה סחטנות יש צורך בסיוע של בתי הדין ובהפעלת חיובי גט, אך לצורך כל צריך בסיס הלכתי.</w:t>
      </w:r>
    </w:p>
    <w:p w14:paraId="5EBE570B" w14:textId="2DDE6D4C" w:rsidR="003F5249" w:rsidRPr="00D97843" w:rsidRDefault="003F5249" w:rsidP="00D97843">
      <w:pPr>
        <w:pStyle w:val="ac"/>
        <w:numPr>
          <w:ilvl w:val="1"/>
          <w:numId w:val="25"/>
        </w:numPr>
        <w:bidi/>
        <w:rPr>
          <w:rFonts w:ascii="David" w:hAnsi="David"/>
        </w:rPr>
      </w:pPr>
      <w:r w:rsidRPr="00D97843">
        <w:rPr>
          <w:rFonts w:ascii="David" w:hAnsi="David" w:hint="cs"/>
          <w:u w:val="single"/>
          <w:rtl/>
        </w:rPr>
        <w:t>גיור העילה</w:t>
      </w:r>
      <w:r w:rsidRPr="00D97843">
        <w:rPr>
          <w:rFonts w:ascii="David" w:hAnsi="David" w:hint="cs"/>
          <w:rtl/>
        </w:rPr>
        <w:t xml:space="preserve"> - כדי לגייר את העילה הנפוצה הזו, יש צורך למצוא לה בסיס הלכתי שיאפשר הפעלת חיובים בגט בגין מציאות של מות נישואין. המקור העיקרי לעילת מות הנישואין הוא </w:t>
      </w:r>
      <w:r w:rsidRPr="00D97843">
        <w:rPr>
          <w:rFonts w:ascii="David" w:hAnsi="David" w:hint="cs"/>
          <w:b/>
          <w:bCs/>
          <w:rtl/>
        </w:rPr>
        <w:t>רבנו ירוחם:</w:t>
      </w:r>
    </w:p>
    <w:p w14:paraId="2BFEEA02" w14:textId="537C4C06" w:rsidR="00B85452" w:rsidRPr="00B85452" w:rsidRDefault="00431EE8" w:rsidP="00B85452">
      <w:pPr>
        <w:pStyle w:val="ac"/>
        <w:numPr>
          <w:ilvl w:val="2"/>
          <w:numId w:val="25"/>
        </w:numPr>
        <w:bidi/>
        <w:rPr>
          <w:rFonts w:ascii="David" w:hAnsi="David"/>
        </w:rPr>
      </w:pPr>
      <w:r w:rsidRPr="00B85452">
        <w:rPr>
          <w:rFonts w:ascii="David" w:hAnsi="David" w:hint="cs"/>
          <w:highlight w:val="cyan"/>
          <w:rtl/>
        </w:rPr>
        <w:t>ערעור (גדול) 861543/6</w:t>
      </w:r>
      <w:r w:rsidRPr="00B85452">
        <w:rPr>
          <w:rFonts w:ascii="David" w:hAnsi="David" w:hint="cs"/>
          <w:rtl/>
        </w:rPr>
        <w:t>: בי"ד אומר כי לא ניתנה עילת גירושין (הכוונה לעילה קלאסית), אולם סיבת הגירושין היא המציאות שבה הצדדים אינם רוצים זב"ז ויסודו של חיוב זה מבואר בדברי רבנו ירוחם.</w:t>
      </w:r>
      <w:r w:rsidR="00B85452" w:rsidRPr="00B85452">
        <w:rPr>
          <w:rFonts w:ascii="David" w:hAnsi="David" w:hint="cs"/>
          <w:rtl/>
        </w:rPr>
        <w:t xml:space="preserve"> בית הדין מוסיף עיקרון מאוד חשוב: לעניין</w:t>
      </w:r>
      <w:r w:rsidR="00B85452">
        <w:rPr>
          <w:rFonts w:ascii="David" w:hAnsi="David" w:hint="cs"/>
          <w:rtl/>
        </w:rPr>
        <w:t xml:space="preserve"> מות הנישואין,</w:t>
      </w:r>
      <w:r w:rsidR="00B85452" w:rsidRPr="00B85452">
        <w:rPr>
          <w:rFonts w:ascii="David" w:hAnsi="David" w:hint="cs"/>
          <w:rtl/>
        </w:rPr>
        <w:t xml:space="preserve"> לא מעלה ולא מוריד איך הגיעו למצב זה, מפני ש</w:t>
      </w:r>
      <w:r w:rsidR="00B85452">
        <w:rPr>
          <w:rFonts w:ascii="David" w:hAnsi="David" w:hint="cs"/>
          <w:rtl/>
        </w:rPr>
        <w:t>כ</w:t>
      </w:r>
      <w:r w:rsidR="00B85452" w:rsidRPr="00B85452">
        <w:rPr>
          <w:rFonts w:ascii="David" w:hAnsi="David" w:hint="cs"/>
          <w:rtl/>
        </w:rPr>
        <w:t>עת בני הזוג אינם מעוניינים בנישואין.</w:t>
      </w:r>
      <w:r w:rsidR="00B85452">
        <w:rPr>
          <w:rFonts w:ascii="David" w:hAnsi="David" w:hint="cs"/>
          <w:rtl/>
        </w:rPr>
        <w:t xml:space="preserve"> עם זאת, יש הרכבים של בתי דין שלדעתם יש לבדוק מי גרם למות הנישואין ומי שגרם למות הנישואין לא יכול לעשות שימוש בעילה הזו (סיכוי נמוך יותר שיקרה היום).</w:t>
      </w:r>
    </w:p>
    <w:p w14:paraId="0B051DDA" w14:textId="2608745E" w:rsidR="00FD1A2A" w:rsidRDefault="00431EE8" w:rsidP="00FD1A2A">
      <w:pPr>
        <w:pStyle w:val="ac"/>
        <w:numPr>
          <w:ilvl w:val="2"/>
          <w:numId w:val="25"/>
        </w:numPr>
        <w:bidi/>
        <w:rPr>
          <w:rFonts w:ascii="David" w:hAnsi="David"/>
        </w:rPr>
      </w:pPr>
      <w:r w:rsidRPr="00431EE8">
        <w:rPr>
          <w:rFonts w:ascii="David" w:hAnsi="David" w:hint="cs"/>
          <w:highlight w:val="cyan"/>
          <w:rtl/>
        </w:rPr>
        <w:t>תיק (חיפה) 940783/13</w:t>
      </w:r>
      <w:r>
        <w:rPr>
          <w:rFonts w:ascii="David" w:hAnsi="David" w:hint="cs"/>
          <w:rtl/>
        </w:rPr>
        <w:t>:</w:t>
      </w:r>
      <w:r w:rsidR="00B85452">
        <w:rPr>
          <w:rFonts w:ascii="David" w:hAnsi="David" w:hint="cs"/>
          <w:rtl/>
        </w:rPr>
        <w:t xml:space="preserve"> הרב אושינסקי כותב בפס"ד כי שדין של רבינו ירוחם התגלה רק בתקופה האחרונה ובפסקי דין קדומים כלל לא מוזכרת עילה זו.</w:t>
      </w:r>
    </w:p>
    <w:p w14:paraId="308AAC04" w14:textId="6387212E" w:rsidR="00FD1A2A" w:rsidRPr="00FD1A2A" w:rsidRDefault="00FD1A2A" w:rsidP="00FD1A2A">
      <w:pPr>
        <w:pStyle w:val="ac"/>
        <w:numPr>
          <w:ilvl w:val="1"/>
          <w:numId w:val="25"/>
        </w:numPr>
        <w:bidi/>
        <w:rPr>
          <w:rFonts w:ascii="David" w:hAnsi="David"/>
        </w:rPr>
      </w:pPr>
      <w:r>
        <w:rPr>
          <w:rFonts w:ascii="David" w:hAnsi="David" w:hint="cs"/>
          <w:rtl/>
        </w:rPr>
        <w:t>בסוף המאה ה-20 המקור של רבנו ירוחם מתגלה, בתי הדין מתחילים לעשות בזה שימוש. אולם, זה לא עזר הרבה עד 1995 כיוון שגם אם היה חיוב בגין עילה זו לא היו צווי הגבלה.</w:t>
      </w:r>
    </w:p>
    <w:p w14:paraId="6825EFD0" w14:textId="7E6FEFA8" w:rsidR="00FD1A2A" w:rsidRDefault="00FD1A2A" w:rsidP="00FD1A2A">
      <w:pPr>
        <w:pStyle w:val="ac"/>
        <w:bidi/>
        <w:ind w:left="199"/>
        <w:rPr>
          <w:rFonts w:ascii="David" w:hAnsi="David"/>
        </w:rPr>
      </w:pPr>
      <w:r w:rsidRPr="00FD1A2A">
        <w:rPr>
          <w:rFonts w:ascii="David" w:hAnsi="David"/>
          <w:noProof/>
          <w:rtl/>
        </w:rPr>
        <w:drawing>
          <wp:inline distT="0" distB="0" distL="0" distR="0" wp14:anchorId="274A0315" wp14:editId="5D650AA1">
            <wp:extent cx="5258256" cy="1028789"/>
            <wp:effectExtent l="0" t="0" r="0" b="0"/>
            <wp:docPr id="8" name="תמונה 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טקסט&#10;&#10;התיאור נוצר באופן אוטומטי"/>
                    <pic:cNvPicPr/>
                  </pic:nvPicPr>
                  <pic:blipFill>
                    <a:blip r:embed="rId17"/>
                    <a:stretch>
                      <a:fillRect/>
                    </a:stretch>
                  </pic:blipFill>
                  <pic:spPr>
                    <a:xfrm>
                      <a:off x="0" y="0"/>
                      <a:ext cx="5258256" cy="1028789"/>
                    </a:xfrm>
                    <a:prstGeom prst="rect">
                      <a:avLst/>
                    </a:prstGeom>
                  </pic:spPr>
                </pic:pic>
              </a:graphicData>
            </a:graphic>
          </wp:inline>
        </w:drawing>
      </w:r>
    </w:p>
    <w:p w14:paraId="06367109" w14:textId="2E331415" w:rsidR="00FD1A2A" w:rsidRDefault="00FD1A2A" w:rsidP="00FD1A2A">
      <w:pPr>
        <w:pStyle w:val="ac"/>
        <w:numPr>
          <w:ilvl w:val="1"/>
          <w:numId w:val="25"/>
        </w:numPr>
        <w:bidi/>
        <w:rPr>
          <w:rFonts w:ascii="David" w:hAnsi="David"/>
        </w:rPr>
      </w:pPr>
      <w:r>
        <w:rPr>
          <w:rFonts w:ascii="David" w:hAnsi="David" w:hint="cs"/>
          <w:rtl/>
        </w:rPr>
        <w:t>אישה שמגיעה לבעלה ואומרת לו שהיא לא רוצה לחיות איתו, וגם הוא אומר אני שונא אותך אבל אני לא רוצה לתת לך גט (כלומר לא נותן גט רק כדי לפגוע בה). אומר רבנו ירוחם שאם עוברים 12 חודשים מאז המקרה הזה, כופים את הבעל להתגרש.</w:t>
      </w:r>
    </w:p>
    <w:p w14:paraId="1A9D6F71" w14:textId="77777777" w:rsidR="003322AD" w:rsidRDefault="00424452" w:rsidP="00424452">
      <w:pPr>
        <w:pStyle w:val="ac"/>
        <w:numPr>
          <w:ilvl w:val="2"/>
          <w:numId w:val="25"/>
        </w:numPr>
        <w:bidi/>
        <w:rPr>
          <w:rFonts w:ascii="David" w:hAnsi="David"/>
          <w:u w:val="single"/>
        </w:rPr>
      </w:pPr>
      <w:r w:rsidRPr="00424452">
        <w:rPr>
          <w:rFonts w:ascii="David" w:hAnsi="David" w:hint="cs"/>
          <w:u w:val="single"/>
          <w:rtl/>
        </w:rPr>
        <w:t>מדוע פתאום קמה עילה זו</w:t>
      </w:r>
      <w:r>
        <w:rPr>
          <w:rFonts w:ascii="David" w:hAnsi="David" w:hint="cs"/>
          <w:u w:val="single"/>
          <w:rtl/>
        </w:rPr>
        <w:t xml:space="preserve"> לחיים</w:t>
      </w:r>
      <w:r w:rsidRPr="00424452">
        <w:rPr>
          <w:rFonts w:ascii="David" w:hAnsi="David" w:hint="cs"/>
          <w:u w:val="single"/>
          <w:rtl/>
        </w:rPr>
        <w:t>?</w:t>
      </w:r>
    </w:p>
    <w:p w14:paraId="78963C32" w14:textId="6AAA3A85" w:rsidR="00424452" w:rsidRDefault="00424452" w:rsidP="003322AD">
      <w:pPr>
        <w:pStyle w:val="ac"/>
        <w:numPr>
          <w:ilvl w:val="3"/>
          <w:numId w:val="25"/>
        </w:numPr>
        <w:bidi/>
        <w:rPr>
          <w:rFonts w:ascii="David" w:hAnsi="David"/>
          <w:u w:val="single"/>
        </w:rPr>
      </w:pPr>
      <w:r>
        <w:rPr>
          <w:rFonts w:ascii="David" w:hAnsi="David" w:hint="cs"/>
          <w:rtl/>
        </w:rPr>
        <w:t xml:space="preserve">בסוף המאה ה-20 עילת מות הנישואין מתחילה להופיע כמעט בכול שיטות המשפט בעולם. בבג"ץ גורונובסקי </w:t>
      </w:r>
      <w:r>
        <w:rPr>
          <w:rFonts w:ascii="David" w:hAnsi="David"/>
          <w:rtl/>
        </w:rPr>
        <w:t>–</w:t>
      </w:r>
      <w:r>
        <w:rPr>
          <w:rFonts w:ascii="David" w:hAnsi="David" w:hint="cs"/>
          <w:rtl/>
        </w:rPr>
        <w:t xml:space="preserve"> קובע שבגלל שבני הזוג חיים 8 שנים בנפרד זו סיבה מספקת לפירוק הקשר ולכן מתיר לבית הדין הרבני לתת היתר להינשא לאישה נוספת (פס"ד הפך הלכה שהייתה קיימת לפני בה ביהמ"ש העליון לא ראה בחיים בנפרד סיבה לגירושין).</w:t>
      </w:r>
      <w:r w:rsidRPr="00424452">
        <w:rPr>
          <w:rFonts w:ascii="David" w:hAnsi="David" w:hint="cs"/>
          <w:u w:val="single"/>
          <w:rtl/>
        </w:rPr>
        <w:t xml:space="preserve"> </w:t>
      </w:r>
    </w:p>
    <w:p w14:paraId="7A1C356C" w14:textId="3C9FA6E4" w:rsidR="00424452" w:rsidRDefault="00424452" w:rsidP="003322AD">
      <w:pPr>
        <w:pStyle w:val="ac"/>
        <w:numPr>
          <w:ilvl w:val="3"/>
          <w:numId w:val="25"/>
        </w:numPr>
        <w:bidi/>
        <w:rPr>
          <w:rFonts w:ascii="David" w:hAnsi="David"/>
        </w:rPr>
      </w:pPr>
      <w:r>
        <w:rPr>
          <w:rFonts w:ascii="David" w:hAnsi="David" w:hint="cs"/>
          <w:u w:val="single"/>
          <w:rtl/>
        </w:rPr>
        <w:t xml:space="preserve">הרב משה פיינשטיין (לסוף שנת ה-70) </w:t>
      </w:r>
      <w:r>
        <w:rPr>
          <w:rFonts w:ascii="David" w:hAnsi="David"/>
          <w:u w:val="single"/>
          <w:rtl/>
        </w:rPr>
        <w:t>–</w:t>
      </w:r>
      <w:r w:rsidRPr="003322AD">
        <w:rPr>
          <w:rFonts w:ascii="David" w:hAnsi="David" w:hint="cs"/>
          <w:rtl/>
        </w:rPr>
        <w:t xml:space="preserve"> ככול הנראה לא מכיר את רבנו ירוחם </w:t>
      </w:r>
      <w:r w:rsidR="003322AD" w:rsidRPr="003322AD">
        <w:rPr>
          <w:rFonts w:ascii="David" w:hAnsi="David" w:hint="cs"/>
          <w:rtl/>
        </w:rPr>
        <w:t>כיוון שלא הזכיר אותו.</w:t>
      </w:r>
      <w:r w:rsidR="003322AD">
        <w:rPr>
          <w:rFonts w:ascii="David" w:hAnsi="David" w:hint="cs"/>
          <w:rtl/>
        </w:rPr>
        <w:t xml:space="preserve"> במקרים בהם אין שלום בית וכבר שנה וחצי בני הזוג גרים בנפרד מדין תורה יש להכריח את בני הזוג להתגרש. מה גורם לרב פיינשטיין לקבוע זאת מבלי מקור? ככול הנראה בגלל המציאות השוררת באותו תקופה בארה"ב.</w:t>
      </w:r>
    </w:p>
    <w:p w14:paraId="2DF23731" w14:textId="013D535F" w:rsidR="00D97843" w:rsidRDefault="003322AD" w:rsidP="00D97843">
      <w:pPr>
        <w:pStyle w:val="ac"/>
        <w:numPr>
          <w:ilvl w:val="1"/>
          <w:numId w:val="25"/>
        </w:numPr>
        <w:bidi/>
        <w:rPr>
          <w:rFonts w:ascii="David" w:hAnsi="David"/>
        </w:rPr>
      </w:pPr>
      <w:r>
        <w:rPr>
          <w:rFonts w:ascii="David" w:hAnsi="David" w:hint="cs"/>
          <w:rtl/>
        </w:rPr>
        <w:t xml:space="preserve">הרב חיים פלג'י </w:t>
      </w:r>
      <w:r>
        <w:rPr>
          <w:rFonts w:ascii="David" w:hAnsi="David"/>
          <w:rtl/>
        </w:rPr>
        <w:t>–</w:t>
      </w:r>
      <w:r>
        <w:rPr>
          <w:rFonts w:ascii="David" w:hAnsi="David" w:hint="cs"/>
          <w:rtl/>
        </w:rPr>
        <w:t xml:space="preserve"> אומר כי בני זוג שחיים הרבה זמן בנפרד ואין אפשרות לתקן את נישואיהם צריך לעשות השתדלות רבה כדי להפריד ביניהם.</w:t>
      </w:r>
      <w:r w:rsidR="00D97843">
        <w:rPr>
          <w:rFonts w:ascii="David" w:hAnsi="David" w:hint="cs"/>
          <w:rtl/>
        </w:rPr>
        <w:t xml:space="preserve"> מדוע בית הדין הרבני הגדול לא מקבל את דבריו של רבי חיים פלג'י ואילו את דברי ירוחם כן? בגלל המעמד הנורמטיבי, שכן רבינו ירוחם הוא מהראשונים והיה רב גדול מאוד ואילו רבי חיים פלג'י הוא מאמצע המאה ה-19.</w:t>
      </w:r>
    </w:p>
    <w:p w14:paraId="28B4145E" w14:textId="6245E9A2" w:rsidR="00706C82" w:rsidRDefault="00706C82" w:rsidP="00706C82">
      <w:pPr>
        <w:rPr>
          <w:rFonts w:ascii="David" w:hAnsi="David"/>
          <w:rtl/>
        </w:rPr>
      </w:pPr>
    </w:p>
    <w:p w14:paraId="2F20C518" w14:textId="77777777" w:rsidR="00706C82" w:rsidRPr="00706C82" w:rsidRDefault="00706C82" w:rsidP="00706C82">
      <w:pPr>
        <w:rPr>
          <w:rFonts w:ascii="David" w:hAnsi="David"/>
        </w:rPr>
      </w:pPr>
    </w:p>
    <w:p w14:paraId="7B819299" w14:textId="4AD58E0D" w:rsidR="00AA2773" w:rsidRPr="00EC03EA" w:rsidRDefault="00AA2773" w:rsidP="00EC03EA">
      <w:pPr>
        <w:rPr>
          <w:rFonts w:ascii="David" w:hAnsi="David"/>
        </w:rPr>
      </w:pPr>
      <w:r w:rsidRPr="00EC03EA">
        <w:rPr>
          <w:rFonts w:ascii="David" w:hAnsi="David" w:hint="cs"/>
          <w:b/>
          <w:bCs/>
          <w:shd w:val="clear" w:color="auto" w:fill="FFF4CD" w:themeFill="accent1" w:themeFillTint="33"/>
          <w:rtl/>
        </w:rPr>
        <w:lastRenderedPageBreak/>
        <w:t>עילת מאיס עליי:</w:t>
      </w:r>
      <w:r w:rsidRPr="00EC03EA">
        <w:rPr>
          <w:rFonts w:ascii="David" w:hAnsi="David" w:hint="cs"/>
          <w:rtl/>
        </w:rPr>
        <w:t xml:space="preserve"> </w:t>
      </w:r>
      <w:r w:rsidR="00EC03EA" w:rsidRPr="00EC03EA">
        <w:rPr>
          <w:rFonts w:ascii="David" w:hAnsi="David" w:hint="cs"/>
          <w:rtl/>
        </w:rPr>
        <w:t>מה החידוש בה? הרי היא כבר מופיע בתלמוד.</w:t>
      </w:r>
    </w:p>
    <w:p w14:paraId="519B18E3" w14:textId="25F53D09" w:rsidR="00D97843" w:rsidRDefault="00EC03EA" w:rsidP="00D97843">
      <w:pPr>
        <w:pStyle w:val="ac"/>
        <w:numPr>
          <w:ilvl w:val="1"/>
          <w:numId w:val="25"/>
        </w:numPr>
        <w:bidi/>
        <w:rPr>
          <w:rFonts w:ascii="David" w:hAnsi="David"/>
        </w:rPr>
      </w:pPr>
      <w:r>
        <w:rPr>
          <w:rFonts w:ascii="David" w:hAnsi="David" w:hint="cs"/>
          <w:rtl/>
        </w:rPr>
        <w:t xml:space="preserve">הרמב"ם במשנה תורה: לא ניתן להחזיק אישה במציאות של שבויה, ואין סיבה שתחייה </w:t>
      </w:r>
      <w:r w:rsidR="00E347C2">
        <w:rPr>
          <w:rFonts w:ascii="David" w:hAnsi="David" w:hint="cs"/>
          <w:rtl/>
        </w:rPr>
        <w:t>ותקיים יחסים ע</w:t>
      </w:r>
      <w:r>
        <w:rPr>
          <w:rFonts w:ascii="David" w:hAnsi="David" w:hint="cs"/>
          <w:rtl/>
        </w:rPr>
        <w:t xml:space="preserve">ם אדם ששנוא עליה. </w:t>
      </w:r>
      <w:r w:rsidR="00446462">
        <w:rPr>
          <w:rFonts w:ascii="David" w:hAnsi="David" w:hint="cs"/>
          <w:rtl/>
        </w:rPr>
        <w:t>הרמב"ם רואה זאת כעילה מהתלמוד.</w:t>
      </w:r>
    </w:p>
    <w:p w14:paraId="74A0C2F9" w14:textId="77777777" w:rsidR="00446462" w:rsidRDefault="00EC03EA" w:rsidP="00EC03EA">
      <w:pPr>
        <w:pStyle w:val="ac"/>
        <w:numPr>
          <w:ilvl w:val="1"/>
          <w:numId w:val="25"/>
        </w:numPr>
        <w:bidi/>
        <w:rPr>
          <w:rFonts w:ascii="David" w:hAnsi="David"/>
        </w:rPr>
      </w:pPr>
      <w:r>
        <w:rPr>
          <w:rFonts w:ascii="David" w:hAnsi="David" w:hint="cs"/>
          <w:rtl/>
        </w:rPr>
        <w:t>במהלך השנים עילת מאיס עלי הולכת ונשכחת, וכבר בשולחן ערוך גם רבי יוסף קארו והרמ"א טוענים שעילת מאיס עלי לא מהווה עילה לחיוב בגט. העניין הוא שהעילה הזו ממלאת צורך מאוד חשוב.</w:t>
      </w:r>
      <w:r w:rsidR="00446462">
        <w:rPr>
          <w:rFonts w:ascii="David" w:hAnsi="David" w:hint="cs"/>
          <w:rtl/>
        </w:rPr>
        <w:t xml:space="preserve"> ופותרת שני בעיות מרכזיות:</w:t>
      </w:r>
    </w:p>
    <w:p w14:paraId="73E1EDF1" w14:textId="77777777" w:rsidR="00446462" w:rsidRDefault="00446462" w:rsidP="00446462">
      <w:pPr>
        <w:pStyle w:val="ac"/>
        <w:numPr>
          <w:ilvl w:val="2"/>
          <w:numId w:val="25"/>
        </w:numPr>
        <w:bidi/>
        <w:rPr>
          <w:rFonts w:ascii="David" w:hAnsi="David"/>
        </w:rPr>
      </w:pPr>
      <w:r>
        <w:rPr>
          <w:rFonts w:ascii="David" w:hAnsi="David" w:hint="cs"/>
          <w:rtl/>
        </w:rPr>
        <w:t xml:space="preserve">בעיית ההוכחה: </w:t>
      </w:r>
      <w:r w:rsidR="00EC03EA">
        <w:rPr>
          <w:rFonts w:ascii="David" w:hAnsi="David" w:hint="cs"/>
          <w:rtl/>
        </w:rPr>
        <w:t>היא יכולה לפתור את הבעיה של הצורך בהוכחה אובייקטיבית</w:t>
      </w:r>
      <w:r>
        <w:rPr>
          <w:rFonts w:ascii="David" w:hAnsi="David" w:hint="cs"/>
          <w:rtl/>
        </w:rPr>
        <w:t xml:space="preserve"> </w:t>
      </w:r>
      <w:r>
        <w:rPr>
          <w:rFonts w:ascii="David" w:hAnsi="David"/>
          <w:rtl/>
        </w:rPr>
        <w:t>–</w:t>
      </w:r>
      <w:r>
        <w:rPr>
          <w:rFonts w:ascii="David" w:hAnsi="David" w:hint="cs"/>
          <w:rtl/>
        </w:rPr>
        <w:t xml:space="preserve"> במקום להוכיח בגידה או אלימות היא יכולה לטעון שהוא מאיס עליה וכך הופכת את הטענה לסובייקטיבית וקשורה אליה</w:t>
      </w:r>
      <w:r w:rsidR="00EC03EA">
        <w:rPr>
          <w:rFonts w:ascii="David" w:hAnsi="David" w:hint="cs"/>
          <w:rtl/>
        </w:rPr>
        <w:t xml:space="preserve">.  </w:t>
      </w:r>
    </w:p>
    <w:p w14:paraId="46FF4D09" w14:textId="4702D9B4" w:rsidR="00EC03EA" w:rsidRDefault="00446462" w:rsidP="00446462">
      <w:pPr>
        <w:pStyle w:val="ac"/>
        <w:numPr>
          <w:ilvl w:val="2"/>
          <w:numId w:val="25"/>
        </w:numPr>
        <w:bidi/>
        <w:rPr>
          <w:rFonts w:ascii="David" w:hAnsi="David"/>
        </w:rPr>
      </w:pPr>
      <w:r>
        <w:rPr>
          <w:rFonts w:ascii="David" w:hAnsi="David" w:hint="cs"/>
          <w:rtl/>
        </w:rPr>
        <w:t xml:space="preserve">בעיית הרשימה המצומצמת: </w:t>
      </w:r>
      <w:r w:rsidR="00EC03EA">
        <w:rPr>
          <w:rFonts w:ascii="David" w:hAnsi="David" w:hint="cs"/>
          <w:rtl/>
        </w:rPr>
        <w:t xml:space="preserve"> לדוג' גבר שמתנהג באלימות כלכלית או מהמר האישה יכולה לטעון מאיס עלי</w:t>
      </w:r>
      <w:r>
        <w:rPr>
          <w:rFonts w:ascii="David" w:hAnsi="David" w:hint="cs"/>
          <w:rtl/>
        </w:rPr>
        <w:t xml:space="preserve"> וככה "להכניס" עילות נוספות</w:t>
      </w:r>
      <w:r w:rsidR="00EC03EA">
        <w:rPr>
          <w:rFonts w:ascii="David" w:hAnsi="David" w:hint="cs"/>
          <w:rtl/>
        </w:rPr>
        <w:t>.</w:t>
      </w:r>
    </w:p>
    <w:p w14:paraId="71CF11CC" w14:textId="529B4067" w:rsidR="00446462" w:rsidRDefault="00446462" w:rsidP="00446462">
      <w:pPr>
        <w:pStyle w:val="ac"/>
        <w:numPr>
          <w:ilvl w:val="1"/>
          <w:numId w:val="25"/>
        </w:numPr>
        <w:bidi/>
        <w:rPr>
          <w:rFonts w:ascii="David" w:hAnsi="David"/>
        </w:rPr>
      </w:pPr>
      <w:r w:rsidRPr="00446462">
        <w:rPr>
          <w:rFonts w:ascii="David" w:hAnsi="David" w:hint="cs"/>
          <w:u w:val="single"/>
          <w:rtl/>
        </w:rPr>
        <w:t>הרב שמואל ורנר</w:t>
      </w:r>
      <w:r>
        <w:rPr>
          <w:rFonts w:ascii="David" w:hAnsi="David" w:hint="cs"/>
          <w:rtl/>
        </w:rPr>
        <w:t xml:space="preserve">: ללא מעניין אותנו המעשה </w:t>
      </w:r>
      <w:r w:rsidR="00213F0E">
        <w:rPr>
          <w:rFonts w:ascii="David" w:hAnsi="David" w:hint="cs"/>
          <w:rtl/>
        </w:rPr>
        <w:t>כשלעצמ</w:t>
      </w:r>
      <w:r w:rsidR="00213F0E">
        <w:rPr>
          <w:rFonts w:ascii="David" w:hAnsi="David" w:hint="eastAsia"/>
          <w:rtl/>
        </w:rPr>
        <w:t>ו</w:t>
      </w:r>
      <w:r>
        <w:rPr>
          <w:rFonts w:ascii="David" w:hAnsi="David" w:hint="cs"/>
          <w:rtl/>
        </w:rPr>
        <w:t>, אלא מה שמעניין זה התוצאה של המעשה בתפיסתה של האישה. כלומר, אם הגבר בוגד הבגידה לא מעניינת ואל משה אם הבגידה לא מגיע לכדי עילת גירושין אלא מה שמעניין זה האם האישה מאסה בבעלה בשל כך.</w:t>
      </w:r>
    </w:p>
    <w:p w14:paraId="29028882" w14:textId="3C15AC74" w:rsidR="00213F0E" w:rsidRDefault="00213F0E" w:rsidP="00213F0E">
      <w:pPr>
        <w:pStyle w:val="ac"/>
        <w:numPr>
          <w:ilvl w:val="1"/>
          <w:numId w:val="25"/>
        </w:numPr>
        <w:bidi/>
        <w:rPr>
          <w:rFonts w:ascii="David" w:hAnsi="David"/>
        </w:rPr>
      </w:pPr>
      <w:r>
        <w:rPr>
          <w:rFonts w:ascii="David" w:hAnsi="David" w:hint="cs"/>
          <w:u w:val="single"/>
          <w:rtl/>
        </w:rPr>
        <w:t>הרב אהרן דרשביץ, תיק באר שבע, בגידה</w:t>
      </w:r>
      <w:r w:rsidRPr="00213F0E">
        <w:rPr>
          <w:rFonts w:ascii="David" w:hAnsi="David" w:hint="cs"/>
          <w:rtl/>
        </w:rPr>
        <w:t>:</w:t>
      </w:r>
      <w:r>
        <w:rPr>
          <w:rFonts w:ascii="David" w:hAnsi="David" w:hint="cs"/>
          <w:rtl/>
        </w:rPr>
        <w:t xml:space="preserve"> בשל העידר ראיות חותכות ספק אם אפשר לקבוע עילת גירושין בגין עילת "רועה זונות". הפתרון של הרב דרשביץ </w:t>
      </w:r>
      <w:r>
        <w:rPr>
          <w:rFonts w:ascii="David" w:hAnsi="David"/>
          <w:rtl/>
        </w:rPr>
        <w:t>–</w:t>
      </w:r>
      <w:r>
        <w:rPr>
          <w:rFonts w:ascii="David" w:hAnsi="David" w:hint="cs"/>
          <w:rtl/>
        </w:rPr>
        <w:t xml:space="preserve"> עילת מאיס עלי, כדי לבסס עילת מאיס עלי אין צורך בהוכחות חותכות ומספיק ללמוד מהתנהגות האישה שהגבר מאוס עליה, </w:t>
      </w:r>
      <w:r w:rsidRPr="00213F0E">
        <w:rPr>
          <w:rFonts w:ascii="David" w:hAnsi="David" w:hint="cs"/>
          <w:b/>
          <w:bCs/>
          <w:rtl/>
        </w:rPr>
        <w:t>גם אם האישה לא העלתה עילה זו.</w:t>
      </w:r>
    </w:p>
    <w:p w14:paraId="2685C17F" w14:textId="7B4E5BD4" w:rsidR="00213F0E" w:rsidRDefault="00213F0E" w:rsidP="00213F0E">
      <w:pPr>
        <w:pStyle w:val="ac"/>
        <w:numPr>
          <w:ilvl w:val="1"/>
          <w:numId w:val="25"/>
        </w:numPr>
        <w:bidi/>
        <w:rPr>
          <w:rFonts w:ascii="David" w:hAnsi="David"/>
        </w:rPr>
      </w:pPr>
      <w:r>
        <w:rPr>
          <w:rFonts w:ascii="David" w:hAnsi="David" w:hint="cs"/>
          <w:u w:val="single"/>
          <w:rtl/>
        </w:rPr>
        <w:t>הרב יאיר בן מנחם, תיק נתניה, אלימות מילולית</w:t>
      </w:r>
      <w:r w:rsidRPr="00213F0E">
        <w:rPr>
          <w:rFonts w:ascii="David" w:hAnsi="David" w:hint="cs"/>
          <w:rtl/>
        </w:rPr>
        <w:t>:</w:t>
      </w:r>
      <w:r>
        <w:rPr>
          <w:rFonts w:ascii="David" w:hAnsi="David" w:hint="cs"/>
          <w:rtl/>
        </w:rPr>
        <w:t xml:space="preserve"> מאיסות האישה בבעלה מקים עילה עצמאית לגירושין גם ללא הטענה של אלימות מילולית. אולם, האישה לא טוענת טענת מאיס עלי</w:t>
      </w:r>
      <w:r w:rsidR="00E347C2">
        <w:rPr>
          <w:rFonts w:ascii="David" w:hAnsi="David" w:hint="cs"/>
          <w:rtl/>
        </w:rPr>
        <w:t xml:space="preserve"> וגם לא טענה שלא יכולה לקיים יחסים עם בעלה. לדעת הרב בן מנחם דברים אלו לא משנים ומה שחשוב זו ההרגשה הסובייקטיבית של האישה והעובדה שהם חיים חיה אישות אינה סותרת זו. הוא מדגיש זאת מכייון שמקור של הרבמ"ם היה ניתן לחשוב שעילת מאיס עלי תלויה באי קיום יחסי אישות, אולם לדת הרב בן מנחם זו הייתה רק דוגמה ולא כלל.</w:t>
      </w:r>
    </w:p>
    <w:p w14:paraId="2CBF33E3" w14:textId="77777777" w:rsidR="00BE5602" w:rsidRPr="00BE5602" w:rsidRDefault="00E347C2" w:rsidP="00BE5602">
      <w:pPr>
        <w:pStyle w:val="ac"/>
        <w:numPr>
          <w:ilvl w:val="1"/>
          <w:numId w:val="25"/>
        </w:numPr>
        <w:bidi/>
        <w:rPr>
          <w:rFonts w:ascii="David" w:hAnsi="David"/>
        </w:rPr>
      </w:pPr>
      <w:r>
        <w:rPr>
          <w:rFonts w:ascii="David" w:hAnsi="David" w:hint="cs"/>
          <w:b/>
          <w:bCs/>
          <w:u w:val="single"/>
          <w:rtl/>
        </w:rPr>
        <w:t>ביקורות על עילת מאיס עלי:</w:t>
      </w:r>
    </w:p>
    <w:p w14:paraId="650481F4" w14:textId="3E365EB6" w:rsidR="00BE5602" w:rsidRPr="00BE5602" w:rsidRDefault="00BE5602" w:rsidP="00706C82">
      <w:pPr>
        <w:pStyle w:val="ac"/>
        <w:bidi/>
        <w:spacing w:after="0"/>
        <w:ind w:left="199"/>
        <w:rPr>
          <w:rFonts w:ascii="David" w:hAnsi="David"/>
          <w:sz w:val="18"/>
          <w:szCs w:val="20"/>
          <w:rtl/>
        </w:rPr>
      </w:pPr>
      <w:r w:rsidRPr="00BE5602">
        <w:rPr>
          <w:rFonts w:ascii="David" w:hAnsi="David" w:hint="cs"/>
          <w:sz w:val="22"/>
          <w:rtl/>
        </w:rPr>
        <w:t xml:space="preserve">הרב פרובר והרב בארי אמרו בכנס דיינים שנתי בשנת 2015 כי זה פרצה לחייב בגט בטענת מאיס עלי. בכך הם רומזים שאם דיין מחייב בגט מעילה זו זה יכול להביא לגט מעושה. הם סבורים כי לדעת רוב הפוסקים ולדעת השולחן ערוך ורבי יוסף קארו לא ניתן לחייב. יש ביקורת פנימית בביה"ד והרבה דיינים מחייבים.  </w:t>
      </w:r>
    </w:p>
    <w:p w14:paraId="0B76E5BD" w14:textId="244D78DE" w:rsidR="00D663D8" w:rsidRDefault="00874D53" w:rsidP="00D663D8">
      <w:pPr>
        <w:pBdr>
          <w:top w:val="single" w:sz="4" w:space="1" w:color="auto"/>
        </w:pBdr>
        <w:rPr>
          <w:rFonts w:ascii="David" w:hAnsi="David"/>
          <w:rtl/>
        </w:rPr>
      </w:pPr>
      <w:r w:rsidRPr="00CB776B">
        <w:rPr>
          <w:rFonts w:ascii="David" w:hAnsi="David" w:hint="cs"/>
          <w:rtl/>
        </w:rPr>
        <w:t xml:space="preserve">להשלים שיעור מיום </w:t>
      </w:r>
      <w:r w:rsidR="007E0A6E" w:rsidRPr="00CB776B">
        <w:rPr>
          <w:rFonts w:ascii="David" w:hAnsi="David" w:hint="cs"/>
          <w:rtl/>
        </w:rPr>
        <w:t>19</w:t>
      </w:r>
      <w:r w:rsidRPr="00CB776B">
        <w:rPr>
          <w:rFonts w:ascii="David" w:hAnsi="David" w:hint="cs"/>
          <w:rtl/>
        </w:rPr>
        <w:t>.06.2022</w:t>
      </w:r>
      <w:r w:rsidR="00D963A7" w:rsidRPr="00CB776B">
        <w:rPr>
          <w:rFonts w:ascii="David" w:hAnsi="David" w:hint="cs"/>
          <w:rtl/>
        </w:rPr>
        <w:t xml:space="preserve"> </w:t>
      </w:r>
      <w:r w:rsidR="007217AE" w:rsidRPr="00CB776B">
        <w:rPr>
          <w:rFonts w:ascii="David" w:hAnsi="David"/>
          <w:rtl/>
        </w:rPr>
        <w:t>–</w:t>
      </w:r>
      <w:r w:rsidR="007217AE" w:rsidRPr="00CB776B">
        <w:rPr>
          <w:rFonts w:ascii="David" w:hAnsi="David" w:hint="cs"/>
          <w:rtl/>
        </w:rPr>
        <w:t xml:space="preserve"> </w:t>
      </w:r>
      <w:r w:rsidR="007217AE" w:rsidRPr="00CB776B">
        <w:rPr>
          <w:rFonts w:ascii="David" w:hAnsi="David" w:hint="cs"/>
          <w:color w:val="FF0000"/>
          <w:rtl/>
        </w:rPr>
        <w:t>סיכום שושנה</w:t>
      </w:r>
      <w:r w:rsidR="00C67B10">
        <w:rPr>
          <w:rFonts w:ascii="David" w:hAnsi="David" w:hint="cs"/>
          <w:rtl/>
        </w:rPr>
        <w:t xml:space="preserve"> </w:t>
      </w:r>
      <w:r w:rsidR="00C67B10" w:rsidRPr="00C67B10">
        <w:rPr>
          <w:rFonts w:ascii="David" w:hAnsi="David" w:hint="cs"/>
          <w:color w:val="FF0000"/>
          <w:rtl/>
        </w:rPr>
        <w:t>ורז</w:t>
      </w:r>
      <w:r w:rsidR="00C62920">
        <w:rPr>
          <w:rFonts w:ascii="David" w:hAnsi="David" w:hint="cs"/>
          <w:rtl/>
        </w:rPr>
        <w:t>+ עריכה שלי</w:t>
      </w:r>
    </w:p>
    <w:p w14:paraId="0A5246BE" w14:textId="02AC31C4" w:rsidR="00BE5602" w:rsidRPr="00D042AA" w:rsidRDefault="00BF33A7" w:rsidP="00D042AA">
      <w:pPr>
        <w:pStyle w:val="ac"/>
        <w:numPr>
          <w:ilvl w:val="0"/>
          <w:numId w:val="25"/>
        </w:numPr>
        <w:pBdr>
          <w:top w:val="single" w:sz="4" w:space="1" w:color="auto"/>
        </w:pBdr>
        <w:shd w:val="clear" w:color="auto" w:fill="FFE99C" w:themeFill="accent1" w:themeFillTint="66"/>
        <w:bidi/>
        <w:spacing w:after="0"/>
        <w:rPr>
          <w:rFonts w:ascii="David" w:hAnsi="David"/>
          <w:b/>
          <w:bCs/>
          <w:shd w:val="clear" w:color="auto" w:fill="FFE99C" w:themeFill="accent1" w:themeFillTint="66"/>
          <w:rtl/>
        </w:rPr>
      </w:pPr>
      <w:r w:rsidRPr="00D042AA">
        <w:rPr>
          <w:rFonts w:ascii="David" w:hAnsi="David" w:hint="cs"/>
          <w:b/>
          <w:bCs/>
          <w:shd w:val="clear" w:color="auto" w:fill="FFE99C" w:themeFill="accent1" w:themeFillTint="66"/>
          <w:rtl/>
        </w:rPr>
        <w:t>דרכים נוספות לפתרון בעי</w:t>
      </w:r>
      <w:r w:rsidR="00D042AA">
        <w:rPr>
          <w:rFonts w:ascii="David" w:hAnsi="David" w:hint="cs"/>
          <w:b/>
          <w:bCs/>
          <w:shd w:val="clear" w:color="auto" w:fill="FFE99C" w:themeFill="accent1" w:themeFillTint="66"/>
          <w:rtl/>
        </w:rPr>
        <w:t>י</w:t>
      </w:r>
      <w:r w:rsidRPr="00D042AA">
        <w:rPr>
          <w:rFonts w:ascii="David" w:hAnsi="David" w:hint="cs"/>
          <w:b/>
          <w:bCs/>
          <w:shd w:val="clear" w:color="auto" w:fill="FFE99C" w:themeFill="accent1" w:themeFillTint="66"/>
          <w:rtl/>
        </w:rPr>
        <w:t>ת סרבנות הגט</w:t>
      </w:r>
    </w:p>
    <w:p w14:paraId="57CCA92A" w14:textId="49686413" w:rsidR="00C62920" w:rsidRPr="005379B9" w:rsidRDefault="00D042AA" w:rsidP="005379B9">
      <w:pPr>
        <w:pBdr>
          <w:top w:val="single" w:sz="4" w:space="1" w:color="auto"/>
        </w:pBdr>
        <w:rPr>
          <w:rFonts w:ascii="David" w:hAnsi="David"/>
          <w:shd w:val="clear" w:color="auto" w:fill="FFE99C" w:themeFill="accent1" w:themeFillTint="66"/>
          <w:rtl/>
        </w:rPr>
      </w:pPr>
      <w:r>
        <w:rPr>
          <w:rFonts w:ascii="David" w:hAnsi="David" w:hint="cs"/>
          <w:b/>
          <w:bCs/>
          <w:rtl/>
        </w:rPr>
        <w:t>י</w:t>
      </w:r>
      <w:r w:rsidR="004644D1">
        <w:rPr>
          <w:rFonts w:ascii="David" w:hAnsi="David" w:hint="cs"/>
          <w:b/>
          <w:bCs/>
          <w:rtl/>
        </w:rPr>
        <w:t xml:space="preserve">שנה בחנה בין כלים שמרניים לתפרון בעיית הגט </w:t>
      </w:r>
      <w:r w:rsidR="00B2745C">
        <w:rPr>
          <w:rFonts w:ascii="David" w:hAnsi="David"/>
          <w:b/>
          <w:bCs/>
          <w:rtl/>
        </w:rPr>
        <w:t>–</w:t>
      </w:r>
      <w:r w:rsidR="004644D1">
        <w:rPr>
          <w:rFonts w:ascii="David" w:hAnsi="David" w:hint="cs"/>
          <w:b/>
          <w:bCs/>
          <w:rtl/>
        </w:rPr>
        <w:t xml:space="preserve"> </w:t>
      </w:r>
      <w:r w:rsidR="00B2745C">
        <w:rPr>
          <w:rFonts w:ascii="David" w:hAnsi="David" w:hint="cs"/>
          <w:rtl/>
        </w:rPr>
        <w:t xml:space="preserve">זירוז מתן גט באמצעות לחץ, לדוגמה הרחקות. לעומת </w:t>
      </w:r>
      <w:r w:rsidR="00B2745C">
        <w:rPr>
          <w:rFonts w:ascii="David" w:hAnsi="David" w:hint="cs"/>
          <w:b/>
          <w:bCs/>
          <w:rtl/>
        </w:rPr>
        <w:t xml:space="preserve">כלים רדיקליים </w:t>
      </w:r>
      <w:r w:rsidR="00B2745C">
        <w:rPr>
          <w:rFonts w:ascii="David" w:hAnsi="David"/>
          <w:b/>
          <w:bCs/>
          <w:rtl/>
        </w:rPr>
        <w:t>–</w:t>
      </w:r>
      <w:r w:rsidR="00B2745C">
        <w:rPr>
          <w:rFonts w:ascii="David" w:hAnsi="David" w:hint="cs"/>
          <w:b/>
          <w:bCs/>
          <w:rtl/>
        </w:rPr>
        <w:t xml:space="preserve"> </w:t>
      </w:r>
      <w:r w:rsidR="00B2745C">
        <w:rPr>
          <w:rFonts w:ascii="David" w:hAnsi="David" w:hint="cs"/>
          <w:rtl/>
        </w:rPr>
        <w:t xml:space="preserve">כלים שמייתרים את מתן הגט, קבוצה זו גם </w:t>
      </w:r>
      <w:r w:rsidR="009D276C">
        <w:rPr>
          <w:rFonts w:ascii="David" w:hAnsi="David" w:hint="cs"/>
          <w:rtl/>
        </w:rPr>
        <w:t>מסייעת</w:t>
      </w:r>
      <w:r w:rsidR="00B2745C">
        <w:rPr>
          <w:rFonts w:ascii="David" w:hAnsi="David" w:hint="cs"/>
          <w:rtl/>
        </w:rPr>
        <w:t xml:space="preserve"> לפתור בעיות במתן גט כאשר לא מדובר בסרבנות (לדוג' הבעל חולה).</w:t>
      </w:r>
      <w:r w:rsidR="00783EB1">
        <w:rPr>
          <w:rFonts w:ascii="David" w:hAnsi="David" w:hint="cs"/>
          <w:rtl/>
        </w:rPr>
        <w:t xml:space="preserve"> </w:t>
      </w:r>
    </w:p>
    <w:p w14:paraId="386DB1D0" w14:textId="3110BB6A" w:rsidR="00D23270" w:rsidRPr="00AA7482" w:rsidRDefault="005379B9" w:rsidP="00AA7482">
      <w:pPr>
        <w:rPr>
          <w:rFonts w:ascii="David" w:hAnsi="David"/>
          <w:b/>
          <w:bCs/>
          <w:rtl/>
        </w:rPr>
      </w:pPr>
      <w:r w:rsidRPr="00AA7482">
        <w:rPr>
          <w:rFonts w:ascii="David" w:hAnsi="David" w:hint="cs"/>
          <w:b/>
          <w:bCs/>
          <w:rtl/>
        </w:rPr>
        <w:t xml:space="preserve">הכלים השמרניים </w:t>
      </w:r>
      <w:r w:rsidR="00D23270" w:rsidRPr="00AA7482">
        <w:rPr>
          <w:rFonts w:ascii="David" w:hAnsi="David" w:hint="cs"/>
          <w:b/>
          <w:bCs/>
          <w:rtl/>
        </w:rPr>
        <w:t>מחולקים לשלוש קבוצות</w:t>
      </w:r>
      <w:r w:rsidR="006648F0" w:rsidRPr="00AA7482">
        <w:rPr>
          <w:rFonts w:ascii="David" w:hAnsi="David" w:hint="cs"/>
          <w:b/>
          <w:bCs/>
          <w:rtl/>
        </w:rPr>
        <w:t xml:space="preserve"> שנותנות את אמצעי הלחץ</w:t>
      </w:r>
      <w:r w:rsidR="00D23270" w:rsidRPr="00AA7482">
        <w:rPr>
          <w:rFonts w:ascii="David" w:hAnsi="David" w:hint="cs"/>
          <w:b/>
          <w:bCs/>
          <w:rtl/>
        </w:rPr>
        <w:t>:</w:t>
      </w:r>
    </w:p>
    <w:p w14:paraId="752DBD31" w14:textId="59C473EC" w:rsidR="00D23270" w:rsidRPr="00FE2422" w:rsidRDefault="00D23270" w:rsidP="00D23270">
      <w:pPr>
        <w:pStyle w:val="ac"/>
        <w:numPr>
          <w:ilvl w:val="2"/>
          <w:numId w:val="25"/>
        </w:numPr>
        <w:bidi/>
        <w:rPr>
          <w:rFonts w:ascii="David" w:hAnsi="David"/>
          <w:b/>
          <w:bCs/>
        </w:rPr>
      </w:pPr>
      <w:r>
        <w:rPr>
          <w:rFonts w:ascii="David" w:hAnsi="David" w:hint="cs"/>
          <w:b/>
          <w:bCs/>
          <w:rtl/>
        </w:rPr>
        <w:t xml:space="preserve">כלים שמפעיל בית הדין </w:t>
      </w:r>
      <w:r>
        <w:rPr>
          <w:rFonts w:ascii="David" w:hAnsi="David"/>
          <w:b/>
          <w:bCs/>
          <w:rtl/>
        </w:rPr>
        <w:t>–</w:t>
      </w:r>
      <w:r>
        <w:rPr>
          <w:rFonts w:ascii="David" w:hAnsi="David" w:hint="cs"/>
          <w:b/>
          <w:bCs/>
          <w:rtl/>
        </w:rPr>
        <w:t xml:space="preserve"> </w:t>
      </w:r>
      <w:r w:rsidRPr="00FE2422">
        <w:rPr>
          <w:rFonts w:ascii="David" w:hAnsi="David" w:hint="cs"/>
          <w:rtl/>
        </w:rPr>
        <w:t>צווי הרחקה והגבלות.</w:t>
      </w:r>
      <w:r w:rsidR="00FE2422">
        <w:rPr>
          <w:rFonts w:ascii="David" w:hAnsi="David" w:hint="cs"/>
          <w:b/>
          <w:bCs/>
          <w:rtl/>
        </w:rPr>
        <w:t xml:space="preserve"> אף על שבי"ד </w:t>
      </w:r>
      <w:r w:rsidR="00FE2422">
        <w:rPr>
          <w:rFonts w:ascii="David" w:hAnsi="David" w:hint="cs"/>
          <w:rtl/>
        </w:rPr>
        <w:t>הוא היחיד בעל הסכמות להפעלת סנקציות אנחנו רואים גופים נוספים בשנים האחרונות שעושים זאת גם.</w:t>
      </w:r>
    </w:p>
    <w:p w14:paraId="60A00DA2" w14:textId="74C3CDDD" w:rsidR="00FE2422" w:rsidRDefault="006B5CB5" w:rsidP="00FE2422">
      <w:pPr>
        <w:pStyle w:val="ac"/>
        <w:numPr>
          <w:ilvl w:val="2"/>
          <w:numId w:val="25"/>
        </w:numPr>
        <w:bidi/>
        <w:rPr>
          <w:rFonts w:ascii="David" w:hAnsi="David"/>
          <w:b/>
          <w:bCs/>
        </w:rPr>
      </w:pPr>
      <w:r>
        <w:rPr>
          <w:rFonts w:ascii="David" w:hAnsi="David" w:hint="cs"/>
          <w:b/>
          <w:bCs/>
          <w:rtl/>
        </w:rPr>
        <w:t xml:space="preserve">ביהמ"ש </w:t>
      </w:r>
      <w:r>
        <w:rPr>
          <w:rFonts w:ascii="David" w:hAnsi="David"/>
          <w:b/>
          <w:bCs/>
          <w:rtl/>
        </w:rPr>
        <w:t>–</w:t>
      </w:r>
      <w:r>
        <w:rPr>
          <w:rFonts w:ascii="David" w:hAnsi="David" w:hint="cs"/>
          <w:b/>
          <w:bCs/>
          <w:rtl/>
        </w:rPr>
        <w:t xml:space="preserve"> </w:t>
      </w:r>
      <w:r>
        <w:rPr>
          <w:rFonts w:ascii="David" w:hAnsi="David" w:hint="cs"/>
          <w:rtl/>
        </w:rPr>
        <w:t>עושה זאת במסווה באמצעות תביעות ניזקיות.</w:t>
      </w:r>
    </w:p>
    <w:p w14:paraId="782F4888" w14:textId="7753A0B0" w:rsidR="006648F0" w:rsidRDefault="006B5CB5" w:rsidP="00AA7482">
      <w:pPr>
        <w:pStyle w:val="ac"/>
        <w:numPr>
          <w:ilvl w:val="2"/>
          <w:numId w:val="25"/>
        </w:numPr>
        <w:bidi/>
        <w:spacing w:after="0"/>
        <w:rPr>
          <w:rFonts w:ascii="David" w:hAnsi="David"/>
          <w:b/>
          <w:bCs/>
        </w:rPr>
      </w:pPr>
      <w:r>
        <w:rPr>
          <w:rFonts w:ascii="David" w:hAnsi="David" w:hint="cs"/>
          <w:b/>
          <w:bCs/>
          <w:rtl/>
        </w:rPr>
        <w:t xml:space="preserve">הצדדים על ידי הסכם </w:t>
      </w:r>
      <w:r w:rsidR="001D7584">
        <w:rPr>
          <w:rFonts w:ascii="David" w:hAnsi="David"/>
          <w:b/>
          <w:bCs/>
          <w:rtl/>
        </w:rPr>
        <w:t>–</w:t>
      </w:r>
      <w:r>
        <w:rPr>
          <w:rFonts w:ascii="David" w:hAnsi="David" w:hint="cs"/>
          <w:b/>
          <w:bCs/>
          <w:rtl/>
        </w:rPr>
        <w:t xml:space="preserve"> </w:t>
      </w:r>
      <w:r w:rsidR="001D7584">
        <w:rPr>
          <w:rFonts w:ascii="David" w:hAnsi="David" w:hint="cs"/>
          <w:rtl/>
        </w:rPr>
        <w:t>לרוב מכונים הסכמי קדם נישואין, אך זה לא מדויק כי זה לא הסכם ממון והוא אינו כפוף לחוק של הסכמי ממון.</w:t>
      </w:r>
      <w:r w:rsidR="00076371">
        <w:rPr>
          <w:rFonts w:ascii="David" w:hAnsi="David" w:hint="cs"/>
          <w:b/>
          <w:bCs/>
          <w:rtl/>
        </w:rPr>
        <w:t xml:space="preserve"> </w:t>
      </w:r>
    </w:p>
    <w:p w14:paraId="5E4871FA" w14:textId="76697A86" w:rsidR="006648F0" w:rsidRPr="00DC4352" w:rsidRDefault="006648F0" w:rsidP="00DC4352">
      <w:pPr>
        <w:rPr>
          <w:rFonts w:ascii="David" w:hAnsi="David"/>
          <w:b/>
          <w:bCs/>
          <w:rtl/>
        </w:rPr>
      </w:pPr>
      <w:r w:rsidRPr="00DC4352">
        <w:rPr>
          <w:rFonts w:ascii="David" w:hAnsi="David" w:hint="cs"/>
          <w:b/>
          <w:bCs/>
          <w:rtl/>
        </w:rPr>
        <w:t>פירוט אמצעי הלחץ השונים:</w:t>
      </w:r>
    </w:p>
    <w:p w14:paraId="56F317C3" w14:textId="0B877F12" w:rsidR="0071599A" w:rsidRPr="00AA7482" w:rsidRDefault="006648F0" w:rsidP="00AA7482">
      <w:pPr>
        <w:rPr>
          <w:rFonts w:ascii="David" w:hAnsi="David"/>
        </w:rPr>
      </w:pPr>
      <w:r w:rsidRPr="00AA7482">
        <w:rPr>
          <w:rFonts w:ascii="David" w:hAnsi="David" w:hint="cs"/>
          <w:b/>
          <w:bCs/>
          <w:sz w:val="28"/>
          <w:szCs w:val="28"/>
          <w:shd w:val="clear" w:color="auto" w:fill="FFE99C" w:themeFill="accent1" w:themeFillTint="66"/>
          <w:rtl/>
        </w:rPr>
        <w:t>מזונות מעוכבת</w:t>
      </w:r>
      <w:r w:rsidRPr="00AA7482">
        <w:rPr>
          <w:rFonts w:ascii="David" w:hAnsi="David" w:hint="cs"/>
          <w:sz w:val="28"/>
          <w:szCs w:val="28"/>
          <w:rtl/>
        </w:rPr>
        <w:t xml:space="preserve"> </w:t>
      </w:r>
      <w:r w:rsidRPr="00AA7482">
        <w:rPr>
          <w:rFonts w:ascii="David" w:hAnsi="David" w:hint="cs"/>
          <w:rtl/>
        </w:rPr>
        <w:t>:</w:t>
      </w:r>
      <w:r w:rsidRPr="00AA7482">
        <w:rPr>
          <w:rFonts w:ascii="David" w:hAnsi="David"/>
          <w:rtl/>
        </w:rPr>
        <w:t xml:space="preserve"> אישה זכאית למזונות כל עוד היא נשואה, </w:t>
      </w:r>
      <w:r w:rsidR="0071599A" w:rsidRPr="00AA7482">
        <w:rPr>
          <w:rFonts w:ascii="David" w:hAnsi="David" w:hint="cs"/>
          <w:rtl/>
        </w:rPr>
        <w:t>אלא אם</w:t>
      </w:r>
      <w:r w:rsidRPr="00AA7482">
        <w:rPr>
          <w:rFonts w:ascii="David" w:hAnsi="David"/>
          <w:rtl/>
        </w:rPr>
        <w:t xml:space="preserve"> היא עזבה את הבית</w:t>
      </w:r>
      <w:r w:rsidR="0071599A" w:rsidRPr="00AA7482">
        <w:rPr>
          <w:rFonts w:ascii="David" w:hAnsi="David" w:hint="cs"/>
          <w:rtl/>
        </w:rPr>
        <w:t xml:space="preserve"> (חריג: </w:t>
      </w:r>
      <w:r w:rsidRPr="00AA7482">
        <w:rPr>
          <w:rFonts w:ascii="David" w:hAnsi="David"/>
          <w:rtl/>
        </w:rPr>
        <w:t xml:space="preserve">היא עזבה את הבית מסיבות מוצדקות </w:t>
      </w:r>
      <w:r w:rsidR="0071599A" w:rsidRPr="00AA7482">
        <w:rPr>
          <w:rFonts w:ascii="David" w:hAnsi="David" w:hint="cs"/>
          <w:rtl/>
        </w:rPr>
        <w:t xml:space="preserve">- </w:t>
      </w:r>
      <w:r w:rsidRPr="00AA7482">
        <w:rPr>
          <w:rFonts w:ascii="David" w:hAnsi="David"/>
          <w:rtl/>
        </w:rPr>
        <w:t xml:space="preserve">למשל אלימות). יש כלל בהלכה שאם הבעל משלם לאשתו מזונות, הוא זכאי למעשה ידיה (המשכורת שלה). מה קורה כשהאישה רוצה להתגרש אבל הבעל לא נותן לה גט? יש על זה מחלוקת גם בתוך בתי הדין, סביב השאלה האם ניתן להפריד בין תשלום מזונות לבין קבלת מעשה ידיה של האישה (כאלו שסוברים שכן וכאלו שסוברים שלא). בכזה מקרה הבעל גם ישלם מזונות, וגם אם האישה מרוויחה הוא לא יקבל כלום. זה אומר שהוצאותיו יעלו ככ"ה על הכנסותיו. זה אומר שיווצר עליו לחץ כלכלי מאוד משמעותי. בתי הדין עושים בזה שימוש לא מועט כאשר הבעל חייב לגרש את אישתו ומסרב, גם כשרמת החיים של הזוג היא מאוד גבוהה (יש דוגמאות כאלו). כלומר יש סיכוי טוב שהגבר "ישבר" מהעניין הזה. למען האמת הכלי זה מיועד רק כלפי לגברים- לאישה אין חיוב מזונות כלפי בעלה. </w:t>
      </w:r>
    </w:p>
    <w:p w14:paraId="5F5F97BD" w14:textId="652FF9C1" w:rsidR="006648F0" w:rsidRDefault="0071599A" w:rsidP="00DC4352">
      <w:pPr>
        <w:pStyle w:val="ac"/>
        <w:numPr>
          <w:ilvl w:val="1"/>
          <w:numId w:val="10"/>
        </w:numPr>
        <w:bidi/>
        <w:rPr>
          <w:rFonts w:ascii="David" w:hAnsi="David"/>
          <w:rtl/>
        </w:rPr>
      </w:pPr>
      <w:r w:rsidRPr="0071599A">
        <w:rPr>
          <w:rFonts w:ascii="David" w:hAnsi="David" w:hint="cs"/>
          <w:u w:val="single"/>
          <w:rtl/>
        </w:rPr>
        <w:lastRenderedPageBreak/>
        <w:t>גם ביהמ"ש האזרחי יכול לקבוע מזונות על פי הדין האיש ולכן יכול לקבוע מזונות מדין מעוכבת -</w:t>
      </w:r>
      <w:r>
        <w:rPr>
          <w:rFonts w:ascii="David" w:hAnsi="David" w:hint="cs"/>
          <w:b/>
          <w:bCs/>
          <w:rtl/>
        </w:rPr>
        <w:t xml:space="preserve"> </w:t>
      </w:r>
      <w:r>
        <w:rPr>
          <w:rFonts w:ascii="David" w:hAnsi="David" w:hint="cs"/>
          <w:rtl/>
        </w:rPr>
        <w:t xml:space="preserve">בפועל הוא </w:t>
      </w:r>
      <w:r w:rsidR="00273E1E" w:rsidRPr="0071599A">
        <w:rPr>
          <w:rFonts w:ascii="David" w:hAnsi="David" w:hint="cs"/>
          <w:rtl/>
        </w:rPr>
        <w:t xml:space="preserve">לא משתמש האפשרות הזו </w:t>
      </w:r>
      <w:r w:rsidR="00CB776B" w:rsidRPr="0071599A">
        <w:rPr>
          <w:rFonts w:ascii="David" w:hAnsi="David"/>
          <w:rtl/>
        </w:rPr>
        <w:t xml:space="preserve">בשנים האחרונות, כי החליפו אותן תביעות הנזיקין, שהן הרבה יותר חזקות מבחינת היקפן וחוזקתם. *בעבר כשהיו תביעות של מזונות מעוכבת בבימ"ש, ביה"ד מאוד לא אהב את זה. אמנם יש בהלכה מזונות מעוכבת, אבל התנאי הוא שביה"ד הוא זה שיפעיל אותו ולא בימ"ש. </w:t>
      </w:r>
    </w:p>
    <w:p w14:paraId="761D8990" w14:textId="77777777" w:rsidR="005C24B3" w:rsidRDefault="0071599A" w:rsidP="00DC4352">
      <w:pPr>
        <w:pStyle w:val="ac"/>
        <w:numPr>
          <w:ilvl w:val="1"/>
          <w:numId w:val="10"/>
        </w:numPr>
        <w:bidi/>
        <w:rPr>
          <w:rFonts w:ascii="David" w:hAnsi="David"/>
          <w:rtl/>
        </w:rPr>
      </w:pPr>
      <w:r w:rsidRPr="0071599A">
        <w:rPr>
          <w:rFonts w:ascii="David" w:hAnsi="David" w:hint="cs"/>
          <w:u w:val="single"/>
          <w:rtl/>
        </w:rPr>
        <w:t xml:space="preserve">גם בהסכמי קדם נישואים עושים שימוש במזונות כאמצעי לחץ </w:t>
      </w:r>
      <w:r w:rsidRPr="0071599A">
        <w:rPr>
          <w:rFonts w:ascii="David" w:hAnsi="David"/>
          <w:u w:val="single"/>
          <w:rtl/>
        </w:rPr>
        <w:t>–</w:t>
      </w:r>
      <w:r>
        <w:rPr>
          <w:rFonts w:ascii="David" w:hAnsi="David" w:hint="cs"/>
          <w:b/>
          <w:bCs/>
          <w:u w:val="single"/>
          <w:rtl/>
        </w:rPr>
        <w:t xml:space="preserve"> </w:t>
      </w:r>
      <w:r w:rsidRPr="0071599A">
        <w:rPr>
          <w:rFonts w:ascii="David" w:hAnsi="David" w:hint="cs"/>
          <w:rtl/>
        </w:rPr>
        <w:t>הכפלה של המזונות עד שהעל לא ייתן גט.</w:t>
      </w:r>
    </w:p>
    <w:p w14:paraId="7A5368DD" w14:textId="49FCDC5C" w:rsidR="005C24B3" w:rsidRPr="00E6748D" w:rsidRDefault="005C24B3" w:rsidP="00DC4352">
      <w:pPr>
        <w:pStyle w:val="ac"/>
        <w:numPr>
          <w:ilvl w:val="1"/>
          <w:numId w:val="10"/>
        </w:numPr>
        <w:bidi/>
        <w:rPr>
          <w:rFonts w:ascii="David" w:hAnsi="David"/>
          <w:sz w:val="18"/>
          <w:szCs w:val="20"/>
        </w:rPr>
      </w:pPr>
      <w:r w:rsidRPr="00E6748D">
        <w:rPr>
          <w:rFonts w:ascii="David" w:hAnsi="David" w:hint="cs"/>
          <w:sz w:val="22"/>
          <w:highlight w:val="cyan"/>
          <w:rtl/>
        </w:rPr>
        <w:t>פס"ד מת"א 2017</w:t>
      </w:r>
      <w:r w:rsidRPr="00E6748D">
        <w:rPr>
          <w:rFonts w:ascii="David" w:hAnsi="David" w:hint="cs"/>
          <w:sz w:val="22"/>
          <w:rtl/>
        </w:rPr>
        <w:t>: האישה תבעה על מזונות מעוכבת בסך 150,000 בחודש בטענה כי זאת רמת החיים בה היא חייב. ביה"ד מחייב ב100,000 בחודש ומתריע כי שומר לעצמו זכות להעלות זאת בעתיד. הכלי הזה מיועד רק כלפי גברים כי אישה לא חבה במזונות. בנוסף, בעבר ביהמ"ש השתמש בכלי זה והיום הוא נעלם ונותר רק בביה"ד לטובת נזיקין.</w:t>
      </w:r>
    </w:p>
    <w:p w14:paraId="6232DD4E" w14:textId="77777777" w:rsidR="00AA7482" w:rsidRPr="00AA7482" w:rsidRDefault="00CB776B" w:rsidP="00AA7482">
      <w:pPr>
        <w:rPr>
          <w:rFonts w:ascii="David" w:hAnsi="David"/>
        </w:rPr>
      </w:pPr>
      <w:r w:rsidRPr="00AA7482">
        <w:rPr>
          <w:rFonts w:ascii="David" w:hAnsi="David"/>
          <w:b/>
          <w:bCs/>
          <w:sz w:val="28"/>
          <w:szCs w:val="28"/>
          <w:shd w:val="clear" w:color="auto" w:fill="FFE99C" w:themeFill="accent1" w:themeFillTint="66"/>
          <w:rtl/>
        </w:rPr>
        <w:t>הכתובה</w:t>
      </w:r>
      <w:r w:rsidR="0071599A" w:rsidRPr="00AA7482">
        <w:rPr>
          <w:rFonts w:ascii="David" w:hAnsi="David" w:hint="cs"/>
          <w:b/>
          <w:bCs/>
          <w:sz w:val="28"/>
          <w:szCs w:val="28"/>
          <w:shd w:val="clear" w:color="auto" w:fill="FFE99C" w:themeFill="accent1" w:themeFillTint="66"/>
          <w:rtl/>
        </w:rPr>
        <w:t>:</w:t>
      </w:r>
      <w:r w:rsidR="0071599A" w:rsidRPr="00AA7482">
        <w:rPr>
          <w:rFonts w:ascii="David" w:hAnsi="David" w:hint="cs"/>
          <w:sz w:val="28"/>
          <w:szCs w:val="28"/>
          <w:rtl/>
        </w:rPr>
        <w:t xml:space="preserve"> </w:t>
      </w:r>
      <w:r w:rsidRPr="00AA7482">
        <w:rPr>
          <w:rFonts w:ascii="David" w:hAnsi="David"/>
          <w:rtl/>
        </w:rPr>
        <w:t xml:space="preserve">כתובה ניתנת מתחת </w:t>
      </w:r>
      <w:r w:rsidR="00273E1E" w:rsidRPr="00AA7482">
        <w:rPr>
          <w:rFonts w:ascii="David" w:hAnsi="David" w:hint="cs"/>
          <w:rtl/>
        </w:rPr>
        <w:t>לחופה</w:t>
      </w:r>
      <w:r w:rsidRPr="00AA7482">
        <w:rPr>
          <w:rFonts w:ascii="David" w:hAnsi="David"/>
          <w:rtl/>
        </w:rPr>
        <w:t xml:space="preserve">, והיא מחייבת את הבעל לפרנס את אשתו. בניגוד אולי למה שחושבים, יש המון תביעות כתובה. האישה זכאית לכתובתה רק לאחר הגירושין, או כשהגבר מת. </w:t>
      </w:r>
      <w:r w:rsidR="001C5D15" w:rsidRPr="00AA7482">
        <w:rPr>
          <w:rFonts w:ascii="David" w:hAnsi="David" w:hint="cs"/>
          <w:rtl/>
        </w:rPr>
        <w:t>ע"פ המשפט הישראלי כתובה נידונה רק בביה"ד הרבני למעט במקרים של מוות בהם יש תחולה של חוק הירושה והסמכות בברירת המחדל היא לביהמ"ש.</w:t>
      </w:r>
    </w:p>
    <w:p w14:paraId="209AB4F8" w14:textId="77777777" w:rsidR="00AA7482" w:rsidRDefault="0067220B" w:rsidP="00AA7482">
      <w:pPr>
        <w:pStyle w:val="ac"/>
        <w:numPr>
          <w:ilvl w:val="1"/>
          <w:numId w:val="10"/>
        </w:numPr>
        <w:bidi/>
        <w:rPr>
          <w:rFonts w:ascii="David" w:hAnsi="David"/>
        </w:rPr>
      </w:pPr>
      <w:r w:rsidRPr="00AA7482">
        <w:rPr>
          <w:rFonts w:ascii="David" w:hAnsi="David" w:hint="cs"/>
          <w:u w:val="single"/>
          <w:rtl/>
        </w:rPr>
        <w:t>אבן העזר ק יד:</w:t>
      </w:r>
      <w:r w:rsidRPr="00AA7482">
        <w:rPr>
          <w:rFonts w:ascii="David" w:hAnsi="David" w:hint="cs"/>
          <w:rtl/>
        </w:rPr>
        <w:t xml:space="preserve"> </w:t>
      </w:r>
      <w:r w:rsidR="004441B3" w:rsidRPr="00AA7482">
        <w:rPr>
          <w:rFonts w:ascii="David" w:hAnsi="David" w:hint="cs"/>
          <w:rtl/>
        </w:rPr>
        <w:t>הרמ"א אומר כי ניתן לכפות את הבעל לשלם כתובה לאשתו מיד. ברוב המקרים תשלום הכתובה הוא אחרי הגט, שיש בעל סרבן וביה"ד קבע כי הוא חייב לתת גט יש אפשרות שהוא יאלץ לשלם את הכתובה מיד. אם הכתובה היא בסכומים גבוהים וביה"ד פוסק כי היא זכאית לגבות אותם זה פס"ד שמאפשר הליכה להוצאה לפועל. זה דומה לתביעת נזיקין וכאן הצדדים יכולים לנהל משא ומתן. אם השולחן ערוך מציע זאת ניתן לראות כי זה כביל ולא יהיה גט מעושה.</w:t>
      </w:r>
    </w:p>
    <w:p w14:paraId="6FE6B577" w14:textId="77777777" w:rsidR="00AA7482" w:rsidRDefault="00F92BB9" w:rsidP="00AA7482">
      <w:pPr>
        <w:pStyle w:val="ac"/>
        <w:numPr>
          <w:ilvl w:val="1"/>
          <w:numId w:val="10"/>
        </w:numPr>
        <w:bidi/>
        <w:rPr>
          <w:rFonts w:ascii="David" w:hAnsi="David"/>
        </w:rPr>
      </w:pPr>
      <w:r w:rsidRPr="00AA7482">
        <w:rPr>
          <w:rFonts w:ascii="David" w:hAnsi="David" w:hint="cs"/>
          <w:highlight w:val="cyan"/>
          <w:rtl/>
        </w:rPr>
        <w:t>מקרה מביה"ד בת"א</w:t>
      </w:r>
      <w:r w:rsidRPr="00AA7482">
        <w:rPr>
          <w:rFonts w:ascii="David" w:hAnsi="David" w:hint="cs"/>
          <w:rtl/>
        </w:rPr>
        <w:t>: כתובה של 50,000 ₪, לכאורה סכום לא משמעותי. ס'17 לחוק יחסי ממון קובע כי האישה מקבלת את הכתובה ואת איזון המשאבים. רוב הדיינים לא מקבלים זאת ואומרים שאין כפף מבצעים, אם האישה מקבלת מרכוש הבעל במנגנון איזון המשאבים זה מתקזז מהכתובה. במקרה זה ביה"ד אומר כי מחייבים את הבעל כעת בכתובה ואומרים כי הם לא מקזזים בעתיד את מה שיתקבל בביהמ"ש. אם הוא י</w:t>
      </w:r>
      <w:r w:rsidR="00C11DD9" w:rsidRPr="00AA7482">
        <w:rPr>
          <w:rFonts w:ascii="David" w:hAnsi="David" w:hint="cs"/>
          <w:rtl/>
        </w:rPr>
        <w:t>י</w:t>
      </w:r>
      <w:r w:rsidRPr="00AA7482">
        <w:rPr>
          <w:rFonts w:ascii="David" w:hAnsi="David" w:hint="cs"/>
          <w:rtl/>
        </w:rPr>
        <w:t>תן עכשיו את הגט יקזזו ואם הוא לא ייתן הוא ישלם עכשיו כתובה ובהמשך את איזון המשאבים.</w:t>
      </w:r>
    </w:p>
    <w:p w14:paraId="4AF9BFC4" w14:textId="54522F20" w:rsidR="00E8257B" w:rsidRPr="00E121AE" w:rsidRDefault="00E8257B" w:rsidP="00AA7482">
      <w:pPr>
        <w:pStyle w:val="ac"/>
        <w:bidi/>
        <w:ind w:left="199"/>
        <w:rPr>
          <w:rFonts w:ascii="David" w:hAnsi="David"/>
          <w:sz w:val="18"/>
          <w:szCs w:val="20"/>
        </w:rPr>
      </w:pPr>
      <w:r w:rsidRPr="00E121AE">
        <w:rPr>
          <w:rFonts w:ascii="David" w:hAnsi="David" w:hint="cs"/>
          <w:sz w:val="22"/>
          <w:rtl/>
        </w:rPr>
        <w:t>זה גם עובד הפוך, שאישה מסרבת גט ביה"ד אומר כי יכול להיות שלאישה יש עילות שמצדיקות גירושין ולכן מגיע לה כתובה. אם היא תשתף פעולה ותקבל גט הם יפסקו לה כתובה ואם היא לא תשתף פעולה הם לא יפסקו לה את הכתובה בשל קיזוז באיזון משאבים.</w:t>
      </w:r>
    </w:p>
    <w:p w14:paraId="7B35E715" w14:textId="359C49B6" w:rsidR="005379B9" w:rsidRPr="00AA7482" w:rsidRDefault="005379B9" w:rsidP="00AA7482">
      <w:pPr>
        <w:rPr>
          <w:rFonts w:ascii="David" w:hAnsi="David"/>
          <w:rtl/>
        </w:rPr>
      </w:pPr>
      <w:r w:rsidRPr="00AA7482">
        <w:rPr>
          <w:rFonts w:ascii="David" w:hAnsi="David" w:hint="cs"/>
          <w:b/>
          <w:bCs/>
          <w:sz w:val="28"/>
          <w:szCs w:val="28"/>
          <w:shd w:val="clear" w:color="auto" w:fill="FFE99C" w:themeFill="accent1" w:themeFillTint="66"/>
          <w:rtl/>
        </w:rPr>
        <w:t>הסכמים</w:t>
      </w:r>
      <w:r w:rsidRPr="00AA7482">
        <w:rPr>
          <w:rFonts w:ascii="David" w:hAnsi="David" w:hint="cs"/>
          <w:sz w:val="28"/>
          <w:szCs w:val="28"/>
          <w:shd w:val="clear" w:color="auto" w:fill="FFE99C" w:themeFill="accent1" w:themeFillTint="66"/>
          <w:rtl/>
        </w:rPr>
        <w:t>:</w:t>
      </w:r>
      <w:r w:rsidRPr="00AA7482">
        <w:rPr>
          <w:rFonts w:ascii="David" w:hAnsi="David" w:hint="cs"/>
          <w:rtl/>
        </w:rPr>
        <w:t xml:space="preserve"> אנו נדבר על הסכמים שעושים שימוש במזונות כדי ללחוץ על הסרבן והסרבנית. </w:t>
      </w:r>
    </w:p>
    <w:p w14:paraId="5DEF00CC" w14:textId="5A83C482" w:rsidR="005379B9" w:rsidRPr="00AA7482" w:rsidRDefault="0093045E" w:rsidP="00AA7482">
      <w:pPr>
        <w:pStyle w:val="ac"/>
        <w:numPr>
          <w:ilvl w:val="1"/>
          <w:numId w:val="10"/>
        </w:numPr>
        <w:bidi/>
        <w:rPr>
          <w:rFonts w:ascii="David" w:hAnsi="David"/>
          <w:sz w:val="22"/>
          <w:rtl/>
        </w:rPr>
      </w:pPr>
      <w:r w:rsidRPr="00AA7482">
        <w:rPr>
          <w:rFonts w:ascii="David" w:hAnsi="David" w:hint="cs"/>
          <w:sz w:val="22"/>
          <w:rtl/>
        </w:rPr>
        <w:t>יש הסכמים רדיקלים שכוללים ביניהם גם סעיפים נוספים מלבד זה של הפקעת קידושין או קידושין על תנאי או לחילופין תנאים ששוללים חליצה.</w:t>
      </w:r>
      <w:r>
        <w:rPr>
          <w:rFonts w:ascii="David" w:hAnsi="David" w:hint="cs"/>
          <w:sz w:val="22"/>
          <w:rtl/>
        </w:rPr>
        <w:t xml:space="preserve"> </w:t>
      </w:r>
      <w:r w:rsidR="005379B9" w:rsidRPr="00AA7482">
        <w:rPr>
          <w:rFonts w:ascii="David" w:hAnsi="David" w:hint="cs"/>
          <w:sz w:val="22"/>
          <w:rtl/>
        </w:rPr>
        <w:t>ההסכמים האלה מבטלים את מוסד עילת הגירושין, ברגע שצד אחד רוצה להתגרש אז מתחיל התהליך. מדובר על מגנון של גירושין לפי דרישה ללא עילות. ברגע שאחד מבני הזוג רוצה להתגרש ניתנת תקופת זמן לשיקום הנישואין ואם זה לא מצליח מתחילים התנאים. תחילה, צריך לתת גט אך יש צורך בשיניים לכך. לאחר מספר ימים של סירוב גט מתחילים תשלומים. ההסכמים לא מזכירים במפורש את המילה גט אך ברור כי זוהי המטרה. בפועל נוצרים כאן מזונות מעוכבת.</w:t>
      </w:r>
    </w:p>
    <w:p w14:paraId="34FE68CD" w14:textId="77777777" w:rsidR="005379B9" w:rsidRPr="00AA7482" w:rsidRDefault="005379B9" w:rsidP="00AA7482">
      <w:pPr>
        <w:pStyle w:val="ac"/>
        <w:numPr>
          <w:ilvl w:val="1"/>
          <w:numId w:val="10"/>
        </w:numPr>
        <w:bidi/>
        <w:rPr>
          <w:rFonts w:ascii="David" w:hAnsi="David"/>
          <w:sz w:val="22"/>
          <w:rtl/>
        </w:rPr>
      </w:pPr>
      <w:r w:rsidRPr="00AA7482">
        <w:rPr>
          <w:rFonts w:ascii="David" w:hAnsi="David" w:hint="cs"/>
          <w:sz w:val="22"/>
          <w:rtl/>
        </w:rPr>
        <w:t xml:space="preserve">עולה השאלה האם ההסכמים יעילים ולא פשוט לענות על כך. קשה למדוד את הצלחת ההסכמים כי יכול להיות שזוגות שמחזיקים הסכם מתומרצים לגירושין בשיתוף פעולה מעצם קיום ההסכם כך שהוא לא מופעל בפועל. </w:t>
      </w:r>
    </w:p>
    <w:p w14:paraId="1F076062" w14:textId="77A43819" w:rsidR="005379B9" w:rsidRPr="00AA7482" w:rsidRDefault="005379B9" w:rsidP="00AA7482">
      <w:pPr>
        <w:pStyle w:val="ac"/>
        <w:numPr>
          <w:ilvl w:val="1"/>
          <w:numId w:val="10"/>
        </w:numPr>
        <w:bidi/>
        <w:rPr>
          <w:rFonts w:ascii="David" w:hAnsi="David"/>
          <w:sz w:val="22"/>
          <w:rtl/>
        </w:rPr>
      </w:pPr>
      <w:r w:rsidRPr="00AA7482">
        <w:rPr>
          <w:rFonts w:ascii="David" w:hAnsi="David" w:hint="cs"/>
          <w:sz w:val="22"/>
          <w:highlight w:val="cyan"/>
          <w:rtl/>
        </w:rPr>
        <w:t>פס"ד מביה"ד בירושלים</w:t>
      </w:r>
      <w:r w:rsidR="00AA7482">
        <w:rPr>
          <w:rFonts w:ascii="David" w:hAnsi="David" w:hint="cs"/>
          <w:sz w:val="22"/>
          <w:rtl/>
        </w:rPr>
        <w:t>:</w:t>
      </w:r>
      <w:r w:rsidRPr="00AA7482">
        <w:rPr>
          <w:rFonts w:ascii="David" w:hAnsi="David" w:hint="cs"/>
          <w:sz w:val="22"/>
          <w:rtl/>
        </w:rPr>
        <w:t xml:space="preserve"> בני זוג שעשו הסכם ממון בתוכו היה סעיף שקובע כי אם האיש לא נותן גט בדרישת האישה תוך 120 יום הוא יהיה חייב לה במזונות בסך 10,000 בחודש. הזוג מגיע להתגרש והבעל מידע על ההסכם. ביה"ד מגיב בצורה חריפה ואומר כי התשלום יכול להיות ראוי אם הוא פוסק כך אך בהעדר פסיקה שלו זה קנס המביא לגט מעושה. יש פה בעיה כי הבעל חתם על ההסכם בהסכמתו. הרשב"א אומר כי אם הבעל התחייב בקנס עתידי מתן הגט בגלל הקנס עדיין מביא לגט מעושה כי הרצון נדרש בעת מתן הגט ולא בעבר בעת החתימה. ביה"ד שלח את הצדדים לשנות את ההסכם.</w:t>
      </w:r>
    </w:p>
    <w:p w14:paraId="79095641" w14:textId="3B3DA8B3" w:rsidR="005379B9" w:rsidRPr="00AA7482" w:rsidRDefault="005379B9" w:rsidP="00AA7482">
      <w:pPr>
        <w:pStyle w:val="ac"/>
        <w:numPr>
          <w:ilvl w:val="1"/>
          <w:numId w:val="10"/>
        </w:numPr>
        <w:bidi/>
        <w:rPr>
          <w:rFonts w:ascii="David" w:hAnsi="David"/>
          <w:sz w:val="22"/>
          <w:rtl/>
        </w:rPr>
      </w:pPr>
      <w:r w:rsidRPr="00AA7482">
        <w:rPr>
          <w:rFonts w:ascii="David" w:hAnsi="David" w:hint="cs"/>
          <w:sz w:val="22"/>
          <w:highlight w:val="cyan"/>
          <w:rtl/>
        </w:rPr>
        <w:t>פס"ד מהדין והדין</w:t>
      </w:r>
      <w:r w:rsidR="00AA7482">
        <w:rPr>
          <w:rFonts w:ascii="David" w:hAnsi="David" w:hint="cs"/>
          <w:sz w:val="22"/>
          <w:rtl/>
        </w:rPr>
        <w:t>:</w:t>
      </w:r>
      <w:r w:rsidRPr="00AA7482">
        <w:rPr>
          <w:rFonts w:ascii="David" w:hAnsi="David" w:hint="cs"/>
          <w:sz w:val="22"/>
          <w:rtl/>
        </w:rPr>
        <w:t xml:space="preserve"> היה התניה דומה, ביה"ד הרבני ברחובות סירב לסדר גט עד ביטול ההסכם. האישה מערערת וביה"ד הגדול אומר לבעל כי הוא מוכן לנקות חלק משמעותי מהחוב אם ייתן גט. אנו רואים בכך הצדקה של ההסכם. הבעל טוען כי הוא לא יכול וההסכם לא כביל וביה"ד אומר כי החתימה היא מיוזמתו. בסיום הדיון מסודר גט. </w:t>
      </w:r>
    </w:p>
    <w:p w14:paraId="763F06D4" w14:textId="77777777" w:rsidR="005379B9" w:rsidRPr="00AA7482" w:rsidRDefault="005379B9" w:rsidP="00AA7482">
      <w:pPr>
        <w:pStyle w:val="ac"/>
        <w:numPr>
          <w:ilvl w:val="1"/>
          <w:numId w:val="10"/>
        </w:numPr>
        <w:bidi/>
        <w:rPr>
          <w:rFonts w:ascii="David" w:hAnsi="David"/>
          <w:sz w:val="22"/>
          <w:rtl/>
        </w:rPr>
      </w:pPr>
      <w:r w:rsidRPr="00AA7482">
        <w:rPr>
          <w:rFonts w:ascii="David" w:hAnsi="David" w:hint="cs"/>
          <w:sz w:val="22"/>
          <w:rtl/>
        </w:rPr>
        <w:lastRenderedPageBreak/>
        <w:t xml:space="preserve">ההסכמים לא נוצרו במדינת ישראל ויש רקע להסכמים דומים. כיום הקהילה המשמעותית ביותר שעושה הסכמים אלה הם ארגון רבנים גדול בארה"ב. בארץ לא עושים זאת, ניתן לייחס זאת לניסיון לשימור כוח שכן פה לביה"ד יש סמכות ובארה"ב לא וזה מעניק להם סמכות. פה ההסכמים רק פוגעים בביה"ד, בארץ האזרחים הם קהל שבוי לביה"ד ולכן הוא מנסה לפסול את הפעלת הסנקציות העצמית. בנוסף, ההסכמים מבטלים את מוסד עילת הגירושין כי ע"פ ההסכמים אין צורך בסיבה. ביה"ד מסרב לכך. ישנה טענה כי בארה"ב אנו במציאות של בדיעבד ובארץ של לכתחילה. בארה"ב מי שרוצה להתגרש ומתגרשת בביהמ"ש אך רק חסר לה גט והיא יכולה להינשא מבחינה אזרחית. לכן יש טענה כי שם ניתן להקל ופה שלא ניתן להינשא בלי גט צריך להחמיר. זה שנוי במחלוקת כי גם בארץ אנשים יחיו חיים משותפים ללא גט. </w:t>
      </w:r>
    </w:p>
    <w:p w14:paraId="6AF5DFBC" w14:textId="77777777" w:rsidR="005379B9" w:rsidRPr="00AA7482" w:rsidRDefault="005379B9" w:rsidP="00AA7482">
      <w:pPr>
        <w:rPr>
          <w:rFonts w:ascii="David" w:hAnsi="David"/>
          <w:rtl/>
        </w:rPr>
      </w:pPr>
      <w:r w:rsidRPr="00AA7482">
        <w:rPr>
          <w:rFonts w:ascii="David" w:hAnsi="David" w:hint="cs"/>
          <w:b/>
          <w:bCs/>
          <w:shd w:val="clear" w:color="auto" w:fill="FFE99C" w:themeFill="accent1" w:themeFillTint="66"/>
          <w:rtl/>
        </w:rPr>
        <w:t>תביעות נזיקין</w:t>
      </w:r>
      <w:r w:rsidRPr="00AA7482">
        <w:rPr>
          <w:rFonts w:ascii="David" w:hAnsi="David" w:hint="cs"/>
          <w:rtl/>
        </w:rPr>
        <w:t xml:space="preserve">: התביעות הן בסמכות ייחודית של ביהמ"ש לענייני משפחה ולא ניתן להכחיש שמדובר בכלי לסידור הגט. מה קורה בביה"ד כאשר האישה מקבלת פיצוי נזיקי וכתוצאה מכך הגבר מעניק גט? בתי הדין טוענים לגט מעושה. </w:t>
      </w:r>
      <w:r w:rsidRPr="00AA7482">
        <w:rPr>
          <w:rFonts w:ascii="David" w:hAnsi="David" w:hint="cs"/>
          <w:u w:val="single"/>
          <w:rtl/>
        </w:rPr>
        <w:t>לדוג'</w:t>
      </w:r>
      <w:r w:rsidRPr="00AA7482">
        <w:rPr>
          <w:rFonts w:ascii="David" w:hAnsi="David" w:hint="cs"/>
          <w:rtl/>
        </w:rPr>
        <w:t>: פס"ד מחיפה שהגבר חויב ב200,000 ₪ וביה"ד מסרב לסדר את הגט עד השבת הכספים.</w:t>
      </w:r>
    </w:p>
    <w:p w14:paraId="75951EB6" w14:textId="24DA63B9" w:rsidR="005379B9" w:rsidRPr="00AA7482" w:rsidRDefault="005379B9" w:rsidP="00AA7482">
      <w:pPr>
        <w:pStyle w:val="ac"/>
        <w:numPr>
          <w:ilvl w:val="1"/>
          <w:numId w:val="10"/>
        </w:numPr>
        <w:bidi/>
        <w:rPr>
          <w:rFonts w:ascii="David" w:hAnsi="David"/>
          <w:sz w:val="22"/>
          <w:rtl/>
        </w:rPr>
      </w:pPr>
      <w:r w:rsidRPr="00AA7482">
        <w:rPr>
          <w:rFonts w:ascii="David" w:hAnsi="David" w:hint="cs"/>
          <w:sz w:val="22"/>
          <w:highlight w:val="cyan"/>
          <w:rtl/>
        </w:rPr>
        <w:t>פס"ד של ביה"ד הגדול</w:t>
      </w:r>
      <w:r w:rsidR="00AA7482">
        <w:rPr>
          <w:rFonts w:ascii="David" w:hAnsi="David" w:hint="cs"/>
          <w:sz w:val="22"/>
          <w:rtl/>
        </w:rPr>
        <w:t>:</w:t>
      </w:r>
      <w:r w:rsidRPr="00AA7482">
        <w:rPr>
          <w:rFonts w:ascii="David" w:hAnsi="David" w:hint="cs"/>
          <w:sz w:val="22"/>
          <w:rtl/>
        </w:rPr>
        <w:t xml:space="preserve"> קובע כי עו"ד שמציע לאישה לתבוע בגין סרבנות גט יכול להיתבע בגין רשלנות.</w:t>
      </w:r>
    </w:p>
    <w:p w14:paraId="74C83036" w14:textId="77777777" w:rsidR="005379B9" w:rsidRPr="00AA7482" w:rsidRDefault="005379B9" w:rsidP="00AA7482">
      <w:pPr>
        <w:pStyle w:val="ac"/>
        <w:numPr>
          <w:ilvl w:val="1"/>
          <w:numId w:val="10"/>
        </w:numPr>
        <w:bidi/>
        <w:rPr>
          <w:rFonts w:ascii="David" w:hAnsi="David"/>
          <w:sz w:val="22"/>
          <w:rtl/>
        </w:rPr>
      </w:pPr>
      <w:r w:rsidRPr="00AA7482">
        <w:rPr>
          <w:rFonts w:ascii="David" w:hAnsi="David" w:hint="cs"/>
          <w:sz w:val="22"/>
          <w:rtl/>
        </w:rPr>
        <w:t>הסתכלות על ההליכים בפועל מראה כי במקרים רבים האישה מקבלת גט. בחלק מהמקרים תמורת וויתור על הפיצוי ובחלק היא מקבלת גם פיצוי וגם גט. איך זה יכול להיות?</w:t>
      </w:r>
    </w:p>
    <w:p w14:paraId="61BE0211" w14:textId="14F15E37" w:rsidR="0067220B" w:rsidRPr="00AA7482" w:rsidRDefault="005379B9" w:rsidP="00AA7482">
      <w:pPr>
        <w:pStyle w:val="ac"/>
        <w:numPr>
          <w:ilvl w:val="1"/>
          <w:numId w:val="10"/>
        </w:numPr>
        <w:bidi/>
        <w:rPr>
          <w:rFonts w:ascii="David" w:hAnsi="David"/>
          <w:sz w:val="22"/>
          <w:rtl/>
        </w:rPr>
      </w:pPr>
      <w:r w:rsidRPr="00AA7482">
        <w:rPr>
          <w:rFonts w:ascii="David" w:hAnsi="David" w:hint="cs"/>
          <w:sz w:val="22"/>
          <w:highlight w:val="cyan"/>
          <w:rtl/>
        </w:rPr>
        <w:t>פס"ד מ2019</w:t>
      </w:r>
      <w:r w:rsidR="00AA7482">
        <w:rPr>
          <w:rFonts w:ascii="David" w:hAnsi="David" w:hint="cs"/>
          <w:sz w:val="22"/>
          <w:rtl/>
        </w:rPr>
        <w:t>:</w:t>
      </w:r>
      <w:r w:rsidRPr="00AA7482">
        <w:rPr>
          <w:rFonts w:ascii="David" w:hAnsi="David" w:hint="cs"/>
          <w:sz w:val="22"/>
          <w:rtl/>
        </w:rPr>
        <w:t xml:space="preserve"> ביה"ד מב"ש מטפל בהסכם גירושין לפיו הבעל מעביר לאישה לסילוק כל תביעותיה לרבות תביעת נזיקין 150,000 ₪. למחרת הבעל נותן גט. הגט סודר על סמך הסכם שקובע פיצוי נזיקי. זה מראה כי שסודר הגט התביעה הייתה בתוקף. ביה"ד אומר כי חז"ל אמרו שאנשים מוכנים לשלם סכומים במעין פשרה כדי להימנע מתביעה ופיצוי יותר גדול.</w:t>
      </w:r>
    </w:p>
    <w:p w14:paraId="12F1C877" w14:textId="77777777" w:rsidR="006046EB" w:rsidRPr="006046EB" w:rsidRDefault="006046EB" w:rsidP="006046EB">
      <w:pPr>
        <w:pBdr>
          <w:top w:val="single" w:sz="4" w:space="1" w:color="auto"/>
        </w:pBdr>
        <w:rPr>
          <w:rFonts w:ascii="David" w:hAnsi="David"/>
        </w:rPr>
      </w:pPr>
      <w:r>
        <w:rPr>
          <w:rFonts w:ascii="David" w:hAnsi="David" w:hint="cs"/>
          <w:rtl/>
        </w:rPr>
        <w:t>21.06.2022</w:t>
      </w:r>
    </w:p>
    <w:p w14:paraId="2449EBFB" w14:textId="60A86745" w:rsidR="005B614C" w:rsidRDefault="005B614C" w:rsidP="00EF0628">
      <w:pPr>
        <w:pStyle w:val="ac"/>
        <w:numPr>
          <w:ilvl w:val="0"/>
          <w:numId w:val="25"/>
        </w:numPr>
        <w:shd w:val="clear" w:color="auto" w:fill="FFF4CD" w:themeFill="accent1" w:themeFillTint="33"/>
        <w:bidi/>
        <w:rPr>
          <w:rFonts w:ascii="David" w:hAnsi="David"/>
        </w:rPr>
      </w:pPr>
      <w:r>
        <w:rPr>
          <w:rFonts w:ascii="David" w:hAnsi="David" w:hint="cs"/>
          <w:b/>
          <w:bCs/>
          <w:rtl/>
        </w:rPr>
        <w:t>פתרונות רדיקלים לסרבנות גט</w:t>
      </w:r>
    </w:p>
    <w:p w14:paraId="7865264E" w14:textId="0D05FF0A" w:rsidR="00FD7E4F" w:rsidRPr="00FD7E4F" w:rsidRDefault="00C5297C" w:rsidP="005B614C">
      <w:pPr>
        <w:pStyle w:val="ac"/>
        <w:numPr>
          <w:ilvl w:val="1"/>
          <w:numId w:val="25"/>
        </w:numPr>
        <w:bidi/>
        <w:rPr>
          <w:rFonts w:ascii="David" w:hAnsi="David"/>
          <w:b/>
          <w:bCs/>
        </w:rPr>
      </w:pPr>
      <w:r w:rsidRPr="00FD7E4F">
        <w:rPr>
          <w:rFonts w:ascii="David" w:hAnsi="David" w:hint="cs"/>
          <w:b/>
          <w:bCs/>
          <w:shd w:val="clear" w:color="auto" w:fill="FFF4CD" w:themeFill="accent1" w:themeFillTint="33"/>
          <w:rtl/>
        </w:rPr>
        <w:t>הפקעת קידושין</w:t>
      </w:r>
      <w:r w:rsidR="00FD7E4F">
        <w:rPr>
          <w:rFonts w:ascii="David" w:hAnsi="David" w:hint="cs"/>
          <w:b/>
          <w:bCs/>
          <w:rtl/>
        </w:rPr>
        <w:t>:</w:t>
      </w:r>
    </w:p>
    <w:p w14:paraId="797DAD1A" w14:textId="3B281DA4" w:rsidR="006046EB" w:rsidRDefault="00FD7E4F" w:rsidP="00FD7E4F">
      <w:pPr>
        <w:pStyle w:val="ac"/>
        <w:numPr>
          <w:ilvl w:val="2"/>
          <w:numId w:val="25"/>
        </w:numPr>
        <w:bidi/>
        <w:rPr>
          <w:rFonts w:ascii="David" w:hAnsi="David"/>
        </w:rPr>
      </w:pPr>
      <w:r w:rsidRPr="00D663D8">
        <w:rPr>
          <w:rFonts w:ascii="David" w:hAnsi="David" w:hint="cs"/>
          <w:u w:val="single"/>
          <w:rtl/>
        </w:rPr>
        <w:t>הגדרה</w:t>
      </w:r>
      <w:r>
        <w:rPr>
          <w:rFonts w:ascii="David" w:hAnsi="David" w:hint="cs"/>
          <w:rtl/>
        </w:rPr>
        <w:t>:</w:t>
      </w:r>
      <w:r w:rsidR="005B614C">
        <w:rPr>
          <w:rFonts w:ascii="David" w:hAnsi="David" w:hint="cs"/>
          <w:rtl/>
        </w:rPr>
        <w:t xml:space="preserve"> קביעה למפרע שהקידושין מופקעים. כלומר מכאן והלאה</w:t>
      </w:r>
      <w:r w:rsidR="007217AE">
        <w:rPr>
          <w:rFonts w:ascii="David" w:hAnsi="David" w:hint="cs"/>
          <w:rtl/>
        </w:rPr>
        <w:t xml:space="preserve"> הקידושין לא קיימים.</w:t>
      </w:r>
      <w:r>
        <w:rPr>
          <w:rFonts w:ascii="David" w:hAnsi="David" w:hint="cs"/>
          <w:rtl/>
        </w:rPr>
        <w:t xml:space="preserve"> מפקיעים לגבר את הזכויות בכסף או בשווה כסף בהם קידש הבעל את אשתו.</w:t>
      </w:r>
    </w:p>
    <w:p w14:paraId="4919EAF0" w14:textId="2923E137" w:rsidR="007217AE" w:rsidRDefault="007217AE" w:rsidP="007217AE">
      <w:pPr>
        <w:pStyle w:val="ac"/>
        <w:numPr>
          <w:ilvl w:val="2"/>
          <w:numId w:val="25"/>
        </w:numPr>
        <w:bidi/>
        <w:rPr>
          <w:rFonts w:ascii="David" w:hAnsi="David"/>
        </w:rPr>
      </w:pPr>
      <w:r>
        <w:rPr>
          <w:rFonts w:ascii="David" w:hAnsi="David" w:hint="cs"/>
          <w:rtl/>
        </w:rPr>
        <w:t xml:space="preserve">הצעת חוק: </w:t>
      </w:r>
      <w:r w:rsidR="00BC196D">
        <w:rPr>
          <w:rFonts w:ascii="David" w:hAnsi="David" w:hint="cs"/>
          <w:rtl/>
        </w:rPr>
        <w:t>"</w:t>
      </w:r>
      <w:r w:rsidR="00042BE0">
        <w:rPr>
          <w:rFonts w:ascii="David" w:hAnsi="David" w:hint="cs"/>
          <w:rtl/>
        </w:rPr>
        <w:t xml:space="preserve">אדם שסירב לתת גט </w:t>
      </w:r>
      <w:r w:rsidR="00A607FE">
        <w:rPr>
          <w:rFonts w:ascii="David" w:hAnsi="David" w:hint="cs"/>
          <w:rtl/>
        </w:rPr>
        <w:t xml:space="preserve">לאחר שבית הדין קבע גט לכפייה או חיוב </w:t>
      </w:r>
      <w:r w:rsidR="00042BE0">
        <w:rPr>
          <w:rFonts w:ascii="David" w:hAnsi="David" w:hint="cs"/>
          <w:rtl/>
        </w:rPr>
        <w:t xml:space="preserve">מעל לשנה </w:t>
      </w:r>
      <w:r w:rsidR="00BC196D">
        <w:rPr>
          <w:rFonts w:ascii="David" w:hAnsi="David" w:hint="cs"/>
          <w:rtl/>
        </w:rPr>
        <w:t>יופקעו למפרע זכויות הכסף או שווה הכסף שבהם הבעל קידש את אשתו".</w:t>
      </w:r>
      <w:r w:rsidR="00A607FE">
        <w:rPr>
          <w:rFonts w:ascii="David" w:hAnsi="David" w:hint="cs"/>
          <w:rtl/>
        </w:rPr>
        <w:t xml:space="preserve"> החוק הזה מתוחכם </w:t>
      </w:r>
      <w:r w:rsidR="002D1750">
        <w:rPr>
          <w:rFonts w:ascii="David" w:hAnsi="David" w:hint="cs"/>
          <w:rtl/>
        </w:rPr>
        <w:t>ולוקח בחשבון את העובדה שבי"ד מתנגד להפקעת קידושין. החוק קובע כי בי"ד יקבע בנוגע לגט, אולם מדינת ישראל (החוק)</w:t>
      </w:r>
      <w:r w:rsidR="002D1750">
        <w:rPr>
          <w:rFonts w:ascii="David" w:hAnsi="David" w:hint="cs"/>
        </w:rPr>
        <w:t xml:space="preserve"> </w:t>
      </w:r>
      <w:r w:rsidR="002D1750">
        <w:rPr>
          <w:rFonts w:ascii="David" w:hAnsi="David" w:hint="cs"/>
          <w:rtl/>
        </w:rPr>
        <w:t xml:space="preserve"> יפקיע את הקידושין.</w:t>
      </w:r>
      <w:r w:rsidR="00FD7E4F">
        <w:rPr>
          <w:rFonts w:ascii="David" w:hAnsi="David" w:hint="cs"/>
          <w:rtl/>
        </w:rPr>
        <w:t xml:space="preserve"> בפועל החוק לא קיים וקשה להגיד שהוא הולך להתקבל, יתרה מזו לא בטוח שאם יהיה קיים בית הדין יאפשר הפקעת קידושין.</w:t>
      </w:r>
    </w:p>
    <w:p w14:paraId="53B68148" w14:textId="44E36E8E" w:rsidR="00FD7E4F" w:rsidRPr="00EF0628" w:rsidRDefault="00FD7E4F" w:rsidP="00FD7E4F">
      <w:pPr>
        <w:pStyle w:val="ac"/>
        <w:numPr>
          <w:ilvl w:val="2"/>
          <w:numId w:val="25"/>
        </w:numPr>
        <w:bidi/>
        <w:rPr>
          <w:rFonts w:ascii="David" w:hAnsi="David"/>
          <w:u w:val="single"/>
        </w:rPr>
      </w:pPr>
      <w:r w:rsidRPr="00EF0628">
        <w:rPr>
          <w:rFonts w:ascii="David" w:hAnsi="David" w:hint="cs"/>
          <w:u w:val="single"/>
          <w:rtl/>
        </w:rPr>
        <w:t xml:space="preserve">המצב כיום בבתי הדין: </w:t>
      </w:r>
    </w:p>
    <w:p w14:paraId="39D9AF4A" w14:textId="74546EC2" w:rsidR="00580C07" w:rsidRDefault="00314A15" w:rsidP="00314A15">
      <w:pPr>
        <w:pStyle w:val="ac"/>
        <w:numPr>
          <w:ilvl w:val="3"/>
          <w:numId w:val="25"/>
        </w:numPr>
        <w:bidi/>
        <w:rPr>
          <w:rFonts w:ascii="David" w:hAnsi="David"/>
        </w:rPr>
      </w:pPr>
      <w:r w:rsidRPr="00580C07">
        <w:rPr>
          <w:rFonts w:ascii="David" w:hAnsi="David" w:hint="cs"/>
          <w:highlight w:val="cyan"/>
          <w:rtl/>
        </w:rPr>
        <w:t>תיק 905457/10</w:t>
      </w:r>
      <w:r>
        <w:rPr>
          <w:rFonts w:ascii="David" w:hAnsi="David" w:hint="cs"/>
          <w:rtl/>
        </w:rPr>
        <w:t xml:space="preserve"> </w:t>
      </w:r>
      <w:r>
        <w:rPr>
          <w:rFonts w:ascii="David" w:hAnsi="David"/>
          <w:rtl/>
        </w:rPr>
        <w:t>–</w:t>
      </w:r>
      <w:r>
        <w:rPr>
          <w:rFonts w:ascii="David" w:hAnsi="David" w:hint="cs"/>
          <w:rtl/>
        </w:rPr>
        <w:t xml:space="preserve"> אישה מסורבת גט מבקשת שיפקיעו את הקידושין שלה לאחר ש</w:t>
      </w:r>
      <w:r w:rsidR="00E94003">
        <w:rPr>
          <w:rFonts w:ascii="David" w:hAnsi="David" w:hint="cs"/>
          <w:rtl/>
        </w:rPr>
        <w:t xml:space="preserve">לא הצליחה להשיג גט מבעלה שברח לחו"ל. בי"ד </w:t>
      </w:r>
      <w:r w:rsidR="009162A6">
        <w:rPr>
          <w:rFonts w:ascii="David" w:hAnsi="David" w:hint="cs"/>
          <w:rtl/>
        </w:rPr>
        <w:t xml:space="preserve">טוען שכאשר </w:t>
      </w:r>
      <w:r w:rsidR="00786502">
        <w:rPr>
          <w:rFonts w:ascii="David" w:hAnsi="David" w:hint="cs"/>
          <w:rtl/>
        </w:rPr>
        <w:t>מסתכלים</w:t>
      </w:r>
      <w:r w:rsidR="009162A6">
        <w:rPr>
          <w:rFonts w:ascii="David" w:hAnsi="David" w:hint="cs"/>
          <w:rtl/>
        </w:rPr>
        <w:t xml:space="preserve"> על המקרים בתלמוד שבהם הפקיעו קידושין, ניתן לראות שמדובר במקרים מאוד מוגדרים. </w:t>
      </w:r>
      <w:r w:rsidR="00580C07" w:rsidRPr="001678E8">
        <w:rPr>
          <w:rFonts w:ascii="David" w:hAnsi="David" w:hint="cs"/>
          <w:u w:val="single"/>
          <w:rtl/>
        </w:rPr>
        <w:t>שני סוגים של קבוצות</w:t>
      </w:r>
      <w:r w:rsidR="00A64CC5" w:rsidRPr="001678E8">
        <w:rPr>
          <w:rFonts w:ascii="David" w:hAnsi="David" w:hint="cs"/>
          <w:u w:val="single"/>
          <w:rtl/>
        </w:rPr>
        <w:t xml:space="preserve"> במקרים המוגדרים</w:t>
      </w:r>
      <w:r w:rsidR="00580C07" w:rsidRPr="001678E8">
        <w:rPr>
          <w:rFonts w:ascii="David" w:hAnsi="David" w:hint="cs"/>
          <w:u w:val="single"/>
          <w:rtl/>
        </w:rPr>
        <w:t>:</w:t>
      </w:r>
    </w:p>
    <w:p w14:paraId="6415139A" w14:textId="17119E99" w:rsidR="00314A15" w:rsidRDefault="00580C07" w:rsidP="00580C07">
      <w:pPr>
        <w:pStyle w:val="ac"/>
        <w:numPr>
          <w:ilvl w:val="4"/>
          <w:numId w:val="25"/>
        </w:numPr>
        <w:bidi/>
        <w:rPr>
          <w:rFonts w:ascii="David" w:hAnsi="David"/>
        </w:rPr>
      </w:pPr>
      <w:r>
        <w:rPr>
          <w:rFonts w:ascii="David" w:hAnsi="David" w:hint="cs"/>
          <w:rtl/>
        </w:rPr>
        <w:t xml:space="preserve">הפקיעו קידושין כאשר הקידושין היו </w:t>
      </w:r>
      <w:r w:rsidRPr="001678E8">
        <w:rPr>
          <w:rFonts w:ascii="David" w:hAnsi="David" w:hint="cs"/>
          <w:b/>
          <w:bCs/>
          <w:rtl/>
        </w:rPr>
        <w:t>שלא כדין</w:t>
      </w:r>
      <w:r>
        <w:rPr>
          <w:rFonts w:ascii="David" w:hAnsi="David" w:hint="cs"/>
          <w:rtl/>
        </w:rPr>
        <w:t xml:space="preserve">. </w:t>
      </w:r>
      <w:r w:rsidR="00936D37">
        <w:rPr>
          <w:rFonts w:ascii="David" w:hAnsi="David" w:hint="cs"/>
          <w:rtl/>
        </w:rPr>
        <w:t xml:space="preserve">לדוג' </w:t>
      </w:r>
      <w:r w:rsidR="00786502">
        <w:rPr>
          <w:rFonts w:ascii="David" w:hAnsi="David" w:hint="cs"/>
          <w:rtl/>
        </w:rPr>
        <w:t>מי שלא יעשה קידושין בפומבי קידושיו יופקעו</w:t>
      </w:r>
      <w:r w:rsidR="00936D37">
        <w:rPr>
          <w:rFonts w:ascii="David" w:hAnsi="David" w:hint="cs"/>
          <w:rtl/>
        </w:rPr>
        <w:t>.</w:t>
      </w:r>
    </w:p>
    <w:p w14:paraId="19FE14B3" w14:textId="4C572CF1" w:rsidR="00936D37" w:rsidRDefault="00936D37" w:rsidP="00936D37">
      <w:pPr>
        <w:pStyle w:val="ac"/>
        <w:numPr>
          <w:ilvl w:val="4"/>
          <w:numId w:val="25"/>
        </w:numPr>
        <w:bidi/>
        <w:rPr>
          <w:rFonts w:ascii="David" w:hAnsi="David"/>
        </w:rPr>
      </w:pPr>
      <w:r>
        <w:rPr>
          <w:rFonts w:ascii="David" w:hAnsi="David" w:hint="cs"/>
          <w:rtl/>
        </w:rPr>
        <w:t xml:space="preserve">כאשר ניתן גט אבל בדיעבד </w:t>
      </w:r>
      <w:r w:rsidRPr="001678E8">
        <w:rPr>
          <w:rFonts w:ascii="David" w:hAnsi="David" w:hint="cs"/>
          <w:b/>
          <w:bCs/>
          <w:rtl/>
        </w:rPr>
        <w:t>הגט היה לקוי</w:t>
      </w:r>
      <w:r>
        <w:rPr>
          <w:rFonts w:ascii="David" w:hAnsi="David" w:hint="cs"/>
          <w:rtl/>
        </w:rPr>
        <w:t xml:space="preserve"> מסיב כלשהי, לבית הד</w:t>
      </w:r>
      <w:r w:rsidR="00004B3E">
        <w:rPr>
          <w:rFonts w:ascii="David" w:hAnsi="David" w:hint="cs"/>
          <w:rtl/>
        </w:rPr>
        <w:t>י</w:t>
      </w:r>
      <w:r>
        <w:rPr>
          <w:rFonts w:ascii="David" w:hAnsi="David" w:hint="cs"/>
          <w:rtl/>
        </w:rPr>
        <w:t>ן יש סמכות להפקיע את הקידושין.</w:t>
      </w:r>
    </w:p>
    <w:p w14:paraId="4763FB8F" w14:textId="6037FC26" w:rsidR="00004B3E" w:rsidRDefault="00004B3E" w:rsidP="00004B3E">
      <w:pPr>
        <w:pStyle w:val="ac"/>
        <w:bidi/>
        <w:ind w:left="597"/>
        <w:rPr>
          <w:rFonts w:ascii="David" w:hAnsi="David"/>
        </w:rPr>
      </w:pPr>
      <w:r>
        <w:rPr>
          <w:rFonts w:ascii="David" w:hAnsi="David" w:hint="cs"/>
          <w:rtl/>
        </w:rPr>
        <w:t xml:space="preserve">כלומר, </w:t>
      </w:r>
      <w:r w:rsidR="009E7FCE">
        <w:rPr>
          <w:rFonts w:ascii="David" w:hAnsi="David" w:hint="cs"/>
          <w:rtl/>
        </w:rPr>
        <w:t xml:space="preserve">לפי טיעון זה </w:t>
      </w:r>
      <w:r>
        <w:rPr>
          <w:rFonts w:ascii="David" w:hAnsi="David" w:hint="cs"/>
          <w:rtl/>
        </w:rPr>
        <w:t>לא ניתן לעשות שימוש בהפקעת קידושין כי לשחרר עגונות.</w:t>
      </w:r>
    </w:p>
    <w:p w14:paraId="56D6529E" w14:textId="173FFB94" w:rsidR="00EF0628" w:rsidRDefault="005A3E8E" w:rsidP="00EF0628">
      <w:pPr>
        <w:pStyle w:val="ac"/>
        <w:numPr>
          <w:ilvl w:val="3"/>
          <w:numId w:val="25"/>
        </w:numPr>
        <w:bidi/>
        <w:rPr>
          <w:rFonts w:ascii="David" w:hAnsi="David"/>
        </w:rPr>
      </w:pPr>
      <w:r>
        <w:rPr>
          <w:rFonts w:ascii="David" w:hAnsi="David" w:hint="cs"/>
          <w:rtl/>
        </w:rPr>
        <w:t>עם זאת ישנם</w:t>
      </w:r>
      <w:r w:rsidR="00654773">
        <w:rPr>
          <w:rFonts w:ascii="David" w:hAnsi="David" w:hint="cs"/>
          <w:rtl/>
        </w:rPr>
        <w:t xml:space="preserve"> מקרים </w:t>
      </w:r>
      <w:r>
        <w:rPr>
          <w:rFonts w:ascii="David" w:hAnsi="David" w:hint="cs"/>
          <w:rtl/>
        </w:rPr>
        <w:t xml:space="preserve">בהם </w:t>
      </w:r>
      <w:r w:rsidR="00654773">
        <w:rPr>
          <w:rFonts w:ascii="David" w:hAnsi="David" w:hint="cs"/>
          <w:rtl/>
        </w:rPr>
        <w:t>בית הדין בכול זאת מאפשר לעשות הפקעת קידושין</w:t>
      </w:r>
      <w:r>
        <w:rPr>
          <w:rFonts w:ascii="David" w:hAnsi="David" w:hint="cs"/>
          <w:rtl/>
        </w:rPr>
        <w:t>:</w:t>
      </w:r>
      <w:r w:rsidR="00654773">
        <w:rPr>
          <w:rFonts w:ascii="David" w:hAnsi="David" w:hint="cs"/>
          <w:rtl/>
        </w:rPr>
        <w:t xml:space="preserve"> לצורך טיהור ממזרים</w:t>
      </w:r>
      <w:r w:rsidR="00907534">
        <w:rPr>
          <w:rFonts w:ascii="David" w:hAnsi="David" w:hint="cs"/>
          <w:rtl/>
        </w:rPr>
        <w:t>, זה דורש שיתוף פעולה של הבעל שלה</w:t>
      </w:r>
      <w:r w:rsidR="00654773">
        <w:rPr>
          <w:rFonts w:ascii="David" w:hAnsi="David" w:hint="cs"/>
          <w:rtl/>
        </w:rPr>
        <w:t xml:space="preserve">. בי"ד מפקיע קידושין כדי שהילדים שנולדו </w:t>
      </w:r>
      <w:r w:rsidR="001952A6">
        <w:rPr>
          <w:rFonts w:ascii="David" w:hAnsi="David" w:hint="cs"/>
          <w:rtl/>
        </w:rPr>
        <w:t>לא יחשבו ילדים של אשת איש כי הקידושין הופקעו.</w:t>
      </w:r>
    </w:p>
    <w:p w14:paraId="3F702563" w14:textId="722AF8E7" w:rsidR="00004B3E" w:rsidRDefault="009F4390" w:rsidP="00EF0628">
      <w:pPr>
        <w:pStyle w:val="ac"/>
        <w:numPr>
          <w:ilvl w:val="1"/>
          <w:numId w:val="25"/>
        </w:numPr>
        <w:bidi/>
        <w:rPr>
          <w:rFonts w:ascii="David" w:hAnsi="David"/>
        </w:rPr>
      </w:pPr>
      <w:r w:rsidRPr="0083504E">
        <w:rPr>
          <w:rFonts w:ascii="David" w:hAnsi="David" w:hint="cs"/>
          <w:b/>
          <w:bCs/>
          <w:shd w:val="clear" w:color="auto" w:fill="FFF4CD" w:themeFill="accent1" w:themeFillTint="33"/>
          <w:rtl/>
        </w:rPr>
        <w:t>ביטול קידושין</w:t>
      </w:r>
      <w:r w:rsidR="0083504E" w:rsidRPr="0083504E">
        <w:rPr>
          <w:rFonts w:ascii="David" w:hAnsi="David" w:hint="cs"/>
          <w:b/>
          <w:bCs/>
          <w:shd w:val="clear" w:color="auto" w:fill="FFF4CD" w:themeFill="accent1" w:themeFillTint="33"/>
          <w:rtl/>
        </w:rPr>
        <w:t xml:space="preserve"> מחמת מקח טעות</w:t>
      </w:r>
      <w:r w:rsidR="0083504E">
        <w:rPr>
          <w:rFonts w:ascii="David" w:hAnsi="David" w:hint="cs"/>
          <w:rtl/>
        </w:rPr>
        <w:t>:</w:t>
      </w:r>
    </w:p>
    <w:p w14:paraId="0057974A" w14:textId="469004DB" w:rsidR="009F4390" w:rsidRDefault="009F4390" w:rsidP="0083504E">
      <w:pPr>
        <w:pStyle w:val="ac"/>
        <w:numPr>
          <w:ilvl w:val="2"/>
          <w:numId w:val="25"/>
        </w:numPr>
        <w:bidi/>
        <w:rPr>
          <w:rFonts w:ascii="David" w:hAnsi="David"/>
        </w:rPr>
      </w:pPr>
      <w:r>
        <w:rPr>
          <w:rFonts w:ascii="David" w:hAnsi="David" w:hint="cs"/>
          <w:rtl/>
        </w:rPr>
        <w:t xml:space="preserve">הדרך המרכזית </w:t>
      </w:r>
      <w:r w:rsidR="00EC7703">
        <w:rPr>
          <w:rFonts w:ascii="David" w:hAnsi="David" w:hint="cs"/>
          <w:rtl/>
        </w:rPr>
        <w:t>לביטול קידושין היא</w:t>
      </w:r>
      <w:r>
        <w:rPr>
          <w:rFonts w:ascii="David" w:hAnsi="David" w:hint="cs"/>
          <w:rtl/>
        </w:rPr>
        <w:t xml:space="preserve"> פסילת העדים.</w:t>
      </w:r>
      <w:r w:rsidR="0083504E">
        <w:rPr>
          <w:rFonts w:ascii="David" w:hAnsi="David" w:hint="cs"/>
          <w:rtl/>
        </w:rPr>
        <w:t xml:space="preserve"> מה עושים אם אין דרך להוכיח כי העדים לא כשרים? אפשר לנסות להוכיח כי הטבעת פסולה אבל כמעט ולא אפשרי. הדרך האפשרית הנוספת שגם היא קשה, היא </w:t>
      </w:r>
      <w:r w:rsidR="00E305B0">
        <w:rPr>
          <w:rFonts w:ascii="David" w:hAnsi="David" w:hint="cs"/>
          <w:rtl/>
        </w:rPr>
        <w:t>ביטול</w:t>
      </w:r>
      <w:r w:rsidR="0083504E">
        <w:rPr>
          <w:rFonts w:ascii="David" w:hAnsi="David" w:hint="cs"/>
          <w:rtl/>
        </w:rPr>
        <w:t xml:space="preserve"> קידושין מחמת מקח טעות</w:t>
      </w:r>
      <w:r w:rsidR="00EC7703">
        <w:rPr>
          <w:rFonts w:ascii="David" w:hAnsi="David" w:hint="cs"/>
          <w:rtl/>
        </w:rPr>
        <w:t>.</w:t>
      </w:r>
    </w:p>
    <w:p w14:paraId="0BA5AB31" w14:textId="09306B38" w:rsidR="00F83F90" w:rsidRPr="00154579" w:rsidRDefault="0069777A" w:rsidP="0069777A">
      <w:pPr>
        <w:pStyle w:val="ac"/>
        <w:numPr>
          <w:ilvl w:val="2"/>
          <w:numId w:val="25"/>
        </w:numPr>
        <w:bidi/>
        <w:rPr>
          <w:rFonts w:ascii="David" w:hAnsi="David"/>
          <w:u w:val="single"/>
        </w:rPr>
      </w:pPr>
      <w:r w:rsidRPr="00154579">
        <w:rPr>
          <w:rFonts w:ascii="David" w:hAnsi="David" w:hint="cs"/>
          <w:u w:val="single"/>
          <w:rtl/>
        </w:rPr>
        <w:t>שו"ת אגרות משה:</w:t>
      </w:r>
      <w:r w:rsidRPr="007B75E2">
        <w:rPr>
          <w:rFonts w:ascii="David" w:hAnsi="David" w:hint="cs"/>
          <w:rtl/>
        </w:rPr>
        <w:t xml:space="preserve"> </w:t>
      </w:r>
      <w:r w:rsidR="007B75E2" w:rsidRPr="007B75E2">
        <w:rPr>
          <w:rFonts w:ascii="David" w:hAnsi="David" w:hint="cs"/>
          <w:rtl/>
        </w:rPr>
        <w:t>שני מקרים:</w:t>
      </w:r>
    </w:p>
    <w:p w14:paraId="6C50D917" w14:textId="6DA536DD" w:rsidR="0069777A" w:rsidRDefault="0069777A" w:rsidP="00F83F90">
      <w:pPr>
        <w:pStyle w:val="ac"/>
        <w:numPr>
          <w:ilvl w:val="3"/>
          <w:numId w:val="25"/>
        </w:numPr>
        <w:bidi/>
        <w:rPr>
          <w:rFonts w:ascii="David" w:hAnsi="David"/>
        </w:rPr>
      </w:pPr>
      <w:r>
        <w:rPr>
          <w:rFonts w:ascii="David" w:hAnsi="David" w:hint="cs"/>
          <w:rtl/>
        </w:rPr>
        <w:t>גבר שלא יכול להוליד ילדים, מסרב גט לאשתו וברח</w:t>
      </w:r>
      <w:r w:rsidR="009318A5">
        <w:rPr>
          <w:rFonts w:ascii="David" w:hAnsi="David" w:hint="cs"/>
          <w:rtl/>
        </w:rPr>
        <w:t xml:space="preserve">. העובדה שלא יכול היה להביא ילדים לעולם לא קרתה במהלך הנישואין אלא </w:t>
      </w:r>
      <w:r w:rsidR="00F83F90">
        <w:rPr>
          <w:rFonts w:ascii="David" w:hAnsi="David" w:hint="cs"/>
          <w:rtl/>
        </w:rPr>
        <w:t>לפני. ניתן לבטל את הקידושין מחמת מקח טעות.</w:t>
      </w:r>
    </w:p>
    <w:p w14:paraId="73790D71" w14:textId="61A48349" w:rsidR="00365DDE" w:rsidRDefault="00F83F90" w:rsidP="00365DDE">
      <w:pPr>
        <w:pStyle w:val="ac"/>
        <w:numPr>
          <w:ilvl w:val="3"/>
          <w:numId w:val="25"/>
        </w:numPr>
        <w:bidi/>
        <w:rPr>
          <w:rFonts w:ascii="David" w:hAnsi="David"/>
        </w:rPr>
      </w:pPr>
      <w:r>
        <w:rPr>
          <w:rFonts w:ascii="David" w:hAnsi="David" w:hint="cs"/>
          <w:rtl/>
        </w:rPr>
        <w:t>גבר שידע שהוא לא יכול היה ללדת ילדים אבל התחתן. ניתן לבטל את הקידושין מחמת מקח טעות.</w:t>
      </w:r>
    </w:p>
    <w:p w14:paraId="77328D65" w14:textId="63BC08BD" w:rsidR="00507230" w:rsidRDefault="00365DDE" w:rsidP="00365DDE">
      <w:pPr>
        <w:pStyle w:val="ac"/>
        <w:numPr>
          <w:ilvl w:val="2"/>
          <w:numId w:val="25"/>
        </w:numPr>
        <w:bidi/>
        <w:rPr>
          <w:rFonts w:ascii="David" w:hAnsi="David"/>
        </w:rPr>
      </w:pPr>
      <w:r>
        <w:rPr>
          <w:rFonts w:ascii="David" w:hAnsi="David" w:hint="cs"/>
          <w:rtl/>
        </w:rPr>
        <w:lastRenderedPageBreak/>
        <w:t>בתי הדין עושים שימוש במקח טעות במקרים מאוד נדרים.</w:t>
      </w:r>
      <w:r w:rsidR="00A51C59">
        <w:rPr>
          <w:rFonts w:ascii="David" w:hAnsi="David" w:hint="cs"/>
          <w:rtl/>
        </w:rPr>
        <w:t xml:space="preserve"> </w:t>
      </w:r>
      <w:r w:rsidR="00062F5F" w:rsidRPr="000A2700">
        <w:rPr>
          <w:rFonts w:ascii="David" w:hAnsi="David" w:hint="cs"/>
          <w:u w:val="single"/>
          <w:rtl/>
        </w:rPr>
        <w:t>שני רכיבים שחייבים להיות במקח טעות:</w:t>
      </w:r>
    </w:p>
    <w:p w14:paraId="7F4D73F0" w14:textId="69675719" w:rsidR="00365DDE" w:rsidRDefault="00A51C59" w:rsidP="00507230">
      <w:pPr>
        <w:pStyle w:val="ac"/>
        <w:numPr>
          <w:ilvl w:val="3"/>
          <w:numId w:val="25"/>
        </w:numPr>
        <w:bidi/>
        <w:rPr>
          <w:rFonts w:ascii="David" w:hAnsi="David"/>
        </w:rPr>
      </w:pPr>
      <w:r>
        <w:rPr>
          <w:rFonts w:ascii="David" w:hAnsi="David" w:hint="cs"/>
          <w:rtl/>
        </w:rPr>
        <w:t>הביטול צריך להיות ביחס</w:t>
      </w:r>
      <w:r w:rsidR="003F7F3C">
        <w:rPr>
          <w:rFonts w:ascii="David" w:hAnsi="David" w:hint="cs"/>
          <w:rtl/>
        </w:rPr>
        <w:t xml:space="preserve"> לדבר מאוד מרכזי בנישואין, </w:t>
      </w:r>
      <w:r w:rsidR="003F7F3C" w:rsidRPr="000A2700">
        <w:rPr>
          <w:rFonts w:ascii="David" w:hAnsi="David" w:hint="cs"/>
          <w:b/>
          <w:bCs/>
          <w:rtl/>
        </w:rPr>
        <w:t>טעות גדולה ולא משהו שולי</w:t>
      </w:r>
      <w:r w:rsidR="003F7F3C">
        <w:rPr>
          <w:rFonts w:ascii="David" w:hAnsi="David" w:hint="cs"/>
          <w:rtl/>
        </w:rPr>
        <w:t xml:space="preserve"> שאולי הוסתר אבל סביר שזה לא היה גורם לה לא להינשא לו.</w:t>
      </w:r>
    </w:p>
    <w:p w14:paraId="3C853A37" w14:textId="4DD97A06" w:rsidR="00507230" w:rsidRDefault="00507230" w:rsidP="00507230">
      <w:pPr>
        <w:pStyle w:val="ac"/>
        <w:numPr>
          <w:ilvl w:val="3"/>
          <w:numId w:val="25"/>
        </w:numPr>
        <w:bidi/>
        <w:rPr>
          <w:rFonts w:ascii="David" w:hAnsi="David"/>
        </w:rPr>
      </w:pPr>
      <w:r>
        <w:rPr>
          <w:rFonts w:ascii="David" w:hAnsi="David" w:hint="cs"/>
          <w:rtl/>
        </w:rPr>
        <w:t xml:space="preserve">הטעות צריכה להיות </w:t>
      </w:r>
      <w:r w:rsidR="00386B21" w:rsidRPr="000A2700">
        <w:rPr>
          <w:rFonts w:ascii="David" w:hAnsi="David" w:hint="cs"/>
          <w:b/>
          <w:bCs/>
          <w:rtl/>
        </w:rPr>
        <w:t>בעת הקידושין</w:t>
      </w:r>
      <w:r w:rsidR="00386B21">
        <w:rPr>
          <w:rFonts w:ascii="David" w:hAnsi="David" w:hint="cs"/>
          <w:rtl/>
        </w:rPr>
        <w:t xml:space="preserve"> ('בעת כריתת החוזה') </w:t>
      </w:r>
      <w:r w:rsidR="00386B21">
        <w:rPr>
          <w:rFonts w:ascii="David" w:hAnsi="David"/>
          <w:rtl/>
        </w:rPr>
        <w:t>–</w:t>
      </w:r>
      <w:r w:rsidR="00386B21">
        <w:rPr>
          <w:rFonts w:ascii="David" w:hAnsi="David" w:hint="cs"/>
          <w:rtl/>
        </w:rPr>
        <w:t xml:space="preserve"> כלומר, לא יכול להיות מדובר על מצב עתידי. לדוג' גבר שבמהלך הנישואין פתאום לא יכול היה להביא ילדים וזה לא דבר שהיה מלכתחילה.</w:t>
      </w:r>
    </w:p>
    <w:p w14:paraId="5E3CE06E" w14:textId="19CF8242" w:rsidR="00154579" w:rsidRPr="000A2700" w:rsidRDefault="00750751" w:rsidP="000A2700">
      <w:pPr>
        <w:pStyle w:val="ac"/>
        <w:bidi/>
        <w:ind w:left="369"/>
        <w:rPr>
          <w:rFonts w:ascii="David" w:hAnsi="David"/>
          <w:b/>
          <w:bCs/>
          <w:u w:val="single"/>
        </w:rPr>
      </w:pPr>
      <w:r w:rsidRPr="000A2700">
        <w:rPr>
          <w:rFonts w:ascii="David" w:hAnsi="David" w:hint="cs"/>
          <w:b/>
          <w:bCs/>
          <w:u w:val="single"/>
          <w:rtl/>
        </w:rPr>
        <w:t>גט זיכוי:</w:t>
      </w:r>
    </w:p>
    <w:p w14:paraId="67882F0C" w14:textId="1371DC86" w:rsidR="00365DDE" w:rsidRDefault="00750751" w:rsidP="00365DDE">
      <w:pPr>
        <w:pStyle w:val="ac"/>
        <w:numPr>
          <w:ilvl w:val="2"/>
          <w:numId w:val="25"/>
        </w:numPr>
        <w:bidi/>
        <w:rPr>
          <w:rFonts w:ascii="David" w:hAnsi="David"/>
        </w:rPr>
      </w:pPr>
      <w:r w:rsidRPr="00AD3ABF">
        <w:rPr>
          <w:rFonts w:ascii="David" w:hAnsi="David" w:hint="cs"/>
          <w:highlight w:val="cyan"/>
          <w:rtl/>
        </w:rPr>
        <w:t>פס"ד העוגנה מצפת</w:t>
      </w:r>
      <w:r>
        <w:rPr>
          <w:rFonts w:ascii="David" w:hAnsi="David" w:hint="cs"/>
          <w:rtl/>
        </w:rPr>
        <w:t>: גבר היה במהלך שנים בקומה</w:t>
      </w:r>
      <w:r w:rsidR="00096E76">
        <w:rPr>
          <w:rFonts w:ascii="David" w:hAnsi="David" w:hint="cs"/>
          <w:rtl/>
        </w:rPr>
        <w:t xml:space="preserve"> ולכן לא יכול היה לתת גט. בי"ד ניסה למצוא פתרון ע"י </w:t>
      </w:r>
      <w:r w:rsidR="00AD3ABF">
        <w:rPr>
          <w:rFonts w:ascii="David" w:hAnsi="David" w:hint="cs"/>
          <w:rtl/>
        </w:rPr>
        <w:t xml:space="preserve">פסילת העדים אך ללא הצלחה. הרב לוי </w:t>
      </w:r>
      <w:r w:rsidR="00AD3ABF">
        <w:rPr>
          <w:rFonts w:ascii="David" w:hAnsi="David"/>
          <w:rtl/>
        </w:rPr>
        <w:t>–</w:t>
      </w:r>
      <w:r w:rsidR="00AD3ABF">
        <w:rPr>
          <w:rFonts w:ascii="David" w:hAnsi="David" w:hint="cs"/>
          <w:rtl/>
        </w:rPr>
        <w:t xml:space="preserve"> האישה נמצאת במצב של עגינות והבעל הסביר לא היה רוצה שאשתו תהיה במצב כזה ולכן סביר להניח שאם הוא היה יכול לתקשר איתנו הוא היה מבקש לשחרר את אשתו מהמצב הזה. לכן בית הדין אומר כי הוא ייתן לאישה גט בשם הבעל וישמש כשליח. איך זה הגיוני? הרי הבעל לא מינה אותם מראש להיות שליח</w:t>
      </w:r>
      <w:r w:rsidR="00393716">
        <w:rPr>
          <w:rFonts w:ascii="David" w:hAnsi="David" w:hint="cs"/>
          <w:rtl/>
        </w:rPr>
        <w:t xml:space="preserve"> </w:t>
      </w:r>
      <w:r w:rsidR="00393716">
        <w:rPr>
          <w:rFonts w:ascii="David" w:hAnsi="David"/>
          <w:rtl/>
        </w:rPr>
        <w:t>–</w:t>
      </w:r>
      <w:r w:rsidR="00393716">
        <w:rPr>
          <w:rFonts w:ascii="David" w:hAnsi="David" w:hint="cs"/>
          <w:rtl/>
        </w:rPr>
        <w:t xml:space="preserve"> זה בדיוק העניין של זיכוי. אפשר לבצע פעולה שמזכה אדם </w:t>
      </w:r>
      <w:r w:rsidR="001A5884">
        <w:rPr>
          <w:rFonts w:ascii="David" w:hAnsi="David" w:hint="cs"/>
          <w:rtl/>
        </w:rPr>
        <w:t>עבורו גם ללא הסכמה שלו.</w:t>
      </w:r>
    </w:p>
    <w:p w14:paraId="1225B296" w14:textId="1F968AEE" w:rsidR="001A5884" w:rsidRDefault="001A5884" w:rsidP="001A5884">
      <w:pPr>
        <w:pStyle w:val="ac"/>
        <w:bidi/>
        <w:ind w:left="369"/>
        <w:rPr>
          <w:rFonts w:ascii="David" w:hAnsi="David"/>
          <w:rtl/>
        </w:rPr>
      </w:pPr>
      <w:r>
        <w:rPr>
          <w:rFonts w:ascii="David" w:hAnsi="David" w:hint="cs"/>
          <w:rtl/>
        </w:rPr>
        <w:t xml:space="preserve">פרופ' רדזינר אומר כי פס"ד זה מאוד בעייתי. </w:t>
      </w:r>
      <w:r w:rsidR="00D55A70">
        <w:rPr>
          <w:rFonts w:ascii="David" w:hAnsi="David" w:hint="cs"/>
          <w:rtl/>
        </w:rPr>
        <w:t xml:space="preserve">לא כזה בטוח שאדם שהיה בקומה היה </w:t>
      </w:r>
      <w:r w:rsidR="00495D9A">
        <w:rPr>
          <w:rFonts w:ascii="David" w:hAnsi="David" w:hint="cs"/>
          <w:rtl/>
        </w:rPr>
        <w:t>רוצה לשחרר את אשתו מהנישואין ואולי היה רוצה שתסעד לו בחוליו.</w:t>
      </w:r>
    </w:p>
    <w:p w14:paraId="6D5C81A8" w14:textId="38F52A91" w:rsidR="00495D9A" w:rsidRPr="00E7100E" w:rsidRDefault="003A73D7" w:rsidP="00E7100E">
      <w:pPr>
        <w:pStyle w:val="ac"/>
        <w:bidi/>
        <w:ind w:left="369"/>
        <w:rPr>
          <w:rFonts w:ascii="David" w:hAnsi="David"/>
        </w:rPr>
      </w:pPr>
      <w:r>
        <w:rPr>
          <w:rFonts w:ascii="David" w:hAnsi="David" w:hint="cs"/>
          <w:rtl/>
        </w:rPr>
        <w:t xml:space="preserve">פס"ד זה </w:t>
      </w:r>
      <w:r w:rsidR="00467095">
        <w:rPr>
          <w:rFonts w:ascii="David" w:hAnsi="David" w:hint="cs"/>
          <w:rtl/>
        </w:rPr>
        <w:t xml:space="preserve">ספג המון הרבה ביקורת </w:t>
      </w:r>
      <w:r w:rsidR="009125C7">
        <w:rPr>
          <w:rFonts w:ascii="David" w:hAnsi="David"/>
          <w:rtl/>
        </w:rPr>
        <w:t>–</w:t>
      </w:r>
      <w:r w:rsidR="009125C7">
        <w:rPr>
          <w:rFonts w:ascii="David" w:hAnsi="David" w:hint="cs"/>
          <w:rtl/>
        </w:rPr>
        <w:t xml:space="preserve"> מאז לא נעשה שימוש במנגנון הזה, ככל הנראה בשל הביקורת.</w:t>
      </w:r>
      <w:r w:rsidR="006D347B">
        <w:rPr>
          <w:rFonts w:ascii="David" w:hAnsi="David" w:hint="cs"/>
          <w:rtl/>
        </w:rPr>
        <w:t xml:space="preserve"> עד כדי כך שהיה מקרה דומה בחיפה</w:t>
      </w:r>
      <w:r w:rsidR="0035776D">
        <w:rPr>
          <w:rFonts w:ascii="David" w:hAnsi="David" w:hint="cs"/>
          <w:rtl/>
        </w:rPr>
        <w:t xml:space="preserve"> </w:t>
      </w:r>
      <w:r w:rsidR="00E7100E">
        <w:rPr>
          <w:rFonts w:ascii="David" w:hAnsi="David" w:hint="cs"/>
          <w:rtl/>
        </w:rPr>
        <w:t>בו מצאו פתרון של מקח טעות ואחד הרבנים הציע להוסיף טיעון נוסף של גט זיכוי כדי שיהיה הרבה טעמים להתרת האישה. והדיינים האחרים אמרו שזה לא טיעון נוסף לחיזוק של התרת האישה אלא אפילו גורע כי כול הרבניים נגד זה.</w:t>
      </w:r>
      <w:r w:rsidR="00467095" w:rsidRPr="00E7100E">
        <w:rPr>
          <w:rFonts w:ascii="David" w:hAnsi="David" w:hint="cs"/>
          <w:rtl/>
        </w:rPr>
        <w:t xml:space="preserve"> </w:t>
      </w:r>
    </w:p>
    <w:p w14:paraId="475498AC" w14:textId="17695E81" w:rsidR="001A5884" w:rsidRDefault="00D239B4" w:rsidP="00D239B4">
      <w:pPr>
        <w:pStyle w:val="ac"/>
        <w:numPr>
          <w:ilvl w:val="1"/>
          <w:numId w:val="25"/>
        </w:numPr>
        <w:bidi/>
        <w:rPr>
          <w:rFonts w:ascii="David" w:hAnsi="David"/>
        </w:rPr>
      </w:pPr>
      <w:r w:rsidRPr="001C2C6B">
        <w:rPr>
          <w:rFonts w:ascii="David" w:hAnsi="David" w:hint="cs"/>
          <w:b/>
          <w:bCs/>
          <w:shd w:val="clear" w:color="auto" w:fill="FFF4CD" w:themeFill="accent1" w:themeFillTint="33"/>
          <w:rtl/>
        </w:rPr>
        <w:t>קידושין על תנאי</w:t>
      </w:r>
      <w:r>
        <w:rPr>
          <w:rFonts w:ascii="David" w:hAnsi="David" w:hint="cs"/>
          <w:rtl/>
        </w:rPr>
        <w:t>:</w:t>
      </w:r>
    </w:p>
    <w:p w14:paraId="405B2FC3" w14:textId="7494E7BC" w:rsidR="00D239B4" w:rsidRDefault="001C2C6B" w:rsidP="00D239B4">
      <w:pPr>
        <w:pStyle w:val="ac"/>
        <w:numPr>
          <w:ilvl w:val="2"/>
          <w:numId w:val="25"/>
        </w:numPr>
        <w:bidi/>
        <w:rPr>
          <w:rFonts w:ascii="David" w:hAnsi="David"/>
        </w:rPr>
      </w:pPr>
      <w:r>
        <w:rPr>
          <w:rFonts w:ascii="David" w:hAnsi="David" w:hint="cs"/>
          <w:rtl/>
        </w:rPr>
        <w:t xml:space="preserve">הגדרה: </w:t>
      </w:r>
      <w:r w:rsidR="00D239B4">
        <w:rPr>
          <w:rFonts w:ascii="David" w:hAnsi="David" w:hint="cs"/>
          <w:rtl/>
        </w:rPr>
        <w:t>גבר שמקדש אישה ואומר "הרי את מקודשת לי על תנאי ש.."</w:t>
      </w:r>
    </w:p>
    <w:p w14:paraId="0F8B16D4" w14:textId="1EB947AF" w:rsidR="001C2C6B" w:rsidRDefault="001C2C6B" w:rsidP="001C2C6B">
      <w:pPr>
        <w:pStyle w:val="ac"/>
        <w:numPr>
          <w:ilvl w:val="2"/>
          <w:numId w:val="25"/>
        </w:numPr>
        <w:bidi/>
        <w:rPr>
          <w:rFonts w:ascii="David" w:hAnsi="David"/>
        </w:rPr>
      </w:pPr>
      <w:r>
        <w:rPr>
          <w:rFonts w:ascii="David" w:hAnsi="David" w:hint="cs"/>
          <w:rtl/>
        </w:rPr>
        <w:t xml:space="preserve">הרבנות לא מאפשרת את זה </w:t>
      </w:r>
      <w:r w:rsidR="000C06A8">
        <w:rPr>
          <w:rFonts w:ascii="David" w:hAnsi="David" w:hint="cs"/>
          <w:rtl/>
        </w:rPr>
        <w:t>מכיוון שיש בעיות הלכתיות מאוד לא פשוטו</w:t>
      </w:r>
      <w:r w:rsidR="00E70DE4">
        <w:rPr>
          <w:rFonts w:ascii="David" w:hAnsi="David" w:hint="cs"/>
          <w:rtl/>
        </w:rPr>
        <w:t>ת</w:t>
      </w:r>
      <w:r w:rsidR="000C06A8">
        <w:rPr>
          <w:rFonts w:ascii="David" w:hAnsi="David" w:hint="cs"/>
          <w:rtl/>
        </w:rPr>
        <w:t xml:space="preserve"> בתנאי הזה (לא ניכנס לזה) וגם יש טיעונים אידיאולוגים לכך שזה מפרק משפחות כי יהיה קל לפרק את הקשר.</w:t>
      </w:r>
    </w:p>
    <w:p w14:paraId="0B54173F" w14:textId="14F37F1C" w:rsidR="00212133" w:rsidRDefault="00AD0235" w:rsidP="00212133">
      <w:pPr>
        <w:pStyle w:val="ac"/>
        <w:bidi/>
        <w:ind w:left="199"/>
        <w:rPr>
          <w:rFonts w:ascii="David" w:hAnsi="David"/>
        </w:rPr>
      </w:pPr>
      <w:r>
        <w:rPr>
          <w:rFonts w:ascii="David" w:hAnsi="David" w:hint="cs"/>
          <w:rtl/>
        </w:rPr>
        <w:t xml:space="preserve">עוד לא הגיע מקרה שכזה לבית הדין </w:t>
      </w:r>
      <w:r w:rsidR="0096767A">
        <w:rPr>
          <w:rFonts w:ascii="David" w:hAnsi="David" w:hint="cs"/>
          <w:rtl/>
        </w:rPr>
        <w:t>הרבני</w:t>
      </w:r>
      <w:r>
        <w:rPr>
          <w:rFonts w:ascii="David" w:hAnsi="David" w:hint="cs"/>
          <w:rtl/>
        </w:rPr>
        <w:t xml:space="preserve"> ולכן הוא עוד לא נבחן.</w:t>
      </w:r>
    </w:p>
    <w:p w14:paraId="5F70B491" w14:textId="26BC8DB0" w:rsidR="00212133" w:rsidRDefault="00D1179F" w:rsidP="00212133">
      <w:pPr>
        <w:pStyle w:val="ac"/>
        <w:numPr>
          <w:ilvl w:val="1"/>
          <w:numId w:val="25"/>
        </w:numPr>
        <w:bidi/>
        <w:rPr>
          <w:rFonts w:ascii="David" w:hAnsi="David"/>
        </w:rPr>
      </w:pPr>
      <w:r w:rsidRPr="00C70C27">
        <w:rPr>
          <w:rFonts w:ascii="David" w:hAnsi="David" w:hint="cs"/>
          <w:b/>
          <w:bCs/>
          <w:shd w:val="clear" w:color="auto" w:fill="FFF4CD" w:themeFill="accent1" w:themeFillTint="33"/>
          <w:rtl/>
        </w:rPr>
        <w:t>'גט משעה אחרונה'</w:t>
      </w:r>
      <w:r>
        <w:rPr>
          <w:rFonts w:ascii="David" w:hAnsi="David" w:hint="cs"/>
          <w:rtl/>
        </w:rPr>
        <w:t>:</w:t>
      </w:r>
    </w:p>
    <w:p w14:paraId="7D2EE555" w14:textId="5C6002BA" w:rsidR="009027FB" w:rsidRDefault="00C70C27" w:rsidP="009027FB">
      <w:pPr>
        <w:pStyle w:val="ac"/>
        <w:numPr>
          <w:ilvl w:val="2"/>
          <w:numId w:val="25"/>
        </w:numPr>
        <w:bidi/>
        <w:rPr>
          <w:rFonts w:ascii="David" w:hAnsi="David"/>
        </w:rPr>
      </w:pPr>
      <w:r>
        <w:rPr>
          <w:rFonts w:ascii="David" w:hAnsi="David" w:hint="cs"/>
          <w:rtl/>
        </w:rPr>
        <w:t xml:space="preserve">הצעה של הרב יואל בינון - </w:t>
      </w:r>
      <w:r w:rsidR="00D1179F">
        <w:rPr>
          <w:rFonts w:ascii="David" w:hAnsi="David" w:hint="cs"/>
          <w:rtl/>
        </w:rPr>
        <w:t xml:space="preserve">גבר יכין גט כאשר הזוג חיי באושר </w:t>
      </w:r>
      <w:r w:rsidR="0069399E">
        <w:rPr>
          <w:rFonts w:ascii="David" w:hAnsi="David" w:hint="cs"/>
          <w:rtl/>
        </w:rPr>
        <w:t xml:space="preserve">ויפקיד אותו </w:t>
      </w:r>
      <w:r w:rsidR="0096767A">
        <w:rPr>
          <w:rFonts w:ascii="David" w:hAnsi="David" w:hint="cs"/>
          <w:rtl/>
        </w:rPr>
        <w:t>ב</w:t>
      </w:r>
      <w:r w:rsidR="0069399E">
        <w:rPr>
          <w:rFonts w:ascii="David" w:hAnsi="David" w:hint="cs"/>
          <w:rtl/>
        </w:rPr>
        <w:t xml:space="preserve">ארכיון כלשהו. במידה והגבר יהיה חולה או יעלם או </w:t>
      </w:r>
      <w:r w:rsidR="009027FB">
        <w:rPr>
          <w:rFonts w:ascii="David" w:hAnsi="David" w:hint="cs"/>
          <w:rtl/>
        </w:rPr>
        <w:t>יעזוב את הבית למעל 12 חודשים האישה תוכל להתגרש באמצעות הגט הזה.</w:t>
      </w:r>
    </w:p>
    <w:p w14:paraId="61D238AA" w14:textId="25803984" w:rsidR="00E8742B" w:rsidRPr="009027FB" w:rsidRDefault="00E8742B" w:rsidP="00E8742B">
      <w:pPr>
        <w:pStyle w:val="ac"/>
        <w:numPr>
          <w:ilvl w:val="2"/>
          <w:numId w:val="25"/>
        </w:numPr>
        <w:bidi/>
        <w:rPr>
          <w:rFonts w:ascii="David" w:hAnsi="David"/>
        </w:rPr>
      </w:pPr>
      <w:r>
        <w:rPr>
          <w:rFonts w:ascii="David" w:hAnsi="David" w:hint="cs"/>
          <w:rtl/>
        </w:rPr>
        <w:t xml:space="preserve">תגובתו של הרב </w:t>
      </w:r>
      <w:r w:rsidRPr="00706C82">
        <w:rPr>
          <w:rFonts w:ascii="David" w:hAnsi="David" w:hint="cs"/>
          <w:rtl/>
        </w:rPr>
        <w:t>יגרא</w:t>
      </w:r>
      <w:r>
        <w:rPr>
          <w:rFonts w:ascii="David" w:hAnsi="David" w:hint="cs"/>
          <w:rtl/>
        </w:rPr>
        <w:t xml:space="preserve"> </w:t>
      </w:r>
      <w:r w:rsidR="00A27CED">
        <w:rPr>
          <w:rFonts w:ascii="David" w:hAnsi="David"/>
          <w:rtl/>
        </w:rPr>
        <w:t>–</w:t>
      </w:r>
      <w:r>
        <w:rPr>
          <w:rFonts w:ascii="David" w:hAnsi="David" w:hint="cs"/>
          <w:rtl/>
        </w:rPr>
        <w:t xml:space="preserve"> </w:t>
      </w:r>
      <w:r w:rsidR="00A27CED">
        <w:rPr>
          <w:rFonts w:ascii="David" w:hAnsi="David" w:hint="cs"/>
          <w:rtl/>
        </w:rPr>
        <w:t xml:space="preserve">לדעתו הרב יואל מחפש פתרון לתופעה שאינו נפוצה כול כך והוא צריך </w:t>
      </w:r>
      <w:r w:rsidR="00BE1DC8">
        <w:rPr>
          <w:rFonts w:ascii="David" w:hAnsi="David" w:hint="cs"/>
          <w:rtl/>
        </w:rPr>
        <w:t>להתעסק בנושאים בתחום מומחיותו.</w:t>
      </w:r>
    </w:p>
    <w:p w14:paraId="68B45A91" w14:textId="3467F1C0" w:rsidR="00451EE6" w:rsidRPr="006F4AC0" w:rsidRDefault="009202FE" w:rsidP="001207FE">
      <w:pPr>
        <w:spacing w:after="160" w:line="259" w:lineRule="auto"/>
        <w:jc w:val="left"/>
        <w:rPr>
          <w:rFonts w:ascii="David" w:hAnsi="David"/>
          <w:rtl/>
        </w:rPr>
      </w:pPr>
      <w:r w:rsidRPr="00147E35">
        <w:rPr>
          <w:rFonts w:ascii="David" w:hAnsi="David" w:hint="cs"/>
          <w:b/>
          <w:bCs/>
          <w:sz w:val="28"/>
          <w:szCs w:val="28"/>
          <w:rtl/>
        </w:rPr>
        <w:t>הסוף</w:t>
      </w:r>
      <w:r>
        <w:rPr>
          <w:rFonts w:ascii="David" w:hAnsi="David" w:hint="cs"/>
          <w:rtl/>
        </w:rPr>
        <w:t>.</w:t>
      </w:r>
    </w:p>
    <w:p w14:paraId="393D752C" w14:textId="532ADBC6" w:rsidR="00981AE2" w:rsidRPr="009E28B0" w:rsidRDefault="00981AE2" w:rsidP="004E6121">
      <w:pPr>
        <w:rPr>
          <w:rFonts w:ascii="David" w:hAnsi="David"/>
        </w:rPr>
      </w:pPr>
    </w:p>
    <w:sectPr w:rsidR="00981AE2" w:rsidRPr="009E28B0" w:rsidSect="0084726C">
      <w:headerReference w:type="default" r:id="rId18"/>
      <w:footerReference w:type="default" r:id="rId19"/>
      <w:pgSz w:w="11906" w:h="16838"/>
      <w:pgMar w:top="1134" w:right="1021" w:bottom="1134" w:left="102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417F2" w14:textId="77777777" w:rsidR="00FE761A" w:rsidRDefault="00FE761A" w:rsidP="00512708">
      <w:pPr>
        <w:spacing w:line="240" w:lineRule="auto"/>
      </w:pPr>
      <w:r>
        <w:separator/>
      </w:r>
    </w:p>
  </w:endnote>
  <w:endnote w:type="continuationSeparator" w:id="0">
    <w:p w14:paraId="5A7453C5" w14:textId="77777777" w:rsidR="00FE761A" w:rsidRDefault="00FE761A" w:rsidP="005127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ime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38141" w14:textId="5342D2CE" w:rsidR="00C9574C" w:rsidRPr="00C41C69" w:rsidRDefault="00C41C69" w:rsidP="00C41C69">
    <w:pPr>
      <w:pStyle w:val="aa"/>
      <w:jc w:val="left"/>
      <w:rPr>
        <w:rFonts w:ascii="David" w:hAnsi="David"/>
        <w:rtl/>
      </w:rPr>
    </w:pPr>
    <w:r>
      <w:rPr>
        <w:rFonts w:ascii="David" w:hAnsi="David"/>
        <w:rtl/>
        <w:lang w:val="he-IL"/>
      </w:rPr>
      <w:tab/>
    </w:r>
    <w:r>
      <w:rPr>
        <w:rFonts w:ascii="David" w:hAnsi="David" w:hint="cs"/>
        <w:rtl/>
        <w:lang w:val="he-IL"/>
      </w:rPr>
      <w:t xml:space="preserve">                       </w:t>
    </w:r>
    <w:r w:rsidR="00A72C6E">
      <w:rPr>
        <w:rFonts w:ascii="David" w:hAnsi="David" w:hint="cs"/>
        <w:rtl/>
        <w:lang w:val="he-IL"/>
      </w:rPr>
      <w:t xml:space="preserve">   </w:t>
    </w:r>
    <w:r>
      <w:rPr>
        <w:rFonts w:ascii="David" w:hAnsi="David" w:hint="cs"/>
        <w:rtl/>
        <w:lang w:val="he-IL"/>
      </w:rPr>
      <w:t xml:space="preserve">   </w:t>
    </w:r>
    <w:r w:rsidR="00C9574C" w:rsidRPr="00C41C69">
      <w:rPr>
        <w:rFonts w:ascii="David" w:hAnsi="David"/>
        <w:rtl/>
        <w:lang w:val="he-IL"/>
      </w:rPr>
      <w:t xml:space="preserve">עמוד </w:t>
    </w:r>
    <w:r w:rsidR="00C9574C" w:rsidRPr="00C41C69">
      <w:rPr>
        <w:rFonts w:ascii="David" w:hAnsi="David"/>
      </w:rPr>
      <w:fldChar w:fldCharType="begin"/>
    </w:r>
    <w:r w:rsidR="00C9574C" w:rsidRPr="00C41C69">
      <w:rPr>
        <w:rFonts w:ascii="David" w:hAnsi="David"/>
      </w:rPr>
      <w:instrText>PAGE  \* Arabic  \* MERGEFORMAT</w:instrText>
    </w:r>
    <w:r w:rsidR="00C9574C" w:rsidRPr="00C41C69">
      <w:rPr>
        <w:rFonts w:ascii="David" w:hAnsi="David"/>
      </w:rPr>
      <w:fldChar w:fldCharType="separate"/>
    </w:r>
    <w:r w:rsidR="00C9574C" w:rsidRPr="00C41C69">
      <w:rPr>
        <w:rFonts w:ascii="David" w:hAnsi="David"/>
        <w:rtl/>
        <w:lang w:val="he-IL"/>
      </w:rPr>
      <w:t>2</w:t>
    </w:r>
    <w:r w:rsidR="00C9574C" w:rsidRPr="00C41C69">
      <w:rPr>
        <w:rFonts w:ascii="David" w:hAnsi="David"/>
      </w:rPr>
      <w:fldChar w:fldCharType="end"/>
    </w:r>
    <w:r w:rsidR="00C9574C" w:rsidRPr="00C41C69">
      <w:rPr>
        <w:rFonts w:ascii="David" w:hAnsi="David"/>
        <w:rtl/>
        <w:lang w:val="he-IL"/>
      </w:rPr>
      <w:t xml:space="preserve"> מתוך </w:t>
    </w:r>
    <w:r w:rsidR="00C9574C" w:rsidRPr="00C41C69">
      <w:rPr>
        <w:rFonts w:ascii="David" w:hAnsi="David"/>
      </w:rPr>
      <w:fldChar w:fldCharType="begin"/>
    </w:r>
    <w:r w:rsidR="00C9574C" w:rsidRPr="00C41C69">
      <w:rPr>
        <w:rFonts w:ascii="David" w:hAnsi="David"/>
      </w:rPr>
      <w:instrText>NUMPAGES \ * ערבית \ * MERGEFORMAT</w:instrText>
    </w:r>
    <w:r w:rsidR="00C9574C" w:rsidRPr="00C41C69">
      <w:rPr>
        <w:rFonts w:ascii="David" w:hAnsi="David"/>
      </w:rPr>
      <w:fldChar w:fldCharType="separate"/>
    </w:r>
    <w:r w:rsidR="00C9574C" w:rsidRPr="00C41C69">
      <w:rPr>
        <w:rFonts w:ascii="David" w:hAnsi="David"/>
        <w:rtl/>
        <w:lang w:val="he-IL"/>
      </w:rPr>
      <w:t>2</w:t>
    </w:r>
    <w:r w:rsidR="00C9574C" w:rsidRPr="00C41C69">
      <w:rPr>
        <w:rFonts w:ascii="David" w:hAnsi="David"/>
      </w:rPr>
      <w:fldChar w:fldCharType="end"/>
    </w:r>
    <w:r>
      <w:rPr>
        <w:rFonts w:ascii="David" w:hAnsi="David"/>
      </w:rPr>
      <w:t xml:space="preserve"> </w:t>
    </w:r>
    <w:r>
      <w:rPr>
        <w:rFonts w:ascii="David" w:hAnsi="David"/>
        <w:rtl/>
      </w:rPr>
      <w:tab/>
    </w:r>
    <w:r>
      <w:rPr>
        <w:rFonts w:ascii="David" w:hAnsi="David"/>
        <w:rtl/>
      </w:rPr>
      <w:tab/>
    </w:r>
    <w:r>
      <w:rPr>
        <w:rFonts w:ascii="David" w:hAnsi="David" w:hint="cs"/>
        <w:rtl/>
      </w:rPr>
      <w:t>יפעת סלע</w:t>
    </w:r>
  </w:p>
  <w:p w14:paraId="762FB09A" w14:textId="77777777" w:rsidR="00870ADE" w:rsidRDefault="00870AD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D1F4B" w14:textId="77777777" w:rsidR="00FE761A" w:rsidRDefault="00FE761A" w:rsidP="00512708">
      <w:pPr>
        <w:spacing w:line="240" w:lineRule="auto"/>
      </w:pPr>
      <w:r>
        <w:separator/>
      </w:r>
    </w:p>
  </w:footnote>
  <w:footnote w:type="continuationSeparator" w:id="0">
    <w:p w14:paraId="71E45DA1" w14:textId="77777777" w:rsidR="00FE761A" w:rsidRDefault="00FE761A" w:rsidP="00512708">
      <w:pPr>
        <w:spacing w:line="240" w:lineRule="auto"/>
      </w:pPr>
      <w:r>
        <w:continuationSeparator/>
      </w:r>
    </w:p>
  </w:footnote>
  <w:footnote w:id="1">
    <w:p w14:paraId="770A42F2" w14:textId="2E6C3FD4" w:rsidR="005455FF" w:rsidRDefault="005455FF" w:rsidP="005455FF">
      <w:pPr>
        <w:pStyle w:val="af"/>
        <w:rPr>
          <w:rtl/>
        </w:rPr>
      </w:pPr>
      <w:r>
        <w:rPr>
          <w:rStyle w:val="af1"/>
        </w:rPr>
        <w:footnoteRef/>
      </w:r>
      <w:r>
        <w:rPr>
          <w:rtl/>
        </w:rPr>
        <w:t xml:space="preserve"> </w:t>
      </w:r>
      <w:r w:rsidRPr="005455FF">
        <w:rPr>
          <w:rFonts w:hint="cs"/>
          <w:rtl/>
        </w:rPr>
        <w:t>הרבניים הראשיים בארץ ישראל מנסים להשתמש בסימן זה כדי להצדיק את תקנות הרבנות הראשית שכן לטענתם (הלא מדויקת) המנהג בארץ ישראל הוא שאי אפשר לשאת שתי נשים</w:t>
      </w:r>
    </w:p>
  </w:footnote>
  <w:footnote w:id="2">
    <w:p w14:paraId="6AB2EC48" w14:textId="2ABCF462" w:rsidR="00464E6F" w:rsidRDefault="00464E6F">
      <w:pPr>
        <w:pStyle w:val="af"/>
        <w:rPr>
          <w:rtl/>
        </w:rPr>
      </w:pPr>
      <w:r>
        <w:rPr>
          <w:rStyle w:val="af1"/>
        </w:rPr>
        <w:footnoteRef/>
      </w:r>
      <w:r>
        <w:rPr>
          <w:rtl/>
        </w:rPr>
        <w:t xml:space="preserve"> </w:t>
      </w:r>
      <w:r>
        <w:rPr>
          <w:rFonts w:hint="cs"/>
          <w:rtl/>
        </w:rPr>
        <w:t>כמו הפסיקה של רבי יוסף קארו שאומר שלספרדי אסור להתחתן עם אישה נוספת אם זה לא מנהג המקום.</w:t>
      </w:r>
    </w:p>
  </w:footnote>
  <w:footnote w:id="3">
    <w:p w14:paraId="13F68905" w14:textId="31D65E08" w:rsidR="00240D42" w:rsidRDefault="00240D42">
      <w:pPr>
        <w:pStyle w:val="af"/>
        <w:rPr>
          <w:rtl/>
        </w:rPr>
      </w:pPr>
      <w:r>
        <w:rPr>
          <w:rStyle w:val="af1"/>
        </w:rPr>
        <w:footnoteRef/>
      </w:r>
      <w:r>
        <w:rPr>
          <w:rtl/>
        </w:rPr>
        <w:t xml:space="preserve"> </w:t>
      </w:r>
      <w:r>
        <w:rPr>
          <w:rFonts w:hint="cs"/>
          <w:rtl/>
        </w:rPr>
        <w:t>המנהג של יוצאי ספרד הוא שבוע</w:t>
      </w:r>
      <w:r w:rsidR="00474787">
        <w:rPr>
          <w:rFonts w:hint="cs"/>
          <w:rtl/>
        </w:rPr>
        <w:t>ה</w:t>
      </w:r>
      <w:r>
        <w:rPr>
          <w:rFonts w:hint="cs"/>
          <w:rtl/>
        </w:rPr>
        <w:t xml:space="preserve"> של</w:t>
      </w:r>
      <w:r w:rsidR="00474787">
        <w:rPr>
          <w:rFonts w:hint="cs"/>
          <w:rtl/>
        </w:rPr>
        <w:t>א</w:t>
      </w:r>
      <w:r>
        <w:rPr>
          <w:rFonts w:hint="cs"/>
          <w:rtl/>
        </w:rPr>
        <w:t xml:space="preserve"> יישאו אישה שנייה.</w:t>
      </w:r>
    </w:p>
  </w:footnote>
  <w:footnote w:id="4">
    <w:p w14:paraId="641FE9CF" w14:textId="3820E70F" w:rsidR="00240D42" w:rsidRDefault="00240D42">
      <w:pPr>
        <w:pStyle w:val="af"/>
      </w:pPr>
      <w:r>
        <w:rPr>
          <w:rStyle w:val="af1"/>
        </w:rPr>
        <w:footnoteRef/>
      </w:r>
      <w:r>
        <w:rPr>
          <w:rtl/>
        </w:rPr>
        <w:t xml:space="preserve"> </w:t>
      </w:r>
      <w:r>
        <w:rPr>
          <w:rFonts w:hint="cs"/>
          <w:rtl/>
        </w:rPr>
        <w:t xml:space="preserve">אין צורך בהפקדת גט בהליך נישואין לאישה שנייה של </w:t>
      </w:r>
      <w:r w:rsidR="00186CD6">
        <w:rPr>
          <w:rFonts w:hint="cs"/>
          <w:rtl/>
        </w:rPr>
        <w:t>ספרדים. עם זאת, לעיתים קרובות בית הדין כן יפקיד גט (כאשר האישה באמת יכולה לקחת אותו) כדי שלא יהיה מהלך נקמה אח"כ מצד הגבר.</w:t>
      </w:r>
    </w:p>
  </w:footnote>
  <w:footnote w:id="5">
    <w:p w14:paraId="36F399C7" w14:textId="0E532E71" w:rsidR="00474787" w:rsidRDefault="00474787">
      <w:pPr>
        <w:pStyle w:val="af"/>
      </w:pPr>
      <w:r>
        <w:rPr>
          <w:rStyle w:val="af1"/>
        </w:rPr>
        <w:footnoteRef/>
      </w:r>
      <w:r>
        <w:rPr>
          <w:rtl/>
        </w:rPr>
        <w:t xml:space="preserve"> </w:t>
      </w:r>
      <w:r>
        <w:rPr>
          <w:rFonts w:hint="cs"/>
          <w:rtl/>
        </w:rPr>
        <w:t>ניתן לראות כי מדובר באות מתה גם לפי העובדה שהנפסח הודפס בפעם האחרונה בשנת 1948.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4CEF" w14:textId="3BC51DE4" w:rsidR="00512708" w:rsidRPr="00CA0465" w:rsidRDefault="00512708" w:rsidP="006E7529">
    <w:pPr>
      <w:pStyle w:val="a8"/>
      <w:jc w:val="left"/>
      <w:rPr>
        <w:rFonts w:ascii="David" w:hAnsi="David"/>
      </w:rPr>
    </w:pPr>
    <w:r w:rsidRPr="00CA0465">
      <w:rPr>
        <w:rFonts w:ascii="David" w:hAnsi="David"/>
        <w:rtl/>
      </w:rPr>
      <w:t>בס"ד</w:t>
    </w:r>
    <w:r w:rsidR="006E7529">
      <w:rPr>
        <w:rFonts w:ascii="David" w:hAnsi="David"/>
        <w:rtl/>
      </w:rPr>
      <w:tab/>
    </w:r>
    <w:r w:rsidR="006E7529">
      <w:rPr>
        <w:rFonts w:ascii="David" w:hAnsi="David" w:hint="cs"/>
        <w:rtl/>
      </w:rPr>
      <w:t xml:space="preserve">                      </w:t>
    </w:r>
    <w:r w:rsidR="00E53FEA">
      <w:rPr>
        <w:rFonts w:ascii="David" w:hAnsi="David" w:hint="cs"/>
        <w:rtl/>
      </w:rPr>
      <w:t xml:space="preserve">היסודות ההלכתיים של דיני המשפחה בישראל </w:t>
    </w:r>
    <w:r w:rsidR="00CA0465" w:rsidRPr="00CA0465">
      <w:rPr>
        <w:rFonts w:ascii="David" w:hAnsi="David"/>
        <w:rtl/>
      </w:rPr>
      <w:t>תשפ"</w:t>
    </w:r>
    <w:r w:rsidR="007D035D">
      <w:rPr>
        <w:rFonts w:ascii="David" w:hAnsi="David" w:hint="cs"/>
        <w:rtl/>
      </w:rPr>
      <w:t>ב</w:t>
    </w:r>
    <w:r w:rsidR="006E7529">
      <w:rPr>
        <w:rFonts w:ascii="David" w:hAnsi="David"/>
        <w:rtl/>
      </w:rPr>
      <w:tab/>
    </w:r>
    <w:r w:rsidR="006E7529">
      <w:rPr>
        <w:rFonts w:ascii="David" w:hAnsi="David" w:hint="cs"/>
        <w:rtl/>
      </w:rPr>
      <w:t xml:space="preserve">                                 </w:t>
    </w:r>
    <w:r w:rsidR="00CA0465" w:rsidRPr="00CA0465">
      <w:rPr>
        <w:rFonts w:ascii="David" w:hAnsi="David"/>
        <w:rtl/>
      </w:rPr>
      <w:t xml:space="preserve">ד"ר </w:t>
    </w:r>
    <w:r w:rsidR="007D035D">
      <w:rPr>
        <w:rFonts w:ascii="David" w:hAnsi="David" w:hint="cs"/>
        <w:rtl/>
      </w:rPr>
      <w:t>עמיחי רדזינר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785F"/>
    <w:multiLevelType w:val="multilevel"/>
    <w:tmpl w:val="8D62753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rPr>
    </w:lvl>
    <w:lvl w:ilvl="2">
      <w:start w:val="1"/>
      <w:numFmt w:val="hebrew1"/>
      <w:lvlText w:val="%3)"/>
      <w:lvlJc w:val="left"/>
      <w:pPr>
        <w:ind w:left="794" w:hanging="227"/>
      </w:pPr>
      <w:rPr>
        <w:rFonts w:ascii="David" w:hAnsi="David" w:cs="David" w:hint="default"/>
      </w:rPr>
    </w:lvl>
    <w:lvl w:ilvl="3">
      <w:start w:val="1"/>
      <w:numFmt w:val="decimal"/>
      <w:lvlText w:val="(%4)"/>
      <w:lvlJc w:val="left"/>
      <w:pPr>
        <w:ind w:left="1210" w:hanging="360"/>
      </w:pPr>
      <w:rPr>
        <w:rFonts w:ascii="David" w:hAnsi="David" w:cs="David" w:hint="default"/>
      </w:rPr>
    </w:lvl>
    <w:lvl w:ilvl="4">
      <w:start w:val="1"/>
      <w:numFmt w:val="bullet"/>
      <w:lvlText w:val=""/>
      <w:lvlJc w:val="left"/>
      <w:pPr>
        <w:ind w:left="1191" w:hanging="199"/>
      </w:pPr>
      <w:rPr>
        <w:rFonts w:ascii="Symbol" w:hAnsi="Symbol" w:cs="Times New Roman" w:hint="default"/>
        <w:color w:val="auto"/>
      </w:rPr>
    </w:lvl>
    <w:lvl w:ilvl="5">
      <w:start w:val="1"/>
      <w:numFmt w:val="hebrew1"/>
      <w:lvlText w:val="%6."/>
      <w:lvlJc w:val="left"/>
      <w:pPr>
        <w:ind w:left="1777" w:hanging="360"/>
      </w:pPr>
      <w:rPr>
        <w:rFonts w:ascii="David" w:hAnsi="David" w:cs="David" w:hint="default"/>
      </w:rPr>
    </w:lvl>
    <w:lvl w:ilvl="6">
      <w:start w:val="1"/>
      <w:numFmt w:val="bullet"/>
      <w:lvlText w:val=""/>
      <w:lvlJc w:val="left"/>
      <w:pPr>
        <w:ind w:left="2203" w:hanging="360"/>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4D0A72"/>
    <w:multiLevelType w:val="hybridMultilevel"/>
    <w:tmpl w:val="0C486928"/>
    <w:lvl w:ilvl="0" w:tplc="7494D450">
      <w:start w:val="1"/>
      <w:numFmt w:val="bullet"/>
      <w:suff w:val="space"/>
      <w:lvlText w:val=""/>
      <w:lvlJc w:val="left"/>
      <w:pPr>
        <w:ind w:left="729" w:hanging="360"/>
      </w:pPr>
      <w:rPr>
        <w:rFonts w:ascii="Symbol" w:hAnsi="Symbol" w:hint="default"/>
      </w:rPr>
    </w:lvl>
    <w:lvl w:ilvl="1" w:tplc="FFFFFFFF">
      <w:start w:val="1"/>
      <w:numFmt w:val="bullet"/>
      <w:lvlText w:val="o"/>
      <w:lvlJc w:val="left"/>
      <w:pPr>
        <w:ind w:left="1449" w:hanging="360"/>
      </w:pPr>
      <w:rPr>
        <w:rFonts w:ascii="Courier New" w:hAnsi="Courier New" w:cs="Courier New" w:hint="default"/>
      </w:rPr>
    </w:lvl>
    <w:lvl w:ilvl="2" w:tplc="FFFFFFFF" w:tentative="1">
      <w:start w:val="1"/>
      <w:numFmt w:val="bullet"/>
      <w:lvlText w:val=""/>
      <w:lvlJc w:val="left"/>
      <w:pPr>
        <w:ind w:left="2169" w:hanging="360"/>
      </w:pPr>
      <w:rPr>
        <w:rFonts w:ascii="Wingdings" w:hAnsi="Wingdings" w:hint="default"/>
      </w:rPr>
    </w:lvl>
    <w:lvl w:ilvl="3" w:tplc="FFFFFFFF" w:tentative="1">
      <w:start w:val="1"/>
      <w:numFmt w:val="bullet"/>
      <w:lvlText w:val=""/>
      <w:lvlJc w:val="left"/>
      <w:pPr>
        <w:ind w:left="2889" w:hanging="360"/>
      </w:pPr>
      <w:rPr>
        <w:rFonts w:ascii="Symbol" w:hAnsi="Symbol" w:hint="default"/>
      </w:rPr>
    </w:lvl>
    <w:lvl w:ilvl="4" w:tplc="FFFFFFFF" w:tentative="1">
      <w:start w:val="1"/>
      <w:numFmt w:val="bullet"/>
      <w:lvlText w:val="o"/>
      <w:lvlJc w:val="left"/>
      <w:pPr>
        <w:ind w:left="3609" w:hanging="360"/>
      </w:pPr>
      <w:rPr>
        <w:rFonts w:ascii="Courier New" w:hAnsi="Courier New" w:cs="Courier New" w:hint="default"/>
      </w:rPr>
    </w:lvl>
    <w:lvl w:ilvl="5" w:tplc="FFFFFFFF" w:tentative="1">
      <w:start w:val="1"/>
      <w:numFmt w:val="bullet"/>
      <w:lvlText w:val=""/>
      <w:lvlJc w:val="left"/>
      <w:pPr>
        <w:ind w:left="4329" w:hanging="360"/>
      </w:pPr>
      <w:rPr>
        <w:rFonts w:ascii="Wingdings" w:hAnsi="Wingdings" w:hint="default"/>
      </w:rPr>
    </w:lvl>
    <w:lvl w:ilvl="6" w:tplc="FFFFFFFF" w:tentative="1">
      <w:start w:val="1"/>
      <w:numFmt w:val="bullet"/>
      <w:lvlText w:val=""/>
      <w:lvlJc w:val="left"/>
      <w:pPr>
        <w:ind w:left="5049" w:hanging="360"/>
      </w:pPr>
      <w:rPr>
        <w:rFonts w:ascii="Symbol" w:hAnsi="Symbol" w:hint="default"/>
      </w:rPr>
    </w:lvl>
    <w:lvl w:ilvl="7" w:tplc="FFFFFFFF" w:tentative="1">
      <w:start w:val="1"/>
      <w:numFmt w:val="bullet"/>
      <w:lvlText w:val="o"/>
      <w:lvlJc w:val="left"/>
      <w:pPr>
        <w:ind w:left="5769" w:hanging="360"/>
      </w:pPr>
      <w:rPr>
        <w:rFonts w:ascii="Courier New" w:hAnsi="Courier New" w:cs="Courier New" w:hint="default"/>
      </w:rPr>
    </w:lvl>
    <w:lvl w:ilvl="8" w:tplc="FFFFFFFF" w:tentative="1">
      <w:start w:val="1"/>
      <w:numFmt w:val="bullet"/>
      <w:lvlText w:val=""/>
      <w:lvlJc w:val="left"/>
      <w:pPr>
        <w:ind w:left="6489" w:hanging="360"/>
      </w:pPr>
      <w:rPr>
        <w:rFonts w:ascii="Wingdings" w:hAnsi="Wingdings" w:hint="default"/>
      </w:rPr>
    </w:lvl>
  </w:abstractNum>
  <w:abstractNum w:abstractNumId="2" w15:restartNumberingAfterBreak="0">
    <w:nsid w:val="05CE6DDB"/>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 w15:restartNumberingAfterBreak="0">
    <w:nsid w:val="098C75D4"/>
    <w:multiLevelType w:val="hybridMultilevel"/>
    <w:tmpl w:val="A0EE568E"/>
    <w:lvl w:ilvl="0" w:tplc="102CC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83168"/>
    <w:multiLevelType w:val="hybridMultilevel"/>
    <w:tmpl w:val="CC80058E"/>
    <w:lvl w:ilvl="0" w:tplc="D16CCFAE">
      <w:start w:val="1"/>
      <w:numFmt w:val="bullet"/>
      <w:suff w:val="space"/>
      <w:lvlText w:val=""/>
      <w:lvlJc w:val="left"/>
      <w:pPr>
        <w:ind w:left="567" w:hanging="198"/>
      </w:pPr>
      <w:rPr>
        <w:rFonts w:ascii="Symbol" w:hAnsi="Symbol" w:hint="default"/>
      </w:rPr>
    </w:lvl>
    <w:lvl w:ilvl="1" w:tplc="FFFFFFFF">
      <w:start w:val="1"/>
      <w:numFmt w:val="bullet"/>
      <w:lvlText w:val="o"/>
      <w:lvlJc w:val="left"/>
      <w:pPr>
        <w:ind w:left="1449" w:hanging="360"/>
      </w:pPr>
      <w:rPr>
        <w:rFonts w:ascii="Courier New" w:hAnsi="Courier New" w:cs="Courier New" w:hint="default"/>
      </w:rPr>
    </w:lvl>
    <w:lvl w:ilvl="2" w:tplc="FFFFFFFF" w:tentative="1">
      <w:start w:val="1"/>
      <w:numFmt w:val="bullet"/>
      <w:lvlText w:val=""/>
      <w:lvlJc w:val="left"/>
      <w:pPr>
        <w:ind w:left="2169" w:hanging="360"/>
      </w:pPr>
      <w:rPr>
        <w:rFonts w:ascii="Wingdings" w:hAnsi="Wingdings" w:hint="default"/>
      </w:rPr>
    </w:lvl>
    <w:lvl w:ilvl="3" w:tplc="FFFFFFFF" w:tentative="1">
      <w:start w:val="1"/>
      <w:numFmt w:val="bullet"/>
      <w:lvlText w:val=""/>
      <w:lvlJc w:val="left"/>
      <w:pPr>
        <w:ind w:left="2889" w:hanging="360"/>
      </w:pPr>
      <w:rPr>
        <w:rFonts w:ascii="Symbol" w:hAnsi="Symbol" w:hint="default"/>
      </w:rPr>
    </w:lvl>
    <w:lvl w:ilvl="4" w:tplc="FFFFFFFF" w:tentative="1">
      <w:start w:val="1"/>
      <w:numFmt w:val="bullet"/>
      <w:lvlText w:val="o"/>
      <w:lvlJc w:val="left"/>
      <w:pPr>
        <w:ind w:left="3609" w:hanging="360"/>
      </w:pPr>
      <w:rPr>
        <w:rFonts w:ascii="Courier New" w:hAnsi="Courier New" w:cs="Courier New" w:hint="default"/>
      </w:rPr>
    </w:lvl>
    <w:lvl w:ilvl="5" w:tplc="FFFFFFFF" w:tentative="1">
      <w:start w:val="1"/>
      <w:numFmt w:val="bullet"/>
      <w:lvlText w:val=""/>
      <w:lvlJc w:val="left"/>
      <w:pPr>
        <w:ind w:left="4329" w:hanging="360"/>
      </w:pPr>
      <w:rPr>
        <w:rFonts w:ascii="Wingdings" w:hAnsi="Wingdings" w:hint="default"/>
      </w:rPr>
    </w:lvl>
    <w:lvl w:ilvl="6" w:tplc="FFFFFFFF" w:tentative="1">
      <w:start w:val="1"/>
      <w:numFmt w:val="bullet"/>
      <w:lvlText w:val=""/>
      <w:lvlJc w:val="left"/>
      <w:pPr>
        <w:ind w:left="5049" w:hanging="360"/>
      </w:pPr>
      <w:rPr>
        <w:rFonts w:ascii="Symbol" w:hAnsi="Symbol" w:hint="default"/>
      </w:rPr>
    </w:lvl>
    <w:lvl w:ilvl="7" w:tplc="FFFFFFFF" w:tentative="1">
      <w:start w:val="1"/>
      <w:numFmt w:val="bullet"/>
      <w:lvlText w:val="o"/>
      <w:lvlJc w:val="left"/>
      <w:pPr>
        <w:ind w:left="5769" w:hanging="360"/>
      </w:pPr>
      <w:rPr>
        <w:rFonts w:ascii="Courier New" w:hAnsi="Courier New" w:cs="Courier New" w:hint="default"/>
      </w:rPr>
    </w:lvl>
    <w:lvl w:ilvl="8" w:tplc="FFFFFFFF" w:tentative="1">
      <w:start w:val="1"/>
      <w:numFmt w:val="bullet"/>
      <w:lvlText w:val=""/>
      <w:lvlJc w:val="left"/>
      <w:pPr>
        <w:ind w:left="6489" w:hanging="360"/>
      </w:pPr>
      <w:rPr>
        <w:rFonts w:ascii="Wingdings" w:hAnsi="Wingdings" w:hint="default"/>
      </w:rPr>
    </w:lvl>
  </w:abstractNum>
  <w:abstractNum w:abstractNumId="5" w15:restartNumberingAfterBreak="0">
    <w:nsid w:val="14820534"/>
    <w:multiLevelType w:val="multilevel"/>
    <w:tmpl w:val="F1F253C4"/>
    <w:lvl w:ilvl="0">
      <w:start w:val="1"/>
      <w:numFmt w:val="hebrew1"/>
      <w:lvlText w:val="%1."/>
      <w:lvlJc w:val="left"/>
      <w:pPr>
        <w:ind w:left="284" w:hanging="284"/>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val="0"/>
        <w:bCs w:val="0"/>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766" w:hanging="199"/>
      </w:pPr>
      <w:rPr>
        <w:rFonts w:ascii="David" w:hAnsi="David" w:cs="David" w:hint="default"/>
        <w:b/>
        <w:bCs/>
        <w:i w:val="0"/>
        <w:iCs w:val="0"/>
        <w:color w:val="auto"/>
        <w:sz w:val="24"/>
        <w:szCs w:val="24"/>
      </w:rPr>
    </w:lvl>
    <w:lvl w:ilvl="5">
      <w:start w:val="1"/>
      <w:numFmt w:val="hebrew1"/>
      <w:lvlText w:val="%6."/>
      <w:lvlJc w:val="left"/>
      <w:pPr>
        <w:ind w:left="1134"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6" w15:restartNumberingAfterBreak="0">
    <w:nsid w:val="17DD2FD6"/>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7" w15:restartNumberingAfterBreak="0">
    <w:nsid w:val="1B0F40E4"/>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766"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8" w15:restartNumberingAfterBreak="0">
    <w:nsid w:val="20D11FE7"/>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9" w15:restartNumberingAfterBreak="0">
    <w:nsid w:val="22141C7D"/>
    <w:multiLevelType w:val="multilevel"/>
    <w:tmpl w:val="5CF0D532"/>
    <w:lvl w:ilvl="0">
      <w:start w:val="1"/>
      <w:numFmt w:val="hebrew1"/>
      <w:lvlText w:val="%1."/>
      <w:lvlJc w:val="left"/>
      <w:pPr>
        <w:ind w:left="360" w:hanging="360"/>
      </w:pPr>
      <w:rPr>
        <w:rFonts w:ascii="David" w:hAnsi="David" w:cs="David" w:hint="default"/>
        <w:b/>
        <w:bCs/>
        <w:i w:val="0"/>
        <w:iCs w:val="0"/>
        <w:sz w:val="28"/>
        <w:szCs w:val="28"/>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0" w15:restartNumberingAfterBreak="0">
    <w:nsid w:val="24C26183"/>
    <w:multiLevelType w:val="multilevel"/>
    <w:tmpl w:val="4D02C18E"/>
    <w:lvl w:ilvl="0">
      <w:start w:val="1"/>
      <w:numFmt w:val="hebrew1"/>
      <w:lvlText w:val="%1."/>
      <w:lvlJc w:val="left"/>
      <w:pPr>
        <w:ind w:left="360" w:hanging="360"/>
      </w:pPr>
      <w:rPr>
        <w:rFonts w:ascii="David" w:hAnsi="David" w:cs="David" w:hint="default"/>
        <w:b/>
        <w:bCs/>
        <w:i w:val="0"/>
        <w:iCs w:val="0"/>
        <w:sz w:val="28"/>
        <w:szCs w:val="28"/>
      </w:rPr>
    </w:lvl>
    <w:lvl w:ilvl="1">
      <w:start w:val="1"/>
      <w:numFmt w:val="bullet"/>
      <w:lvlText w:val=""/>
      <w:lvlJc w:val="left"/>
      <w:pPr>
        <w:ind w:left="264" w:hanging="264"/>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sz w:val="22"/>
        <w:szCs w:val="22"/>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1" w15:restartNumberingAfterBreak="0">
    <w:nsid w:val="25EF6F45"/>
    <w:multiLevelType w:val="multilevel"/>
    <w:tmpl w:val="A58C6D9C"/>
    <w:lvl w:ilvl="0">
      <w:start w:val="1"/>
      <w:numFmt w:val="hebrew1"/>
      <w:lvlText w:val="%1."/>
      <w:lvlJc w:val="left"/>
      <w:pPr>
        <w:ind w:left="284" w:hanging="284"/>
      </w:pPr>
      <w:rPr>
        <w:rFonts w:ascii="David" w:hAnsi="David" w:cs="David" w:hint="default"/>
        <w:b/>
        <w:bCs/>
        <w:i w:val="0"/>
        <w:iCs w:val="0"/>
        <w:sz w:val="28"/>
        <w:szCs w:val="28"/>
      </w:rPr>
    </w:lvl>
    <w:lvl w:ilvl="1">
      <w:start w:val="1"/>
      <w:numFmt w:val="bullet"/>
      <w:lvlText w:val=""/>
      <w:lvlJc w:val="left"/>
      <w:pPr>
        <w:ind w:left="142" w:hanging="142"/>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sz w:val="22"/>
        <w:szCs w:val="22"/>
      </w:rPr>
    </w:lvl>
    <w:lvl w:ilvl="4">
      <w:start w:val="1"/>
      <w:numFmt w:val="none"/>
      <w:lvlText w:val="-"/>
      <w:lvlJc w:val="left"/>
      <w:pPr>
        <w:ind w:left="851" w:hanging="142"/>
      </w:pPr>
      <w:rPr>
        <w:rFonts w:ascii="David" w:hAnsi="David" w:cs="David" w:hint="default"/>
        <w:b/>
        <w:bCs/>
        <w:i w:val="0"/>
        <w:iCs w:val="0"/>
        <w:color w:val="auto"/>
        <w:sz w:val="24"/>
        <w:szCs w:val="24"/>
      </w:rPr>
    </w:lvl>
    <w:lvl w:ilvl="5">
      <w:start w:val="1"/>
      <w:numFmt w:val="hebrew1"/>
      <w:lvlText w:val="%6."/>
      <w:lvlJc w:val="left"/>
      <w:pPr>
        <w:ind w:left="1135" w:hanging="284"/>
      </w:pPr>
      <w:rPr>
        <w:rFonts w:ascii="David" w:hAnsi="David" w:cs="David" w:hint="default"/>
        <w:b/>
        <w:bCs/>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2" w15:restartNumberingAfterBreak="0">
    <w:nsid w:val="2CAB6287"/>
    <w:multiLevelType w:val="multilevel"/>
    <w:tmpl w:val="0DAA8A4C"/>
    <w:lvl w:ilvl="0">
      <w:start w:val="1"/>
      <w:numFmt w:val="hebrew1"/>
      <w:lvlText w:val="%1."/>
      <w:lvlJc w:val="left"/>
      <w:pPr>
        <w:ind w:left="502" w:hanging="360"/>
      </w:pPr>
      <w:rPr>
        <w:rFonts w:ascii="David" w:hAnsi="David" w:cs="David" w:hint="default"/>
        <w:b/>
        <w:bCs/>
        <w:i w:val="0"/>
        <w:iCs w:val="0"/>
        <w:sz w:val="28"/>
        <w:szCs w:val="28"/>
        <w:lang w:val="en-US"/>
      </w:rPr>
    </w:lvl>
    <w:lvl w:ilvl="1">
      <w:start w:val="1"/>
      <w:numFmt w:val="bullet"/>
      <w:lvlText w:val=""/>
      <w:lvlJc w:val="left"/>
      <w:pPr>
        <w:ind w:left="341" w:hanging="199"/>
      </w:pPr>
      <w:rPr>
        <w:rFonts w:ascii="Symbol" w:hAnsi="Symbol" w:cs="David" w:hint="default"/>
        <w:b/>
        <w:bCs/>
        <w:color w:val="auto"/>
      </w:rPr>
    </w:lvl>
    <w:lvl w:ilvl="2">
      <w:start w:val="1"/>
      <w:numFmt w:val="decimal"/>
      <w:lvlText w:val="%3."/>
      <w:lvlJc w:val="left"/>
      <w:pPr>
        <w:ind w:left="511" w:hanging="227"/>
      </w:pPr>
      <w:rPr>
        <w:rFonts w:ascii="David" w:hAnsi="David" w:cs="David" w:hint="default"/>
        <w:b/>
        <w:bCs/>
        <w:color w:val="auto"/>
        <w:sz w:val="22"/>
        <w:szCs w:val="22"/>
        <w:lang w:val="en-US"/>
      </w:rPr>
    </w:lvl>
    <w:lvl w:ilvl="3">
      <w:start w:val="1"/>
      <w:numFmt w:val="hebrew1"/>
      <w:lvlText w:val="(%4)"/>
      <w:lvlJc w:val="left"/>
      <w:pPr>
        <w:ind w:left="881" w:hanging="313"/>
      </w:pPr>
      <w:rPr>
        <w:rFonts w:ascii="David" w:hAnsi="David" w:cs="David" w:hint="default"/>
        <w:b w:val="0"/>
        <w:bCs w:val="0"/>
        <w:sz w:val="22"/>
        <w:szCs w:val="22"/>
        <w:lang w:val="en-US"/>
      </w:rPr>
    </w:lvl>
    <w:lvl w:ilvl="4">
      <w:start w:val="1"/>
      <w:numFmt w:val="none"/>
      <w:lvlText w:val="-"/>
      <w:lvlJc w:val="left"/>
      <w:pPr>
        <w:ind w:left="1050" w:hanging="199"/>
      </w:pPr>
      <w:rPr>
        <w:rFonts w:ascii="David" w:hAnsi="David" w:cs="David" w:hint="default"/>
        <w:b/>
        <w:bCs/>
        <w:i w:val="0"/>
        <w:iCs w:val="0"/>
        <w:color w:val="auto"/>
        <w:sz w:val="24"/>
        <w:szCs w:val="24"/>
      </w:rPr>
    </w:lvl>
    <w:lvl w:ilvl="5">
      <w:start w:val="1"/>
      <w:numFmt w:val="hebrew1"/>
      <w:lvlText w:val="%6."/>
      <w:lvlJc w:val="left"/>
      <w:pPr>
        <w:ind w:left="1418" w:hanging="284"/>
      </w:pPr>
      <w:rPr>
        <w:rFonts w:ascii="David" w:hAnsi="David" w:cs="David" w:hint="default"/>
        <w:b w:val="0"/>
        <w:bCs w:val="0"/>
      </w:rPr>
    </w:lvl>
    <w:lvl w:ilvl="6">
      <w:start w:val="1"/>
      <w:numFmt w:val="bullet"/>
      <w:lvlText w:val=""/>
      <w:lvlJc w:val="left"/>
      <w:pPr>
        <w:ind w:left="2345" w:hanging="360"/>
      </w:pPr>
      <w:rPr>
        <w:rFonts w:ascii="Symbol" w:hAnsi="Symbol" w:cs="Times New Roman" w:hint="default"/>
        <w:color w:val="auto"/>
      </w:rPr>
    </w:lvl>
    <w:lvl w:ilvl="7">
      <w:start w:val="1"/>
      <w:numFmt w:val="bullet"/>
      <w:lvlText w:val=""/>
      <w:lvlJc w:val="left"/>
      <w:pPr>
        <w:ind w:left="1636" w:hanging="360"/>
      </w:pPr>
      <w:rPr>
        <w:rFonts w:ascii="Symbol" w:hAnsi="Symbol" w:cs="Times New Roman" w:hint="default"/>
        <w:color w:val="auto"/>
      </w:rPr>
    </w:lvl>
    <w:lvl w:ilvl="8">
      <w:start w:val="1"/>
      <w:numFmt w:val="lowerRoman"/>
      <w:lvlText w:val="%9."/>
      <w:lvlJc w:val="left"/>
      <w:pPr>
        <w:ind w:left="3382" w:hanging="360"/>
      </w:pPr>
      <w:rPr>
        <w:rFonts w:hint="default"/>
      </w:rPr>
    </w:lvl>
  </w:abstractNum>
  <w:abstractNum w:abstractNumId="13" w15:restartNumberingAfterBreak="0">
    <w:nsid w:val="2D025DFC"/>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4" w15:restartNumberingAfterBreak="0">
    <w:nsid w:val="2DBA005E"/>
    <w:multiLevelType w:val="multilevel"/>
    <w:tmpl w:val="48881574"/>
    <w:lvl w:ilvl="0">
      <w:start w:val="1"/>
      <w:numFmt w:val="hebrew1"/>
      <w:lvlText w:val="%1."/>
      <w:lvlJc w:val="left"/>
      <w:pPr>
        <w:ind w:left="227" w:hanging="227"/>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766"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5" w15:restartNumberingAfterBreak="0">
    <w:nsid w:val="30137D77"/>
    <w:multiLevelType w:val="hybridMultilevel"/>
    <w:tmpl w:val="B4DAA222"/>
    <w:lvl w:ilvl="0" w:tplc="04090001">
      <w:start w:val="1"/>
      <w:numFmt w:val="bullet"/>
      <w:lvlText w:val=""/>
      <w:lvlJc w:val="left"/>
      <w:pPr>
        <w:ind w:left="729" w:hanging="360"/>
      </w:pPr>
      <w:rPr>
        <w:rFonts w:ascii="Symbol" w:hAnsi="Symbol" w:hint="default"/>
      </w:rPr>
    </w:lvl>
    <w:lvl w:ilvl="1" w:tplc="04090003">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16" w15:restartNumberingAfterBreak="0">
    <w:nsid w:val="30F55E5C"/>
    <w:multiLevelType w:val="multilevel"/>
    <w:tmpl w:val="E122723A"/>
    <w:lvl w:ilvl="0">
      <w:start w:val="1"/>
      <w:numFmt w:val="hebrew1"/>
      <w:lvlText w:val="%1."/>
      <w:lvlJc w:val="left"/>
      <w:pPr>
        <w:ind w:left="284" w:hanging="284"/>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lang w:bidi="he-IL"/>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7" w15:restartNumberingAfterBreak="0">
    <w:nsid w:val="32657A2F"/>
    <w:multiLevelType w:val="multilevel"/>
    <w:tmpl w:val="F1F253C4"/>
    <w:lvl w:ilvl="0">
      <w:start w:val="1"/>
      <w:numFmt w:val="hebrew1"/>
      <w:lvlText w:val="%1."/>
      <w:lvlJc w:val="left"/>
      <w:pPr>
        <w:ind w:left="284" w:hanging="284"/>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val="0"/>
        <w:bCs w:val="0"/>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766" w:hanging="199"/>
      </w:pPr>
      <w:rPr>
        <w:rFonts w:ascii="David" w:hAnsi="David" w:cs="David" w:hint="default"/>
        <w:b/>
        <w:bCs/>
        <w:i w:val="0"/>
        <w:iCs w:val="0"/>
        <w:color w:val="auto"/>
        <w:sz w:val="24"/>
        <w:szCs w:val="24"/>
      </w:rPr>
    </w:lvl>
    <w:lvl w:ilvl="5">
      <w:start w:val="1"/>
      <w:numFmt w:val="hebrew1"/>
      <w:lvlText w:val="%6."/>
      <w:lvlJc w:val="left"/>
      <w:pPr>
        <w:ind w:left="1134"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18" w15:restartNumberingAfterBreak="0">
    <w:nsid w:val="3E9D42C9"/>
    <w:multiLevelType w:val="multilevel"/>
    <w:tmpl w:val="86028380"/>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b/>
        <w:bCs/>
      </w:rPr>
    </w:lvl>
    <w:lvl w:ilvl="2">
      <w:start w:val="1"/>
      <w:numFmt w:val="hebrew1"/>
      <w:lvlText w:val="%3)"/>
      <w:lvlJc w:val="left"/>
      <w:pPr>
        <w:ind w:left="851" w:hanging="284"/>
      </w:pPr>
      <w:rPr>
        <w:rFonts w:hint="default"/>
        <w:b w:val="0"/>
        <w:bCs w:val="0"/>
      </w:rPr>
    </w:lvl>
    <w:lvl w:ilvl="3">
      <w:start w:val="1"/>
      <w:numFmt w:val="decimal"/>
      <w:lvlText w:val="(%4)"/>
      <w:lvlJc w:val="left"/>
      <w:pPr>
        <w:ind w:left="708" w:hanging="283"/>
      </w:pPr>
      <w:rPr>
        <w:rFonts w:hint="default"/>
        <w:color w:val="auto"/>
      </w:rPr>
    </w:lvl>
    <w:lvl w:ilvl="4">
      <w:start w:val="1"/>
      <w:numFmt w:val="bullet"/>
      <w:lvlText w:val=""/>
      <w:lvlJc w:val="left"/>
      <w:pPr>
        <w:ind w:left="1395" w:hanging="261"/>
      </w:pPr>
      <w:rPr>
        <w:rFonts w:ascii="Symbol" w:hAnsi="Symbol" w:cs="Times New Roman" w:hint="default"/>
        <w:color w:val="auto"/>
      </w:rPr>
    </w:lvl>
    <w:lvl w:ilvl="5">
      <w:start w:val="1"/>
      <w:numFmt w:val="hebrew1"/>
      <w:lvlText w:val="(%6)"/>
      <w:lvlJc w:val="left"/>
      <w:pPr>
        <w:ind w:left="1778" w:hanging="360"/>
      </w:pPr>
      <w:rPr>
        <w:rFonts w:hint="default"/>
        <w:b w:val="0"/>
        <w:bCs w:val="0"/>
      </w:rPr>
    </w:lvl>
    <w:lvl w:ilvl="6">
      <w:start w:val="1"/>
      <w:numFmt w:val="bullet"/>
      <w:lvlText w:val=""/>
      <w:lvlJc w:val="left"/>
      <w:pPr>
        <w:ind w:left="2381" w:hanging="221"/>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1A72A1"/>
    <w:multiLevelType w:val="multilevel"/>
    <w:tmpl w:val="A934D3EA"/>
    <w:lvl w:ilvl="0">
      <w:start w:val="1"/>
      <w:numFmt w:val="hebrew1"/>
      <w:lvlText w:val="%1."/>
      <w:lvlJc w:val="left"/>
      <w:pPr>
        <w:ind w:left="284" w:hanging="284"/>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766" w:hanging="199"/>
      </w:pPr>
      <w:rPr>
        <w:rFonts w:ascii="David" w:hAnsi="David" w:cs="David" w:hint="default"/>
        <w:b/>
        <w:bCs/>
        <w:i w:val="0"/>
        <w:iCs w:val="0"/>
        <w:color w:val="auto"/>
        <w:sz w:val="24"/>
        <w:szCs w:val="24"/>
      </w:rPr>
    </w:lvl>
    <w:lvl w:ilvl="5">
      <w:start w:val="1"/>
      <w:numFmt w:val="hebrew1"/>
      <w:lvlText w:val="%6."/>
      <w:lvlJc w:val="left"/>
      <w:pPr>
        <w:ind w:left="1134"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0" w15:restartNumberingAfterBreak="0">
    <w:nsid w:val="40814B69"/>
    <w:multiLevelType w:val="multilevel"/>
    <w:tmpl w:val="A58C6D9C"/>
    <w:lvl w:ilvl="0">
      <w:start w:val="1"/>
      <w:numFmt w:val="hebrew1"/>
      <w:lvlText w:val="%1."/>
      <w:lvlJc w:val="left"/>
      <w:pPr>
        <w:ind w:left="284" w:hanging="284"/>
      </w:pPr>
      <w:rPr>
        <w:rFonts w:ascii="David" w:hAnsi="David" w:cs="David" w:hint="default"/>
        <w:b/>
        <w:bCs/>
        <w:i w:val="0"/>
        <w:iCs w:val="0"/>
        <w:sz w:val="28"/>
        <w:szCs w:val="28"/>
      </w:rPr>
    </w:lvl>
    <w:lvl w:ilvl="1">
      <w:start w:val="1"/>
      <w:numFmt w:val="bullet"/>
      <w:lvlText w:val=""/>
      <w:lvlJc w:val="left"/>
      <w:pPr>
        <w:ind w:left="142" w:hanging="142"/>
      </w:pPr>
      <w:rPr>
        <w:rFonts w:ascii="Symbol" w:hAnsi="Symbol" w:cs="David" w:hint="default"/>
        <w:b/>
        <w:bCs/>
        <w:color w:val="auto"/>
      </w:rPr>
    </w:lvl>
    <w:lvl w:ilvl="2">
      <w:start w:val="1"/>
      <w:numFmt w:val="decimal"/>
      <w:lvlText w:val="%3."/>
      <w:lvlJc w:val="left"/>
      <w:pPr>
        <w:ind w:left="510"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sz w:val="22"/>
        <w:szCs w:val="22"/>
      </w:rPr>
    </w:lvl>
    <w:lvl w:ilvl="4">
      <w:start w:val="1"/>
      <w:numFmt w:val="none"/>
      <w:lvlText w:val="-"/>
      <w:lvlJc w:val="left"/>
      <w:pPr>
        <w:ind w:left="851" w:hanging="142"/>
      </w:pPr>
      <w:rPr>
        <w:rFonts w:ascii="David" w:hAnsi="David" w:cs="David" w:hint="default"/>
        <w:b/>
        <w:bCs/>
        <w:i w:val="0"/>
        <w:iCs w:val="0"/>
        <w:color w:val="auto"/>
        <w:sz w:val="24"/>
        <w:szCs w:val="24"/>
      </w:rPr>
    </w:lvl>
    <w:lvl w:ilvl="5">
      <w:start w:val="1"/>
      <w:numFmt w:val="hebrew1"/>
      <w:lvlText w:val="%6."/>
      <w:lvlJc w:val="left"/>
      <w:pPr>
        <w:ind w:left="1135" w:hanging="284"/>
      </w:pPr>
      <w:rPr>
        <w:rFonts w:ascii="David" w:hAnsi="David" w:cs="David" w:hint="default"/>
        <w:b/>
        <w:bCs/>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1" w15:restartNumberingAfterBreak="0">
    <w:nsid w:val="43F66AE3"/>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2" w15:restartNumberingAfterBreak="0">
    <w:nsid w:val="47E674ED"/>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3" w15:restartNumberingAfterBreak="0">
    <w:nsid w:val="4CB73F1C"/>
    <w:multiLevelType w:val="multilevel"/>
    <w:tmpl w:val="86028380"/>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b/>
        <w:bCs/>
      </w:rPr>
    </w:lvl>
    <w:lvl w:ilvl="2">
      <w:start w:val="1"/>
      <w:numFmt w:val="hebrew1"/>
      <w:lvlText w:val="%3)"/>
      <w:lvlJc w:val="left"/>
      <w:pPr>
        <w:ind w:left="851" w:hanging="284"/>
      </w:pPr>
      <w:rPr>
        <w:rFonts w:hint="default"/>
        <w:b w:val="0"/>
        <w:bCs w:val="0"/>
      </w:rPr>
    </w:lvl>
    <w:lvl w:ilvl="3">
      <w:start w:val="1"/>
      <w:numFmt w:val="decimal"/>
      <w:lvlText w:val="(%4)"/>
      <w:lvlJc w:val="left"/>
      <w:pPr>
        <w:ind w:left="1134" w:hanging="283"/>
      </w:pPr>
      <w:rPr>
        <w:rFonts w:hint="default"/>
        <w:color w:val="auto"/>
      </w:rPr>
    </w:lvl>
    <w:lvl w:ilvl="4">
      <w:start w:val="1"/>
      <w:numFmt w:val="bullet"/>
      <w:lvlText w:val=""/>
      <w:lvlJc w:val="left"/>
      <w:pPr>
        <w:ind w:left="1395" w:hanging="261"/>
      </w:pPr>
      <w:rPr>
        <w:rFonts w:ascii="Symbol" w:hAnsi="Symbol" w:cs="Times New Roman" w:hint="default"/>
        <w:color w:val="auto"/>
      </w:rPr>
    </w:lvl>
    <w:lvl w:ilvl="5">
      <w:start w:val="1"/>
      <w:numFmt w:val="hebrew1"/>
      <w:lvlText w:val="(%6)"/>
      <w:lvlJc w:val="left"/>
      <w:pPr>
        <w:ind w:left="1778" w:hanging="360"/>
      </w:pPr>
      <w:rPr>
        <w:rFonts w:hint="default"/>
        <w:b w:val="0"/>
        <w:bCs w:val="0"/>
      </w:rPr>
    </w:lvl>
    <w:lvl w:ilvl="6">
      <w:start w:val="1"/>
      <w:numFmt w:val="bullet"/>
      <w:lvlText w:val=""/>
      <w:lvlJc w:val="left"/>
      <w:pPr>
        <w:ind w:left="2381" w:hanging="221"/>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E3F02C0"/>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5" w15:restartNumberingAfterBreak="0">
    <w:nsid w:val="526B07F5"/>
    <w:multiLevelType w:val="multilevel"/>
    <w:tmpl w:val="8D62753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rPr>
    </w:lvl>
    <w:lvl w:ilvl="2">
      <w:start w:val="1"/>
      <w:numFmt w:val="hebrew1"/>
      <w:lvlText w:val="%3)"/>
      <w:lvlJc w:val="left"/>
      <w:pPr>
        <w:ind w:left="794" w:hanging="227"/>
      </w:pPr>
      <w:rPr>
        <w:rFonts w:ascii="David" w:hAnsi="David" w:cs="David" w:hint="default"/>
      </w:rPr>
    </w:lvl>
    <w:lvl w:ilvl="3">
      <w:start w:val="1"/>
      <w:numFmt w:val="decimal"/>
      <w:lvlText w:val="(%4)"/>
      <w:lvlJc w:val="left"/>
      <w:pPr>
        <w:ind w:left="1210" w:hanging="360"/>
      </w:pPr>
      <w:rPr>
        <w:rFonts w:ascii="David" w:hAnsi="David" w:cs="David" w:hint="default"/>
      </w:rPr>
    </w:lvl>
    <w:lvl w:ilvl="4">
      <w:start w:val="1"/>
      <w:numFmt w:val="bullet"/>
      <w:lvlText w:val=""/>
      <w:lvlJc w:val="left"/>
      <w:pPr>
        <w:ind w:left="1191" w:hanging="199"/>
      </w:pPr>
      <w:rPr>
        <w:rFonts w:ascii="Symbol" w:hAnsi="Symbol" w:cs="Times New Roman" w:hint="default"/>
        <w:color w:val="auto"/>
      </w:rPr>
    </w:lvl>
    <w:lvl w:ilvl="5">
      <w:start w:val="1"/>
      <w:numFmt w:val="hebrew1"/>
      <w:lvlText w:val="%6."/>
      <w:lvlJc w:val="left"/>
      <w:pPr>
        <w:ind w:left="1777" w:hanging="360"/>
      </w:pPr>
      <w:rPr>
        <w:rFonts w:ascii="David" w:hAnsi="David" w:cs="David" w:hint="default"/>
      </w:rPr>
    </w:lvl>
    <w:lvl w:ilvl="6">
      <w:start w:val="1"/>
      <w:numFmt w:val="bullet"/>
      <w:lvlText w:val=""/>
      <w:lvlJc w:val="left"/>
      <w:pPr>
        <w:ind w:left="2203" w:hanging="360"/>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74A699F"/>
    <w:multiLevelType w:val="multilevel"/>
    <w:tmpl w:val="19AE7A2C"/>
    <w:lvl w:ilvl="0">
      <w:start w:val="1"/>
      <w:numFmt w:val="hebrew1"/>
      <w:lvlText w:val="%1."/>
      <w:lvlJc w:val="left"/>
      <w:pPr>
        <w:ind w:left="360" w:hanging="360"/>
      </w:pPr>
      <w:rPr>
        <w:rFonts w:ascii="David" w:hAnsi="David" w:cs="David" w:hint="default"/>
        <w:b/>
        <w:bCs/>
        <w:i w:val="0"/>
        <w:iCs w:val="0"/>
        <w:sz w:val="28"/>
        <w:szCs w:val="28"/>
      </w:rPr>
    </w:lvl>
    <w:lvl w:ilvl="1">
      <w:start w:val="1"/>
      <w:numFmt w:val="bullet"/>
      <w:lvlText w:val=""/>
      <w:lvlJc w:val="left"/>
      <w:pPr>
        <w:ind w:left="142" w:hanging="142"/>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1021" w:hanging="313"/>
      </w:pPr>
      <w:rPr>
        <w:rFonts w:ascii="David" w:hAnsi="David" w:cs="David" w:hint="default"/>
        <w:sz w:val="22"/>
        <w:szCs w:val="22"/>
      </w:rPr>
    </w:lvl>
    <w:lvl w:ilvl="4">
      <w:start w:val="1"/>
      <w:numFmt w:val="decimal"/>
      <w:lvlText w:val="(%5)"/>
      <w:lvlJc w:val="left"/>
      <w:pPr>
        <w:ind w:left="1276" w:hanging="284"/>
      </w:pPr>
      <w:rPr>
        <w:rFonts w:ascii="David" w:hAnsi="David" w:cs="David" w:hint="default"/>
        <w:color w:val="auto"/>
        <w:sz w:val="20"/>
        <w:szCs w:val="20"/>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7" w15:restartNumberingAfterBreak="0">
    <w:nsid w:val="58476C88"/>
    <w:multiLevelType w:val="multilevel"/>
    <w:tmpl w:val="30AC8796"/>
    <w:lvl w:ilvl="0">
      <w:start w:val="1"/>
      <w:numFmt w:val="hebrew1"/>
      <w:lvlText w:val="%1."/>
      <w:lvlJc w:val="left"/>
      <w:pPr>
        <w:ind w:left="360" w:hanging="360"/>
      </w:pPr>
      <w:rPr>
        <w:rFonts w:ascii="David" w:hAnsi="David" w:cs="David" w:hint="default"/>
        <w:b/>
        <w:bCs/>
        <w:i w:val="0"/>
        <w:iCs w:val="0"/>
        <w:sz w:val="28"/>
        <w:szCs w:val="28"/>
      </w:rPr>
    </w:lvl>
    <w:lvl w:ilvl="1">
      <w:start w:val="1"/>
      <w:numFmt w:val="bullet"/>
      <w:lvlText w:val=""/>
      <w:lvlJc w:val="left"/>
      <w:pPr>
        <w:ind w:left="264" w:hanging="264"/>
      </w:pPr>
      <w:rPr>
        <w:rFonts w:ascii="Symbol" w:hAnsi="Symbol" w:cs="David" w:hint="default"/>
        <w:b/>
        <w:bCs/>
        <w:color w:val="auto"/>
      </w:rPr>
    </w:lvl>
    <w:lvl w:ilvl="2">
      <w:start w:val="1"/>
      <w:numFmt w:val="decimal"/>
      <w:lvlText w:val="%3."/>
      <w:lvlJc w:val="left"/>
      <w:pPr>
        <w:ind w:left="652" w:hanging="227"/>
      </w:pPr>
      <w:rPr>
        <w:rFonts w:ascii="David" w:hAnsi="David" w:cs="David" w:hint="default"/>
        <w:b/>
        <w:bCs/>
        <w:color w:val="auto"/>
        <w:sz w:val="22"/>
        <w:szCs w:val="22"/>
        <w:lang w:val="en-US"/>
      </w:rPr>
    </w:lvl>
    <w:lvl w:ilvl="3">
      <w:start w:val="1"/>
      <w:numFmt w:val="hebrew1"/>
      <w:lvlText w:val="(%4)"/>
      <w:lvlJc w:val="left"/>
      <w:pPr>
        <w:ind w:left="1021" w:hanging="313"/>
      </w:pPr>
      <w:rPr>
        <w:rFonts w:ascii="David" w:hAnsi="David" w:cs="David" w:hint="default"/>
        <w:sz w:val="22"/>
        <w:szCs w:val="22"/>
      </w:rPr>
    </w:lvl>
    <w:lvl w:ilvl="4">
      <w:start w:val="1"/>
      <w:numFmt w:val="decimal"/>
      <w:lvlText w:val="(%5)"/>
      <w:lvlJc w:val="left"/>
      <w:pPr>
        <w:ind w:left="1276" w:hanging="284"/>
      </w:pPr>
      <w:rPr>
        <w:rFonts w:ascii="David" w:hAnsi="David" w:cs="David" w:hint="default"/>
        <w:color w:val="auto"/>
        <w:sz w:val="20"/>
        <w:szCs w:val="20"/>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8" w15:restartNumberingAfterBreak="0">
    <w:nsid w:val="589807ED"/>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29" w15:restartNumberingAfterBreak="0">
    <w:nsid w:val="596B291D"/>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766"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0" w15:restartNumberingAfterBreak="0">
    <w:nsid w:val="5AD8682C"/>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766"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1" w15:restartNumberingAfterBreak="0">
    <w:nsid w:val="5D664D00"/>
    <w:multiLevelType w:val="multilevel"/>
    <w:tmpl w:val="86028380"/>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b/>
        <w:bCs/>
      </w:rPr>
    </w:lvl>
    <w:lvl w:ilvl="2">
      <w:start w:val="1"/>
      <w:numFmt w:val="hebrew1"/>
      <w:lvlText w:val="%3)"/>
      <w:lvlJc w:val="left"/>
      <w:pPr>
        <w:ind w:left="851" w:hanging="284"/>
      </w:pPr>
      <w:rPr>
        <w:rFonts w:hint="default"/>
        <w:b w:val="0"/>
        <w:bCs w:val="0"/>
      </w:rPr>
    </w:lvl>
    <w:lvl w:ilvl="3">
      <w:start w:val="1"/>
      <w:numFmt w:val="decimal"/>
      <w:lvlText w:val="(%4)"/>
      <w:lvlJc w:val="left"/>
      <w:pPr>
        <w:ind w:left="1134" w:hanging="283"/>
      </w:pPr>
      <w:rPr>
        <w:rFonts w:hint="default"/>
        <w:color w:val="auto"/>
      </w:rPr>
    </w:lvl>
    <w:lvl w:ilvl="4">
      <w:start w:val="1"/>
      <w:numFmt w:val="bullet"/>
      <w:lvlText w:val=""/>
      <w:lvlJc w:val="left"/>
      <w:pPr>
        <w:ind w:left="1395" w:hanging="261"/>
      </w:pPr>
      <w:rPr>
        <w:rFonts w:ascii="Symbol" w:hAnsi="Symbol" w:cs="Times New Roman" w:hint="default"/>
        <w:color w:val="auto"/>
      </w:rPr>
    </w:lvl>
    <w:lvl w:ilvl="5">
      <w:start w:val="1"/>
      <w:numFmt w:val="hebrew1"/>
      <w:lvlText w:val="(%6)"/>
      <w:lvlJc w:val="left"/>
      <w:pPr>
        <w:ind w:left="1778" w:hanging="360"/>
      </w:pPr>
      <w:rPr>
        <w:rFonts w:hint="default"/>
        <w:b w:val="0"/>
        <w:bCs w:val="0"/>
      </w:rPr>
    </w:lvl>
    <w:lvl w:ilvl="6">
      <w:start w:val="1"/>
      <w:numFmt w:val="bullet"/>
      <w:lvlText w:val=""/>
      <w:lvlJc w:val="left"/>
      <w:pPr>
        <w:ind w:left="2381" w:hanging="221"/>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DD324B5"/>
    <w:multiLevelType w:val="multilevel"/>
    <w:tmpl w:val="8D62753C"/>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rPr>
    </w:lvl>
    <w:lvl w:ilvl="2">
      <w:start w:val="1"/>
      <w:numFmt w:val="hebrew1"/>
      <w:lvlText w:val="%3)"/>
      <w:lvlJc w:val="left"/>
      <w:pPr>
        <w:ind w:left="794" w:hanging="227"/>
      </w:pPr>
      <w:rPr>
        <w:rFonts w:ascii="David" w:hAnsi="David" w:cs="David" w:hint="default"/>
      </w:rPr>
    </w:lvl>
    <w:lvl w:ilvl="3">
      <w:start w:val="1"/>
      <w:numFmt w:val="decimal"/>
      <w:lvlText w:val="(%4)"/>
      <w:lvlJc w:val="left"/>
      <w:pPr>
        <w:ind w:left="1210" w:hanging="360"/>
      </w:pPr>
      <w:rPr>
        <w:rFonts w:ascii="David" w:hAnsi="David" w:cs="David" w:hint="default"/>
      </w:rPr>
    </w:lvl>
    <w:lvl w:ilvl="4">
      <w:start w:val="1"/>
      <w:numFmt w:val="bullet"/>
      <w:lvlText w:val=""/>
      <w:lvlJc w:val="left"/>
      <w:pPr>
        <w:ind w:left="1191" w:hanging="199"/>
      </w:pPr>
      <w:rPr>
        <w:rFonts w:ascii="Symbol" w:hAnsi="Symbol" w:cs="Times New Roman" w:hint="default"/>
        <w:color w:val="auto"/>
      </w:rPr>
    </w:lvl>
    <w:lvl w:ilvl="5">
      <w:start w:val="1"/>
      <w:numFmt w:val="hebrew1"/>
      <w:lvlText w:val="%6."/>
      <w:lvlJc w:val="left"/>
      <w:pPr>
        <w:ind w:left="1777" w:hanging="360"/>
      </w:pPr>
      <w:rPr>
        <w:rFonts w:ascii="David" w:hAnsi="David" w:cs="David" w:hint="default"/>
      </w:rPr>
    </w:lvl>
    <w:lvl w:ilvl="6">
      <w:start w:val="1"/>
      <w:numFmt w:val="bullet"/>
      <w:lvlText w:val=""/>
      <w:lvlJc w:val="left"/>
      <w:pPr>
        <w:ind w:left="2203" w:hanging="360"/>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B04101"/>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4" w15:restartNumberingAfterBreak="0">
    <w:nsid w:val="617C181E"/>
    <w:multiLevelType w:val="multilevel"/>
    <w:tmpl w:val="0DAA8A4C"/>
    <w:lvl w:ilvl="0">
      <w:start w:val="1"/>
      <w:numFmt w:val="hebrew1"/>
      <w:lvlText w:val="%1."/>
      <w:lvlJc w:val="left"/>
      <w:pPr>
        <w:ind w:left="360" w:hanging="360"/>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766"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5" w15:restartNumberingAfterBreak="0">
    <w:nsid w:val="64393278"/>
    <w:multiLevelType w:val="multilevel"/>
    <w:tmpl w:val="5CF0D532"/>
    <w:lvl w:ilvl="0">
      <w:start w:val="1"/>
      <w:numFmt w:val="hebrew1"/>
      <w:lvlText w:val="%1."/>
      <w:lvlJc w:val="left"/>
      <w:pPr>
        <w:ind w:left="360" w:hanging="360"/>
      </w:pPr>
      <w:rPr>
        <w:rFonts w:ascii="David" w:hAnsi="David" w:cs="David" w:hint="default"/>
        <w:b/>
        <w:bCs/>
        <w:i w:val="0"/>
        <w:iCs w:val="0"/>
        <w:sz w:val="28"/>
        <w:szCs w:val="28"/>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sz w:val="22"/>
        <w:szCs w:val="22"/>
        <w:lang w:val="en-US"/>
      </w:rPr>
    </w:lvl>
    <w:lvl w:ilvl="4">
      <w:start w:val="1"/>
      <w:numFmt w:val="none"/>
      <w:lvlText w:val="-"/>
      <w:lvlJc w:val="left"/>
      <w:pPr>
        <w:ind w:left="908" w:hanging="199"/>
      </w:pPr>
      <w:rPr>
        <w:rFonts w:ascii="David" w:hAnsi="David" w:cs="David" w:hint="default"/>
        <w:b/>
        <w:bCs/>
        <w:i w:val="0"/>
        <w:iCs w:val="0"/>
        <w:color w:val="auto"/>
        <w:sz w:val="24"/>
        <w:szCs w:val="24"/>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6" w15:restartNumberingAfterBreak="0">
    <w:nsid w:val="6B666455"/>
    <w:multiLevelType w:val="multilevel"/>
    <w:tmpl w:val="A934D3EA"/>
    <w:lvl w:ilvl="0">
      <w:start w:val="1"/>
      <w:numFmt w:val="hebrew1"/>
      <w:lvlText w:val="%1."/>
      <w:lvlJc w:val="left"/>
      <w:pPr>
        <w:ind w:left="284" w:hanging="284"/>
      </w:pPr>
      <w:rPr>
        <w:rFonts w:ascii="David" w:hAnsi="David" w:cs="David" w:hint="default"/>
        <w:b/>
        <w:bCs/>
        <w:i w:val="0"/>
        <w:iCs w:val="0"/>
        <w:sz w:val="28"/>
        <w:szCs w:val="28"/>
        <w:lang w:val="en-US"/>
      </w:rPr>
    </w:lvl>
    <w:lvl w:ilvl="1">
      <w:start w:val="1"/>
      <w:numFmt w:val="bullet"/>
      <w:lvlText w:val=""/>
      <w:lvlJc w:val="left"/>
      <w:pPr>
        <w:ind w:left="199" w:hanging="199"/>
      </w:pPr>
      <w:rPr>
        <w:rFonts w:ascii="Symbol" w:hAnsi="Symbol" w:cs="David" w:hint="default"/>
        <w:b/>
        <w:bCs/>
        <w:color w:val="auto"/>
      </w:rPr>
    </w:lvl>
    <w:lvl w:ilvl="2">
      <w:start w:val="1"/>
      <w:numFmt w:val="decimal"/>
      <w:lvlText w:val="%3."/>
      <w:lvlJc w:val="left"/>
      <w:pPr>
        <w:ind w:left="369" w:hanging="227"/>
      </w:pPr>
      <w:rPr>
        <w:rFonts w:ascii="David" w:hAnsi="David" w:cs="David" w:hint="default"/>
        <w:b/>
        <w:bCs/>
        <w:color w:val="auto"/>
        <w:sz w:val="22"/>
        <w:szCs w:val="22"/>
        <w:lang w:val="en-US"/>
      </w:rPr>
    </w:lvl>
    <w:lvl w:ilvl="3">
      <w:start w:val="1"/>
      <w:numFmt w:val="hebrew1"/>
      <w:lvlText w:val="(%4)"/>
      <w:lvlJc w:val="left"/>
      <w:pPr>
        <w:ind w:left="597" w:hanging="313"/>
      </w:pPr>
      <w:rPr>
        <w:rFonts w:ascii="David" w:hAnsi="David" w:cs="David" w:hint="default"/>
        <w:b w:val="0"/>
        <w:bCs w:val="0"/>
        <w:sz w:val="22"/>
        <w:szCs w:val="22"/>
        <w:lang w:val="en-US"/>
      </w:rPr>
    </w:lvl>
    <w:lvl w:ilvl="4">
      <w:start w:val="1"/>
      <w:numFmt w:val="none"/>
      <w:lvlText w:val="-"/>
      <w:lvlJc w:val="left"/>
      <w:pPr>
        <w:ind w:left="766" w:hanging="199"/>
      </w:pPr>
      <w:rPr>
        <w:rFonts w:ascii="David" w:hAnsi="David" w:cs="David" w:hint="default"/>
        <w:b/>
        <w:bCs/>
        <w:i w:val="0"/>
        <w:iCs w:val="0"/>
        <w:color w:val="auto"/>
        <w:sz w:val="24"/>
        <w:szCs w:val="24"/>
      </w:rPr>
    </w:lvl>
    <w:lvl w:ilvl="5">
      <w:start w:val="1"/>
      <w:numFmt w:val="hebrew1"/>
      <w:lvlText w:val="%6."/>
      <w:lvlJc w:val="left"/>
      <w:pPr>
        <w:ind w:left="1276"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7" w15:restartNumberingAfterBreak="0">
    <w:nsid w:val="6BD05CF5"/>
    <w:multiLevelType w:val="multilevel"/>
    <w:tmpl w:val="4D02C18E"/>
    <w:lvl w:ilvl="0">
      <w:start w:val="1"/>
      <w:numFmt w:val="hebrew1"/>
      <w:lvlText w:val="%1."/>
      <w:lvlJc w:val="left"/>
      <w:pPr>
        <w:ind w:left="360" w:hanging="360"/>
      </w:pPr>
      <w:rPr>
        <w:rFonts w:ascii="David" w:hAnsi="David" w:cs="David" w:hint="default"/>
        <w:b/>
        <w:bCs/>
        <w:i w:val="0"/>
        <w:iCs w:val="0"/>
        <w:sz w:val="28"/>
        <w:szCs w:val="28"/>
      </w:rPr>
    </w:lvl>
    <w:lvl w:ilvl="1">
      <w:start w:val="1"/>
      <w:numFmt w:val="bullet"/>
      <w:lvlText w:val=""/>
      <w:lvlJc w:val="left"/>
      <w:pPr>
        <w:ind w:left="264" w:hanging="264"/>
      </w:pPr>
      <w:rPr>
        <w:rFonts w:ascii="Symbol" w:hAnsi="Symbol" w:cs="David" w:hint="default"/>
        <w:b/>
        <w:bCs/>
        <w:color w:val="auto"/>
      </w:rPr>
    </w:lvl>
    <w:lvl w:ilvl="2">
      <w:start w:val="1"/>
      <w:numFmt w:val="decimal"/>
      <w:lvlText w:val="%3."/>
      <w:lvlJc w:val="left"/>
      <w:pPr>
        <w:ind w:left="511" w:hanging="227"/>
      </w:pPr>
      <w:rPr>
        <w:rFonts w:ascii="David" w:hAnsi="David" w:cs="David" w:hint="default"/>
        <w:b/>
        <w:bCs/>
        <w:color w:val="auto"/>
        <w:sz w:val="22"/>
        <w:szCs w:val="22"/>
        <w:lang w:val="en-US"/>
      </w:rPr>
    </w:lvl>
    <w:lvl w:ilvl="3">
      <w:start w:val="1"/>
      <w:numFmt w:val="hebrew1"/>
      <w:lvlText w:val="(%4)"/>
      <w:lvlJc w:val="left"/>
      <w:pPr>
        <w:ind w:left="1021" w:hanging="313"/>
      </w:pPr>
      <w:rPr>
        <w:rFonts w:ascii="David" w:hAnsi="David" w:cs="David" w:hint="default"/>
        <w:sz w:val="22"/>
        <w:szCs w:val="22"/>
      </w:rPr>
    </w:lvl>
    <w:lvl w:ilvl="4">
      <w:start w:val="1"/>
      <w:numFmt w:val="none"/>
      <w:lvlText w:val="-"/>
      <w:lvlJc w:val="left"/>
      <w:pPr>
        <w:ind w:left="1191" w:hanging="199"/>
      </w:pPr>
      <w:rPr>
        <w:rFonts w:ascii="David" w:hAnsi="David" w:cs="David" w:hint="default"/>
        <w:b/>
        <w:bCs/>
        <w:i w:val="0"/>
        <w:iCs w:val="0"/>
        <w:color w:val="auto"/>
        <w:sz w:val="24"/>
        <w:szCs w:val="24"/>
      </w:rPr>
    </w:lvl>
    <w:lvl w:ilvl="5">
      <w:start w:val="1"/>
      <w:numFmt w:val="hebrew1"/>
      <w:lvlText w:val="%6."/>
      <w:lvlJc w:val="left"/>
      <w:pPr>
        <w:ind w:left="1701" w:hanging="284"/>
      </w:pPr>
      <w:rPr>
        <w:rFonts w:ascii="David" w:hAnsi="David" w:cs="David" w:hint="default"/>
        <w:b w:val="0"/>
        <w:bCs w:val="0"/>
      </w:rPr>
    </w:lvl>
    <w:lvl w:ilvl="6">
      <w:start w:val="1"/>
      <w:numFmt w:val="bullet"/>
      <w:lvlText w:val=""/>
      <w:lvlJc w:val="left"/>
      <w:pPr>
        <w:ind w:left="2203" w:hanging="360"/>
      </w:pPr>
      <w:rPr>
        <w:rFonts w:ascii="Symbol" w:hAnsi="Symbol" w:cs="Times New Roman" w:hint="default"/>
        <w:color w:val="auto"/>
      </w:rPr>
    </w:lvl>
    <w:lvl w:ilvl="7">
      <w:start w:val="1"/>
      <w:numFmt w:val="bullet"/>
      <w:lvlText w:val=""/>
      <w:lvlJc w:val="left"/>
      <w:pPr>
        <w:ind w:left="1494" w:hanging="360"/>
      </w:pPr>
      <w:rPr>
        <w:rFonts w:ascii="Symbol" w:hAnsi="Symbol" w:cs="Times New Roman" w:hint="default"/>
        <w:color w:val="auto"/>
      </w:rPr>
    </w:lvl>
    <w:lvl w:ilvl="8">
      <w:start w:val="1"/>
      <w:numFmt w:val="lowerRoman"/>
      <w:lvlText w:val="%9."/>
      <w:lvlJc w:val="left"/>
      <w:pPr>
        <w:ind w:left="3240" w:hanging="360"/>
      </w:pPr>
      <w:rPr>
        <w:rFonts w:hint="default"/>
      </w:rPr>
    </w:lvl>
  </w:abstractNum>
  <w:abstractNum w:abstractNumId="38" w15:restartNumberingAfterBreak="0">
    <w:nsid w:val="6D632CBB"/>
    <w:multiLevelType w:val="multilevel"/>
    <w:tmpl w:val="86028380"/>
    <w:lvl w:ilvl="0">
      <w:start w:val="1"/>
      <w:numFmt w:val="hebrew1"/>
      <w:lvlText w:val="%1."/>
      <w:lvlJc w:val="left"/>
      <w:pPr>
        <w:ind w:left="360" w:hanging="360"/>
      </w:pPr>
      <w:rPr>
        <w:rFonts w:ascii="David" w:hAnsi="David" w:cs="David" w:hint="default"/>
        <w:b/>
        <w:bCs/>
        <w:i w:val="0"/>
        <w:iCs w:val="0"/>
        <w:sz w:val="28"/>
        <w:szCs w:val="28"/>
      </w:rPr>
    </w:lvl>
    <w:lvl w:ilvl="1">
      <w:start w:val="1"/>
      <w:numFmt w:val="decimal"/>
      <w:lvlText w:val="%2."/>
      <w:lvlJc w:val="left"/>
      <w:pPr>
        <w:ind w:left="720" w:hanging="360"/>
      </w:pPr>
      <w:rPr>
        <w:rFonts w:ascii="David" w:hAnsi="David" w:cs="David" w:hint="default"/>
        <w:b/>
        <w:bCs/>
      </w:rPr>
    </w:lvl>
    <w:lvl w:ilvl="2">
      <w:start w:val="1"/>
      <w:numFmt w:val="hebrew1"/>
      <w:lvlText w:val="%3)"/>
      <w:lvlJc w:val="left"/>
      <w:pPr>
        <w:ind w:left="851" w:hanging="284"/>
      </w:pPr>
      <w:rPr>
        <w:rFonts w:hint="default"/>
        <w:b w:val="0"/>
        <w:bCs w:val="0"/>
      </w:rPr>
    </w:lvl>
    <w:lvl w:ilvl="3">
      <w:start w:val="1"/>
      <w:numFmt w:val="decimal"/>
      <w:lvlText w:val="(%4)"/>
      <w:lvlJc w:val="left"/>
      <w:pPr>
        <w:ind w:left="1134" w:hanging="283"/>
      </w:pPr>
      <w:rPr>
        <w:rFonts w:hint="default"/>
        <w:color w:val="auto"/>
      </w:rPr>
    </w:lvl>
    <w:lvl w:ilvl="4">
      <w:start w:val="1"/>
      <w:numFmt w:val="bullet"/>
      <w:lvlText w:val=""/>
      <w:lvlJc w:val="left"/>
      <w:pPr>
        <w:ind w:left="1395" w:hanging="261"/>
      </w:pPr>
      <w:rPr>
        <w:rFonts w:ascii="Symbol" w:hAnsi="Symbol" w:cs="Times New Roman" w:hint="default"/>
        <w:color w:val="auto"/>
      </w:rPr>
    </w:lvl>
    <w:lvl w:ilvl="5">
      <w:start w:val="1"/>
      <w:numFmt w:val="hebrew1"/>
      <w:lvlText w:val="(%6)"/>
      <w:lvlJc w:val="left"/>
      <w:pPr>
        <w:ind w:left="1778" w:hanging="360"/>
      </w:pPr>
      <w:rPr>
        <w:rFonts w:hint="default"/>
        <w:b w:val="0"/>
        <w:bCs w:val="0"/>
      </w:rPr>
    </w:lvl>
    <w:lvl w:ilvl="6">
      <w:start w:val="1"/>
      <w:numFmt w:val="bullet"/>
      <w:lvlText w:val=""/>
      <w:lvlJc w:val="left"/>
      <w:pPr>
        <w:ind w:left="2381" w:hanging="221"/>
      </w:pPr>
      <w:rPr>
        <w:rFonts w:ascii="Symbol" w:hAnsi="Symbol" w:cs="Times New Roman"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FDB0151"/>
    <w:multiLevelType w:val="multilevel"/>
    <w:tmpl w:val="0DAA8A4C"/>
    <w:lvl w:ilvl="0">
      <w:start w:val="1"/>
      <w:numFmt w:val="hebrew1"/>
      <w:lvlText w:val="%1."/>
      <w:lvlJc w:val="left"/>
      <w:pPr>
        <w:ind w:left="502" w:hanging="360"/>
      </w:pPr>
      <w:rPr>
        <w:rFonts w:ascii="David" w:hAnsi="David" w:cs="David" w:hint="default"/>
        <w:b/>
        <w:bCs/>
        <w:i w:val="0"/>
        <w:iCs w:val="0"/>
        <w:sz w:val="28"/>
        <w:szCs w:val="28"/>
        <w:lang w:val="en-US"/>
      </w:rPr>
    </w:lvl>
    <w:lvl w:ilvl="1">
      <w:start w:val="1"/>
      <w:numFmt w:val="bullet"/>
      <w:lvlText w:val=""/>
      <w:lvlJc w:val="left"/>
      <w:pPr>
        <w:ind w:left="341" w:hanging="199"/>
      </w:pPr>
      <w:rPr>
        <w:rFonts w:ascii="Symbol" w:hAnsi="Symbol" w:cs="David" w:hint="default"/>
        <w:b/>
        <w:bCs/>
        <w:color w:val="auto"/>
      </w:rPr>
    </w:lvl>
    <w:lvl w:ilvl="2">
      <w:start w:val="1"/>
      <w:numFmt w:val="decimal"/>
      <w:lvlText w:val="%3."/>
      <w:lvlJc w:val="left"/>
      <w:pPr>
        <w:ind w:left="511" w:hanging="227"/>
      </w:pPr>
      <w:rPr>
        <w:rFonts w:ascii="David" w:hAnsi="David" w:cs="David" w:hint="default"/>
        <w:b/>
        <w:bCs/>
        <w:color w:val="auto"/>
        <w:sz w:val="22"/>
        <w:szCs w:val="22"/>
        <w:lang w:val="en-US"/>
      </w:rPr>
    </w:lvl>
    <w:lvl w:ilvl="3">
      <w:start w:val="1"/>
      <w:numFmt w:val="hebrew1"/>
      <w:lvlText w:val="(%4)"/>
      <w:lvlJc w:val="left"/>
      <w:pPr>
        <w:ind w:left="739" w:hanging="313"/>
      </w:pPr>
      <w:rPr>
        <w:rFonts w:ascii="David" w:hAnsi="David" w:cs="David" w:hint="default"/>
        <w:b w:val="0"/>
        <w:bCs w:val="0"/>
        <w:sz w:val="22"/>
        <w:szCs w:val="22"/>
        <w:lang w:val="en-US"/>
      </w:rPr>
    </w:lvl>
    <w:lvl w:ilvl="4">
      <w:start w:val="1"/>
      <w:numFmt w:val="none"/>
      <w:lvlText w:val="-"/>
      <w:lvlJc w:val="left"/>
      <w:pPr>
        <w:ind w:left="1050" w:hanging="199"/>
      </w:pPr>
      <w:rPr>
        <w:rFonts w:ascii="David" w:hAnsi="David" w:cs="David" w:hint="default"/>
        <w:b/>
        <w:bCs/>
        <w:i w:val="0"/>
        <w:iCs w:val="0"/>
        <w:color w:val="auto"/>
        <w:sz w:val="24"/>
        <w:szCs w:val="24"/>
      </w:rPr>
    </w:lvl>
    <w:lvl w:ilvl="5">
      <w:start w:val="1"/>
      <w:numFmt w:val="hebrew1"/>
      <w:lvlText w:val="%6."/>
      <w:lvlJc w:val="left"/>
      <w:pPr>
        <w:ind w:left="1418" w:hanging="284"/>
      </w:pPr>
      <w:rPr>
        <w:rFonts w:ascii="David" w:hAnsi="David" w:cs="David" w:hint="default"/>
        <w:b w:val="0"/>
        <w:bCs w:val="0"/>
      </w:rPr>
    </w:lvl>
    <w:lvl w:ilvl="6">
      <w:start w:val="1"/>
      <w:numFmt w:val="bullet"/>
      <w:lvlText w:val=""/>
      <w:lvlJc w:val="left"/>
      <w:pPr>
        <w:ind w:left="2345" w:hanging="360"/>
      </w:pPr>
      <w:rPr>
        <w:rFonts w:ascii="Symbol" w:hAnsi="Symbol" w:cs="Times New Roman" w:hint="default"/>
        <w:color w:val="auto"/>
      </w:rPr>
    </w:lvl>
    <w:lvl w:ilvl="7">
      <w:start w:val="1"/>
      <w:numFmt w:val="bullet"/>
      <w:lvlText w:val=""/>
      <w:lvlJc w:val="left"/>
      <w:pPr>
        <w:ind w:left="1636" w:hanging="360"/>
      </w:pPr>
      <w:rPr>
        <w:rFonts w:ascii="Symbol" w:hAnsi="Symbol" w:cs="Times New Roman" w:hint="default"/>
        <w:color w:val="auto"/>
      </w:rPr>
    </w:lvl>
    <w:lvl w:ilvl="8">
      <w:start w:val="1"/>
      <w:numFmt w:val="lowerRoman"/>
      <w:lvlText w:val="%9."/>
      <w:lvlJc w:val="left"/>
      <w:pPr>
        <w:ind w:left="3382" w:hanging="360"/>
      </w:pPr>
      <w:rPr>
        <w:rFonts w:hint="default"/>
      </w:rPr>
    </w:lvl>
  </w:abstractNum>
  <w:num w:numId="1" w16cid:durableId="420948887">
    <w:abstractNumId w:val="26"/>
  </w:num>
  <w:num w:numId="2" w16cid:durableId="1402674552">
    <w:abstractNumId w:val="27"/>
  </w:num>
  <w:num w:numId="3" w16cid:durableId="1148593185">
    <w:abstractNumId w:val="37"/>
  </w:num>
  <w:num w:numId="4" w16cid:durableId="776173565">
    <w:abstractNumId w:val="11"/>
  </w:num>
  <w:num w:numId="5" w16cid:durableId="2080974263">
    <w:abstractNumId w:val="10"/>
  </w:num>
  <w:num w:numId="6" w16cid:durableId="1944611369">
    <w:abstractNumId w:val="20"/>
  </w:num>
  <w:num w:numId="7" w16cid:durableId="388770156">
    <w:abstractNumId w:val="9"/>
  </w:num>
  <w:num w:numId="8" w16cid:durableId="216402677">
    <w:abstractNumId w:val="35"/>
  </w:num>
  <w:num w:numId="9" w16cid:durableId="152767411">
    <w:abstractNumId w:val="13"/>
  </w:num>
  <w:num w:numId="10" w16cid:durableId="1448507734">
    <w:abstractNumId w:val="6"/>
  </w:num>
  <w:num w:numId="11" w16cid:durableId="1161002244">
    <w:abstractNumId w:val="16"/>
  </w:num>
  <w:num w:numId="12" w16cid:durableId="2047950650">
    <w:abstractNumId w:val="22"/>
  </w:num>
  <w:num w:numId="13" w16cid:durableId="1042173003">
    <w:abstractNumId w:val="28"/>
  </w:num>
  <w:num w:numId="14" w16cid:durableId="1915702564">
    <w:abstractNumId w:val="33"/>
  </w:num>
  <w:num w:numId="15" w16cid:durableId="1360205470">
    <w:abstractNumId w:val="21"/>
  </w:num>
  <w:num w:numId="16" w16cid:durableId="711078200">
    <w:abstractNumId w:val="30"/>
  </w:num>
  <w:num w:numId="17" w16cid:durableId="2119522759">
    <w:abstractNumId w:val="29"/>
  </w:num>
  <w:num w:numId="18" w16cid:durableId="1567690719">
    <w:abstractNumId w:val="34"/>
  </w:num>
  <w:num w:numId="19" w16cid:durableId="1209993011">
    <w:abstractNumId w:val="14"/>
  </w:num>
  <w:num w:numId="20" w16cid:durableId="1860312093">
    <w:abstractNumId w:val="15"/>
  </w:num>
  <w:num w:numId="21" w16cid:durableId="1462263515">
    <w:abstractNumId w:val="36"/>
  </w:num>
  <w:num w:numId="22" w16cid:durableId="1309046913">
    <w:abstractNumId w:val="19"/>
  </w:num>
  <w:num w:numId="23" w16cid:durableId="1398749172">
    <w:abstractNumId w:val="5"/>
  </w:num>
  <w:num w:numId="24" w16cid:durableId="2003507486">
    <w:abstractNumId w:val="3"/>
  </w:num>
  <w:num w:numId="25" w16cid:durableId="633874085">
    <w:abstractNumId w:val="17"/>
  </w:num>
  <w:num w:numId="26" w16cid:durableId="2099131758">
    <w:abstractNumId w:val="23"/>
  </w:num>
  <w:num w:numId="27" w16cid:durableId="1873178719">
    <w:abstractNumId w:val="31"/>
  </w:num>
  <w:num w:numId="28" w16cid:durableId="1146703139">
    <w:abstractNumId w:val="18"/>
  </w:num>
  <w:num w:numId="29" w16cid:durableId="1781995657">
    <w:abstractNumId w:val="38"/>
  </w:num>
  <w:num w:numId="30" w16cid:durableId="888760155">
    <w:abstractNumId w:val="2"/>
  </w:num>
  <w:num w:numId="31" w16cid:durableId="299532027">
    <w:abstractNumId w:val="8"/>
  </w:num>
  <w:num w:numId="32" w16cid:durableId="796532605">
    <w:abstractNumId w:val="24"/>
  </w:num>
  <w:num w:numId="33" w16cid:durableId="453866935">
    <w:abstractNumId w:val="7"/>
  </w:num>
  <w:num w:numId="34" w16cid:durableId="359360506">
    <w:abstractNumId w:val="12"/>
  </w:num>
  <w:num w:numId="35" w16cid:durableId="1507163990">
    <w:abstractNumId w:val="25"/>
  </w:num>
  <w:num w:numId="36" w16cid:durableId="898248983">
    <w:abstractNumId w:val="0"/>
  </w:num>
  <w:num w:numId="37" w16cid:durableId="2086370531">
    <w:abstractNumId w:val="32"/>
  </w:num>
  <w:num w:numId="38" w16cid:durableId="1608853499">
    <w:abstractNumId w:val="39"/>
  </w:num>
  <w:num w:numId="39" w16cid:durableId="1936017475">
    <w:abstractNumId w:val="1"/>
  </w:num>
  <w:num w:numId="40" w16cid:durableId="24773619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5D4"/>
    <w:rsid w:val="0000007F"/>
    <w:rsid w:val="00000F05"/>
    <w:rsid w:val="00001719"/>
    <w:rsid w:val="00001A0B"/>
    <w:rsid w:val="00002535"/>
    <w:rsid w:val="0000253A"/>
    <w:rsid w:val="000026E0"/>
    <w:rsid w:val="00002F78"/>
    <w:rsid w:val="000030C1"/>
    <w:rsid w:val="00003746"/>
    <w:rsid w:val="00003F31"/>
    <w:rsid w:val="00004357"/>
    <w:rsid w:val="0000480C"/>
    <w:rsid w:val="00004B3E"/>
    <w:rsid w:val="00004C76"/>
    <w:rsid w:val="00004EEA"/>
    <w:rsid w:val="000054DF"/>
    <w:rsid w:val="000058A1"/>
    <w:rsid w:val="00005977"/>
    <w:rsid w:val="00005D48"/>
    <w:rsid w:val="00006D77"/>
    <w:rsid w:val="000074E6"/>
    <w:rsid w:val="00007F52"/>
    <w:rsid w:val="000100A0"/>
    <w:rsid w:val="00010408"/>
    <w:rsid w:val="0001077C"/>
    <w:rsid w:val="00010EC1"/>
    <w:rsid w:val="0001116F"/>
    <w:rsid w:val="00011733"/>
    <w:rsid w:val="000125FC"/>
    <w:rsid w:val="00012BB4"/>
    <w:rsid w:val="00013064"/>
    <w:rsid w:val="0001362C"/>
    <w:rsid w:val="0001376C"/>
    <w:rsid w:val="000137A8"/>
    <w:rsid w:val="00013A64"/>
    <w:rsid w:val="00013FE0"/>
    <w:rsid w:val="000142ED"/>
    <w:rsid w:val="0001525F"/>
    <w:rsid w:val="00015E65"/>
    <w:rsid w:val="00016A32"/>
    <w:rsid w:val="0001782A"/>
    <w:rsid w:val="0002017C"/>
    <w:rsid w:val="0002045B"/>
    <w:rsid w:val="00020CC5"/>
    <w:rsid w:val="00021041"/>
    <w:rsid w:val="0002176E"/>
    <w:rsid w:val="00021B78"/>
    <w:rsid w:val="00021C95"/>
    <w:rsid w:val="0002212B"/>
    <w:rsid w:val="000225D6"/>
    <w:rsid w:val="00022CFC"/>
    <w:rsid w:val="00023D6E"/>
    <w:rsid w:val="00023DF3"/>
    <w:rsid w:val="00023F3A"/>
    <w:rsid w:val="00024200"/>
    <w:rsid w:val="00024EB8"/>
    <w:rsid w:val="00025A41"/>
    <w:rsid w:val="00025B65"/>
    <w:rsid w:val="000263CB"/>
    <w:rsid w:val="0002725C"/>
    <w:rsid w:val="0002740C"/>
    <w:rsid w:val="00027485"/>
    <w:rsid w:val="00027729"/>
    <w:rsid w:val="000277F9"/>
    <w:rsid w:val="00027A3A"/>
    <w:rsid w:val="00027F10"/>
    <w:rsid w:val="000302B3"/>
    <w:rsid w:val="000308C6"/>
    <w:rsid w:val="00030902"/>
    <w:rsid w:val="00030D51"/>
    <w:rsid w:val="00030EDE"/>
    <w:rsid w:val="0003191D"/>
    <w:rsid w:val="0003330E"/>
    <w:rsid w:val="00033FCC"/>
    <w:rsid w:val="000345C1"/>
    <w:rsid w:val="00034836"/>
    <w:rsid w:val="00035B8F"/>
    <w:rsid w:val="000368BC"/>
    <w:rsid w:val="00036EBA"/>
    <w:rsid w:val="00037112"/>
    <w:rsid w:val="00037CA3"/>
    <w:rsid w:val="00040BEF"/>
    <w:rsid w:val="000410F4"/>
    <w:rsid w:val="00041182"/>
    <w:rsid w:val="00041416"/>
    <w:rsid w:val="00041567"/>
    <w:rsid w:val="00042451"/>
    <w:rsid w:val="00042BE0"/>
    <w:rsid w:val="00042D40"/>
    <w:rsid w:val="0004364A"/>
    <w:rsid w:val="0004382D"/>
    <w:rsid w:val="0004410D"/>
    <w:rsid w:val="0004444C"/>
    <w:rsid w:val="00045156"/>
    <w:rsid w:val="0004552B"/>
    <w:rsid w:val="00045670"/>
    <w:rsid w:val="000459EF"/>
    <w:rsid w:val="000462A7"/>
    <w:rsid w:val="0004682A"/>
    <w:rsid w:val="0004698B"/>
    <w:rsid w:val="00046B04"/>
    <w:rsid w:val="00046E8C"/>
    <w:rsid w:val="0004729C"/>
    <w:rsid w:val="000474B5"/>
    <w:rsid w:val="0004798C"/>
    <w:rsid w:val="00047A75"/>
    <w:rsid w:val="00050205"/>
    <w:rsid w:val="00050625"/>
    <w:rsid w:val="00050744"/>
    <w:rsid w:val="0005083C"/>
    <w:rsid w:val="00050E7D"/>
    <w:rsid w:val="0005135A"/>
    <w:rsid w:val="00052A50"/>
    <w:rsid w:val="000533BB"/>
    <w:rsid w:val="00053C86"/>
    <w:rsid w:val="000540F1"/>
    <w:rsid w:val="00054160"/>
    <w:rsid w:val="000543AA"/>
    <w:rsid w:val="00054408"/>
    <w:rsid w:val="00055A71"/>
    <w:rsid w:val="000561E8"/>
    <w:rsid w:val="0005675B"/>
    <w:rsid w:val="00056B1A"/>
    <w:rsid w:val="00056E51"/>
    <w:rsid w:val="0005769E"/>
    <w:rsid w:val="00057A20"/>
    <w:rsid w:val="00060B75"/>
    <w:rsid w:val="000614DF"/>
    <w:rsid w:val="0006157E"/>
    <w:rsid w:val="000615B9"/>
    <w:rsid w:val="00061CAC"/>
    <w:rsid w:val="00061D32"/>
    <w:rsid w:val="00062804"/>
    <w:rsid w:val="000629D9"/>
    <w:rsid w:val="00062C5C"/>
    <w:rsid w:val="00062F5F"/>
    <w:rsid w:val="0006595F"/>
    <w:rsid w:val="00066533"/>
    <w:rsid w:val="00066A7E"/>
    <w:rsid w:val="00066BF6"/>
    <w:rsid w:val="000670C6"/>
    <w:rsid w:val="0006749E"/>
    <w:rsid w:val="00067B47"/>
    <w:rsid w:val="00067C1D"/>
    <w:rsid w:val="000706F6"/>
    <w:rsid w:val="00070A04"/>
    <w:rsid w:val="00070BB7"/>
    <w:rsid w:val="00070C01"/>
    <w:rsid w:val="0007186F"/>
    <w:rsid w:val="000719CA"/>
    <w:rsid w:val="00071ECF"/>
    <w:rsid w:val="0007223E"/>
    <w:rsid w:val="0007251E"/>
    <w:rsid w:val="00072855"/>
    <w:rsid w:val="00072A61"/>
    <w:rsid w:val="00075996"/>
    <w:rsid w:val="00075DF3"/>
    <w:rsid w:val="00076371"/>
    <w:rsid w:val="0007676F"/>
    <w:rsid w:val="0007733E"/>
    <w:rsid w:val="00077BFC"/>
    <w:rsid w:val="00077FC2"/>
    <w:rsid w:val="00080C44"/>
    <w:rsid w:val="00080C99"/>
    <w:rsid w:val="00080D1B"/>
    <w:rsid w:val="000810A3"/>
    <w:rsid w:val="0008144C"/>
    <w:rsid w:val="000814C1"/>
    <w:rsid w:val="000819AF"/>
    <w:rsid w:val="0008242C"/>
    <w:rsid w:val="000829E0"/>
    <w:rsid w:val="00082B02"/>
    <w:rsid w:val="000834FD"/>
    <w:rsid w:val="00083CF6"/>
    <w:rsid w:val="000849C9"/>
    <w:rsid w:val="00084AA8"/>
    <w:rsid w:val="000853FC"/>
    <w:rsid w:val="00085BCA"/>
    <w:rsid w:val="00085D2D"/>
    <w:rsid w:val="00085F1A"/>
    <w:rsid w:val="0008609F"/>
    <w:rsid w:val="000860EE"/>
    <w:rsid w:val="000867F4"/>
    <w:rsid w:val="00087335"/>
    <w:rsid w:val="000901D6"/>
    <w:rsid w:val="00090603"/>
    <w:rsid w:val="0009115D"/>
    <w:rsid w:val="000917C5"/>
    <w:rsid w:val="00091A39"/>
    <w:rsid w:val="00092158"/>
    <w:rsid w:val="00092418"/>
    <w:rsid w:val="00092B40"/>
    <w:rsid w:val="00092C58"/>
    <w:rsid w:val="00092E0E"/>
    <w:rsid w:val="000930FF"/>
    <w:rsid w:val="000933E3"/>
    <w:rsid w:val="00093D21"/>
    <w:rsid w:val="00094097"/>
    <w:rsid w:val="0009568B"/>
    <w:rsid w:val="000957E5"/>
    <w:rsid w:val="0009622F"/>
    <w:rsid w:val="000962A4"/>
    <w:rsid w:val="00096AE0"/>
    <w:rsid w:val="00096E76"/>
    <w:rsid w:val="00096EEE"/>
    <w:rsid w:val="00097483"/>
    <w:rsid w:val="000A0183"/>
    <w:rsid w:val="000A03C4"/>
    <w:rsid w:val="000A1A22"/>
    <w:rsid w:val="000A1E26"/>
    <w:rsid w:val="000A1F32"/>
    <w:rsid w:val="000A2700"/>
    <w:rsid w:val="000A2859"/>
    <w:rsid w:val="000A2D2F"/>
    <w:rsid w:val="000A3A5D"/>
    <w:rsid w:val="000A3F69"/>
    <w:rsid w:val="000A4D31"/>
    <w:rsid w:val="000A6FCE"/>
    <w:rsid w:val="000A7C7D"/>
    <w:rsid w:val="000A7D68"/>
    <w:rsid w:val="000A7F18"/>
    <w:rsid w:val="000B0FD2"/>
    <w:rsid w:val="000B159E"/>
    <w:rsid w:val="000B2259"/>
    <w:rsid w:val="000B294A"/>
    <w:rsid w:val="000B3647"/>
    <w:rsid w:val="000B3BE3"/>
    <w:rsid w:val="000B3C8E"/>
    <w:rsid w:val="000B45B3"/>
    <w:rsid w:val="000B469D"/>
    <w:rsid w:val="000B4B4B"/>
    <w:rsid w:val="000B5521"/>
    <w:rsid w:val="000B5A97"/>
    <w:rsid w:val="000B606A"/>
    <w:rsid w:val="000B618F"/>
    <w:rsid w:val="000B62A4"/>
    <w:rsid w:val="000B6502"/>
    <w:rsid w:val="000B6A94"/>
    <w:rsid w:val="000B7F04"/>
    <w:rsid w:val="000C04EA"/>
    <w:rsid w:val="000C05A4"/>
    <w:rsid w:val="000C06A8"/>
    <w:rsid w:val="000C1138"/>
    <w:rsid w:val="000C1211"/>
    <w:rsid w:val="000C12E5"/>
    <w:rsid w:val="000C1387"/>
    <w:rsid w:val="000C38E1"/>
    <w:rsid w:val="000C3A05"/>
    <w:rsid w:val="000C3B53"/>
    <w:rsid w:val="000C3EFC"/>
    <w:rsid w:val="000C4768"/>
    <w:rsid w:val="000C4CB6"/>
    <w:rsid w:val="000C4EB6"/>
    <w:rsid w:val="000C5073"/>
    <w:rsid w:val="000C5077"/>
    <w:rsid w:val="000C5171"/>
    <w:rsid w:val="000C5492"/>
    <w:rsid w:val="000C54E9"/>
    <w:rsid w:val="000C5BB9"/>
    <w:rsid w:val="000C63CB"/>
    <w:rsid w:val="000C6C2B"/>
    <w:rsid w:val="000C70AE"/>
    <w:rsid w:val="000C70D0"/>
    <w:rsid w:val="000C7240"/>
    <w:rsid w:val="000C73A5"/>
    <w:rsid w:val="000C73AF"/>
    <w:rsid w:val="000C7713"/>
    <w:rsid w:val="000C7A4F"/>
    <w:rsid w:val="000C7FF0"/>
    <w:rsid w:val="000D02DD"/>
    <w:rsid w:val="000D0764"/>
    <w:rsid w:val="000D0D9E"/>
    <w:rsid w:val="000D1870"/>
    <w:rsid w:val="000D1A86"/>
    <w:rsid w:val="000D31FD"/>
    <w:rsid w:val="000D3FC8"/>
    <w:rsid w:val="000D4687"/>
    <w:rsid w:val="000D49B2"/>
    <w:rsid w:val="000D4ABB"/>
    <w:rsid w:val="000D51F6"/>
    <w:rsid w:val="000D5707"/>
    <w:rsid w:val="000D6120"/>
    <w:rsid w:val="000D66FB"/>
    <w:rsid w:val="000D69C3"/>
    <w:rsid w:val="000D7545"/>
    <w:rsid w:val="000D7A3E"/>
    <w:rsid w:val="000D7C01"/>
    <w:rsid w:val="000D7D04"/>
    <w:rsid w:val="000E07A1"/>
    <w:rsid w:val="000E0E8F"/>
    <w:rsid w:val="000E1CD5"/>
    <w:rsid w:val="000E2129"/>
    <w:rsid w:val="000E24DC"/>
    <w:rsid w:val="000E323C"/>
    <w:rsid w:val="000E345E"/>
    <w:rsid w:val="000E357B"/>
    <w:rsid w:val="000E3591"/>
    <w:rsid w:val="000E35CE"/>
    <w:rsid w:val="000E363F"/>
    <w:rsid w:val="000E4713"/>
    <w:rsid w:val="000E48AF"/>
    <w:rsid w:val="000E4CA4"/>
    <w:rsid w:val="000E54EB"/>
    <w:rsid w:val="000E5B27"/>
    <w:rsid w:val="000E6A18"/>
    <w:rsid w:val="000E6C38"/>
    <w:rsid w:val="000E792E"/>
    <w:rsid w:val="000E7BFE"/>
    <w:rsid w:val="000E7FDF"/>
    <w:rsid w:val="000F0031"/>
    <w:rsid w:val="000F0245"/>
    <w:rsid w:val="000F0465"/>
    <w:rsid w:val="000F1BBD"/>
    <w:rsid w:val="000F1F02"/>
    <w:rsid w:val="000F248C"/>
    <w:rsid w:val="000F2BA0"/>
    <w:rsid w:val="000F4019"/>
    <w:rsid w:val="000F4A39"/>
    <w:rsid w:val="000F4BE8"/>
    <w:rsid w:val="000F55FA"/>
    <w:rsid w:val="000F5913"/>
    <w:rsid w:val="000F59B2"/>
    <w:rsid w:val="000F5BD4"/>
    <w:rsid w:val="000F5F2D"/>
    <w:rsid w:val="000F6DE7"/>
    <w:rsid w:val="000F7E2B"/>
    <w:rsid w:val="000F7F50"/>
    <w:rsid w:val="001001D9"/>
    <w:rsid w:val="001005D1"/>
    <w:rsid w:val="0010084C"/>
    <w:rsid w:val="00100BF9"/>
    <w:rsid w:val="00100BFD"/>
    <w:rsid w:val="001010AD"/>
    <w:rsid w:val="00101577"/>
    <w:rsid w:val="00101734"/>
    <w:rsid w:val="00101B15"/>
    <w:rsid w:val="00101B82"/>
    <w:rsid w:val="0010202B"/>
    <w:rsid w:val="00102740"/>
    <w:rsid w:val="001038DE"/>
    <w:rsid w:val="001039FC"/>
    <w:rsid w:val="00103C8F"/>
    <w:rsid w:val="00103CC9"/>
    <w:rsid w:val="001047F9"/>
    <w:rsid w:val="00105004"/>
    <w:rsid w:val="0010594D"/>
    <w:rsid w:val="00105D60"/>
    <w:rsid w:val="00106551"/>
    <w:rsid w:val="00106A3A"/>
    <w:rsid w:val="00106EC0"/>
    <w:rsid w:val="00106F9C"/>
    <w:rsid w:val="001076F5"/>
    <w:rsid w:val="00107AD2"/>
    <w:rsid w:val="00107B3F"/>
    <w:rsid w:val="00110068"/>
    <w:rsid w:val="0011027E"/>
    <w:rsid w:val="001103ED"/>
    <w:rsid w:val="0011099C"/>
    <w:rsid w:val="00111146"/>
    <w:rsid w:val="00111E56"/>
    <w:rsid w:val="00112B7B"/>
    <w:rsid w:val="00112E13"/>
    <w:rsid w:val="00112E5F"/>
    <w:rsid w:val="001134AE"/>
    <w:rsid w:val="001135D7"/>
    <w:rsid w:val="0011498B"/>
    <w:rsid w:val="00115495"/>
    <w:rsid w:val="00115BC1"/>
    <w:rsid w:val="00115C71"/>
    <w:rsid w:val="00115CFE"/>
    <w:rsid w:val="0011627C"/>
    <w:rsid w:val="0011654C"/>
    <w:rsid w:val="0011750F"/>
    <w:rsid w:val="00117613"/>
    <w:rsid w:val="00117985"/>
    <w:rsid w:val="001200E1"/>
    <w:rsid w:val="0012046B"/>
    <w:rsid w:val="001206A6"/>
    <w:rsid w:val="001207FE"/>
    <w:rsid w:val="00120952"/>
    <w:rsid w:val="00121293"/>
    <w:rsid w:val="001215C2"/>
    <w:rsid w:val="00122856"/>
    <w:rsid w:val="001228B9"/>
    <w:rsid w:val="001236F8"/>
    <w:rsid w:val="0012371F"/>
    <w:rsid w:val="001241A8"/>
    <w:rsid w:val="00124202"/>
    <w:rsid w:val="00124823"/>
    <w:rsid w:val="00124FF9"/>
    <w:rsid w:val="001262E3"/>
    <w:rsid w:val="001277D1"/>
    <w:rsid w:val="001279D7"/>
    <w:rsid w:val="00127A8D"/>
    <w:rsid w:val="00131946"/>
    <w:rsid w:val="00131F11"/>
    <w:rsid w:val="00132546"/>
    <w:rsid w:val="001328FB"/>
    <w:rsid w:val="00132D3E"/>
    <w:rsid w:val="0013344B"/>
    <w:rsid w:val="001338EB"/>
    <w:rsid w:val="00133A46"/>
    <w:rsid w:val="00134A2C"/>
    <w:rsid w:val="00134B28"/>
    <w:rsid w:val="00135027"/>
    <w:rsid w:val="00135244"/>
    <w:rsid w:val="001364FC"/>
    <w:rsid w:val="001367D7"/>
    <w:rsid w:val="0013689B"/>
    <w:rsid w:val="001368EF"/>
    <w:rsid w:val="00136A1C"/>
    <w:rsid w:val="00136D8A"/>
    <w:rsid w:val="00136F7C"/>
    <w:rsid w:val="0013709B"/>
    <w:rsid w:val="00137651"/>
    <w:rsid w:val="001414B9"/>
    <w:rsid w:val="00142171"/>
    <w:rsid w:val="001425D2"/>
    <w:rsid w:val="001431FA"/>
    <w:rsid w:val="00143331"/>
    <w:rsid w:val="0014518C"/>
    <w:rsid w:val="001451A4"/>
    <w:rsid w:val="00145201"/>
    <w:rsid w:val="001459C4"/>
    <w:rsid w:val="0014618A"/>
    <w:rsid w:val="001461AD"/>
    <w:rsid w:val="001472BB"/>
    <w:rsid w:val="00147441"/>
    <w:rsid w:val="00147D40"/>
    <w:rsid w:val="00147E35"/>
    <w:rsid w:val="00147EA9"/>
    <w:rsid w:val="00150B11"/>
    <w:rsid w:val="0015100F"/>
    <w:rsid w:val="0015139F"/>
    <w:rsid w:val="001514E7"/>
    <w:rsid w:val="00151B3A"/>
    <w:rsid w:val="00151D74"/>
    <w:rsid w:val="001523A8"/>
    <w:rsid w:val="0015283C"/>
    <w:rsid w:val="00153205"/>
    <w:rsid w:val="00153CB0"/>
    <w:rsid w:val="00154579"/>
    <w:rsid w:val="00154744"/>
    <w:rsid w:val="00154837"/>
    <w:rsid w:val="00154BC9"/>
    <w:rsid w:val="001569FB"/>
    <w:rsid w:val="00157102"/>
    <w:rsid w:val="001572A5"/>
    <w:rsid w:val="00157EA6"/>
    <w:rsid w:val="00160739"/>
    <w:rsid w:val="00160760"/>
    <w:rsid w:val="001608E8"/>
    <w:rsid w:val="001611B8"/>
    <w:rsid w:val="00161287"/>
    <w:rsid w:val="001613C9"/>
    <w:rsid w:val="0016140A"/>
    <w:rsid w:val="00161675"/>
    <w:rsid w:val="001619E7"/>
    <w:rsid w:val="00162533"/>
    <w:rsid w:val="0016261A"/>
    <w:rsid w:val="001633C7"/>
    <w:rsid w:val="0016414E"/>
    <w:rsid w:val="001646E7"/>
    <w:rsid w:val="00165752"/>
    <w:rsid w:val="00166233"/>
    <w:rsid w:val="001666A1"/>
    <w:rsid w:val="001666AB"/>
    <w:rsid w:val="001678E8"/>
    <w:rsid w:val="00167E86"/>
    <w:rsid w:val="00167ECB"/>
    <w:rsid w:val="00170422"/>
    <w:rsid w:val="00170789"/>
    <w:rsid w:val="00170800"/>
    <w:rsid w:val="00171403"/>
    <w:rsid w:val="00171568"/>
    <w:rsid w:val="00171A62"/>
    <w:rsid w:val="00171AB3"/>
    <w:rsid w:val="0017207D"/>
    <w:rsid w:val="001728B9"/>
    <w:rsid w:val="001737F7"/>
    <w:rsid w:val="00174266"/>
    <w:rsid w:val="00174751"/>
    <w:rsid w:val="00175ACF"/>
    <w:rsid w:val="00175DD9"/>
    <w:rsid w:val="00175F53"/>
    <w:rsid w:val="00176077"/>
    <w:rsid w:val="00176108"/>
    <w:rsid w:val="00176AD6"/>
    <w:rsid w:val="00176D31"/>
    <w:rsid w:val="00177084"/>
    <w:rsid w:val="0017769E"/>
    <w:rsid w:val="00177E72"/>
    <w:rsid w:val="001801E6"/>
    <w:rsid w:val="00180FE3"/>
    <w:rsid w:val="00181046"/>
    <w:rsid w:val="00181B74"/>
    <w:rsid w:val="00181DC1"/>
    <w:rsid w:val="00181F79"/>
    <w:rsid w:val="0018204E"/>
    <w:rsid w:val="0018266A"/>
    <w:rsid w:val="0018310D"/>
    <w:rsid w:val="001835E0"/>
    <w:rsid w:val="00183986"/>
    <w:rsid w:val="001843EF"/>
    <w:rsid w:val="001845E2"/>
    <w:rsid w:val="001848C7"/>
    <w:rsid w:val="00184D88"/>
    <w:rsid w:val="00184DA1"/>
    <w:rsid w:val="00184F64"/>
    <w:rsid w:val="00185645"/>
    <w:rsid w:val="0018579E"/>
    <w:rsid w:val="0018686F"/>
    <w:rsid w:val="00186CD6"/>
    <w:rsid w:val="001874A1"/>
    <w:rsid w:val="00187B00"/>
    <w:rsid w:val="0019000F"/>
    <w:rsid w:val="001906C1"/>
    <w:rsid w:val="0019116A"/>
    <w:rsid w:val="00191CE3"/>
    <w:rsid w:val="00191D9A"/>
    <w:rsid w:val="001926A2"/>
    <w:rsid w:val="001936D1"/>
    <w:rsid w:val="001937E2"/>
    <w:rsid w:val="001938EF"/>
    <w:rsid w:val="00193972"/>
    <w:rsid w:val="00193AA3"/>
    <w:rsid w:val="00193D5D"/>
    <w:rsid w:val="001941A8"/>
    <w:rsid w:val="001943F8"/>
    <w:rsid w:val="0019497F"/>
    <w:rsid w:val="00194AA5"/>
    <w:rsid w:val="001952A6"/>
    <w:rsid w:val="001955C1"/>
    <w:rsid w:val="00195763"/>
    <w:rsid w:val="00195CA2"/>
    <w:rsid w:val="00196781"/>
    <w:rsid w:val="001A0229"/>
    <w:rsid w:val="001A1928"/>
    <w:rsid w:val="001A19C7"/>
    <w:rsid w:val="001A1CBD"/>
    <w:rsid w:val="001A293A"/>
    <w:rsid w:val="001A2CD6"/>
    <w:rsid w:val="001A2F45"/>
    <w:rsid w:val="001A3099"/>
    <w:rsid w:val="001A358C"/>
    <w:rsid w:val="001A37C0"/>
    <w:rsid w:val="001A387A"/>
    <w:rsid w:val="001A39A2"/>
    <w:rsid w:val="001A3D36"/>
    <w:rsid w:val="001A3D75"/>
    <w:rsid w:val="001A3EBC"/>
    <w:rsid w:val="001A424F"/>
    <w:rsid w:val="001A4404"/>
    <w:rsid w:val="001A51B9"/>
    <w:rsid w:val="001A55EE"/>
    <w:rsid w:val="001A5884"/>
    <w:rsid w:val="001A6BA3"/>
    <w:rsid w:val="001A78FA"/>
    <w:rsid w:val="001A7A43"/>
    <w:rsid w:val="001A7B0E"/>
    <w:rsid w:val="001B0B2C"/>
    <w:rsid w:val="001B0E13"/>
    <w:rsid w:val="001B16B2"/>
    <w:rsid w:val="001B1D71"/>
    <w:rsid w:val="001B2358"/>
    <w:rsid w:val="001B261E"/>
    <w:rsid w:val="001B2BBD"/>
    <w:rsid w:val="001B3B29"/>
    <w:rsid w:val="001B46F6"/>
    <w:rsid w:val="001B4BED"/>
    <w:rsid w:val="001B4D0B"/>
    <w:rsid w:val="001B50E0"/>
    <w:rsid w:val="001B6949"/>
    <w:rsid w:val="001B7085"/>
    <w:rsid w:val="001B7261"/>
    <w:rsid w:val="001B7636"/>
    <w:rsid w:val="001B79CF"/>
    <w:rsid w:val="001B7B6E"/>
    <w:rsid w:val="001B7C6E"/>
    <w:rsid w:val="001C0554"/>
    <w:rsid w:val="001C13A6"/>
    <w:rsid w:val="001C1B81"/>
    <w:rsid w:val="001C1DF7"/>
    <w:rsid w:val="001C2832"/>
    <w:rsid w:val="001C2C6B"/>
    <w:rsid w:val="001C2DD0"/>
    <w:rsid w:val="001C3A0B"/>
    <w:rsid w:val="001C3F87"/>
    <w:rsid w:val="001C43D7"/>
    <w:rsid w:val="001C4521"/>
    <w:rsid w:val="001C463E"/>
    <w:rsid w:val="001C4DE2"/>
    <w:rsid w:val="001C58E4"/>
    <w:rsid w:val="001C5968"/>
    <w:rsid w:val="001C5D15"/>
    <w:rsid w:val="001C5FE4"/>
    <w:rsid w:val="001C6096"/>
    <w:rsid w:val="001C6DAE"/>
    <w:rsid w:val="001C6F37"/>
    <w:rsid w:val="001C7DC5"/>
    <w:rsid w:val="001D05B5"/>
    <w:rsid w:val="001D07D7"/>
    <w:rsid w:val="001D10B3"/>
    <w:rsid w:val="001D1C66"/>
    <w:rsid w:val="001D3DB2"/>
    <w:rsid w:val="001D4C08"/>
    <w:rsid w:val="001D5953"/>
    <w:rsid w:val="001D5E43"/>
    <w:rsid w:val="001D5F90"/>
    <w:rsid w:val="001D61BE"/>
    <w:rsid w:val="001D6A89"/>
    <w:rsid w:val="001D6E5C"/>
    <w:rsid w:val="001D7584"/>
    <w:rsid w:val="001D78F5"/>
    <w:rsid w:val="001E0C3D"/>
    <w:rsid w:val="001E144D"/>
    <w:rsid w:val="001E1784"/>
    <w:rsid w:val="001E1AD9"/>
    <w:rsid w:val="001E292F"/>
    <w:rsid w:val="001E31FB"/>
    <w:rsid w:val="001E42F4"/>
    <w:rsid w:val="001E47AB"/>
    <w:rsid w:val="001E4BCF"/>
    <w:rsid w:val="001E4E9F"/>
    <w:rsid w:val="001E5251"/>
    <w:rsid w:val="001E5720"/>
    <w:rsid w:val="001E647A"/>
    <w:rsid w:val="001E6A4E"/>
    <w:rsid w:val="001E72B0"/>
    <w:rsid w:val="001E7327"/>
    <w:rsid w:val="001E7661"/>
    <w:rsid w:val="001E7750"/>
    <w:rsid w:val="001E7A1C"/>
    <w:rsid w:val="001E7D55"/>
    <w:rsid w:val="001E7EA5"/>
    <w:rsid w:val="001E7F44"/>
    <w:rsid w:val="001F02B8"/>
    <w:rsid w:val="001F0489"/>
    <w:rsid w:val="001F0848"/>
    <w:rsid w:val="001F1903"/>
    <w:rsid w:val="001F2349"/>
    <w:rsid w:val="001F2825"/>
    <w:rsid w:val="001F2897"/>
    <w:rsid w:val="001F2AAE"/>
    <w:rsid w:val="001F2C2D"/>
    <w:rsid w:val="001F389B"/>
    <w:rsid w:val="001F3D6B"/>
    <w:rsid w:val="001F404B"/>
    <w:rsid w:val="001F47FC"/>
    <w:rsid w:val="001F4ABA"/>
    <w:rsid w:val="001F4E36"/>
    <w:rsid w:val="001F4EBE"/>
    <w:rsid w:val="001F537E"/>
    <w:rsid w:val="001F61E2"/>
    <w:rsid w:val="001F6685"/>
    <w:rsid w:val="001F6E87"/>
    <w:rsid w:val="001F6FA7"/>
    <w:rsid w:val="001F7388"/>
    <w:rsid w:val="001F739D"/>
    <w:rsid w:val="001F7846"/>
    <w:rsid w:val="001F7B04"/>
    <w:rsid w:val="0020015F"/>
    <w:rsid w:val="00200466"/>
    <w:rsid w:val="00201522"/>
    <w:rsid w:val="00201E2C"/>
    <w:rsid w:val="00202A51"/>
    <w:rsid w:val="00202A8C"/>
    <w:rsid w:val="00202F14"/>
    <w:rsid w:val="00202FD9"/>
    <w:rsid w:val="00204336"/>
    <w:rsid w:val="0020433D"/>
    <w:rsid w:val="0020457C"/>
    <w:rsid w:val="0020555A"/>
    <w:rsid w:val="00205749"/>
    <w:rsid w:val="002062DB"/>
    <w:rsid w:val="00206A08"/>
    <w:rsid w:val="0021064B"/>
    <w:rsid w:val="002110C8"/>
    <w:rsid w:val="00211ED5"/>
    <w:rsid w:val="00212133"/>
    <w:rsid w:val="00213028"/>
    <w:rsid w:val="00213F0E"/>
    <w:rsid w:val="00215289"/>
    <w:rsid w:val="0021642A"/>
    <w:rsid w:val="0021666C"/>
    <w:rsid w:val="00216D50"/>
    <w:rsid w:val="00217630"/>
    <w:rsid w:val="00220160"/>
    <w:rsid w:val="00220FE1"/>
    <w:rsid w:val="00221802"/>
    <w:rsid w:val="0022398E"/>
    <w:rsid w:val="00224075"/>
    <w:rsid w:val="002240D8"/>
    <w:rsid w:val="00224938"/>
    <w:rsid w:val="00224B4B"/>
    <w:rsid w:val="00224B5A"/>
    <w:rsid w:val="00224BFF"/>
    <w:rsid w:val="00224C4E"/>
    <w:rsid w:val="00224CF3"/>
    <w:rsid w:val="0022529D"/>
    <w:rsid w:val="0022560C"/>
    <w:rsid w:val="0022569D"/>
    <w:rsid w:val="00225EA3"/>
    <w:rsid w:val="0022697A"/>
    <w:rsid w:val="002273F1"/>
    <w:rsid w:val="00227790"/>
    <w:rsid w:val="002303A0"/>
    <w:rsid w:val="002306B6"/>
    <w:rsid w:val="002310A4"/>
    <w:rsid w:val="002312C5"/>
    <w:rsid w:val="00232B9D"/>
    <w:rsid w:val="00233488"/>
    <w:rsid w:val="00233532"/>
    <w:rsid w:val="00234247"/>
    <w:rsid w:val="00234277"/>
    <w:rsid w:val="00234502"/>
    <w:rsid w:val="002345DD"/>
    <w:rsid w:val="00234A64"/>
    <w:rsid w:val="00234EA3"/>
    <w:rsid w:val="00235239"/>
    <w:rsid w:val="0023545A"/>
    <w:rsid w:val="002368EB"/>
    <w:rsid w:val="002375ED"/>
    <w:rsid w:val="0023766D"/>
    <w:rsid w:val="00237E5B"/>
    <w:rsid w:val="00237F6B"/>
    <w:rsid w:val="00240D42"/>
    <w:rsid w:val="00240D62"/>
    <w:rsid w:val="00240E4A"/>
    <w:rsid w:val="00243BAB"/>
    <w:rsid w:val="00243BCA"/>
    <w:rsid w:val="00244001"/>
    <w:rsid w:val="00244044"/>
    <w:rsid w:val="002440F4"/>
    <w:rsid w:val="002446BA"/>
    <w:rsid w:val="00244F22"/>
    <w:rsid w:val="0024506A"/>
    <w:rsid w:val="00245FCB"/>
    <w:rsid w:val="00246994"/>
    <w:rsid w:val="00247371"/>
    <w:rsid w:val="00247511"/>
    <w:rsid w:val="00247C73"/>
    <w:rsid w:val="00247CEC"/>
    <w:rsid w:val="0025029C"/>
    <w:rsid w:val="0025031C"/>
    <w:rsid w:val="002508B4"/>
    <w:rsid w:val="0025103C"/>
    <w:rsid w:val="0025193E"/>
    <w:rsid w:val="00252239"/>
    <w:rsid w:val="0025269F"/>
    <w:rsid w:val="002526E1"/>
    <w:rsid w:val="002529E7"/>
    <w:rsid w:val="00252F06"/>
    <w:rsid w:val="00252FA2"/>
    <w:rsid w:val="00253C0D"/>
    <w:rsid w:val="00253ED7"/>
    <w:rsid w:val="002540B4"/>
    <w:rsid w:val="0025491F"/>
    <w:rsid w:val="00254A44"/>
    <w:rsid w:val="00255777"/>
    <w:rsid w:val="002563A4"/>
    <w:rsid w:val="00256DD4"/>
    <w:rsid w:val="002570B9"/>
    <w:rsid w:val="0025776E"/>
    <w:rsid w:val="00257C6A"/>
    <w:rsid w:val="00257F52"/>
    <w:rsid w:val="00260234"/>
    <w:rsid w:val="002602B2"/>
    <w:rsid w:val="00260521"/>
    <w:rsid w:val="00260F82"/>
    <w:rsid w:val="002616E0"/>
    <w:rsid w:val="00261F4B"/>
    <w:rsid w:val="00262CD3"/>
    <w:rsid w:val="00263CD8"/>
    <w:rsid w:val="00263CE7"/>
    <w:rsid w:val="00263F5B"/>
    <w:rsid w:val="0026408F"/>
    <w:rsid w:val="0026446B"/>
    <w:rsid w:val="00264FB9"/>
    <w:rsid w:val="00265517"/>
    <w:rsid w:val="00266BB2"/>
    <w:rsid w:val="002675FB"/>
    <w:rsid w:val="00267CD0"/>
    <w:rsid w:val="002708FE"/>
    <w:rsid w:val="00270A66"/>
    <w:rsid w:val="00270CA4"/>
    <w:rsid w:val="00270CF5"/>
    <w:rsid w:val="00270E72"/>
    <w:rsid w:val="002713C6"/>
    <w:rsid w:val="00271440"/>
    <w:rsid w:val="00271924"/>
    <w:rsid w:val="00271CDC"/>
    <w:rsid w:val="00272766"/>
    <w:rsid w:val="00273A87"/>
    <w:rsid w:val="00273B5D"/>
    <w:rsid w:val="00273CF4"/>
    <w:rsid w:val="00273E1E"/>
    <w:rsid w:val="00274886"/>
    <w:rsid w:val="00274B19"/>
    <w:rsid w:val="002751B2"/>
    <w:rsid w:val="00275AF2"/>
    <w:rsid w:val="0027605D"/>
    <w:rsid w:val="00276346"/>
    <w:rsid w:val="00276765"/>
    <w:rsid w:val="00276B28"/>
    <w:rsid w:val="0027709F"/>
    <w:rsid w:val="0027723A"/>
    <w:rsid w:val="0027735D"/>
    <w:rsid w:val="002774CC"/>
    <w:rsid w:val="0027767A"/>
    <w:rsid w:val="00277C53"/>
    <w:rsid w:val="00280FD5"/>
    <w:rsid w:val="00281349"/>
    <w:rsid w:val="0028153B"/>
    <w:rsid w:val="0028157C"/>
    <w:rsid w:val="00281D4C"/>
    <w:rsid w:val="00281FCA"/>
    <w:rsid w:val="002823E1"/>
    <w:rsid w:val="00282918"/>
    <w:rsid w:val="00282CD6"/>
    <w:rsid w:val="00282CE1"/>
    <w:rsid w:val="00282D2E"/>
    <w:rsid w:val="002836B2"/>
    <w:rsid w:val="00283F6D"/>
    <w:rsid w:val="00284093"/>
    <w:rsid w:val="00284658"/>
    <w:rsid w:val="002847B4"/>
    <w:rsid w:val="00284C3D"/>
    <w:rsid w:val="00284E9D"/>
    <w:rsid w:val="00284F25"/>
    <w:rsid w:val="002857A4"/>
    <w:rsid w:val="0028648A"/>
    <w:rsid w:val="00286612"/>
    <w:rsid w:val="00286794"/>
    <w:rsid w:val="00286D6D"/>
    <w:rsid w:val="0028723D"/>
    <w:rsid w:val="002876C7"/>
    <w:rsid w:val="002879D4"/>
    <w:rsid w:val="002879EF"/>
    <w:rsid w:val="00287B4A"/>
    <w:rsid w:val="00290730"/>
    <w:rsid w:val="002915BE"/>
    <w:rsid w:val="00291B1D"/>
    <w:rsid w:val="00291F85"/>
    <w:rsid w:val="00291F91"/>
    <w:rsid w:val="00293135"/>
    <w:rsid w:val="00293FE9"/>
    <w:rsid w:val="00294E35"/>
    <w:rsid w:val="002955C9"/>
    <w:rsid w:val="00295DC3"/>
    <w:rsid w:val="00296796"/>
    <w:rsid w:val="002977FF"/>
    <w:rsid w:val="002978C1"/>
    <w:rsid w:val="00297A9D"/>
    <w:rsid w:val="00297EC1"/>
    <w:rsid w:val="002A0DD8"/>
    <w:rsid w:val="002A0E85"/>
    <w:rsid w:val="002A1907"/>
    <w:rsid w:val="002A2CE3"/>
    <w:rsid w:val="002A4178"/>
    <w:rsid w:val="002A55BB"/>
    <w:rsid w:val="002A5C22"/>
    <w:rsid w:val="002A67AD"/>
    <w:rsid w:val="002A6B6D"/>
    <w:rsid w:val="002A79F7"/>
    <w:rsid w:val="002B0C71"/>
    <w:rsid w:val="002B18FB"/>
    <w:rsid w:val="002B1DD4"/>
    <w:rsid w:val="002B2353"/>
    <w:rsid w:val="002B2522"/>
    <w:rsid w:val="002B26E8"/>
    <w:rsid w:val="002B26FA"/>
    <w:rsid w:val="002B324C"/>
    <w:rsid w:val="002B342F"/>
    <w:rsid w:val="002B3801"/>
    <w:rsid w:val="002B3AF0"/>
    <w:rsid w:val="002B4744"/>
    <w:rsid w:val="002B5296"/>
    <w:rsid w:val="002B5398"/>
    <w:rsid w:val="002B5DE9"/>
    <w:rsid w:val="002B6104"/>
    <w:rsid w:val="002B6613"/>
    <w:rsid w:val="002B7A3C"/>
    <w:rsid w:val="002B7BEC"/>
    <w:rsid w:val="002B7FCB"/>
    <w:rsid w:val="002C1000"/>
    <w:rsid w:val="002C14CA"/>
    <w:rsid w:val="002C1726"/>
    <w:rsid w:val="002C1766"/>
    <w:rsid w:val="002C180F"/>
    <w:rsid w:val="002C2241"/>
    <w:rsid w:val="002C245C"/>
    <w:rsid w:val="002C26E0"/>
    <w:rsid w:val="002C2F3A"/>
    <w:rsid w:val="002C3764"/>
    <w:rsid w:val="002C3840"/>
    <w:rsid w:val="002C3DC8"/>
    <w:rsid w:val="002C41FB"/>
    <w:rsid w:val="002C45C6"/>
    <w:rsid w:val="002C4969"/>
    <w:rsid w:val="002C4A20"/>
    <w:rsid w:val="002C51F7"/>
    <w:rsid w:val="002C60E2"/>
    <w:rsid w:val="002C610A"/>
    <w:rsid w:val="002C6380"/>
    <w:rsid w:val="002C6F99"/>
    <w:rsid w:val="002C715C"/>
    <w:rsid w:val="002C79CE"/>
    <w:rsid w:val="002C7AFC"/>
    <w:rsid w:val="002D0CE3"/>
    <w:rsid w:val="002D0D1D"/>
    <w:rsid w:val="002D0E5F"/>
    <w:rsid w:val="002D0FAB"/>
    <w:rsid w:val="002D13B6"/>
    <w:rsid w:val="002D1750"/>
    <w:rsid w:val="002D18FB"/>
    <w:rsid w:val="002D272B"/>
    <w:rsid w:val="002D3145"/>
    <w:rsid w:val="002D38E7"/>
    <w:rsid w:val="002D5501"/>
    <w:rsid w:val="002D5C2F"/>
    <w:rsid w:val="002D5EBF"/>
    <w:rsid w:val="002D5F22"/>
    <w:rsid w:val="002D602E"/>
    <w:rsid w:val="002D6384"/>
    <w:rsid w:val="002D66CE"/>
    <w:rsid w:val="002E0205"/>
    <w:rsid w:val="002E03BA"/>
    <w:rsid w:val="002E0B9E"/>
    <w:rsid w:val="002E0D39"/>
    <w:rsid w:val="002E1875"/>
    <w:rsid w:val="002E1E1C"/>
    <w:rsid w:val="002E1FD4"/>
    <w:rsid w:val="002E205D"/>
    <w:rsid w:val="002E32B1"/>
    <w:rsid w:val="002E34CF"/>
    <w:rsid w:val="002E3E59"/>
    <w:rsid w:val="002E41F3"/>
    <w:rsid w:val="002E4D15"/>
    <w:rsid w:val="002E5956"/>
    <w:rsid w:val="002E5F10"/>
    <w:rsid w:val="002E6FC8"/>
    <w:rsid w:val="002E75CC"/>
    <w:rsid w:val="002E79DC"/>
    <w:rsid w:val="002F09F2"/>
    <w:rsid w:val="002F0F7F"/>
    <w:rsid w:val="002F3F40"/>
    <w:rsid w:val="002F469F"/>
    <w:rsid w:val="002F4808"/>
    <w:rsid w:val="002F500C"/>
    <w:rsid w:val="002F5625"/>
    <w:rsid w:val="002F5E12"/>
    <w:rsid w:val="002F7147"/>
    <w:rsid w:val="002F7F3B"/>
    <w:rsid w:val="00300940"/>
    <w:rsid w:val="00301001"/>
    <w:rsid w:val="0030113A"/>
    <w:rsid w:val="00301E27"/>
    <w:rsid w:val="00302C8E"/>
    <w:rsid w:val="00302DC6"/>
    <w:rsid w:val="00303088"/>
    <w:rsid w:val="0030338D"/>
    <w:rsid w:val="003033DD"/>
    <w:rsid w:val="003036A4"/>
    <w:rsid w:val="003036D7"/>
    <w:rsid w:val="00303819"/>
    <w:rsid w:val="00303A69"/>
    <w:rsid w:val="00303E3C"/>
    <w:rsid w:val="00303E69"/>
    <w:rsid w:val="003040FF"/>
    <w:rsid w:val="00304116"/>
    <w:rsid w:val="003045FC"/>
    <w:rsid w:val="00304DBD"/>
    <w:rsid w:val="0030549D"/>
    <w:rsid w:val="0030613E"/>
    <w:rsid w:val="00306251"/>
    <w:rsid w:val="00306523"/>
    <w:rsid w:val="00306956"/>
    <w:rsid w:val="00307440"/>
    <w:rsid w:val="00307FBC"/>
    <w:rsid w:val="003103E9"/>
    <w:rsid w:val="003105B3"/>
    <w:rsid w:val="00310E57"/>
    <w:rsid w:val="00310F37"/>
    <w:rsid w:val="0031134F"/>
    <w:rsid w:val="0031185F"/>
    <w:rsid w:val="00312E43"/>
    <w:rsid w:val="00313440"/>
    <w:rsid w:val="00313913"/>
    <w:rsid w:val="003143AA"/>
    <w:rsid w:val="0031440F"/>
    <w:rsid w:val="0031459F"/>
    <w:rsid w:val="003145B7"/>
    <w:rsid w:val="00314775"/>
    <w:rsid w:val="003148E6"/>
    <w:rsid w:val="00314A15"/>
    <w:rsid w:val="00314C42"/>
    <w:rsid w:val="0031502B"/>
    <w:rsid w:val="00315922"/>
    <w:rsid w:val="00315D6C"/>
    <w:rsid w:val="00315DBB"/>
    <w:rsid w:val="00315E9D"/>
    <w:rsid w:val="0031639F"/>
    <w:rsid w:val="00316E3F"/>
    <w:rsid w:val="003170DC"/>
    <w:rsid w:val="003170F2"/>
    <w:rsid w:val="003174D6"/>
    <w:rsid w:val="0031788C"/>
    <w:rsid w:val="00317C1D"/>
    <w:rsid w:val="00317C83"/>
    <w:rsid w:val="00320F0E"/>
    <w:rsid w:val="003216CC"/>
    <w:rsid w:val="003217D0"/>
    <w:rsid w:val="003217D2"/>
    <w:rsid w:val="00322583"/>
    <w:rsid w:val="0032287D"/>
    <w:rsid w:val="00322C6C"/>
    <w:rsid w:val="0032431C"/>
    <w:rsid w:val="00324894"/>
    <w:rsid w:val="003251DC"/>
    <w:rsid w:val="003251DD"/>
    <w:rsid w:val="0032586E"/>
    <w:rsid w:val="00325EAE"/>
    <w:rsid w:val="00326C24"/>
    <w:rsid w:val="00327232"/>
    <w:rsid w:val="00327410"/>
    <w:rsid w:val="0032757B"/>
    <w:rsid w:val="00327E37"/>
    <w:rsid w:val="0033064F"/>
    <w:rsid w:val="00331D5A"/>
    <w:rsid w:val="003322AD"/>
    <w:rsid w:val="00332389"/>
    <w:rsid w:val="00332D6E"/>
    <w:rsid w:val="00333420"/>
    <w:rsid w:val="00333E79"/>
    <w:rsid w:val="0033480C"/>
    <w:rsid w:val="0033482D"/>
    <w:rsid w:val="00334A6D"/>
    <w:rsid w:val="00335131"/>
    <w:rsid w:val="00335721"/>
    <w:rsid w:val="00336288"/>
    <w:rsid w:val="00336976"/>
    <w:rsid w:val="00336CE0"/>
    <w:rsid w:val="00336DCC"/>
    <w:rsid w:val="00337236"/>
    <w:rsid w:val="003379E3"/>
    <w:rsid w:val="003402D8"/>
    <w:rsid w:val="0034044C"/>
    <w:rsid w:val="003405A9"/>
    <w:rsid w:val="00340F06"/>
    <w:rsid w:val="00341439"/>
    <w:rsid w:val="0034280C"/>
    <w:rsid w:val="00342D6F"/>
    <w:rsid w:val="00342DC6"/>
    <w:rsid w:val="00343B38"/>
    <w:rsid w:val="00343BCF"/>
    <w:rsid w:val="00343FD7"/>
    <w:rsid w:val="003441E9"/>
    <w:rsid w:val="0034468E"/>
    <w:rsid w:val="00346C12"/>
    <w:rsid w:val="00346FEE"/>
    <w:rsid w:val="00347B8E"/>
    <w:rsid w:val="0035079F"/>
    <w:rsid w:val="00351425"/>
    <w:rsid w:val="00351443"/>
    <w:rsid w:val="00351B24"/>
    <w:rsid w:val="00351F7A"/>
    <w:rsid w:val="00352561"/>
    <w:rsid w:val="0035285C"/>
    <w:rsid w:val="00352CD7"/>
    <w:rsid w:val="00352DB0"/>
    <w:rsid w:val="00353049"/>
    <w:rsid w:val="003543EF"/>
    <w:rsid w:val="003547A8"/>
    <w:rsid w:val="0035499D"/>
    <w:rsid w:val="00354F1D"/>
    <w:rsid w:val="0035519F"/>
    <w:rsid w:val="003559A2"/>
    <w:rsid w:val="00357172"/>
    <w:rsid w:val="003571E5"/>
    <w:rsid w:val="0035776D"/>
    <w:rsid w:val="0036066C"/>
    <w:rsid w:val="00361545"/>
    <w:rsid w:val="003633A7"/>
    <w:rsid w:val="003635E2"/>
    <w:rsid w:val="00364EAA"/>
    <w:rsid w:val="00365701"/>
    <w:rsid w:val="00365898"/>
    <w:rsid w:val="00365DDE"/>
    <w:rsid w:val="003664F6"/>
    <w:rsid w:val="00366845"/>
    <w:rsid w:val="00366BF0"/>
    <w:rsid w:val="00367337"/>
    <w:rsid w:val="003674C1"/>
    <w:rsid w:val="0036767B"/>
    <w:rsid w:val="00371BC4"/>
    <w:rsid w:val="00372169"/>
    <w:rsid w:val="00372979"/>
    <w:rsid w:val="00372A66"/>
    <w:rsid w:val="00372CFA"/>
    <w:rsid w:val="0037309A"/>
    <w:rsid w:val="0037351C"/>
    <w:rsid w:val="00374124"/>
    <w:rsid w:val="0037413E"/>
    <w:rsid w:val="003742CE"/>
    <w:rsid w:val="00374D98"/>
    <w:rsid w:val="00375767"/>
    <w:rsid w:val="003761C7"/>
    <w:rsid w:val="00377542"/>
    <w:rsid w:val="003775FE"/>
    <w:rsid w:val="00377DAE"/>
    <w:rsid w:val="00381CB8"/>
    <w:rsid w:val="0038225B"/>
    <w:rsid w:val="003824DB"/>
    <w:rsid w:val="00382A2A"/>
    <w:rsid w:val="003833D2"/>
    <w:rsid w:val="0038367A"/>
    <w:rsid w:val="00383B3D"/>
    <w:rsid w:val="00383D74"/>
    <w:rsid w:val="0038462D"/>
    <w:rsid w:val="00384F20"/>
    <w:rsid w:val="003857B4"/>
    <w:rsid w:val="00385E00"/>
    <w:rsid w:val="00385EE6"/>
    <w:rsid w:val="0038617C"/>
    <w:rsid w:val="00386457"/>
    <w:rsid w:val="00386702"/>
    <w:rsid w:val="00386B21"/>
    <w:rsid w:val="00386C79"/>
    <w:rsid w:val="003874B7"/>
    <w:rsid w:val="00387878"/>
    <w:rsid w:val="00387E57"/>
    <w:rsid w:val="00390670"/>
    <w:rsid w:val="00390C35"/>
    <w:rsid w:val="00391020"/>
    <w:rsid w:val="00391575"/>
    <w:rsid w:val="00392E84"/>
    <w:rsid w:val="00393088"/>
    <w:rsid w:val="00393716"/>
    <w:rsid w:val="0039398E"/>
    <w:rsid w:val="00393BB3"/>
    <w:rsid w:val="00393DA8"/>
    <w:rsid w:val="003949D3"/>
    <w:rsid w:val="00394A73"/>
    <w:rsid w:val="00394D23"/>
    <w:rsid w:val="003955B4"/>
    <w:rsid w:val="003963C6"/>
    <w:rsid w:val="0039775C"/>
    <w:rsid w:val="0039776F"/>
    <w:rsid w:val="00397780"/>
    <w:rsid w:val="003A0AF3"/>
    <w:rsid w:val="003A0E74"/>
    <w:rsid w:val="003A1186"/>
    <w:rsid w:val="003A11A9"/>
    <w:rsid w:val="003A1296"/>
    <w:rsid w:val="003A2481"/>
    <w:rsid w:val="003A3107"/>
    <w:rsid w:val="003A36E2"/>
    <w:rsid w:val="003A39B4"/>
    <w:rsid w:val="003A3F50"/>
    <w:rsid w:val="003A4AC0"/>
    <w:rsid w:val="003A4CCE"/>
    <w:rsid w:val="003A573B"/>
    <w:rsid w:val="003A59E3"/>
    <w:rsid w:val="003A62FD"/>
    <w:rsid w:val="003A6305"/>
    <w:rsid w:val="003A66A4"/>
    <w:rsid w:val="003A670A"/>
    <w:rsid w:val="003A6A43"/>
    <w:rsid w:val="003A6B72"/>
    <w:rsid w:val="003A6F03"/>
    <w:rsid w:val="003A6F87"/>
    <w:rsid w:val="003A7075"/>
    <w:rsid w:val="003A73D7"/>
    <w:rsid w:val="003A776F"/>
    <w:rsid w:val="003B003A"/>
    <w:rsid w:val="003B03E2"/>
    <w:rsid w:val="003B05A8"/>
    <w:rsid w:val="003B132C"/>
    <w:rsid w:val="003B1459"/>
    <w:rsid w:val="003B1858"/>
    <w:rsid w:val="003B1B79"/>
    <w:rsid w:val="003B1EC9"/>
    <w:rsid w:val="003B28F5"/>
    <w:rsid w:val="003B3395"/>
    <w:rsid w:val="003B36CF"/>
    <w:rsid w:val="003B37DA"/>
    <w:rsid w:val="003B3B67"/>
    <w:rsid w:val="003B45D9"/>
    <w:rsid w:val="003B4CFA"/>
    <w:rsid w:val="003B4D3B"/>
    <w:rsid w:val="003B5673"/>
    <w:rsid w:val="003B5E94"/>
    <w:rsid w:val="003B6E96"/>
    <w:rsid w:val="003B7720"/>
    <w:rsid w:val="003B7E69"/>
    <w:rsid w:val="003B7F20"/>
    <w:rsid w:val="003C0381"/>
    <w:rsid w:val="003C03EF"/>
    <w:rsid w:val="003C04E6"/>
    <w:rsid w:val="003C1150"/>
    <w:rsid w:val="003C183E"/>
    <w:rsid w:val="003C24FF"/>
    <w:rsid w:val="003C278F"/>
    <w:rsid w:val="003C328D"/>
    <w:rsid w:val="003C3D6A"/>
    <w:rsid w:val="003C54F7"/>
    <w:rsid w:val="003C57EB"/>
    <w:rsid w:val="003C647E"/>
    <w:rsid w:val="003C6759"/>
    <w:rsid w:val="003C7059"/>
    <w:rsid w:val="003D04A9"/>
    <w:rsid w:val="003D1629"/>
    <w:rsid w:val="003D176F"/>
    <w:rsid w:val="003D1B6B"/>
    <w:rsid w:val="003D2AE2"/>
    <w:rsid w:val="003D2FD0"/>
    <w:rsid w:val="003D3D7D"/>
    <w:rsid w:val="003D4C7B"/>
    <w:rsid w:val="003D522D"/>
    <w:rsid w:val="003D5BA5"/>
    <w:rsid w:val="003D5F63"/>
    <w:rsid w:val="003D646B"/>
    <w:rsid w:val="003D6EEE"/>
    <w:rsid w:val="003D7918"/>
    <w:rsid w:val="003D7A86"/>
    <w:rsid w:val="003D7C58"/>
    <w:rsid w:val="003E0506"/>
    <w:rsid w:val="003E07BC"/>
    <w:rsid w:val="003E082B"/>
    <w:rsid w:val="003E0A50"/>
    <w:rsid w:val="003E0C7A"/>
    <w:rsid w:val="003E1295"/>
    <w:rsid w:val="003E1973"/>
    <w:rsid w:val="003E1D65"/>
    <w:rsid w:val="003E223A"/>
    <w:rsid w:val="003E2308"/>
    <w:rsid w:val="003E239F"/>
    <w:rsid w:val="003E2D2F"/>
    <w:rsid w:val="003E36D8"/>
    <w:rsid w:val="003E3DB6"/>
    <w:rsid w:val="003E3E73"/>
    <w:rsid w:val="003E461C"/>
    <w:rsid w:val="003E5395"/>
    <w:rsid w:val="003E5461"/>
    <w:rsid w:val="003E5C1E"/>
    <w:rsid w:val="003E5F04"/>
    <w:rsid w:val="003E7765"/>
    <w:rsid w:val="003E78D3"/>
    <w:rsid w:val="003E7CF9"/>
    <w:rsid w:val="003E7E09"/>
    <w:rsid w:val="003F0067"/>
    <w:rsid w:val="003F0868"/>
    <w:rsid w:val="003F174F"/>
    <w:rsid w:val="003F1897"/>
    <w:rsid w:val="003F1ABB"/>
    <w:rsid w:val="003F1C89"/>
    <w:rsid w:val="003F2408"/>
    <w:rsid w:val="003F28FE"/>
    <w:rsid w:val="003F3C26"/>
    <w:rsid w:val="003F3D83"/>
    <w:rsid w:val="003F4979"/>
    <w:rsid w:val="003F51B1"/>
    <w:rsid w:val="003F5249"/>
    <w:rsid w:val="003F5D19"/>
    <w:rsid w:val="003F601E"/>
    <w:rsid w:val="003F61CE"/>
    <w:rsid w:val="003F63D0"/>
    <w:rsid w:val="003F79EE"/>
    <w:rsid w:val="003F7D8D"/>
    <w:rsid w:val="003F7E8A"/>
    <w:rsid w:val="003F7F3C"/>
    <w:rsid w:val="004008B5"/>
    <w:rsid w:val="00400D82"/>
    <w:rsid w:val="00400E39"/>
    <w:rsid w:val="004013B7"/>
    <w:rsid w:val="004020E7"/>
    <w:rsid w:val="0040292B"/>
    <w:rsid w:val="004029E7"/>
    <w:rsid w:val="00402BB7"/>
    <w:rsid w:val="00402CE6"/>
    <w:rsid w:val="004030E1"/>
    <w:rsid w:val="004033A6"/>
    <w:rsid w:val="004034BB"/>
    <w:rsid w:val="00404188"/>
    <w:rsid w:val="004043B6"/>
    <w:rsid w:val="00404BFB"/>
    <w:rsid w:val="0040567C"/>
    <w:rsid w:val="00405D73"/>
    <w:rsid w:val="004064ED"/>
    <w:rsid w:val="00406910"/>
    <w:rsid w:val="00406C7E"/>
    <w:rsid w:val="00407218"/>
    <w:rsid w:val="004072FA"/>
    <w:rsid w:val="00407EF5"/>
    <w:rsid w:val="00410303"/>
    <w:rsid w:val="004104DA"/>
    <w:rsid w:val="00410C67"/>
    <w:rsid w:val="00411466"/>
    <w:rsid w:val="00411796"/>
    <w:rsid w:val="00413C93"/>
    <w:rsid w:val="0041453D"/>
    <w:rsid w:val="00414B32"/>
    <w:rsid w:val="00414EC1"/>
    <w:rsid w:val="0041547E"/>
    <w:rsid w:val="00415DD0"/>
    <w:rsid w:val="00415DFF"/>
    <w:rsid w:val="00415E16"/>
    <w:rsid w:val="00416D3C"/>
    <w:rsid w:val="0041700D"/>
    <w:rsid w:val="004176D3"/>
    <w:rsid w:val="004178C0"/>
    <w:rsid w:val="0042036D"/>
    <w:rsid w:val="00420C55"/>
    <w:rsid w:val="004210F0"/>
    <w:rsid w:val="00421808"/>
    <w:rsid w:val="00421CE2"/>
    <w:rsid w:val="00421F4C"/>
    <w:rsid w:val="00422EA6"/>
    <w:rsid w:val="00423849"/>
    <w:rsid w:val="00423EBE"/>
    <w:rsid w:val="00423FCB"/>
    <w:rsid w:val="00424452"/>
    <w:rsid w:val="00424805"/>
    <w:rsid w:val="00424A95"/>
    <w:rsid w:val="00424D57"/>
    <w:rsid w:val="00425480"/>
    <w:rsid w:val="00425FEB"/>
    <w:rsid w:val="00427228"/>
    <w:rsid w:val="004277FF"/>
    <w:rsid w:val="00427806"/>
    <w:rsid w:val="004305EF"/>
    <w:rsid w:val="0043081E"/>
    <w:rsid w:val="00431EE8"/>
    <w:rsid w:val="004320B8"/>
    <w:rsid w:val="00432270"/>
    <w:rsid w:val="00432347"/>
    <w:rsid w:val="00432804"/>
    <w:rsid w:val="00432850"/>
    <w:rsid w:val="00432E1D"/>
    <w:rsid w:val="00433089"/>
    <w:rsid w:val="0043309A"/>
    <w:rsid w:val="00433414"/>
    <w:rsid w:val="004336B9"/>
    <w:rsid w:val="0043458B"/>
    <w:rsid w:val="00434846"/>
    <w:rsid w:val="004348E3"/>
    <w:rsid w:val="00434B0A"/>
    <w:rsid w:val="00434F5D"/>
    <w:rsid w:val="004352DE"/>
    <w:rsid w:val="0043533C"/>
    <w:rsid w:val="00435C1A"/>
    <w:rsid w:val="00436436"/>
    <w:rsid w:val="00436607"/>
    <w:rsid w:val="00436D20"/>
    <w:rsid w:val="0043763A"/>
    <w:rsid w:val="00437673"/>
    <w:rsid w:val="00437A3A"/>
    <w:rsid w:val="00437FF3"/>
    <w:rsid w:val="00440925"/>
    <w:rsid w:val="004411BC"/>
    <w:rsid w:val="00441919"/>
    <w:rsid w:val="0044220B"/>
    <w:rsid w:val="00443CF3"/>
    <w:rsid w:val="004441A6"/>
    <w:rsid w:val="004441B3"/>
    <w:rsid w:val="00444D15"/>
    <w:rsid w:val="004450F3"/>
    <w:rsid w:val="0044537A"/>
    <w:rsid w:val="00445802"/>
    <w:rsid w:val="00445969"/>
    <w:rsid w:val="00446462"/>
    <w:rsid w:val="0044659D"/>
    <w:rsid w:val="004465CC"/>
    <w:rsid w:val="004477FB"/>
    <w:rsid w:val="004477FF"/>
    <w:rsid w:val="004478CC"/>
    <w:rsid w:val="00450601"/>
    <w:rsid w:val="00450746"/>
    <w:rsid w:val="00450D11"/>
    <w:rsid w:val="00450E56"/>
    <w:rsid w:val="00451EE6"/>
    <w:rsid w:val="0045233A"/>
    <w:rsid w:val="004537E1"/>
    <w:rsid w:val="00453A1B"/>
    <w:rsid w:val="00453BA1"/>
    <w:rsid w:val="00454210"/>
    <w:rsid w:val="004543A4"/>
    <w:rsid w:val="00454E0B"/>
    <w:rsid w:val="00455273"/>
    <w:rsid w:val="0045572E"/>
    <w:rsid w:val="004561C6"/>
    <w:rsid w:val="00456A6D"/>
    <w:rsid w:val="00456A8E"/>
    <w:rsid w:val="00456BC6"/>
    <w:rsid w:val="00456FD2"/>
    <w:rsid w:val="00457B37"/>
    <w:rsid w:val="00460000"/>
    <w:rsid w:val="0046037F"/>
    <w:rsid w:val="0046090A"/>
    <w:rsid w:val="00460D87"/>
    <w:rsid w:val="00461158"/>
    <w:rsid w:val="004614B6"/>
    <w:rsid w:val="004614C2"/>
    <w:rsid w:val="0046174E"/>
    <w:rsid w:val="00462BE4"/>
    <w:rsid w:val="004634DE"/>
    <w:rsid w:val="004636EA"/>
    <w:rsid w:val="00463905"/>
    <w:rsid w:val="0046398D"/>
    <w:rsid w:val="004640D8"/>
    <w:rsid w:val="004644D1"/>
    <w:rsid w:val="004646DF"/>
    <w:rsid w:val="00464E6F"/>
    <w:rsid w:val="004650DD"/>
    <w:rsid w:val="0046554F"/>
    <w:rsid w:val="00465590"/>
    <w:rsid w:val="004658C1"/>
    <w:rsid w:val="0046616F"/>
    <w:rsid w:val="00466316"/>
    <w:rsid w:val="004669BC"/>
    <w:rsid w:val="00466F4B"/>
    <w:rsid w:val="00467095"/>
    <w:rsid w:val="004705FA"/>
    <w:rsid w:val="00470F34"/>
    <w:rsid w:val="00472485"/>
    <w:rsid w:val="004726F5"/>
    <w:rsid w:val="00472727"/>
    <w:rsid w:val="00472A4A"/>
    <w:rsid w:val="00472F33"/>
    <w:rsid w:val="00474787"/>
    <w:rsid w:val="00474899"/>
    <w:rsid w:val="0047578A"/>
    <w:rsid w:val="00475E80"/>
    <w:rsid w:val="00476097"/>
    <w:rsid w:val="004775FC"/>
    <w:rsid w:val="004778B5"/>
    <w:rsid w:val="00480479"/>
    <w:rsid w:val="004808B1"/>
    <w:rsid w:val="00480E99"/>
    <w:rsid w:val="00481B43"/>
    <w:rsid w:val="00481EC3"/>
    <w:rsid w:val="004826DC"/>
    <w:rsid w:val="00482A2C"/>
    <w:rsid w:val="004830C9"/>
    <w:rsid w:val="0048328E"/>
    <w:rsid w:val="00483854"/>
    <w:rsid w:val="00483939"/>
    <w:rsid w:val="00484181"/>
    <w:rsid w:val="00484C3F"/>
    <w:rsid w:val="004864BD"/>
    <w:rsid w:val="00486F9C"/>
    <w:rsid w:val="00487921"/>
    <w:rsid w:val="00487AEB"/>
    <w:rsid w:val="0049069A"/>
    <w:rsid w:val="0049090E"/>
    <w:rsid w:val="0049107D"/>
    <w:rsid w:val="004910FB"/>
    <w:rsid w:val="00491A8E"/>
    <w:rsid w:val="004920A9"/>
    <w:rsid w:val="004937D9"/>
    <w:rsid w:val="00493B52"/>
    <w:rsid w:val="00494306"/>
    <w:rsid w:val="0049455A"/>
    <w:rsid w:val="00494A27"/>
    <w:rsid w:val="00494F8F"/>
    <w:rsid w:val="004950D7"/>
    <w:rsid w:val="004959B1"/>
    <w:rsid w:val="00495B14"/>
    <w:rsid w:val="00495C1F"/>
    <w:rsid w:val="00495D9A"/>
    <w:rsid w:val="00495EC6"/>
    <w:rsid w:val="004961B0"/>
    <w:rsid w:val="0049629A"/>
    <w:rsid w:val="00496EA5"/>
    <w:rsid w:val="00497407"/>
    <w:rsid w:val="00497D4E"/>
    <w:rsid w:val="00497F18"/>
    <w:rsid w:val="004A0C67"/>
    <w:rsid w:val="004A11E2"/>
    <w:rsid w:val="004A127D"/>
    <w:rsid w:val="004A18F9"/>
    <w:rsid w:val="004A1B85"/>
    <w:rsid w:val="004A25C9"/>
    <w:rsid w:val="004A39BC"/>
    <w:rsid w:val="004A4993"/>
    <w:rsid w:val="004A4EB3"/>
    <w:rsid w:val="004A5527"/>
    <w:rsid w:val="004A55AA"/>
    <w:rsid w:val="004A589E"/>
    <w:rsid w:val="004A58CB"/>
    <w:rsid w:val="004A5CB8"/>
    <w:rsid w:val="004A5E83"/>
    <w:rsid w:val="004A68F3"/>
    <w:rsid w:val="004A6C49"/>
    <w:rsid w:val="004A6F32"/>
    <w:rsid w:val="004A6F8F"/>
    <w:rsid w:val="004A7221"/>
    <w:rsid w:val="004A7920"/>
    <w:rsid w:val="004B010D"/>
    <w:rsid w:val="004B02B7"/>
    <w:rsid w:val="004B07E6"/>
    <w:rsid w:val="004B0B03"/>
    <w:rsid w:val="004B2544"/>
    <w:rsid w:val="004B3058"/>
    <w:rsid w:val="004B35E7"/>
    <w:rsid w:val="004B36A1"/>
    <w:rsid w:val="004B3A0D"/>
    <w:rsid w:val="004B472C"/>
    <w:rsid w:val="004B50C0"/>
    <w:rsid w:val="004B686E"/>
    <w:rsid w:val="004B694D"/>
    <w:rsid w:val="004B6F5C"/>
    <w:rsid w:val="004B73C1"/>
    <w:rsid w:val="004B7E51"/>
    <w:rsid w:val="004C0033"/>
    <w:rsid w:val="004C0946"/>
    <w:rsid w:val="004C10E2"/>
    <w:rsid w:val="004C13C3"/>
    <w:rsid w:val="004C2174"/>
    <w:rsid w:val="004C22E0"/>
    <w:rsid w:val="004C2416"/>
    <w:rsid w:val="004C2476"/>
    <w:rsid w:val="004C25E9"/>
    <w:rsid w:val="004C2AC6"/>
    <w:rsid w:val="004C2EC2"/>
    <w:rsid w:val="004C33C7"/>
    <w:rsid w:val="004C37A8"/>
    <w:rsid w:val="004C3C49"/>
    <w:rsid w:val="004C46A2"/>
    <w:rsid w:val="004C48CD"/>
    <w:rsid w:val="004C5221"/>
    <w:rsid w:val="004C54F7"/>
    <w:rsid w:val="004C593B"/>
    <w:rsid w:val="004C6623"/>
    <w:rsid w:val="004C784C"/>
    <w:rsid w:val="004C79E5"/>
    <w:rsid w:val="004C7AF5"/>
    <w:rsid w:val="004C7DFB"/>
    <w:rsid w:val="004C7EB3"/>
    <w:rsid w:val="004D02AB"/>
    <w:rsid w:val="004D0D75"/>
    <w:rsid w:val="004D1619"/>
    <w:rsid w:val="004D1F6E"/>
    <w:rsid w:val="004D22ED"/>
    <w:rsid w:val="004D3336"/>
    <w:rsid w:val="004D3CDA"/>
    <w:rsid w:val="004D4283"/>
    <w:rsid w:val="004D517C"/>
    <w:rsid w:val="004D5B8E"/>
    <w:rsid w:val="004D5F82"/>
    <w:rsid w:val="004D64B8"/>
    <w:rsid w:val="004D7310"/>
    <w:rsid w:val="004D77FF"/>
    <w:rsid w:val="004E00FE"/>
    <w:rsid w:val="004E02F1"/>
    <w:rsid w:val="004E0C01"/>
    <w:rsid w:val="004E0C55"/>
    <w:rsid w:val="004E124A"/>
    <w:rsid w:val="004E208C"/>
    <w:rsid w:val="004E2622"/>
    <w:rsid w:val="004E3490"/>
    <w:rsid w:val="004E3876"/>
    <w:rsid w:val="004E3E33"/>
    <w:rsid w:val="004E4346"/>
    <w:rsid w:val="004E47C3"/>
    <w:rsid w:val="004E4902"/>
    <w:rsid w:val="004E4DEA"/>
    <w:rsid w:val="004E4F35"/>
    <w:rsid w:val="004E6121"/>
    <w:rsid w:val="004E6386"/>
    <w:rsid w:val="004E63D3"/>
    <w:rsid w:val="004E6AFB"/>
    <w:rsid w:val="004E6B0E"/>
    <w:rsid w:val="004E6D84"/>
    <w:rsid w:val="004E6F3B"/>
    <w:rsid w:val="004F0AF1"/>
    <w:rsid w:val="004F0D87"/>
    <w:rsid w:val="004F0EA0"/>
    <w:rsid w:val="004F1B6C"/>
    <w:rsid w:val="004F1CF1"/>
    <w:rsid w:val="004F25F8"/>
    <w:rsid w:val="004F2781"/>
    <w:rsid w:val="004F2CA2"/>
    <w:rsid w:val="004F2D49"/>
    <w:rsid w:val="004F4BE8"/>
    <w:rsid w:val="004F575E"/>
    <w:rsid w:val="004F59FC"/>
    <w:rsid w:val="004F5EF5"/>
    <w:rsid w:val="004F6981"/>
    <w:rsid w:val="00500BA5"/>
    <w:rsid w:val="00500C3A"/>
    <w:rsid w:val="0050141F"/>
    <w:rsid w:val="00501947"/>
    <w:rsid w:val="00501B6F"/>
    <w:rsid w:val="00503269"/>
    <w:rsid w:val="0050345F"/>
    <w:rsid w:val="00505740"/>
    <w:rsid w:val="00506BF2"/>
    <w:rsid w:val="00506F42"/>
    <w:rsid w:val="00506F5C"/>
    <w:rsid w:val="00507230"/>
    <w:rsid w:val="005105CB"/>
    <w:rsid w:val="0051081E"/>
    <w:rsid w:val="00510A0E"/>
    <w:rsid w:val="00510BD2"/>
    <w:rsid w:val="00511794"/>
    <w:rsid w:val="00511842"/>
    <w:rsid w:val="00511A1F"/>
    <w:rsid w:val="00511E6E"/>
    <w:rsid w:val="005123B9"/>
    <w:rsid w:val="00512708"/>
    <w:rsid w:val="0051271A"/>
    <w:rsid w:val="005129E8"/>
    <w:rsid w:val="00512E5F"/>
    <w:rsid w:val="005133B6"/>
    <w:rsid w:val="00513A34"/>
    <w:rsid w:val="00513BA3"/>
    <w:rsid w:val="00513C7E"/>
    <w:rsid w:val="00513FD7"/>
    <w:rsid w:val="00514246"/>
    <w:rsid w:val="0051457B"/>
    <w:rsid w:val="005147D2"/>
    <w:rsid w:val="00514BC7"/>
    <w:rsid w:val="00514C27"/>
    <w:rsid w:val="005155E1"/>
    <w:rsid w:val="00515F7B"/>
    <w:rsid w:val="005168F2"/>
    <w:rsid w:val="00516A12"/>
    <w:rsid w:val="00516A25"/>
    <w:rsid w:val="00517DE3"/>
    <w:rsid w:val="0052003C"/>
    <w:rsid w:val="0052053C"/>
    <w:rsid w:val="00520710"/>
    <w:rsid w:val="00520AD5"/>
    <w:rsid w:val="005210E4"/>
    <w:rsid w:val="00521446"/>
    <w:rsid w:val="00521A67"/>
    <w:rsid w:val="005226E8"/>
    <w:rsid w:val="0052298C"/>
    <w:rsid w:val="00522C4D"/>
    <w:rsid w:val="005237AB"/>
    <w:rsid w:val="00523801"/>
    <w:rsid w:val="0052380E"/>
    <w:rsid w:val="00523813"/>
    <w:rsid w:val="00523D3C"/>
    <w:rsid w:val="005240A6"/>
    <w:rsid w:val="00524499"/>
    <w:rsid w:val="00524909"/>
    <w:rsid w:val="005252E8"/>
    <w:rsid w:val="00525580"/>
    <w:rsid w:val="00526E55"/>
    <w:rsid w:val="005278A2"/>
    <w:rsid w:val="00527CB7"/>
    <w:rsid w:val="00530CDE"/>
    <w:rsid w:val="00531016"/>
    <w:rsid w:val="00531230"/>
    <w:rsid w:val="00531593"/>
    <w:rsid w:val="0053204D"/>
    <w:rsid w:val="00532733"/>
    <w:rsid w:val="00532A29"/>
    <w:rsid w:val="00532EC2"/>
    <w:rsid w:val="0053321C"/>
    <w:rsid w:val="00534341"/>
    <w:rsid w:val="00534A8C"/>
    <w:rsid w:val="00534C47"/>
    <w:rsid w:val="005350F3"/>
    <w:rsid w:val="005377D9"/>
    <w:rsid w:val="005377E9"/>
    <w:rsid w:val="005379B9"/>
    <w:rsid w:val="00537F53"/>
    <w:rsid w:val="00540394"/>
    <w:rsid w:val="00540D6E"/>
    <w:rsid w:val="00540EA9"/>
    <w:rsid w:val="005418EF"/>
    <w:rsid w:val="00542B1E"/>
    <w:rsid w:val="00542E84"/>
    <w:rsid w:val="005433FA"/>
    <w:rsid w:val="00543CBA"/>
    <w:rsid w:val="00543D7D"/>
    <w:rsid w:val="00543EA8"/>
    <w:rsid w:val="00544DF8"/>
    <w:rsid w:val="00545053"/>
    <w:rsid w:val="005455FF"/>
    <w:rsid w:val="00545906"/>
    <w:rsid w:val="00545AAD"/>
    <w:rsid w:val="005467B6"/>
    <w:rsid w:val="00546DBA"/>
    <w:rsid w:val="00547E2D"/>
    <w:rsid w:val="005519E7"/>
    <w:rsid w:val="00551B45"/>
    <w:rsid w:val="005521E8"/>
    <w:rsid w:val="0055280F"/>
    <w:rsid w:val="00552A91"/>
    <w:rsid w:val="00552B98"/>
    <w:rsid w:val="00554150"/>
    <w:rsid w:val="00554D45"/>
    <w:rsid w:val="005552E9"/>
    <w:rsid w:val="005553C8"/>
    <w:rsid w:val="00555FD8"/>
    <w:rsid w:val="00556789"/>
    <w:rsid w:val="005569DA"/>
    <w:rsid w:val="00556A85"/>
    <w:rsid w:val="00556D4A"/>
    <w:rsid w:val="00557C10"/>
    <w:rsid w:val="0056072A"/>
    <w:rsid w:val="00560B6A"/>
    <w:rsid w:val="00560CC5"/>
    <w:rsid w:val="00560CCE"/>
    <w:rsid w:val="005615C8"/>
    <w:rsid w:val="00561852"/>
    <w:rsid w:val="00561A38"/>
    <w:rsid w:val="00561FAF"/>
    <w:rsid w:val="0056243A"/>
    <w:rsid w:val="005627A6"/>
    <w:rsid w:val="00562E81"/>
    <w:rsid w:val="00563157"/>
    <w:rsid w:val="00563D1C"/>
    <w:rsid w:val="00564EB7"/>
    <w:rsid w:val="0056516C"/>
    <w:rsid w:val="00565403"/>
    <w:rsid w:val="00565D3B"/>
    <w:rsid w:val="00566A61"/>
    <w:rsid w:val="00566A70"/>
    <w:rsid w:val="00566F0F"/>
    <w:rsid w:val="00567893"/>
    <w:rsid w:val="005700A7"/>
    <w:rsid w:val="0057104F"/>
    <w:rsid w:val="0057105E"/>
    <w:rsid w:val="00571071"/>
    <w:rsid w:val="00571501"/>
    <w:rsid w:val="005716B3"/>
    <w:rsid w:val="00571ACD"/>
    <w:rsid w:val="00571B8A"/>
    <w:rsid w:val="00572294"/>
    <w:rsid w:val="005722FE"/>
    <w:rsid w:val="00572FFD"/>
    <w:rsid w:val="005737E9"/>
    <w:rsid w:val="00573D4F"/>
    <w:rsid w:val="0057487D"/>
    <w:rsid w:val="00574CA8"/>
    <w:rsid w:val="00574D6B"/>
    <w:rsid w:val="0057535D"/>
    <w:rsid w:val="00575BE4"/>
    <w:rsid w:val="005764D5"/>
    <w:rsid w:val="00576AE0"/>
    <w:rsid w:val="005774FA"/>
    <w:rsid w:val="00577F29"/>
    <w:rsid w:val="00580463"/>
    <w:rsid w:val="00580618"/>
    <w:rsid w:val="005807CD"/>
    <w:rsid w:val="00580C07"/>
    <w:rsid w:val="0058194D"/>
    <w:rsid w:val="00581F43"/>
    <w:rsid w:val="0058215D"/>
    <w:rsid w:val="005824A8"/>
    <w:rsid w:val="005826E8"/>
    <w:rsid w:val="00582B1F"/>
    <w:rsid w:val="005830D6"/>
    <w:rsid w:val="0058391E"/>
    <w:rsid w:val="0058427B"/>
    <w:rsid w:val="0058437C"/>
    <w:rsid w:val="005843AD"/>
    <w:rsid w:val="005843D9"/>
    <w:rsid w:val="00584B49"/>
    <w:rsid w:val="0058548D"/>
    <w:rsid w:val="00585773"/>
    <w:rsid w:val="00586177"/>
    <w:rsid w:val="0058620D"/>
    <w:rsid w:val="005865DE"/>
    <w:rsid w:val="00586851"/>
    <w:rsid w:val="0058759E"/>
    <w:rsid w:val="005905C8"/>
    <w:rsid w:val="00590DAA"/>
    <w:rsid w:val="00591016"/>
    <w:rsid w:val="0059153C"/>
    <w:rsid w:val="00591DA9"/>
    <w:rsid w:val="00592A77"/>
    <w:rsid w:val="00592D1D"/>
    <w:rsid w:val="005938F3"/>
    <w:rsid w:val="00593F89"/>
    <w:rsid w:val="005944D5"/>
    <w:rsid w:val="00594D30"/>
    <w:rsid w:val="00595734"/>
    <w:rsid w:val="00595E25"/>
    <w:rsid w:val="005978D7"/>
    <w:rsid w:val="00597F88"/>
    <w:rsid w:val="005A0A77"/>
    <w:rsid w:val="005A0E06"/>
    <w:rsid w:val="005A1497"/>
    <w:rsid w:val="005A14C0"/>
    <w:rsid w:val="005A14E7"/>
    <w:rsid w:val="005A32A3"/>
    <w:rsid w:val="005A356C"/>
    <w:rsid w:val="005A3DA0"/>
    <w:rsid w:val="005A3E8E"/>
    <w:rsid w:val="005A42AA"/>
    <w:rsid w:val="005A42DD"/>
    <w:rsid w:val="005A4F0E"/>
    <w:rsid w:val="005A571E"/>
    <w:rsid w:val="005A58E1"/>
    <w:rsid w:val="005A65ED"/>
    <w:rsid w:val="005A692A"/>
    <w:rsid w:val="005A69B5"/>
    <w:rsid w:val="005A6C69"/>
    <w:rsid w:val="005A7BAE"/>
    <w:rsid w:val="005A7CFF"/>
    <w:rsid w:val="005A7D30"/>
    <w:rsid w:val="005B1272"/>
    <w:rsid w:val="005B16F5"/>
    <w:rsid w:val="005B1F8A"/>
    <w:rsid w:val="005B29D7"/>
    <w:rsid w:val="005B2BCA"/>
    <w:rsid w:val="005B2CDC"/>
    <w:rsid w:val="005B35A7"/>
    <w:rsid w:val="005B3FEB"/>
    <w:rsid w:val="005B46A6"/>
    <w:rsid w:val="005B4A72"/>
    <w:rsid w:val="005B4F00"/>
    <w:rsid w:val="005B5561"/>
    <w:rsid w:val="005B5564"/>
    <w:rsid w:val="005B56BE"/>
    <w:rsid w:val="005B59F7"/>
    <w:rsid w:val="005B5E7D"/>
    <w:rsid w:val="005B5F37"/>
    <w:rsid w:val="005B614C"/>
    <w:rsid w:val="005B7B72"/>
    <w:rsid w:val="005C0417"/>
    <w:rsid w:val="005C1043"/>
    <w:rsid w:val="005C119F"/>
    <w:rsid w:val="005C11FF"/>
    <w:rsid w:val="005C23B1"/>
    <w:rsid w:val="005C24B3"/>
    <w:rsid w:val="005C2954"/>
    <w:rsid w:val="005C295E"/>
    <w:rsid w:val="005C318B"/>
    <w:rsid w:val="005C3A66"/>
    <w:rsid w:val="005C3EC2"/>
    <w:rsid w:val="005C43C9"/>
    <w:rsid w:val="005C449C"/>
    <w:rsid w:val="005C4ACB"/>
    <w:rsid w:val="005C5043"/>
    <w:rsid w:val="005C530D"/>
    <w:rsid w:val="005C547C"/>
    <w:rsid w:val="005C5620"/>
    <w:rsid w:val="005C57BA"/>
    <w:rsid w:val="005C5AA4"/>
    <w:rsid w:val="005C5D17"/>
    <w:rsid w:val="005C7470"/>
    <w:rsid w:val="005D0460"/>
    <w:rsid w:val="005D098D"/>
    <w:rsid w:val="005D0D9D"/>
    <w:rsid w:val="005D0F56"/>
    <w:rsid w:val="005D11E1"/>
    <w:rsid w:val="005D204D"/>
    <w:rsid w:val="005D2907"/>
    <w:rsid w:val="005D2A08"/>
    <w:rsid w:val="005D2BD6"/>
    <w:rsid w:val="005D2C8D"/>
    <w:rsid w:val="005D2EA2"/>
    <w:rsid w:val="005D382F"/>
    <w:rsid w:val="005D4964"/>
    <w:rsid w:val="005D49CE"/>
    <w:rsid w:val="005D49E0"/>
    <w:rsid w:val="005D4BAB"/>
    <w:rsid w:val="005D6624"/>
    <w:rsid w:val="005D7977"/>
    <w:rsid w:val="005D7980"/>
    <w:rsid w:val="005D7C56"/>
    <w:rsid w:val="005E114E"/>
    <w:rsid w:val="005E2523"/>
    <w:rsid w:val="005E2DE3"/>
    <w:rsid w:val="005E5936"/>
    <w:rsid w:val="005E5D2B"/>
    <w:rsid w:val="005E600F"/>
    <w:rsid w:val="005E69D8"/>
    <w:rsid w:val="005E6DD8"/>
    <w:rsid w:val="005E6E1B"/>
    <w:rsid w:val="005E746A"/>
    <w:rsid w:val="005E74B8"/>
    <w:rsid w:val="005F0985"/>
    <w:rsid w:val="005F10F4"/>
    <w:rsid w:val="005F142C"/>
    <w:rsid w:val="005F2631"/>
    <w:rsid w:val="005F2CF6"/>
    <w:rsid w:val="005F3044"/>
    <w:rsid w:val="005F39D6"/>
    <w:rsid w:val="005F4285"/>
    <w:rsid w:val="005F467E"/>
    <w:rsid w:val="005F483A"/>
    <w:rsid w:val="005F4923"/>
    <w:rsid w:val="005F4F5E"/>
    <w:rsid w:val="005F5876"/>
    <w:rsid w:val="005F59C9"/>
    <w:rsid w:val="005F5BA9"/>
    <w:rsid w:val="005F5D03"/>
    <w:rsid w:val="005F6E8E"/>
    <w:rsid w:val="005F770C"/>
    <w:rsid w:val="005F7F4B"/>
    <w:rsid w:val="00600386"/>
    <w:rsid w:val="006006E6"/>
    <w:rsid w:val="00600763"/>
    <w:rsid w:val="00600835"/>
    <w:rsid w:val="0060098E"/>
    <w:rsid w:val="006015FA"/>
    <w:rsid w:val="0060160E"/>
    <w:rsid w:val="006028CB"/>
    <w:rsid w:val="00603083"/>
    <w:rsid w:val="00603541"/>
    <w:rsid w:val="0060386D"/>
    <w:rsid w:val="006046EB"/>
    <w:rsid w:val="00604C64"/>
    <w:rsid w:val="00605A72"/>
    <w:rsid w:val="00605BAC"/>
    <w:rsid w:val="0060625F"/>
    <w:rsid w:val="00607888"/>
    <w:rsid w:val="00607CDF"/>
    <w:rsid w:val="00607E96"/>
    <w:rsid w:val="00610096"/>
    <w:rsid w:val="00610871"/>
    <w:rsid w:val="00610DE8"/>
    <w:rsid w:val="0061219B"/>
    <w:rsid w:val="006124AF"/>
    <w:rsid w:val="006125AF"/>
    <w:rsid w:val="006126EF"/>
    <w:rsid w:val="00612750"/>
    <w:rsid w:val="006132EB"/>
    <w:rsid w:val="0061418F"/>
    <w:rsid w:val="0061473C"/>
    <w:rsid w:val="006150B5"/>
    <w:rsid w:val="006152C0"/>
    <w:rsid w:val="006154CC"/>
    <w:rsid w:val="00615893"/>
    <w:rsid w:val="0061621B"/>
    <w:rsid w:val="00616D00"/>
    <w:rsid w:val="006171D8"/>
    <w:rsid w:val="0061734C"/>
    <w:rsid w:val="00617ABE"/>
    <w:rsid w:val="00617DB5"/>
    <w:rsid w:val="00620454"/>
    <w:rsid w:val="00621197"/>
    <w:rsid w:val="006214D5"/>
    <w:rsid w:val="00622BAC"/>
    <w:rsid w:val="00623B77"/>
    <w:rsid w:val="00623E2A"/>
    <w:rsid w:val="00625076"/>
    <w:rsid w:val="00625607"/>
    <w:rsid w:val="0062581C"/>
    <w:rsid w:val="006259BF"/>
    <w:rsid w:val="00625C86"/>
    <w:rsid w:val="00626D06"/>
    <w:rsid w:val="0062735E"/>
    <w:rsid w:val="00627621"/>
    <w:rsid w:val="0063033E"/>
    <w:rsid w:val="00630523"/>
    <w:rsid w:val="00630780"/>
    <w:rsid w:val="00630B47"/>
    <w:rsid w:val="00631481"/>
    <w:rsid w:val="00631BCD"/>
    <w:rsid w:val="00632360"/>
    <w:rsid w:val="0063263A"/>
    <w:rsid w:val="00632A4A"/>
    <w:rsid w:val="00633391"/>
    <w:rsid w:val="00634071"/>
    <w:rsid w:val="0063572A"/>
    <w:rsid w:val="00635CA3"/>
    <w:rsid w:val="00635ECD"/>
    <w:rsid w:val="0063600F"/>
    <w:rsid w:val="006362D4"/>
    <w:rsid w:val="00636439"/>
    <w:rsid w:val="006368AD"/>
    <w:rsid w:val="0063712A"/>
    <w:rsid w:val="006371C1"/>
    <w:rsid w:val="006371FF"/>
    <w:rsid w:val="00637B63"/>
    <w:rsid w:val="00637F2E"/>
    <w:rsid w:val="006404CD"/>
    <w:rsid w:val="00641250"/>
    <w:rsid w:val="0064419A"/>
    <w:rsid w:val="00645051"/>
    <w:rsid w:val="006452E2"/>
    <w:rsid w:val="00645947"/>
    <w:rsid w:val="00645CF6"/>
    <w:rsid w:val="006465C1"/>
    <w:rsid w:val="00646808"/>
    <w:rsid w:val="0064703E"/>
    <w:rsid w:val="006473AB"/>
    <w:rsid w:val="00647561"/>
    <w:rsid w:val="00647645"/>
    <w:rsid w:val="006478DB"/>
    <w:rsid w:val="006523ED"/>
    <w:rsid w:val="006527E0"/>
    <w:rsid w:val="00653979"/>
    <w:rsid w:val="00653A12"/>
    <w:rsid w:val="0065465E"/>
    <w:rsid w:val="00654773"/>
    <w:rsid w:val="006547BD"/>
    <w:rsid w:val="00654E9F"/>
    <w:rsid w:val="00654FFD"/>
    <w:rsid w:val="0065563A"/>
    <w:rsid w:val="0065574F"/>
    <w:rsid w:val="0065592A"/>
    <w:rsid w:val="006559CF"/>
    <w:rsid w:val="00656264"/>
    <w:rsid w:val="00656304"/>
    <w:rsid w:val="0065660B"/>
    <w:rsid w:val="00657329"/>
    <w:rsid w:val="0065739F"/>
    <w:rsid w:val="006578C9"/>
    <w:rsid w:val="00657AAF"/>
    <w:rsid w:val="00660482"/>
    <w:rsid w:val="006606F9"/>
    <w:rsid w:val="00660920"/>
    <w:rsid w:val="006609DB"/>
    <w:rsid w:val="00660E76"/>
    <w:rsid w:val="00661089"/>
    <w:rsid w:val="00661FCB"/>
    <w:rsid w:val="006623FC"/>
    <w:rsid w:val="00663844"/>
    <w:rsid w:val="006643A8"/>
    <w:rsid w:val="006643D5"/>
    <w:rsid w:val="006648F0"/>
    <w:rsid w:val="00664F66"/>
    <w:rsid w:val="0066613B"/>
    <w:rsid w:val="0066776E"/>
    <w:rsid w:val="00667CC2"/>
    <w:rsid w:val="00667E13"/>
    <w:rsid w:val="00670596"/>
    <w:rsid w:val="00670637"/>
    <w:rsid w:val="00670BC0"/>
    <w:rsid w:val="0067136A"/>
    <w:rsid w:val="00671B41"/>
    <w:rsid w:val="00671BFF"/>
    <w:rsid w:val="0067220B"/>
    <w:rsid w:val="00672DDA"/>
    <w:rsid w:val="006730EC"/>
    <w:rsid w:val="00673BB8"/>
    <w:rsid w:val="006746A6"/>
    <w:rsid w:val="00674F59"/>
    <w:rsid w:val="006750D6"/>
    <w:rsid w:val="00675A0E"/>
    <w:rsid w:val="006760D8"/>
    <w:rsid w:val="00676140"/>
    <w:rsid w:val="0067738D"/>
    <w:rsid w:val="006805CA"/>
    <w:rsid w:val="00680974"/>
    <w:rsid w:val="0068101F"/>
    <w:rsid w:val="0068243F"/>
    <w:rsid w:val="00682750"/>
    <w:rsid w:val="00683A00"/>
    <w:rsid w:val="00683A17"/>
    <w:rsid w:val="00684989"/>
    <w:rsid w:val="00684C7F"/>
    <w:rsid w:val="00685412"/>
    <w:rsid w:val="006854D5"/>
    <w:rsid w:val="006859B6"/>
    <w:rsid w:val="00685DF3"/>
    <w:rsid w:val="00685F04"/>
    <w:rsid w:val="00686291"/>
    <w:rsid w:val="00686897"/>
    <w:rsid w:val="00686DFD"/>
    <w:rsid w:val="0068738E"/>
    <w:rsid w:val="0068766B"/>
    <w:rsid w:val="00687DC7"/>
    <w:rsid w:val="006903C2"/>
    <w:rsid w:val="006903D0"/>
    <w:rsid w:val="0069091F"/>
    <w:rsid w:val="00690A52"/>
    <w:rsid w:val="00690DC5"/>
    <w:rsid w:val="0069142E"/>
    <w:rsid w:val="006920B0"/>
    <w:rsid w:val="006922FE"/>
    <w:rsid w:val="00692A99"/>
    <w:rsid w:val="0069399E"/>
    <w:rsid w:val="00693F72"/>
    <w:rsid w:val="006953EC"/>
    <w:rsid w:val="00695C7C"/>
    <w:rsid w:val="006966CE"/>
    <w:rsid w:val="00697406"/>
    <w:rsid w:val="0069777A"/>
    <w:rsid w:val="00697A5C"/>
    <w:rsid w:val="006A0E49"/>
    <w:rsid w:val="006A1B12"/>
    <w:rsid w:val="006A222C"/>
    <w:rsid w:val="006A229F"/>
    <w:rsid w:val="006A3411"/>
    <w:rsid w:val="006A3858"/>
    <w:rsid w:val="006A418A"/>
    <w:rsid w:val="006A56F9"/>
    <w:rsid w:val="006A610B"/>
    <w:rsid w:val="006A797E"/>
    <w:rsid w:val="006A7BB4"/>
    <w:rsid w:val="006A7D8B"/>
    <w:rsid w:val="006A7DC7"/>
    <w:rsid w:val="006B0874"/>
    <w:rsid w:val="006B0BF4"/>
    <w:rsid w:val="006B0E3D"/>
    <w:rsid w:val="006B0E56"/>
    <w:rsid w:val="006B1661"/>
    <w:rsid w:val="006B1A22"/>
    <w:rsid w:val="006B268C"/>
    <w:rsid w:val="006B3968"/>
    <w:rsid w:val="006B4774"/>
    <w:rsid w:val="006B4AE8"/>
    <w:rsid w:val="006B508A"/>
    <w:rsid w:val="006B51A3"/>
    <w:rsid w:val="006B5944"/>
    <w:rsid w:val="006B59AF"/>
    <w:rsid w:val="006B5B54"/>
    <w:rsid w:val="006B5CB5"/>
    <w:rsid w:val="006B6379"/>
    <w:rsid w:val="006B6758"/>
    <w:rsid w:val="006B70E9"/>
    <w:rsid w:val="006B7279"/>
    <w:rsid w:val="006C03C2"/>
    <w:rsid w:val="006C0843"/>
    <w:rsid w:val="006C08F7"/>
    <w:rsid w:val="006C114C"/>
    <w:rsid w:val="006C2093"/>
    <w:rsid w:val="006C279F"/>
    <w:rsid w:val="006C2BC9"/>
    <w:rsid w:val="006C3117"/>
    <w:rsid w:val="006C327B"/>
    <w:rsid w:val="006C333F"/>
    <w:rsid w:val="006C37DB"/>
    <w:rsid w:val="006C45A1"/>
    <w:rsid w:val="006C4993"/>
    <w:rsid w:val="006C4D16"/>
    <w:rsid w:val="006C61D0"/>
    <w:rsid w:val="006C7B9E"/>
    <w:rsid w:val="006D08F1"/>
    <w:rsid w:val="006D0E3E"/>
    <w:rsid w:val="006D11A6"/>
    <w:rsid w:val="006D1602"/>
    <w:rsid w:val="006D16CB"/>
    <w:rsid w:val="006D1A97"/>
    <w:rsid w:val="006D1B2D"/>
    <w:rsid w:val="006D1BD1"/>
    <w:rsid w:val="006D1E79"/>
    <w:rsid w:val="006D3332"/>
    <w:rsid w:val="006D347B"/>
    <w:rsid w:val="006D34A7"/>
    <w:rsid w:val="006D3712"/>
    <w:rsid w:val="006D392D"/>
    <w:rsid w:val="006D3B6F"/>
    <w:rsid w:val="006D3F3C"/>
    <w:rsid w:val="006D42E7"/>
    <w:rsid w:val="006D432E"/>
    <w:rsid w:val="006D4481"/>
    <w:rsid w:val="006D4A27"/>
    <w:rsid w:val="006D4CB5"/>
    <w:rsid w:val="006D503A"/>
    <w:rsid w:val="006D5B26"/>
    <w:rsid w:val="006D5E7B"/>
    <w:rsid w:val="006D60A9"/>
    <w:rsid w:val="006D6530"/>
    <w:rsid w:val="006E021F"/>
    <w:rsid w:val="006E069E"/>
    <w:rsid w:val="006E08FE"/>
    <w:rsid w:val="006E09C5"/>
    <w:rsid w:val="006E0C31"/>
    <w:rsid w:val="006E0D60"/>
    <w:rsid w:val="006E2DC5"/>
    <w:rsid w:val="006E30E9"/>
    <w:rsid w:val="006E34A8"/>
    <w:rsid w:val="006E3BB4"/>
    <w:rsid w:val="006E3DAA"/>
    <w:rsid w:val="006E404B"/>
    <w:rsid w:val="006E481E"/>
    <w:rsid w:val="006E4CD1"/>
    <w:rsid w:val="006E5000"/>
    <w:rsid w:val="006E535F"/>
    <w:rsid w:val="006E58E0"/>
    <w:rsid w:val="006E6B1D"/>
    <w:rsid w:val="006E6BFB"/>
    <w:rsid w:val="006E7529"/>
    <w:rsid w:val="006E76D8"/>
    <w:rsid w:val="006E7C59"/>
    <w:rsid w:val="006F00A7"/>
    <w:rsid w:val="006F060A"/>
    <w:rsid w:val="006F0696"/>
    <w:rsid w:val="006F06B3"/>
    <w:rsid w:val="006F1CC1"/>
    <w:rsid w:val="006F1DED"/>
    <w:rsid w:val="006F21AC"/>
    <w:rsid w:val="006F24FB"/>
    <w:rsid w:val="006F294F"/>
    <w:rsid w:val="006F3788"/>
    <w:rsid w:val="006F37AF"/>
    <w:rsid w:val="006F3BBC"/>
    <w:rsid w:val="006F4AC0"/>
    <w:rsid w:val="006F4EF5"/>
    <w:rsid w:val="006F52B2"/>
    <w:rsid w:val="006F5BC0"/>
    <w:rsid w:val="006F64E0"/>
    <w:rsid w:val="006F71FB"/>
    <w:rsid w:val="006F7656"/>
    <w:rsid w:val="006F7989"/>
    <w:rsid w:val="00700CF2"/>
    <w:rsid w:val="00701BE1"/>
    <w:rsid w:val="00702433"/>
    <w:rsid w:val="00703333"/>
    <w:rsid w:val="00703489"/>
    <w:rsid w:val="007034BD"/>
    <w:rsid w:val="007036E3"/>
    <w:rsid w:val="00703AA3"/>
    <w:rsid w:val="00704C25"/>
    <w:rsid w:val="00705075"/>
    <w:rsid w:val="007050D5"/>
    <w:rsid w:val="00705566"/>
    <w:rsid w:val="00705E82"/>
    <w:rsid w:val="00706A60"/>
    <w:rsid w:val="00706C82"/>
    <w:rsid w:val="0070714F"/>
    <w:rsid w:val="007076AC"/>
    <w:rsid w:val="00707EC4"/>
    <w:rsid w:val="007101A9"/>
    <w:rsid w:val="0071105D"/>
    <w:rsid w:val="007115AB"/>
    <w:rsid w:val="007121D8"/>
    <w:rsid w:val="007124A2"/>
    <w:rsid w:val="00712C4D"/>
    <w:rsid w:val="00713221"/>
    <w:rsid w:val="0071352E"/>
    <w:rsid w:val="0071435C"/>
    <w:rsid w:val="00715152"/>
    <w:rsid w:val="0071599A"/>
    <w:rsid w:val="00715F49"/>
    <w:rsid w:val="007174CF"/>
    <w:rsid w:val="007179CA"/>
    <w:rsid w:val="00717A92"/>
    <w:rsid w:val="00720BFD"/>
    <w:rsid w:val="007217AE"/>
    <w:rsid w:val="00721A88"/>
    <w:rsid w:val="00721E64"/>
    <w:rsid w:val="00722169"/>
    <w:rsid w:val="00722920"/>
    <w:rsid w:val="00722B1B"/>
    <w:rsid w:val="00723282"/>
    <w:rsid w:val="0072337C"/>
    <w:rsid w:val="007242D0"/>
    <w:rsid w:val="00724684"/>
    <w:rsid w:val="00724CE1"/>
    <w:rsid w:val="00726C3D"/>
    <w:rsid w:val="0072709A"/>
    <w:rsid w:val="00727FB4"/>
    <w:rsid w:val="00730BEE"/>
    <w:rsid w:val="00730C45"/>
    <w:rsid w:val="00730CE9"/>
    <w:rsid w:val="00730EFB"/>
    <w:rsid w:val="007314C7"/>
    <w:rsid w:val="00732521"/>
    <w:rsid w:val="00732B52"/>
    <w:rsid w:val="00732EAC"/>
    <w:rsid w:val="00732FEA"/>
    <w:rsid w:val="007330A6"/>
    <w:rsid w:val="007337FB"/>
    <w:rsid w:val="0073418C"/>
    <w:rsid w:val="0073425A"/>
    <w:rsid w:val="007346D8"/>
    <w:rsid w:val="007346F9"/>
    <w:rsid w:val="00735B9C"/>
    <w:rsid w:val="00735DB9"/>
    <w:rsid w:val="00736066"/>
    <w:rsid w:val="00736D93"/>
    <w:rsid w:val="00737CF4"/>
    <w:rsid w:val="007400AC"/>
    <w:rsid w:val="00740382"/>
    <w:rsid w:val="007414DB"/>
    <w:rsid w:val="00741B4C"/>
    <w:rsid w:val="00741CFB"/>
    <w:rsid w:val="00742444"/>
    <w:rsid w:val="00742527"/>
    <w:rsid w:val="0074267C"/>
    <w:rsid w:val="00742C37"/>
    <w:rsid w:val="00743CA8"/>
    <w:rsid w:val="00743EA8"/>
    <w:rsid w:val="007441E8"/>
    <w:rsid w:val="007446D2"/>
    <w:rsid w:val="00744A34"/>
    <w:rsid w:val="00745A45"/>
    <w:rsid w:val="0074644B"/>
    <w:rsid w:val="00746E66"/>
    <w:rsid w:val="007470D4"/>
    <w:rsid w:val="00747884"/>
    <w:rsid w:val="00750385"/>
    <w:rsid w:val="00750660"/>
    <w:rsid w:val="00750751"/>
    <w:rsid w:val="00751232"/>
    <w:rsid w:val="007523EC"/>
    <w:rsid w:val="0075249D"/>
    <w:rsid w:val="00752967"/>
    <w:rsid w:val="007531F3"/>
    <w:rsid w:val="00753B5E"/>
    <w:rsid w:val="00753E0A"/>
    <w:rsid w:val="00753F8D"/>
    <w:rsid w:val="00753FF2"/>
    <w:rsid w:val="0075428B"/>
    <w:rsid w:val="0075441E"/>
    <w:rsid w:val="007544C0"/>
    <w:rsid w:val="007544CC"/>
    <w:rsid w:val="00755F44"/>
    <w:rsid w:val="0075623C"/>
    <w:rsid w:val="007571E4"/>
    <w:rsid w:val="007574AA"/>
    <w:rsid w:val="00757699"/>
    <w:rsid w:val="007602D2"/>
    <w:rsid w:val="0076091A"/>
    <w:rsid w:val="00760A97"/>
    <w:rsid w:val="00760D35"/>
    <w:rsid w:val="00760DED"/>
    <w:rsid w:val="0076162F"/>
    <w:rsid w:val="00761B18"/>
    <w:rsid w:val="00761FF2"/>
    <w:rsid w:val="00762C02"/>
    <w:rsid w:val="0076363D"/>
    <w:rsid w:val="00764940"/>
    <w:rsid w:val="00765192"/>
    <w:rsid w:val="00765400"/>
    <w:rsid w:val="00765C92"/>
    <w:rsid w:val="00765C96"/>
    <w:rsid w:val="00766368"/>
    <w:rsid w:val="0076714C"/>
    <w:rsid w:val="007672C1"/>
    <w:rsid w:val="00767667"/>
    <w:rsid w:val="00767FA6"/>
    <w:rsid w:val="00770143"/>
    <w:rsid w:val="007703BF"/>
    <w:rsid w:val="0077067C"/>
    <w:rsid w:val="0077126F"/>
    <w:rsid w:val="007712D7"/>
    <w:rsid w:val="00771470"/>
    <w:rsid w:val="0077174B"/>
    <w:rsid w:val="0077202A"/>
    <w:rsid w:val="007724DF"/>
    <w:rsid w:val="007731AA"/>
    <w:rsid w:val="00773235"/>
    <w:rsid w:val="00773F11"/>
    <w:rsid w:val="00774336"/>
    <w:rsid w:val="007744F3"/>
    <w:rsid w:val="00774AEA"/>
    <w:rsid w:val="00775C43"/>
    <w:rsid w:val="00776008"/>
    <w:rsid w:val="00776126"/>
    <w:rsid w:val="0077615C"/>
    <w:rsid w:val="007770D2"/>
    <w:rsid w:val="007773D3"/>
    <w:rsid w:val="00780933"/>
    <w:rsid w:val="00780EF2"/>
    <w:rsid w:val="00780F3C"/>
    <w:rsid w:val="00781293"/>
    <w:rsid w:val="00781298"/>
    <w:rsid w:val="00781FCB"/>
    <w:rsid w:val="007827FA"/>
    <w:rsid w:val="00782E7B"/>
    <w:rsid w:val="00783BD6"/>
    <w:rsid w:val="00783EB1"/>
    <w:rsid w:val="00784638"/>
    <w:rsid w:val="00784975"/>
    <w:rsid w:val="00785354"/>
    <w:rsid w:val="007861F4"/>
    <w:rsid w:val="00786502"/>
    <w:rsid w:val="00786868"/>
    <w:rsid w:val="007869FD"/>
    <w:rsid w:val="00787FE7"/>
    <w:rsid w:val="00790193"/>
    <w:rsid w:val="007909E1"/>
    <w:rsid w:val="00790DE2"/>
    <w:rsid w:val="007914D6"/>
    <w:rsid w:val="00791B75"/>
    <w:rsid w:val="007927FD"/>
    <w:rsid w:val="00792E8B"/>
    <w:rsid w:val="00792FF0"/>
    <w:rsid w:val="007932FF"/>
    <w:rsid w:val="007943D0"/>
    <w:rsid w:val="0079451E"/>
    <w:rsid w:val="007946F8"/>
    <w:rsid w:val="00795B7A"/>
    <w:rsid w:val="007965BD"/>
    <w:rsid w:val="0079741A"/>
    <w:rsid w:val="00797669"/>
    <w:rsid w:val="007A02CC"/>
    <w:rsid w:val="007A1483"/>
    <w:rsid w:val="007A192A"/>
    <w:rsid w:val="007A2BB8"/>
    <w:rsid w:val="007A311D"/>
    <w:rsid w:val="007A31EC"/>
    <w:rsid w:val="007A3409"/>
    <w:rsid w:val="007A3463"/>
    <w:rsid w:val="007A383C"/>
    <w:rsid w:val="007A4517"/>
    <w:rsid w:val="007A4F5B"/>
    <w:rsid w:val="007A517C"/>
    <w:rsid w:val="007A5CE7"/>
    <w:rsid w:val="007A61D6"/>
    <w:rsid w:val="007A658C"/>
    <w:rsid w:val="007A6805"/>
    <w:rsid w:val="007A68CB"/>
    <w:rsid w:val="007A7952"/>
    <w:rsid w:val="007A79C4"/>
    <w:rsid w:val="007B0279"/>
    <w:rsid w:val="007B0A59"/>
    <w:rsid w:val="007B205A"/>
    <w:rsid w:val="007B214A"/>
    <w:rsid w:val="007B2DEE"/>
    <w:rsid w:val="007B31AC"/>
    <w:rsid w:val="007B31BF"/>
    <w:rsid w:val="007B347F"/>
    <w:rsid w:val="007B3B5C"/>
    <w:rsid w:val="007B3F41"/>
    <w:rsid w:val="007B40B5"/>
    <w:rsid w:val="007B4AE4"/>
    <w:rsid w:val="007B5D9F"/>
    <w:rsid w:val="007B5E7E"/>
    <w:rsid w:val="007B7287"/>
    <w:rsid w:val="007B75E2"/>
    <w:rsid w:val="007C0030"/>
    <w:rsid w:val="007C0BE7"/>
    <w:rsid w:val="007C0FA5"/>
    <w:rsid w:val="007C10AF"/>
    <w:rsid w:val="007C197A"/>
    <w:rsid w:val="007C1D12"/>
    <w:rsid w:val="007C1F18"/>
    <w:rsid w:val="007C23FD"/>
    <w:rsid w:val="007C283B"/>
    <w:rsid w:val="007C2C20"/>
    <w:rsid w:val="007C3215"/>
    <w:rsid w:val="007C3DE5"/>
    <w:rsid w:val="007C42FA"/>
    <w:rsid w:val="007C44B2"/>
    <w:rsid w:val="007C4668"/>
    <w:rsid w:val="007C4D87"/>
    <w:rsid w:val="007C6939"/>
    <w:rsid w:val="007C6FDC"/>
    <w:rsid w:val="007C7408"/>
    <w:rsid w:val="007C7A2F"/>
    <w:rsid w:val="007D035D"/>
    <w:rsid w:val="007D0C35"/>
    <w:rsid w:val="007D0EAD"/>
    <w:rsid w:val="007D11E0"/>
    <w:rsid w:val="007D1243"/>
    <w:rsid w:val="007D13BD"/>
    <w:rsid w:val="007D151A"/>
    <w:rsid w:val="007D18C8"/>
    <w:rsid w:val="007D18EE"/>
    <w:rsid w:val="007D460E"/>
    <w:rsid w:val="007D4AA2"/>
    <w:rsid w:val="007D5C57"/>
    <w:rsid w:val="007D5C96"/>
    <w:rsid w:val="007D5F8B"/>
    <w:rsid w:val="007D6382"/>
    <w:rsid w:val="007D6383"/>
    <w:rsid w:val="007D66E4"/>
    <w:rsid w:val="007D696E"/>
    <w:rsid w:val="007D6A46"/>
    <w:rsid w:val="007D6EA7"/>
    <w:rsid w:val="007D7625"/>
    <w:rsid w:val="007D7ECF"/>
    <w:rsid w:val="007E0955"/>
    <w:rsid w:val="007E09A0"/>
    <w:rsid w:val="007E0A6E"/>
    <w:rsid w:val="007E0BE1"/>
    <w:rsid w:val="007E146C"/>
    <w:rsid w:val="007E14CE"/>
    <w:rsid w:val="007E24FB"/>
    <w:rsid w:val="007E337C"/>
    <w:rsid w:val="007E3F56"/>
    <w:rsid w:val="007E4517"/>
    <w:rsid w:val="007E45D5"/>
    <w:rsid w:val="007E47F9"/>
    <w:rsid w:val="007E4CDD"/>
    <w:rsid w:val="007E54BB"/>
    <w:rsid w:val="007E7046"/>
    <w:rsid w:val="007E7A58"/>
    <w:rsid w:val="007E7B82"/>
    <w:rsid w:val="007F070B"/>
    <w:rsid w:val="007F0A81"/>
    <w:rsid w:val="007F1925"/>
    <w:rsid w:val="007F19F3"/>
    <w:rsid w:val="007F1D97"/>
    <w:rsid w:val="007F3101"/>
    <w:rsid w:val="007F34C0"/>
    <w:rsid w:val="007F3A75"/>
    <w:rsid w:val="007F3FF0"/>
    <w:rsid w:val="007F411C"/>
    <w:rsid w:val="007F4718"/>
    <w:rsid w:val="007F5BFB"/>
    <w:rsid w:val="007F672F"/>
    <w:rsid w:val="007F67B4"/>
    <w:rsid w:val="007F7B64"/>
    <w:rsid w:val="007F7E87"/>
    <w:rsid w:val="008002AD"/>
    <w:rsid w:val="008007D3"/>
    <w:rsid w:val="00800DD0"/>
    <w:rsid w:val="00801063"/>
    <w:rsid w:val="008012F4"/>
    <w:rsid w:val="008018FA"/>
    <w:rsid w:val="00801D36"/>
    <w:rsid w:val="0080261B"/>
    <w:rsid w:val="008028B0"/>
    <w:rsid w:val="00803031"/>
    <w:rsid w:val="008037B2"/>
    <w:rsid w:val="00804804"/>
    <w:rsid w:val="00804A8C"/>
    <w:rsid w:val="00804ACD"/>
    <w:rsid w:val="0080584F"/>
    <w:rsid w:val="00806156"/>
    <w:rsid w:val="008062B9"/>
    <w:rsid w:val="008065DE"/>
    <w:rsid w:val="00806B55"/>
    <w:rsid w:val="00807296"/>
    <w:rsid w:val="0080729D"/>
    <w:rsid w:val="00807448"/>
    <w:rsid w:val="00807683"/>
    <w:rsid w:val="0080773A"/>
    <w:rsid w:val="008110FC"/>
    <w:rsid w:val="00811435"/>
    <w:rsid w:val="008121CC"/>
    <w:rsid w:val="008125BA"/>
    <w:rsid w:val="00812776"/>
    <w:rsid w:val="008128DB"/>
    <w:rsid w:val="008129A4"/>
    <w:rsid w:val="0081335D"/>
    <w:rsid w:val="0081380E"/>
    <w:rsid w:val="00813DC7"/>
    <w:rsid w:val="00813FD1"/>
    <w:rsid w:val="008140A5"/>
    <w:rsid w:val="00814FCB"/>
    <w:rsid w:val="0081717A"/>
    <w:rsid w:val="00817180"/>
    <w:rsid w:val="008175F8"/>
    <w:rsid w:val="008175FE"/>
    <w:rsid w:val="008204EA"/>
    <w:rsid w:val="008206CC"/>
    <w:rsid w:val="00820A56"/>
    <w:rsid w:val="00820E07"/>
    <w:rsid w:val="00821961"/>
    <w:rsid w:val="008222E9"/>
    <w:rsid w:val="008227A5"/>
    <w:rsid w:val="0082285F"/>
    <w:rsid w:val="00822BC7"/>
    <w:rsid w:val="00822CBD"/>
    <w:rsid w:val="00823C1F"/>
    <w:rsid w:val="0082429B"/>
    <w:rsid w:val="0082508F"/>
    <w:rsid w:val="00825188"/>
    <w:rsid w:val="00825388"/>
    <w:rsid w:val="008256D5"/>
    <w:rsid w:val="008271DF"/>
    <w:rsid w:val="00827915"/>
    <w:rsid w:val="00827EC9"/>
    <w:rsid w:val="008302C5"/>
    <w:rsid w:val="008309EE"/>
    <w:rsid w:val="0083150F"/>
    <w:rsid w:val="00831B08"/>
    <w:rsid w:val="00832FE1"/>
    <w:rsid w:val="0083304F"/>
    <w:rsid w:val="008332F2"/>
    <w:rsid w:val="00833431"/>
    <w:rsid w:val="008336CF"/>
    <w:rsid w:val="00833857"/>
    <w:rsid w:val="00833917"/>
    <w:rsid w:val="00834003"/>
    <w:rsid w:val="0083402F"/>
    <w:rsid w:val="0083406D"/>
    <w:rsid w:val="008340B3"/>
    <w:rsid w:val="00834395"/>
    <w:rsid w:val="008346BA"/>
    <w:rsid w:val="0083504E"/>
    <w:rsid w:val="00836D12"/>
    <w:rsid w:val="00837256"/>
    <w:rsid w:val="0083769B"/>
    <w:rsid w:val="00837ADA"/>
    <w:rsid w:val="0084012D"/>
    <w:rsid w:val="00840202"/>
    <w:rsid w:val="0084076E"/>
    <w:rsid w:val="00840974"/>
    <w:rsid w:val="008409B6"/>
    <w:rsid w:val="00840AA4"/>
    <w:rsid w:val="00840B08"/>
    <w:rsid w:val="00841A3B"/>
    <w:rsid w:val="0084277D"/>
    <w:rsid w:val="00843F9D"/>
    <w:rsid w:val="00844744"/>
    <w:rsid w:val="008454FD"/>
    <w:rsid w:val="008458B2"/>
    <w:rsid w:val="00845B22"/>
    <w:rsid w:val="00845F57"/>
    <w:rsid w:val="00846048"/>
    <w:rsid w:val="0084726C"/>
    <w:rsid w:val="008479AA"/>
    <w:rsid w:val="00847B26"/>
    <w:rsid w:val="00850883"/>
    <w:rsid w:val="00850E9A"/>
    <w:rsid w:val="00851699"/>
    <w:rsid w:val="0085182B"/>
    <w:rsid w:val="00852140"/>
    <w:rsid w:val="00852215"/>
    <w:rsid w:val="0085296A"/>
    <w:rsid w:val="00853218"/>
    <w:rsid w:val="008535BD"/>
    <w:rsid w:val="00853B22"/>
    <w:rsid w:val="008557AF"/>
    <w:rsid w:val="00855CF3"/>
    <w:rsid w:val="00856366"/>
    <w:rsid w:val="008564DF"/>
    <w:rsid w:val="00856E6E"/>
    <w:rsid w:val="00857452"/>
    <w:rsid w:val="008576C7"/>
    <w:rsid w:val="00860465"/>
    <w:rsid w:val="00860CF3"/>
    <w:rsid w:val="008613FF"/>
    <w:rsid w:val="00861A6B"/>
    <w:rsid w:val="00861D00"/>
    <w:rsid w:val="00862035"/>
    <w:rsid w:val="00862052"/>
    <w:rsid w:val="00862DB4"/>
    <w:rsid w:val="00863613"/>
    <w:rsid w:val="008638FA"/>
    <w:rsid w:val="00863B34"/>
    <w:rsid w:val="00863F43"/>
    <w:rsid w:val="008645A8"/>
    <w:rsid w:val="00864875"/>
    <w:rsid w:val="00864ACE"/>
    <w:rsid w:val="00864C19"/>
    <w:rsid w:val="0086625C"/>
    <w:rsid w:val="008669FE"/>
    <w:rsid w:val="00867177"/>
    <w:rsid w:val="00867A3F"/>
    <w:rsid w:val="00867E5A"/>
    <w:rsid w:val="0087008C"/>
    <w:rsid w:val="00870ADE"/>
    <w:rsid w:val="00870B14"/>
    <w:rsid w:val="00870B9C"/>
    <w:rsid w:val="008712E5"/>
    <w:rsid w:val="008717B8"/>
    <w:rsid w:val="0087194F"/>
    <w:rsid w:val="008735F1"/>
    <w:rsid w:val="00873626"/>
    <w:rsid w:val="0087394D"/>
    <w:rsid w:val="0087413C"/>
    <w:rsid w:val="008742DD"/>
    <w:rsid w:val="00874D41"/>
    <w:rsid w:val="00874D49"/>
    <w:rsid w:val="00874D53"/>
    <w:rsid w:val="00874E2F"/>
    <w:rsid w:val="00874FD3"/>
    <w:rsid w:val="00875522"/>
    <w:rsid w:val="00875AF9"/>
    <w:rsid w:val="00875C22"/>
    <w:rsid w:val="008760CF"/>
    <w:rsid w:val="0087689A"/>
    <w:rsid w:val="00876F68"/>
    <w:rsid w:val="00877024"/>
    <w:rsid w:val="008772D2"/>
    <w:rsid w:val="00880E70"/>
    <w:rsid w:val="0088121A"/>
    <w:rsid w:val="00881592"/>
    <w:rsid w:val="008816FD"/>
    <w:rsid w:val="008817D6"/>
    <w:rsid w:val="00881937"/>
    <w:rsid w:val="00881D9B"/>
    <w:rsid w:val="008822A0"/>
    <w:rsid w:val="00882595"/>
    <w:rsid w:val="00883443"/>
    <w:rsid w:val="00883598"/>
    <w:rsid w:val="008839C8"/>
    <w:rsid w:val="0088403B"/>
    <w:rsid w:val="008841B8"/>
    <w:rsid w:val="0088435C"/>
    <w:rsid w:val="008847B4"/>
    <w:rsid w:val="00884E47"/>
    <w:rsid w:val="00884EE4"/>
    <w:rsid w:val="00884F8F"/>
    <w:rsid w:val="008854CF"/>
    <w:rsid w:val="008855CB"/>
    <w:rsid w:val="00886C67"/>
    <w:rsid w:val="00887257"/>
    <w:rsid w:val="008873BE"/>
    <w:rsid w:val="00887CC0"/>
    <w:rsid w:val="0089016C"/>
    <w:rsid w:val="00890472"/>
    <w:rsid w:val="0089083D"/>
    <w:rsid w:val="008908CB"/>
    <w:rsid w:val="00891534"/>
    <w:rsid w:val="00891560"/>
    <w:rsid w:val="008926E0"/>
    <w:rsid w:val="00892A0E"/>
    <w:rsid w:val="008933FD"/>
    <w:rsid w:val="00893575"/>
    <w:rsid w:val="00893A7E"/>
    <w:rsid w:val="008951ED"/>
    <w:rsid w:val="008957E6"/>
    <w:rsid w:val="00896116"/>
    <w:rsid w:val="008961FE"/>
    <w:rsid w:val="008965D4"/>
    <w:rsid w:val="00896E02"/>
    <w:rsid w:val="008973FB"/>
    <w:rsid w:val="008978BB"/>
    <w:rsid w:val="00897C3A"/>
    <w:rsid w:val="00897D2C"/>
    <w:rsid w:val="00897F87"/>
    <w:rsid w:val="008A0425"/>
    <w:rsid w:val="008A04A4"/>
    <w:rsid w:val="008A070F"/>
    <w:rsid w:val="008A15E3"/>
    <w:rsid w:val="008A18C9"/>
    <w:rsid w:val="008A1DA7"/>
    <w:rsid w:val="008A22F4"/>
    <w:rsid w:val="008A289D"/>
    <w:rsid w:val="008A2A0A"/>
    <w:rsid w:val="008A31D3"/>
    <w:rsid w:val="008A3247"/>
    <w:rsid w:val="008A4136"/>
    <w:rsid w:val="008A4239"/>
    <w:rsid w:val="008A4805"/>
    <w:rsid w:val="008A4C73"/>
    <w:rsid w:val="008A57EB"/>
    <w:rsid w:val="008A5B1C"/>
    <w:rsid w:val="008A5B46"/>
    <w:rsid w:val="008A6190"/>
    <w:rsid w:val="008A64C2"/>
    <w:rsid w:val="008A6D3D"/>
    <w:rsid w:val="008A73AF"/>
    <w:rsid w:val="008A73BD"/>
    <w:rsid w:val="008A754B"/>
    <w:rsid w:val="008A7E00"/>
    <w:rsid w:val="008B03D9"/>
    <w:rsid w:val="008B0811"/>
    <w:rsid w:val="008B0CE4"/>
    <w:rsid w:val="008B1D7C"/>
    <w:rsid w:val="008B2265"/>
    <w:rsid w:val="008B27C7"/>
    <w:rsid w:val="008B31B8"/>
    <w:rsid w:val="008B31C7"/>
    <w:rsid w:val="008B346E"/>
    <w:rsid w:val="008B3858"/>
    <w:rsid w:val="008B4179"/>
    <w:rsid w:val="008B4519"/>
    <w:rsid w:val="008B5793"/>
    <w:rsid w:val="008B5A09"/>
    <w:rsid w:val="008B5C7F"/>
    <w:rsid w:val="008B5CED"/>
    <w:rsid w:val="008B6365"/>
    <w:rsid w:val="008B6419"/>
    <w:rsid w:val="008B6774"/>
    <w:rsid w:val="008B6C71"/>
    <w:rsid w:val="008B79F2"/>
    <w:rsid w:val="008B7AE3"/>
    <w:rsid w:val="008B7DBB"/>
    <w:rsid w:val="008C0210"/>
    <w:rsid w:val="008C0435"/>
    <w:rsid w:val="008C098D"/>
    <w:rsid w:val="008C1433"/>
    <w:rsid w:val="008C1BF5"/>
    <w:rsid w:val="008C1F76"/>
    <w:rsid w:val="008C2C81"/>
    <w:rsid w:val="008C34BB"/>
    <w:rsid w:val="008C3DD9"/>
    <w:rsid w:val="008C527B"/>
    <w:rsid w:val="008C5C5A"/>
    <w:rsid w:val="008C5FF1"/>
    <w:rsid w:val="008C65F8"/>
    <w:rsid w:val="008C7C01"/>
    <w:rsid w:val="008C7D9F"/>
    <w:rsid w:val="008D10EA"/>
    <w:rsid w:val="008D1F3D"/>
    <w:rsid w:val="008D2670"/>
    <w:rsid w:val="008D2BD0"/>
    <w:rsid w:val="008D3507"/>
    <w:rsid w:val="008D3612"/>
    <w:rsid w:val="008D3744"/>
    <w:rsid w:val="008D3C5E"/>
    <w:rsid w:val="008D3CAB"/>
    <w:rsid w:val="008D3FB0"/>
    <w:rsid w:val="008D451F"/>
    <w:rsid w:val="008D45C4"/>
    <w:rsid w:val="008D4A1B"/>
    <w:rsid w:val="008D587E"/>
    <w:rsid w:val="008D5A68"/>
    <w:rsid w:val="008D5F11"/>
    <w:rsid w:val="008D6053"/>
    <w:rsid w:val="008D656B"/>
    <w:rsid w:val="008D6948"/>
    <w:rsid w:val="008D7B4F"/>
    <w:rsid w:val="008D7C92"/>
    <w:rsid w:val="008E04CE"/>
    <w:rsid w:val="008E10CD"/>
    <w:rsid w:val="008E128A"/>
    <w:rsid w:val="008E13E6"/>
    <w:rsid w:val="008E15AB"/>
    <w:rsid w:val="008E2370"/>
    <w:rsid w:val="008E26FF"/>
    <w:rsid w:val="008E2917"/>
    <w:rsid w:val="008E3DC9"/>
    <w:rsid w:val="008E4181"/>
    <w:rsid w:val="008E4956"/>
    <w:rsid w:val="008E4DD1"/>
    <w:rsid w:val="008E4FB9"/>
    <w:rsid w:val="008E5098"/>
    <w:rsid w:val="008E5D2F"/>
    <w:rsid w:val="008E6420"/>
    <w:rsid w:val="008E67F7"/>
    <w:rsid w:val="008E6D46"/>
    <w:rsid w:val="008E709E"/>
    <w:rsid w:val="008E72D7"/>
    <w:rsid w:val="008E7B98"/>
    <w:rsid w:val="008F03D3"/>
    <w:rsid w:val="008F0697"/>
    <w:rsid w:val="008F0AFE"/>
    <w:rsid w:val="008F0F52"/>
    <w:rsid w:val="008F112F"/>
    <w:rsid w:val="008F1157"/>
    <w:rsid w:val="008F1679"/>
    <w:rsid w:val="008F17D3"/>
    <w:rsid w:val="008F2680"/>
    <w:rsid w:val="008F2FE3"/>
    <w:rsid w:val="008F3890"/>
    <w:rsid w:val="008F3BB1"/>
    <w:rsid w:val="008F458A"/>
    <w:rsid w:val="008F59F4"/>
    <w:rsid w:val="008F6742"/>
    <w:rsid w:val="008F7611"/>
    <w:rsid w:val="008F7BD9"/>
    <w:rsid w:val="008F7DAD"/>
    <w:rsid w:val="009003E0"/>
    <w:rsid w:val="00900A27"/>
    <w:rsid w:val="00901058"/>
    <w:rsid w:val="00901619"/>
    <w:rsid w:val="00901F9C"/>
    <w:rsid w:val="009027FB"/>
    <w:rsid w:val="00902911"/>
    <w:rsid w:val="00902CCB"/>
    <w:rsid w:val="00903471"/>
    <w:rsid w:val="00903DF7"/>
    <w:rsid w:val="009041FA"/>
    <w:rsid w:val="00904A73"/>
    <w:rsid w:val="00904ACC"/>
    <w:rsid w:val="009050F2"/>
    <w:rsid w:val="00906884"/>
    <w:rsid w:val="00906A5E"/>
    <w:rsid w:val="00906C22"/>
    <w:rsid w:val="00906F00"/>
    <w:rsid w:val="0090720E"/>
    <w:rsid w:val="00907534"/>
    <w:rsid w:val="00907EFC"/>
    <w:rsid w:val="00907FAE"/>
    <w:rsid w:val="0091014A"/>
    <w:rsid w:val="009105DB"/>
    <w:rsid w:val="009110CA"/>
    <w:rsid w:val="00912319"/>
    <w:rsid w:val="009125C7"/>
    <w:rsid w:val="00913A1F"/>
    <w:rsid w:val="00913FE0"/>
    <w:rsid w:val="009140A7"/>
    <w:rsid w:val="00914888"/>
    <w:rsid w:val="009157CA"/>
    <w:rsid w:val="00915B42"/>
    <w:rsid w:val="00915C20"/>
    <w:rsid w:val="009162A6"/>
    <w:rsid w:val="00916E11"/>
    <w:rsid w:val="00917334"/>
    <w:rsid w:val="009175AF"/>
    <w:rsid w:val="009202FE"/>
    <w:rsid w:val="00920A87"/>
    <w:rsid w:val="00920DD9"/>
    <w:rsid w:val="00920E0C"/>
    <w:rsid w:val="0092101D"/>
    <w:rsid w:val="00921812"/>
    <w:rsid w:val="00922017"/>
    <w:rsid w:val="00922680"/>
    <w:rsid w:val="00923269"/>
    <w:rsid w:val="009237FA"/>
    <w:rsid w:val="009238FC"/>
    <w:rsid w:val="00923BA6"/>
    <w:rsid w:val="00924994"/>
    <w:rsid w:val="00924AF3"/>
    <w:rsid w:val="009255F4"/>
    <w:rsid w:val="0092656E"/>
    <w:rsid w:val="009266B5"/>
    <w:rsid w:val="00927CE8"/>
    <w:rsid w:val="00930425"/>
    <w:rsid w:val="0093045E"/>
    <w:rsid w:val="009304ED"/>
    <w:rsid w:val="00930726"/>
    <w:rsid w:val="009318A5"/>
    <w:rsid w:val="0093225C"/>
    <w:rsid w:val="0093275F"/>
    <w:rsid w:val="009329DD"/>
    <w:rsid w:val="00932C35"/>
    <w:rsid w:val="00934365"/>
    <w:rsid w:val="00934797"/>
    <w:rsid w:val="00934E64"/>
    <w:rsid w:val="00935387"/>
    <w:rsid w:val="0093547A"/>
    <w:rsid w:val="00935523"/>
    <w:rsid w:val="00935905"/>
    <w:rsid w:val="00935CD5"/>
    <w:rsid w:val="00935CF7"/>
    <w:rsid w:val="00936249"/>
    <w:rsid w:val="009362ED"/>
    <w:rsid w:val="00936721"/>
    <w:rsid w:val="009369FB"/>
    <w:rsid w:val="00936D37"/>
    <w:rsid w:val="00937583"/>
    <w:rsid w:val="0093772D"/>
    <w:rsid w:val="00937D12"/>
    <w:rsid w:val="00937E04"/>
    <w:rsid w:val="00940340"/>
    <w:rsid w:val="009414B2"/>
    <w:rsid w:val="009417F5"/>
    <w:rsid w:val="009419DA"/>
    <w:rsid w:val="009427F6"/>
    <w:rsid w:val="00942991"/>
    <w:rsid w:val="009429DE"/>
    <w:rsid w:val="00944209"/>
    <w:rsid w:val="009450C9"/>
    <w:rsid w:val="0094526D"/>
    <w:rsid w:val="0094575F"/>
    <w:rsid w:val="00945E04"/>
    <w:rsid w:val="0094630A"/>
    <w:rsid w:val="009463A3"/>
    <w:rsid w:val="0094662A"/>
    <w:rsid w:val="00946B97"/>
    <w:rsid w:val="0095033F"/>
    <w:rsid w:val="00950473"/>
    <w:rsid w:val="009505CB"/>
    <w:rsid w:val="0095106F"/>
    <w:rsid w:val="0095145C"/>
    <w:rsid w:val="009522AC"/>
    <w:rsid w:val="0095255D"/>
    <w:rsid w:val="00952B20"/>
    <w:rsid w:val="00952B7C"/>
    <w:rsid w:val="009530B3"/>
    <w:rsid w:val="009531A3"/>
    <w:rsid w:val="00953B31"/>
    <w:rsid w:val="00954576"/>
    <w:rsid w:val="009553E8"/>
    <w:rsid w:val="009559FA"/>
    <w:rsid w:val="00955D4E"/>
    <w:rsid w:val="00956A42"/>
    <w:rsid w:val="00957225"/>
    <w:rsid w:val="00960183"/>
    <w:rsid w:val="009601AD"/>
    <w:rsid w:val="00960FD8"/>
    <w:rsid w:val="009612D9"/>
    <w:rsid w:val="00961BBC"/>
    <w:rsid w:val="0096244D"/>
    <w:rsid w:val="009626EE"/>
    <w:rsid w:val="00962DDA"/>
    <w:rsid w:val="0096301E"/>
    <w:rsid w:val="00963B69"/>
    <w:rsid w:val="00964180"/>
    <w:rsid w:val="00964362"/>
    <w:rsid w:val="0096441C"/>
    <w:rsid w:val="00964E96"/>
    <w:rsid w:val="00964FA7"/>
    <w:rsid w:val="00965632"/>
    <w:rsid w:val="00965C2A"/>
    <w:rsid w:val="009660F2"/>
    <w:rsid w:val="0096767A"/>
    <w:rsid w:val="009700BE"/>
    <w:rsid w:val="009704E8"/>
    <w:rsid w:val="0097133E"/>
    <w:rsid w:val="0097229A"/>
    <w:rsid w:val="009724EB"/>
    <w:rsid w:val="00972692"/>
    <w:rsid w:val="0097400A"/>
    <w:rsid w:val="0097472B"/>
    <w:rsid w:val="00975C24"/>
    <w:rsid w:val="00976072"/>
    <w:rsid w:val="009768B7"/>
    <w:rsid w:val="00976EC0"/>
    <w:rsid w:val="009801EE"/>
    <w:rsid w:val="009805A8"/>
    <w:rsid w:val="009809C5"/>
    <w:rsid w:val="009819AD"/>
    <w:rsid w:val="00981A08"/>
    <w:rsid w:val="00981AE2"/>
    <w:rsid w:val="00981D9F"/>
    <w:rsid w:val="00981E65"/>
    <w:rsid w:val="00982050"/>
    <w:rsid w:val="00982441"/>
    <w:rsid w:val="0098260E"/>
    <w:rsid w:val="00982E9B"/>
    <w:rsid w:val="00983F9C"/>
    <w:rsid w:val="00984810"/>
    <w:rsid w:val="00984B61"/>
    <w:rsid w:val="00984D4C"/>
    <w:rsid w:val="00984E1B"/>
    <w:rsid w:val="00986046"/>
    <w:rsid w:val="00987236"/>
    <w:rsid w:val="0098729A"/>
    <w:rsid w:val="009873A4"/>
    <w:rsid w:val="00990560"/>
    <w:rsid w:val="00990F3F"/>
    <w:rsid w:val="00991658"/>
    <w:rsid w:val="0099187F"/>
    <w:rsid w:val="00991E79"/>
    <w:rsid w:val="00991F08"/>
    <w:rsid w:val="009924D0"/>
    <w:rsid w:val="00992BB0"/>
    <w:rsid w:val="009931C7"/>
    <w:rsid w:val="00993B4D"/>
    <w:rsid w:val="00993F3D"/>
    <w:rsid w:val="009942ED"/>
    <w:rsid w:val="009946E8"/>
    <w:rsid w:val="00994896"/>
    <w:rsid w:val="00994A62"/>
    <w:rsid w:val="00995BB3"/>
    <w:rsid w:val="00995D82"/>
    <w:rsid w:val="0099623C"/>
    <w:rsid w:val="00996DEB"/>
    <w:rsid w:val="00997042"/>
    <w:rsid w:val="009975FF"/>
    <w:rsid w:val="00997F13"/>
    <w:rsid w:val="00997F5B"/>
    <w:rsid w:val="009A0B64"/>
    <w:rsid w:val="009A0DDD"/>
    <w:rsid w:val="009A1393"/>
    <w:rsid w:val="009A165E"/>
    <w:rsid w:val="009A1796"/>
    <w:rsid w:val="009A1E5A"/>
    <w:rsid w:val="009A1FB3"/>
    <w:rsid w:val="009A2467"/>
    <w:rsid w:val="009A27AC"/>
    <w:rsid w:val="009A37DB"/>
    <w:rsid w:val="009A55AB"/>
    <w:rsid w:val="009A59C9"/>
    <w:rsid w:val="009A5C12"/>
    <w:rsid w:val="009A6E75"/>
    <w:rsid w:val="009A787C"/>
    <w:rsid w:val="009B0674"/>
    <w:rsid w:val="009B06BD"/>
    <w:rsid w:val="009B10F5"/>
    <w:rsid w:val="009B1738"/>
    <w:rsid w:val="009B268B"/>
    <w:rsid w:val="009B26A3"/>
    <w:rsid w:val="009B29E6"/>
    <w:rsid w:val="009B38FC"/>
    <w:rsid w:val="009B3997"/>
    <w:rsid w:val="009B3E2D"/>
    <w:rsid w:val="009B3F46"/>
    <w:rsid w:val="009B50DD"/>
    <w:rsid w:val="009B52C2"/>
    <w:rsid w:val="009B64E5"/>
    <w:rsid w:val="009B71D7"/>
    <w:rsid w:val="009B75EE"/>
    <w:rsid w:val="009C0642"/>
    <w:rsid w:val="009C077D"/>
    <w:rsid w:val="009C0F64"/>
    <w:rsid w:val="009C1649"/>
    <w:rsid w:val="009C1DD8"/>
    <w:rsid w:val="009C245B"/>
    <w:rsid w:val="009C2520"/>
    <w:rsid w:val="009C3020"/>
    <w:rsid w:val="009C36F2"/>
    <w:rsid w:val="009C3FBD"/>
    <w:rsid w:val="009C3FF0"/>
    <w:rsid w:val="009C42C8"/>
    <w:rsid w:val="009C5118"/>
    <w:rsid w:val="009C5500"/>
    <w:rsid w:val="009C552E"/>
    <w:rsid w:val="009C5658"/>
    <w:rsid w:val="009C5FA5"/>
    <w:rsid w:val="009C6BB1"/>
    <w:rsid w:val="009C7239"/>
    <w:rsid w:val="009C7391"/>
    <w:rsid w:val="009C758F"/>
    <w:rsid w:val="009C7A54"/>
    <w:rsid w:val="009C7B73"/>
    <w:rsid w:val="009C7EEE"/>
    <w:rsid w:val="009D027E"/>
    <w:rsid w:val="009D03FB"/>
    <w:rsid w:val="009D0DE8"/>
    <w:rsid w:val="009D149D"/>
    <w:rsid w:val="009D2421"/>
    <w:rsid w:val="009D276C"/>
    <w:rsid w:val="009D2818"/>
    <w:rsid w:val="009D3083"/>
    <w:rsid w:val="009D31A2"/>
    <w:rsid w:val="009D339A"/>
    <w:rsid w:val="009D3A4B"/>
    <w:rsid w:val="009D3BF4"/>
    <w:rsid w:val="009D3CBC"/>
    <w:rsid w:val="009D3FB2"/>
    <w:rsid w:val="009D4502"/>
    <w:rsid w:val="009D4BFF"/>
    <w:rsid w:val="009D5F35"/>
    <w:rsid w:val="009D6393"/>
    <w:rsid w:val="009D6624"/>
    <w:rsid w:val="009D6B1D"/>
    <w:rsid w:val="009D6F84"/>
    <w:rsid w:val="009D70FD"/>
    <w:rsid w:val="009D7359"/>
    <w:rsid w:val="009D7D91"/>
    <w:rsid w:val="009D7F87"/>
    <w:rsid w:val="009E0353"/>
    <w:rsid w:val="009E071E"/>
    <w:rsid w:val="009E0880"/>
    <w:rsid w:val="009E13E2"/>
    <w:rsid w:val="009E16A5"/>
    <w:rsid w:val="009E1CEE"/>
    <w:rsid w:val="009E2677"/>
    <w:rsid w:val="009E28B0"/>
    <w:rsid w:val="009E3F44"/>
    <w:rsid w:val="009E40EF"/>
    <w:rsid w:val="009E4AD4"/>
    <w:rsid w:val="009E51D0"/>
    <w:rsid w:val="009E5D6A"/>
    <w:rsid w:val="009E73EA"/>
    <w:rsid w:val="009E743F"/>
    <w:rsid w:val="009E760E"/>
    <w:rsid w:val="009E766B"/>
    <w:rsid w:val="009E7A39"/>
    <w:rsid w:val="009E7E14"/>
    <w:rsid w:val="009E7FCE"/>
    <w:rsid w:val="009F09D7"/>
    <w:rsid w:val="009F0E37"/>
    <w:rsid w:val="009F0E67"/>
    <w:rsid w:val="009F0FA8"/>
    <w:rsid w:val="009F16A7"/>
    <w:rsid w:val="009F171C"/>
    <w:rsid w:val="009F1A51"/>
    <w:rsid w:val="009F1A99"/>
    <w:rsid w:val="009F2025"/>
    <w:rsid w:val="009F25A8"/>
    <w:rsid w:val="009F274B"/>
    <w:rsid w:val="009F2A69"/>
    <w:rsid w:val="009F2BC4"/>
    <w:rsid w:val="009F2FF3"/>
    <w:rsid w:val="009F31C9"/>
    <w:rsid w:val="009F31D5"/>
    <w:rsid w:val="009F383A"/>
    <w:rsid w:val="009F3A71"/>
    <w:rsid w:val="009F403D"/>
    <w:rsid w:val="009F4390"/>
    <w:rsid w:val="009F4661"/>
    <w:rsid w:val="009F478B"/>
    <w:rsid w:val="009F4A37"/>
    <w:rsid w:val="009F4CFA"/>
    <w:rsid w:val="009F4D69"/>
    <w:rsid w:val="009F4FBE"/>
    <w:rsid w:val="009F50B4"/>
    <w:rsid w:val="009F5A2F"/>
    <w:rsid w:val="009F61E8"/>
    <w:rsid w:val="009F6368"/>
    <w:rsid w:val="009F6AF8"/>
    <w:rsid w:val="009F7B71"/>
    <w:rsid w:val="009F7BFA"/>
    <w:rsid w:val="00A00076"/>
    <w:rsid w:val="00A00310"/>
    <w:rsid w:val="00A0081F"/>
    <w:rsid w:val="00A0099D"/>
    <w:rsid w:val="00A00B29"/>
    <w:rsid w:val="00A00E5C"/>
    <w:rsid w:val="00A01602"/>
    <w:rsid w:val="00A01949"/>
    <w:rsid w:val="00A019C9"/>
    <w:rsid w:val="00A019F1"/>
    <w:rsid w:val="00A01A3E"/>
    <w:rsid w:val="00A020D5"/>
    <w:rsid w:val="00A03124"/>
    <w:rsid w:val="00A0331C"/>
    <w:rsid w:val="00A0338A"/>
    <w:rsid w:val="00A03B0D"/>
    <w:rsid w:val="00A04576"/>
    <w:rsid w:val="00A045C6"/>
    <w:rsid w:val="00A04718"/>
    <w:rsid w:val="00A06669"/>
    <w:rsid w:val="00A06BF2"/>
    <w:rsid w:val="00A071DB"/>
    <w:rsid w:val="00A075C0"/>
    <w:rsid w:val="00A07FF1"/>
    <w:rsid w:val="00A10A59"/>
    <w:rsid w:val="00A11F8E"/>
    <w:rsid w:val="00A121FC"/>
    <w:rsid w:val="00A12330"/>
    <w:rsid w:val="00A123F1"/>
    <w:rsid w:val="00A12A74"/>
    <w:rsid w:val="00A12C97"/>
    <w:rsid w:val="00A12FCE"/>
    <w:rsid w:val="00A13B8A"/>
    <w:rsid w:val="00A13DBF"/>
    <w:rsid w:val="00A1406C"/>
    <w:rsid w:val="00A15503"/>
    <w:rsid w:val="00A15953"/>
    <w:rsid w:val="00A1608F"/>
    <w:rsid w:val="00A162A9"/>
    <w:rsid w:val="00A170C6"/>
    <w:rsid w:val="00A17D34"/>
    <w:rsid w:val="00A201EE"/>
    <w:rsid w:val="00A20C00"/>
    <w:rsid w:val="00A214FB"/>
    <w:rsid w:val="00A21CCF"/>
    <w:rsid w:val="00A220CB"/>
    <w:rsid w:val="00A2304B"/>
    <w:rsid w:val="00A23160"/>
    <w:rsid w:val="00A232E1"/>
    <w:rsid w:val="00A23995"/>
    <w:rsid w:val="00A2399C"/>
    <w:rsid w:val="00A240A3"/>
    <w:rsid w:val="00A245F9"/>
    <w:rsid w:val="00A246AE"/>
    <w:rsid w:val="00A25230"/>
    <w:rsid w:val="00A2534B"/>
    <w:rsid w:val="00A25380"/>
    <w:rsid w:val="00A2556B"/>
    <w:rsid w:val="00A257F9"/>
    <w:rsid w:val="00A258CE"/>
    <w:rsid w:val="00A25C26"/>
    <w:rsid w:val="00A25C8B"/>
    <w:rsid w:val="00A25E5D"/>
    <w:rsid w:val="00A2615A"/>
    <w:rsid w:val="00A264DD"/>
    <w:rsid w:val="00A26DFB"/>
    <w:rsid w:val="00A27CED"/>
    <w:rsid w:val="00A27D46"/>
    <w:rsid w:val="00A27DC5"/>
    <w:rsid w:val="00A305CE"/>
    <w:rsid w:val="00A310FB"/>
    <w:rsid w:val="00A31172"/>
    <w:rsid w:val="00A312DE"/>
    <w:rsid w:val="00A313A9"/>
    <w:rsid w:val="00A31599"/>
    <w:rsid w:val="00A316D9"/>
    <w:rsid w:val="00A333E5"/>
    <w:rsid w:val="00A33545"/>
    <w:rsid w:val="00A33627"/>
    <w:rsid w:val="00A33DE2"/>
    <w:rsid w:val="00A3472A"/>
    <w:rsid w:val="00A347C7"/>
    <w:rsid w:val="00A347D2"/>
    <w:rsid w:val="00A35631"/>
    <w:rsid w:val="00A35AD6"/>
    <w:rsid w:val="00A360A5"/>
    <w:rsid w:val="00A363E3"/>
    <w:rsid w:val="00A36457"/>
    <w:rsid w:val="00A36C2B"/>
    <w:rsid w:val="00A3762B"/>
    <w:rsid w:val="00A37CEA"/>
    <w:rsid w:val="00A402AC"/>
    <w:rsid w:val="00A402FD"/>
    <w:rsid w:val="00A4142C"/>
    <w:rsid w:val="00A415F5"/>
    <w:rsid w:val="00A41958"/>
    <w:rsid w:val="00A41B63"/>
    <w:rsid w:val="00A41D82"/>
    <w:rsid w:val="00A43185"/>
    <w:rsid w:val="00A4343E"/>
    <w:rsid w:val="00A43D6B"/>
    <w:rsid w:val="00A441BF"/>
    <w:rsid w:val="00A4468A"/>
    <w:rsid w:val="00A44A3F"/>
    <w:rsid w:val="00A44BBF"/>
    <w:rsid w:val="00A4505F"/>
    <w:rsid w:val="00A45553"/>
    <w:rsid w:val="00A46840"/>
    <w:rsid w:val="00A46C50"/>
    <w:rsid w:val="00A46F17"/>
    <w:rsid w:val="00A474B5"/>
    <w:rsid w:val="00A47966"/>
    <w:rsid w:val="00A47DDA"/>
    <w:rsid w:val="00A5022B"/>
    <w:rsid w:val="00A502EF"/>
    <w:rsid w:val="00A5098B"/>
    <w:rsid w:val="00A51344"/>
    <w:rsid w:val="00A513B5"/>
    <w:rsid w:val="00A514B1"/>
    <w:rsid w:val="00A51C59"/>
    <w:rsid w:val="00A51FB0"/>
    <w:rsid w:val="00A522C1"/>
    <w:rsid w:val="00A5351D"/>
    <w:rsid w:val="00A535F3"/>
    <w:rsid w:val="00A53B2E"/>
    <w:rsid w:val="00A53D16"/>
    <w:rsid w:val="00A540C4"/>
    <w:rsid w:val="00A55170"/>
    <w:rsid w:val="00A552D2"/>
    <w:rsid w:val="00A55A0D"/>
    <w:rsid w:val="00A569B5"/>
    <w:rsid w:val="00A5730C"/>
    <w:rsid w:val="00A575D2"/>
    <w:rsid w:val="00A60094"/>
    <w:rsid w:val="00A6078C"/>
    <w:rsid w:val="00A607FE"/>
    <w:rsid w:val="00A60A16"/>
    <w:rsid w:val="00A60B05"/>
    <w:rsid w:val="00A60CC8"/>
    <w:rsid w:val="00A61131"/>
    <w:rsid w:val="00A618BF"/>
    <w:rsid w:val="00A625A2"/>
    <w:rsid w:val="00A62DCA"/>
    <w:rsid w:val="00A632C9"/>
    <w:rsid w:val="00A639FF"/>
    <w:rsid w:val="00A64164"/>
    <w:rsid w:val="00A64600"/>
    <w:rsid w:val="00A646A2"/>
    <w:rsid w:val="00A64CC5"/>
    <w:rsid w:val="00A65B54"/>
    <w:rsid w:val="00A65D3F"/>
    <w:rsid w:val="00A65D8A"/>
    <w:rsid w:val="00A679B5"/>
    <w:rsid w:val="00A67C9F"/>
    <w:rsid w:val="00A7003B"/>
    <w:rsid w:val="00A70283"/>
    <w:rsid w:val="00A705F7"/>
    <w:rsid w:val="00A70F5A"/>
    <w:rsid w:val="00A71069"/>
    <w:rsid w:val="00A71294"/>
    <w:rsid w:val="00A72B7F"/>
    <w:rsid w:val="00A72C6E"/>
    <w:rsid w:val="00A739F1"/>
    <w:rsid w:val="00A73BAB"/>
    <w:rsid w:val="00A73D6E"/>
    <w:rsid w:val="00A74AC8"/>
    <w:rsid w:val="00A74B33"/>
    <w:rsid w:val="00A74BE7"/>
    <w:rsid w:val="00A7776D"/>
    <w:rsid w:val="00A77E04"/>
    <w:rsid w:val="00A77EFD"/>
    <w:rsid w:val="00A8009E"/>
    <w:rsid w:val="00A804F4"/>
    <w:rsid w:val="00A81472"/>
    <w:rsid w:val="00A814C1"/>
    <w:rsid w:val="00A818B2"/>
    <w:rsid w:val="00A81EC8"/>
    <w:rsid w:val="00A81FA5"/>
    <w:rsid w:val="00A81FBF"/>
    <w:rsid w:val="00A829B1"/>
    <w:rsid w:val="00A82A86"/>
    <w:rsid w:val="00A82DB2"/>
    <w:rsid w:val="00A83417"/>
    <w:rsid w:val="00A83D2E"/>
    <w:rsid w:val="00A83E6F"/>
    <w:rsid w:val="00A840EC"/>
    <w:rsid w:val="00A851BB"/>
    <w:rsid w:val="00A8570F"/>
    <w:rsid w:val="00A85961"/>
    <w:rsid w:val="00A861AC"/>
    <w:rsid w:val="00A861D6"/>
    <w:rsid w:val="00A862AA"/>
    <w:rsid w:val="00A872A6"/>
    <w:rsid w:val="00A87C10"/>
    <w:rsid w:val="00A87C15"/>
    <w:rsid w:val="00A90780"/>
    <w:rsid w:val="00A917E8"/>
    <w:rsid w:val="00A91DE8"/>
    <w:rsid w:val="00A91E04"/>
    <w:rsid w:val="00A9205C"/>
    <w:rsid w:val="00A92A01"/>
    <w:rsid w:val="00A92BF1"/>
    <w:rsid w:val="00A93345"/>
    <w:rsid w:val="00A93B64"/>
    <w:rsid w:val="00A94223"/>
    <w:rsid w:val="00A94619"/>
    <w:rsid w:val="00A948BC"/>
    <w:rsid w:val="00A95401"/>
    <w:rsid w:val="00A961F0"/>
    <w:rsid w:val="00A9680B"/>
    <w:rsid w:val="00A96F97"/>
    <w:rsid w:val="00A97C08"/>
    <w:rsid w:val="00AA0753"/>
    <w:rsid w:val="00AA12B7"/>
    <w:rsid w:val="00AA2773"/>
    <w:rsid w:val="00AA2D85"/>
    <w:rsid w:val="00AA31F2"/>
    <w:rsid w:val="00AA328E"/>
    <w:rsid w:val="00AA32E7"/>
    <w:rsid w:val="00AA3469"/>
    <w:rsid w:val="00AA4540"/>
    <w:rsid w:val="00AA4EBF"/>
    <w:rsid w:val="00AA5059"/>
    <w:rsid w:val="00AA5966"/>
    <w:rsid w:val="00AA63CE"/>
    <w:rsid w:val="00AA6DCE"/>
    <w:rsid w:val="00AA72EA"/>
    <w:rsid w:val="00AA7482"/>
    <w:rsid w:val="00AB0BF1"/>
    <w:rsid w:val="00AB14AD"/>
    <w:rsid w:val="00AB192D"/>
    <w:rsid w:val="00AB1DBB"/>
    <w:rsid w:val="00AB2128"/>
    <w:rsid w:val="00AB2478"/>
    <w:rsid w:val="00AB27F0"/>
    <w:rsid w:val="00AB295B"/>
    <w:rsid w:val="00AB2CCD"/>
    <w:rsid w:val="00AB3460"/>
    <w:rsid w:val="00AB3801"/>
    <w:rsid w:val="00AB3E9C"/>
    <w:rsid w:val="00AB44F7"/>
    <w:rsid w:val="00AB5897"/>
    <w:rsid w:val="00AB58DE"/>
    <w:rsid w:val="00AB597E"/>
    <w:rsid w:val="00AB5C30"/>
    <w:rsid w:val="00AB7BD5"/>
    <w:rsid w:val="00AB7D69"/>
    <w:rsid w:val="00AC032D"/>
    <w:rsid w:val="00AC045B"/>
    <w:rsid w:val="00AC2078"/>
    <w:rsid w:val="00AC20BC"/>
    <w:rsid w:val="00AC3273"/>
    <w:rsid w:val="00AC32B3"/>
    <w:rsid w:val="00AC3319"/>
    <w:rsid w:val="00AC3D13"/>
    <w:rsid w:val="00AC3E7A"/>
    <w:rsid w:val="00AC57A0"/>
    <w:rsid w:val="00AC6150"/>
    <w:rsid w:val="00AC676D"/>
    <w:rsid w:val="00AC6F10"/>
    <w:rsid w:val="00AC7924"/>
    <w:rsid w:val="00AD0103"/>
    <w:rsid w:val="00AD0235"/>
    <w:rsid w:val="00AD03C1"/>
    <w:rsid w:val="00AD0B75"/>
    <w:rsid w:val="00AD131E"/>
    <w:rsid w:val="00AD1579"/>
    <w:rsid w:val="00AD161A"/>
    <w:rsid w:val="00AD168F"/>
    <w:rsid w:val="00AD1FDB"/>
    <w:rsid w:val="00AD2F93"/>
    <w:rsid w:val="00AD3808"/>
    <w:rsid w:val="00AD3ABF"/>
    <w:rsid w:val="00AD3BD2"/>
    <w:rsid w:val="00AD40EB"/>
    <w:rsid w:val="00AD515A"/>
    <w:rsid w:val="00AD517B"/>
    <w:rsid w:val="00AD5B49"/>
    <w:rsid w:val="00AD5C44"/>
    <w:rsid w:val="00AD65FC"/>
    <w:rsid w:val="00AD6E61"/>
    <w:rsid w:val="00AD7256"/>
    <w:rsid w:val="00AD739A"/>
    <w:rsid w:val="00AD7BF3"/>
    <w:rsid w:val="00AD7CFB"/>
    <w:rsid w:val="00AE0D89"/>
    <w:rsid w:val="00AE1A8F"/>
    <w:rsid w:val="00AE1B27"/>
    <w:rsid w:val="00AE2662"/>
    <w:rsid w:val="00AE2765"/>
    <w:rsid w:val="00AE28FA"/>
    <w:rsid w:val="00AE2E71"/>
    <w:rsid w:val="00AE2FAE"/>
    <w:rsid w:val="00AE39BB"/>
    <w:rsid w:val="00AE3B3F"/>
    <w:rsid w:val="00AE4D4F"/>
    <w:rsid w:val="00AE4D7C"/>
    <w:rsid w:val="00AE56A1"/>
    <w:rsid w:val="00AE5875"/>
    <w:rsid w:val="00AE600A"/>
    <w:rsid w:val="00AE6205"/>
    <w:rsid w:val="00AE70BB"/>
    <w:rsid w:val="00AE7A84"/>
    <w:rsid w:val="00AE7CC1"/>
    <w:rsid w:val="00AF00BF"/>
    <w:rsid w:val="00AF01E6"/>
    <w:rsid w:val="00AF081A"/>
    <w:rsid w:val="00AF0BEE"/>
    <w:rsid w:val="00AF3295"/>
    <w:rsid w:val="00AF32C3"/>
    <w:rsid w:val="00AF3DE8"/>
    <w:rsid w:val="00AF410A"/>
    <w:rsid w:val="00AF4B52"/>
    <w:rsid w:val="00AF53E7"/>
    <w:rsid w:val="00AF54A3"/>
    <w:rsid w:val="00AF551D"/>
    <w:rsid w:val="00AF58AA"/>
    <w:rsid w:val="00AF5B7D"/>
    <w:rsid w:val="00AF5F48"/>
    <w:rsid w:val="00AF6069"/>
    <w:rsid w:val="00AF6A7A"/>
    <w:rsid w:val="00AF7307"/>
    <w:rsid w:val="00AF76EB"/>
    <w:rsid w:val="00AF7F0E"/>
    <w:rsid w:val="00B00130"/>
    <w:rsid w:val="00B00DA4"/>
    <w:rsid w:val="00B0120F"/>
    <w:rsid w:val="00B023FF"/>
    <w:rsid w:val="00B02807"/>
    <w:rsid w:val="00B02EB7"/>
    <w:rsid w:val="00B03B7F"/>
    <w:rsid w:val="00B0411F"/>
    <w:rsid w:val="00B0416D"/>
    <w:rsid w:val="00B0444B"/>
    <w:rsid w:val="00B0460E"/>
    <w:rsid w:val="00B04726"/>
    <w:rsid w:val="00B05E01"/>
    <w:rsid w:val="00B05FBA"/>
    <w:rsid w:val="00B06269"/>
    <w:rsid w:val="00B06A5D"/>
    <w:rsid w:val="00B06CA5"/>
    <w:rsid w:val="00B06E23"/>
    <w:rsid w:val="00B075B6"/>
    <w:rsid w:val="00B07612"/>
    <w:rsid w:val="00B07CD1"/>
    <w:rsid w:val="00B07EA4"/>
    <w:rsid w:val="00B07F1B"/>
    <w:rsid w:val="00B1016A"/>
    <w:rsid w:val="00B10CA0"/>
    <w:rsid w:val="00B11039"/>
    <w:rsid w:val="00B11353"/>
    <w:rsid w:val="00B116A0"/>
    <w:rsid w:val="00B12B80"/>
    <w:rsid w:val="00B12DD9"/>
    <w:rsid w:val="00B13EE6"/>
    <w:rsid w:val="00B13FE2"/>
    <w:rsid w:val="00B14275"/>
    <w:rsid w:val="00B146B2"/>
    <w:rsid w:val="00B1534D"/>
    <w:rsid w:val="00B15617"/>
    <w:rsid w:val="00B158D5"/>
    <w:rsid w:val="00B15BC2"/>
    <w:rsid w:val="00B15DCA"/>
    <w:rsid w:val="00B163D9"/>
    <w:rsid w:val="00B16D4B"/>
    <w:rsid w:val="00B17917"/>
    <w:rsid w:val="00B2042A"/>
    <w:rsid w:val="00B21C7C"/>
    <w:rsid w:val="00B2296B"/>
    <w:rsid w:val="00B23822"/>
    <w:rsid w:val="00B23A39"/>
    <w:rsid w:val="00B2433F"/>
    <w:rsid w:val="00B24388"/>
    <w:rsid w:val="00B24A89"/>
    <w:rsid w:val="00B24BA3"/>
    <w:rsid w:val="00B24E01"/>
    <w:rsid w:val="00B251CF"/>
    <w:rsid w:val="00B25229"/>
    <w:rsid w:val="00B25ACB"/>
    <w:rsid w:val="00B26377"/>
    <w:rsid w:val="00B272DA"/>
    <w:rsid w:val="00B2741A"/>
    <w:rsid w:val="00B2745C"/>
    <w:rsid w:val="00B30132"/>
    <w:rsid w:val="00B302E6"/>
    <w:rsid w:val="00B31336"/>
    <w:rsid w:val="00B31AF2"/>
    <w:rsid w:val="00B32382"/>
    <w:rsid w:val="00B331F1"/>
    <w:rsid w:val="00B333FD"/>
    <w:rsid w:val="00B344A9"/>
    <w:rsid w:val="00B368A3"/>
    <w:rsid w:val="00B370E2"/>
    <w:rsid w:val="00B4059B"/>
    <w:rsid w:val="00B408BF"/>
    <w:rsid w:val="00B40B25"/>
    <w:rsid w:val="00B4169D"/>
    <w:rsid w:val="00B41DEF"/>
    <w:rsid w:val="00B42C0B"/>
    <w:rsid w:val="00B43FA7"/>
    <w:rsid w:val="00B44131"/>
    <w:rsid w:val="00B44166"/>
    <w:rsid w:val="00B44200"/>
    <w:rsid w:val="00B445FD"/>
    <w:rsid w:val="00B44B4D"/>
    <w:rsid w:val="00B4537C"/>
    <w:rsid w:val="00B45C39"/>
    <w:rsid w:val="00B45F74"/>
    <w:rsid w:val="00B46A55"/>
    <w:rsid w:val="00B4758D"/>
    <w:rsid w:val="00B47ADC"/>
    <w:rsid w:val="00B47C44"/>
    <w:rsid w:val="00B5011E"/>
    <w:rsid w:val="00B50817"/>
    <w:rsid w:val="00B50E15"/>
    <w:rsid w:val="00B50F83"/>
    <w:rsid w:val="00B51174"/>
    <w:rsid w:val="00B5139D"/>
    <w:rsid w:val="00B5146C"/>
    <w:rsid w:val="00B519DB"/>
    <w:rsid w:val="00B5218F"/>
    <w:rsid w:val="00B52511"/>
    <w:rsid w:val="00B53954"/>
    <w:rsid w:val="00B53A45"/>
    <w:rsid w:val="00B54A83"/>
    <w:rsid w:val="00B54DB6"/>
    <w:rsid w:val="00B54E07"/>
    <w:rsid w:val="00B550CF"/>
    <w:rsid w:val="00B553BD"/>
    <w:rsid w:val="00B55AB1"/>
    <w:rsid w:val="00B56315"/>
    <w:rsid w:val="00B56452"/>
    <w:rsid w:val="00B570EB"/>
    <w:rsid w:val="00B5718C"/>
    <w:rsid w:val="00B57647"/>
    <w:rsid w:val="00B57DA6"/>
    <w:rsid w:val="00B57E23"/>
    <w:rsid w:val="00B60085"/>
    <w:rsid w:val="00B60FB7"/>
    <w:rsid w:val="00B61572"/>
    <w:rsid w:val="00B615D0"/>
    <w:rsid w:val="00B61988"/>
    <w:rsid w:val="00B620B5"/>
    <w:rsid w:val="00B62E9F"/>
    <w:rsid w:val="00B630A6"/>
    <w:rsid w:val="00B631A1"/>
    <w:rsid w:val="00B63265"/>
    <w:rsid w:val="00B63AAA"/>
    <w:rsid w:val="00B63AB2"/>
    <w:rsid w:val="00B64289"/>
    <w:rsid w:val="00B65B31"/>
    <w:rsid w:val="00B65F5D"/>
    <w:rsid w:val="00B66120"/>
    <w:rsid w:val="00B662B3"/>
    <w:rsid w:val="00B6630E"/>
    <w:rsid w:val="00B66578"/>
    <w:rsid w:val="00B67C9B"/>
    <w:rsid w:val="00B70086"/>
    <w:rsid w:val="00B702A5"/>
    <w:rsid w:val="00B7034E"/>
    <w:rsid w:val="00B7063B"/>
    <w:rsid w:val="00B70D11"/>
    <w:rsid w:val="00B71392"/>
    <w:rsid w:val="00B714A0"/>
    <w:rsid w:val="00B71E74"/>
    <w:rsid w:val="00B71F10"/>
    <w:rsid w:val="00B726EA"/>
    <w:rsid w:val="00B72E3E"/>
    <w:rsid w:val="00B73085"/>
    <w:rsid w:val="00B733CE"/>
    <w:rsid w:val="00B734EA"/>
    <w:rsid w:val="00B73B20"/>
    <w:rsid w:val="00B7492A"/>
    <w:rsid w:val="00B74FCE"/>
    <w:rsid w:val="00B75C6C"/>
    <w:rsid w:val="00B75D73"/>
    <w:rsid w:val="00B75FD6"/>
    <w:rsid w:val="00B764E4"/>
    <w:rsid w:val="00B768D1"/>
    <w:rsid w:val="00B76AE0"/>
    <w:rsid w:val="00B7728B"/>
    <w:rsid w:val="00B77437"/>
    <w:rsid w:val="00B77530"/>
    <w:rsid w:val="00B802F4"/>
    <w:rsid w:val="00B827DE"/>
    <w:rsid w:val="00B82A05"/>
    <w:rsid w:val="00B82B99"/>
    <w:rsid w:val="00B82F7E"/>
    <w:rsid w:val="00B839EF"/>
    <w:rsid w:val="00B83AD8"/>
    <w:rsid w:val="00B84857"/>
    <w:rsid w:val="00B84B11"/>
    <w:rsid w:val="00B8506C"/>
    <w:rsid w:val="00B8536A"/>
    <w:rsid w:val="00B85452"/>
    <w:rsid w:val="00B85B00"/>
    <w:rsid w:val="00B866F4"/>
    <w:rsid w:val="00B90032"/>
    <w:rsid w:val="00B90181"/>
    <w:rsid w:val="00B90A84"/>
    <w:rsid w:val="00B91120"/>
    <w:rsid w:val="00B91445"/>
    <w:rsid w:val="00B91757"/>
    <w:rsid w:val="00B9213C"/>
    <w:rsid w:val="00B92511"/>
    <w:rsid w:val="00B92AF5"/>
    <w:rsid w:val="00B93218"/>
    <w:rsid w:val="00B9333C"/>
    <w:rsid w:val="00B9376A"/>
    <w:rsid w:val="00B94255"/>
    <w:rsid w:val="00B94C15"/>
    <w:rsid w:val="00B95138"/>
    <w:rsid w:val="00B953D8"/>
    <w:rsid w:val="00B9590E"/>
    <w:rsid w:val="00B95B3C"/>
    <w:rsid w:val="00B96877"/>
    <w:rsid w:val="00B96AA7"/>
    <w:rsid w:val="00B97A85"/>
    <w:rsid w:val="00B97B3A"/>
    <w:rsid w:val="00BA0180"/>
    <w:rsid w:val="00BA0505"/>
    <w:rsid w:val="00BA061E"/>
    <w:rsid w:val="00BA1D0C"/>
    <w:rsid w:val="00BA29A4"/>
    <w:rsid w:val="00BA2F5A"/>
    <w:rsid w:val="00BA3201"/>
    <w:rsid w:val="00BA35DD"/>
    <w:rsid w:val="00BA3A45"/>
    <w:rsid w:val="00BA3BC9"/>
    <w:rsid w:val="00BA3E98"/>
    <w:rsid w:val="00BA5495"/>
    <w:rsid w:val="00BA70FA"/>
    <w:rsid w:val="00BA7564"/>
    <w:rsid w:val="00BA7ACC"/>
    <w:rsid w:val="00BB0820"/>
    <w:rsid w:val="00BB089F"/>
    <w:rsid w:val="00BB11F5"/>
    <w:rsid w:val="00BB1259"/>
    <w:rsid w:val="00BB19EA"/>
    <w:rsid w:val="00BB1B5D"/>
    <w:rsid w:val="00BB23E4"/>
    <w:rsid w:val="00BB273C"/>
    <w:rsid w:val="00BB290A"/>
    <w:rsid w:val="00BB2AF2"/>
    <w:rsid w:val="00BB3B44"/>
    <w:rsid w:val="00BB4D32"/>
    <w:rsid w:val="00BB4F7A"/>
    <w:rsid w:val="00BB52A0"/>
    <w:rsid w:val="00BB5973"/>
    <w:rsid w:val="00BB5C0B"/>
    <w:rsid w:val="00BB6153"/>
    <w:rsid w:val="00BB657D"/>
    <w:rsid w:val="00BB69A5"/>
    <w:rsid w:val="00BB73A7"/>
    <w:rsid w:val="00BB763E"/>
    <w:rsid w:val="00BB7A4F"/>
    <w:rsid w:val="00BC057D"/>
    <w:rsid w:val="00BC09E5"/>
    <w:rsid w:val="00BC196D"/>
    <w:rsid w:val="00BC1A9B"/>
    <w:rsid w:val="00BC1FC3"/>
    <w:rsid w:val="00BC221C"/>
    <w:rsid w:val="00BC2A90"/>
    <w:rsid w:val="00BC3123"/>
    <w:rsid w:val="00BC409C"/>
    <w:rsid w:val="00BC478D"/>
    <w:rsid w:val="00BC50AE"/>
    <w:rsid w:val="00BC5E99"/>
    <w:rsid w:val="00BC6061"/>
    <w:rsid w:val="00BC6903"/>
    <w:rsid w:val="00BC6B88"/>
    <w:rsid w:val="00BC7680"/>
    <w:rsid w:val="00BC7902"/>
    <w:rsid w:val="00BC7964"/>
    <w:rsid w:val="00BC7FBB"/>
    <w:rsid w:val="00BD0193"/>
    <w:rsid w:val="00BD0905"/>
    <w:rsid w:val="00BD0D7F"/>
    <w:rsid w:val="00BD0EA0"/>
    <w:rsid w:val="00BD1A24"/>
    <w:rsid w:val="00BD250B"/>
    <w:rsid w:val="00BD28EB"/>
    <w:rsid w:val="00BD31F8"/>
    <w:rsid w:val="00BD35C3"/>
    <w:rsid w:val="00BD3C96"/>
    <w:rsid w:val="00BD45E2"/>
    <w:rsid w:val="00BD491D"/>
    <w:rsid w:val="00BD4A3B"/>
    <w:rsid w:val="00BD4DC2"/>
    <w:rsid w:val="00BD6DEF"/>
    <w:rsid w:val="00BD6ED6"/>
    <w:rsid w:val="00BD7459"/>
    <w:rsid w:val="00BD794E"/>
    <w:rsid w:val="00BE0277"/>
    <w:rsid w:val="00BE0342"/>
    <w:rsid w:val="00BE05EE"/>
    <w:rsid w:val="00BE0FA3"/>
    <w:rsid w:val="00BE1DC8"/>
    <w:rsid w:val="00BE21A8"/>
    <w:rsid w:val="00BE294E"/>
    <w:rsid w:val="00BE2CF2"/>
    <w:rsid w:val="00BE34FC"/>
    <w:rsid w:val="00BE3D34"/>
    <w:rsid w:val="00BE44C2"/>
    <w:rsid w:val="00BE4FF2"/>
    <w:rsid w:val="00BE50EF"/>
    <w:rsid w:val="00BE51A3"/>
    <w:rsid w:val="00BE522A"/>
    <w:rsid w:val="00BE53C4"/>
    <w:rsid w:val="00BE5602"/>
    <w:rsid w:val="00BE63C7"/>
    <w:rsid w:val="00BE6C7B"/>
    <w:rsid w:val="00BE7278"/>
    <w:rsid w:val="00BE729D"/>
    <w:rsid w:val="00BF0003"/>
    <w:rsid w:val="00BF0167"/>
    <w:rsid w:val="00BF0620"/>
    <w:rsid w:val="00BF197F"/>
    <w:rsid w:val="00BF1E08"/>
    <w:rsid w:val="00BF33A7"/>
    <w:rsid w:val="00BF3A95"/>
    <w:rsid w:val="00BF4041"/>
    <w:rsid w:val="00BF4B18"/>
    <w:rsid w:val="00BF4BF0"/>
    <w:rsid w:val="00BF5133"/>
    <w:rsid w:val="00BF5E11"/>
    <w:rsid w:val="00BF6066"/>
    <w:rsid w:val="00BF613A"/>
    <w:rsid w:val="00BF636A"/>
    <w:rsid w:val="00BF66A6"/>
    <w:rsid w:val="00BF67F0"/>
    <w:rsid w:val="00BF6B13"/>
    <w:rsid w:val="00BF729C"/>
    <w:rsid w:val="00C00CBA"/>
    <w:rsid w:val="00C00E8B"/>
    <w:rsid w:val="00C01235"/>
    <w:rsid w:val="00C01394"/>
    <w:rsid w:val="00C01AF4"/>
    <w:rsid w:val="00C01C41"/>
    <w:rsid w:val="00C01CAF"/>
    <w:rsid w:val="00C02B67"/>
    <w:rsid w:val="00C03FE4"/>
    <w:rsid w:val="00C0499F"/>
    <w:rsid w:val="00C04CC2"/>
    <w:rsid w:val="00C051B0"/>
    <w:rsid w:val="00C05EA6"/>
    <w:rsid w:val="00C05FDF"/>
    <w:rsid w:val="00C063B2"/>
    <w:rsid w:val="00C06D88"/>
    <w:rsid w:val="00C06F94"/>
    <w:rsid w:val="00C06FFE"/>
    <w:rsid w:val="00C07E62"/>
    <w:rsid w:val="00C100B7"/>
    <w:rsid w:val="00C116DA"/>
    <w:rsid w:val="00C11DD9"/>
    <w:rsid w:val="00C12209"/>
    <w:rsid w:val="00C123A2"/>
    <w:rsid w:val="00C12470"/>
    <w:rsid w:val="00C125E8"/>
    <w:rsid w:val="00C127E5"/>
    <w:rsid w:val="00C133F5"/>
    <w:rsid w:val="00C1345F"/>
    <w:rsid w:val="00C14566"/>
    <w:rsid w:val="00C14EC6"/>
    <w:rsid w:val="00C1598E"/>
    <w:rsid w:val="00C15EA1"/>
    <w:rsid w:val="00C1617D"/>
    <w:rsid w:val="00C168E2"/>
    <w:rsid w:val="00C179A7"/>
    <w:rsid w:val="00C2000A"/>
    <w:rsid w:val="00C20136"/>
    <w:rsid w:val="00C20285"/>
    <w:rsid w:val="00C20BE6"/>
    <w:rsid w:val="00C2122C"/>
    <w:rsid w:val="00C22145"/>
    <w:rsid w:val="00C222DD"/>
    <w:rsid w:val="00C22575"/>
    <w:rsid w:val="00C226DE"/>
    <w:rsid w:val="00C22AD4"/>
    <w:rsid w:val="00C22FA5"/>
    <w:rsid w:val="00C2306F"/>
    <w:rsid w:val="00C23949"/>
    <w:rsid w:val="00C24141"/>
    <w:rsid w:val="00C241BA"/>
    <w:rsid w:val="00C2440F"/>
    <w:rsid w:val="00C24B8D"/>
    <w:rsid w:val="00C26E19"/>
    <w:rsid w:val="00C2723A"/>
    <w:rsid w:val="00C27268"/>
    <w:rsid w:val="00C272D1"/>
    <w:rsid w:val="00C27632"/>
    <w:rsid w:val="00C30103"/>
    <w:rsid w:val="00C31242"/>
    <w:rsid w:val="00C319E0"/>
    <w:rsid w:val="00C31C30"/>
    <w:rsid w:val="00C321D2"/>
    <w:rsid w:val="00C32424"/>
    <w:rsid w:val="00C32479"/>
    <w:rsid w:val="00C33EE7"/>
    <w:rsid w:val="00C34DC1"/>
    <w:rsid w:val="00C34E2D"/>
    <w:rsid w:val="00C35521"/>
    <w:rsid w:val="00C35AC6"/>
    <w:rsid w:val="00C36044"/>
    <w:rsid w:val="00C37354"/>
    <w:rsid w:val="00C37544"/>
    <w:rsid w:val="00C377D8"/>
    <w:rsid w:val="00C377FB"/>
    <w:rsid w:val="00C37838"/>
    <w:rsid w:val="00C40710"/>
    <w:rsid w:val="00C40EE6"/>
    <w:rsid w:val="00C41245"/>
    <w:rsid w:val="00C41472"/>
    <w:rsid w:val="00C41C69"/>
    <w:rsid w:val="00C41E1C"/>
    <w:rsid w:val="00C41F45"/>
    <w:rsid w:val="00C42042"/>
    <w:rsid w:val="00C42448"/>
    <w:rsid w:val="00C42B33"/>
    <w:rsid w:val="00C42CAE"/>
    <w:rsid w:val="00C4343A"/>
    <w:rsid w:val="00C43472"/>
    <w:rsid w:val="00C43883"/>
    <w:rsid w:val="00C44464"/>
    <w:rsid w:val="00C44784"/>
    <w:rsid w:val="00C44E8F"/>
    <w:rsid w:val="00C46C29"/>
    <w:rsid w:val="00C473BA"/>
    <w:rsid w:val="00C47E35"/>
    <w:rsid w:val="00C5024D"/>
    <w:rsid w:val="00C510C1"/>
    <w:rsid w:val="00C51143"/>
    <w:rsid w:val="00C51819"/>
    <w:rsid w:val="00C51C88"/>
    <w:rsid w:val="00C52002"/>
    <w:rsid w:val="00C52350"/>
    <w:rsid w:val="00C5297C"/>
    <w:rsid w:val="00C52DBA"/>
    <w:rsid w:val="00C53D3A"/>
    <w:rsid w:val="00C53F00"/>
    <w:rsid w:val="00C5473E"/>
    <w:rsid w:val="00C548F2"/>
    <w:rsid w:val="00C5526A"/>
    <w:rsid w:val="00C55F04"/>
    <w:rsid w:val="00C55F1B"/>
    <w:rsid w:val="00C56075"/>
    <w:rsid w:val="00C568A0"/>
    <w:rsid w:val="00C604CB"/>
    <w:rsid w:val="00C60A22"/>
    <w:rsid w:val="00C6107D"/>
    <w:rsid w:val="00C6136C"/>
    <w:rsid w:val="00C61DFD"/>
    <w:rsid w:val="00C62259"/>
    <w:rsid w:val="00C62920"/>
    <w:rsid w:val="00C62B63"/>
    <w:rsid w:val="00C62DCD"/>
    <w:rsid w:val="00C638E0"/>
    <w:rsid w:val="00C6397C"/>
    <w:rsid w:val="00C63DFF"/>
    <w:rsid w:val="00C63E04"/>
    <w:rsid w:val="00C63E20"/>
    <w:rsid w:val="00C64646"/>
    <w:rsid w:val="00C6518C"/>
    <w:rsid w:val="00C6610A"/>
    <w:rsid w:val="00C664BA"/>
    <w:rsid w:val="00C664F0"/>
    <w:rsid w:val="00C66903"/>
    <w:rsid w:val="00C6717B"/>
    <w:rsid w:val="00C67B10"/>
    <w:rsid w:val="00C67C69"/>
    <w:rsid w:val="00C67E21"/>
    <w:rsid w:val="00C70C27"/>
    <w:rsid w:val="00C722F6"/>
    <w:rsid w:val="00C72687"/>
    <w:rsid w:val="00C72BFB"/>
    <w:rsid w:val="00C732F3"/>
    <w:rsid w:val="00C73364"/>
    <w:rsid w:val="00C73CBC"/>
    <w:rsid w:val="00C73CC8"/>
    <w:rsid w:val="00C73FC8"/>
    <w:rsid w:val="00C740F9"/>
    <w:rsid w:val="00C753B8"/>
    <w:rsid w:val="00C7566D"/>
    <w:rsid w:val="00C75BF5"/>
    <w:rsid w:val="00C762B4"/>
    <w:rsid w:val="00C7681A"/>
    <w:rsid w:val="00C76BFA"/>
    <w:rsid w:val="00C80053"/>
    <w:rsid w:val="00C8118A"/>
    <w:rsid w:val="00C812E8"/>
    <w:rsid w:val="00C8144D"/>
    <w:rsid w:val="00C8174F"/>
    <w:rsid w:val="00C82317"/>
    <w:rsid w:val="00C828D1"/>
    <w:rsid w:val="00C83385"/>
    <w:rsid w:val="00C836FB"/>
    <w:rsid w:val="00C83D3A"/>
    <w:rsid w:val="00C85B82"/>
    <w:rsid w:val="00C85EB2"/>
    <w:rsid w:val="00C8646D"/>
    <w:rsid w:val="00C86A92"/>
    <w:rsid w:val="00C8730B"/>
    <w:rsid w:val="00C87578"/>
    <w:rsid w:val="00C877BC"/>
    <w:rsid w:val="00C90677"/>
    <w:rsid w:val="00C90B0F"/>
    <w:rsid w:val="00C91829"/>
    <w:rsid w:val="00C91B33"/>
    <w:rsid w:val="00C91C6E"/>
    <w:rsid w:val="00C923C2"/>
    <w:rsid w:val="00C9242B"/>
    <w:rsid w:val="00C92E84"/>
    <w:rsid w:val="00C92F7D"/>
    <w:rsid w:val="00C9327A"/>
    <w:rsid w:val="00C936D2"/>
    <w:rsid w:val="00C94244"/>
    <w:rsid w:val="00C943D6"/>
    <w:rsid w:val="00C945FD"/>
    <w:rsid w:val="00C9464E"/>
    <w:rsid w:val="00C94D24"/>
    <w:rsid w:val="00C94F1A"/>
    <w:rsid w:val="00C9536C"/>
    <w:rsid w:val="00C9574C"/>
    <w:rsid w:val="00C95A48"/>
    <w:rsid w:val="00C96D86"/>
    <w:rsid w:val="00C96E5C"/>
    <w:rsid w:val="00C972DD"/>
    <w:rsid w:val="00C9769A"/>
    <w:rsid w:val="00C97BC1"/>
    <w:rsid w:val="00C97F78"/>
    <w:rsid w:val="00CA01F0"/>
    <w:rsid w:val="00CA0465"/>
    <w:rsid w:val="00CA0625"/>
    <w:rsid w:val="00CA0B2B"/>
    <w:rsid w:val="00CA144D"/>
    <w:rsid w:val="00CA1556"/>
    <w:rsid w:val="00CA1EC6"/>
    <w:rsid w:val="00CA39C6"/>
    <w:rsid w:val="00CA47D9"/>
    <w:rsid w:val="00CA48F5"/>
    <w:rsid w:val="00CA4DC8"/>
    <w:rsid w:val="00CA503F"/>
    <w:rsid w:val="00CA5074"/>
    <w:rsid w:val="00CA5824"/>
    <w:rsid w:val="00CA5D37"/>
    <w:rsid w:val="00CA638E"/>
    <w:rsid w:val="00CA6404"/>
    <w:rsid w:val="00CA6A11"/>
    <w:rsid w:val="00CA70D0"/>
    <w:rsid w:val="00CA7467"/>
    <w:rsid w:val="00CA7758"/>
    <w:rsid w:val="00CA7785"/>
    <w:rsid w:val="00CA7A9F"/>
    <w:rsid w:val="00CA7E95"/>
    <w:rsid w:val="00CB0048"/>
    <w:rsid w:val="00CB014F"/>
    <w:rsid w:val="00CB1B39"/>
    <w:rsid w:val="00CB2226"/>
    <w:rsid w:val="00CB3B6A"/>
    <w:rsid w:val="00CB3E82"/>
    <w:rsid w:val="00CB3FE4"/>
    <w:rsid w:val="00CB45A9"/>
    <w:rsid w:val="00CB4E68"/>
    <w:rsid w:val="00CB5358"/>
    <w:rsid w:val="00CB598A"/>
    <w:rsid w:val="00CB598B"/>
    <w:rsid w:val="00CB5FFE"/>
    <w:rsid w:val="00CB676F"/>
    <w:rsid w:val="00CB6DDD"/>
    <w:rsid w:val="00CB7684"/>
    <w:rsid w:val="00CB776B"/>
    <w:rsid w:val="00CB7933"/>
    <w:rsid w:val="00CB7984"/>
    <w:rsid w:val="00CB7989"/>
    <w:rsid w:val="00CB7B9E"/>
    <w:rsid w:val="00CC007D"/>
    <w:rsid w:val="00CC0F9F"/>
    <w:rsid w:val="00CC18FB"/>
    <w:rsid w:val="00CC296C"/>
    <w:rsid w:val="00CC2A9E"/>
    <w:rsid w:val="00CC2F2E"/>
    <w:rsid w:val="00CC3460"/>
    <w:rsid w:val="00CC481F"/>
    <w:rsid w:val="00CC4B90"/>
    <w:rsid w:val="00CC6360"/>
    <w:rsid w:val="00CC776E"/>
    <w:rsid w:val="00CD0316"/>
    <w:rsid w:val="00CD0860"/>
    <w:rsid w:val="00CD09F3"/>
    <w:rsid w:val="00CD0B0A"/>
    <w:rsid w:val="00CD0BA0"/>
    <w:rsid w:val="00CD1237"/>
    <w:rsid w:val="00CD12C5"/>
    <w:rsid w:val="00CD1461"/>
    <w:rsid w:val="00CD1534"/>
    <w:rsid w:val="00CD1A75"/>
    <w:rsid w:val="00CD2366"/>
    <w:rsid w:val="00CD3067"/>
    <w:rsid w:val="00CD36A0"/>
    <w:rsid w:val="00CD3A7E"/>
    <w:rsid w:val="00CD48CC"/>
    <w:rsid w:val="00CD4D8A"/>
    <w:rsid w:val="00CD5F86"/>
    <w:rsid w:val="00CD65C0"/>
    <w:rsid w:val="00CD6FBA"/>
    <w:rsid w:val="00CD7AB2"/>
    <w:rsid w:val="00CE02D9"/>
    <w:rsid w:val="00CE04A4"/>
    <w:rsid w:val="00CE07AE"/>
    <w:rsid w:val="00CE1B1D"/>
    <w:rsid w:val="00CE2066"/>
    <w:rsid w:val="00CE20EC"/>
    <w:rsid w:val="00CE2565"/>
    <w:rsid w:val="00CE364F"/>
    <w:rsid w:val="00CE36F7"/>
    <w:rsid w:val="00CE3A57"/>
    <w:rsid w:val="00CE3C75"/>
    <w:rsid w:val="00CE4406"/>
    <w:rsid w:val="00CE4BB8"/>
    <w:rsid w:val="00CE4BC2"/>
    <w:rsid w:val="00CE4D28"/>
    <w:rsid w:val="00CE4EF4"/>
    <w:rsid w:val="00CE555B"/>
    <w:rsid w:val="00CE556D"/>
    <w:rsid w:val="00CE5A33"/>
    <w:rsid w:val="00CE5B22"/>
    <w:rsid w:val="00CE62F1"/>
    <w:rsid w:val="00CE65E1"/>
    <w:rsid w:val="00CE721E"/>
    <w:rsid w:val="00CE74CF"/>
    <w:rsid w:val="00CE769B"/>
    <w:rsid w:val="00CE7C0A"/>
    <w:rsid w:val="00CF0DAD"/>
    <w:rsid w:val="00CF1149"/>
    <w:rsid w:val="00CF1405"/>
    <w:rsid w:val="00CF24E8"/>
    <w:rsid w:val="00CF253D"/>
    <w:rsid w:val="00CF2624"/>
    <w:rsid w:val="00CF272D"/>
    <w:rsid w:val="00CF4C63"/>
    <w:rsid w:val="00CF57F9"/>
    <w:rsid w:val="00CF6543"/>
    <w:rsid w:val="00CF6856"/>
    <w:rsid w:val="00CF6EA5"/>
    <w:rsid w:val="00CF6EE1"/>
    <w:rsid w:val="00CF7471"/>
    <w:rsid w:val="00CF7EF8"/>
    <w:rsid w:val="00D00048"/>
    <w:rsid w:val="00D0049F"/>
    <w:rsid w:val="00D01F1A"/>
    <w:rsid w:val="00D02304"/>
    <w:rsid w:val="00D039B0"/>
    <w:rsid w:val="00D041EF"/>
    <w:rsid w:val="00D042AA"/>
    <w:rsid w:val="00D04701"/>
    <w:rsid w:val="00D05037"/>
    <w:rsid w:val="00D050E4"/>
    <w:rsid w:val="00D05C2C"/>
    <w:rsid w:val="00D06388"/>
    <w:rsid w:val="00D06924"/>
    <w:rsid w:val="00D073C7"/>
    <w:rsid w:val="00D07DFB"/>
    <w:rsid w:val="00D1008D"/>
    <w:rsid w:val="00D10D3A"/>
    <w:rsid w:val="00D10FA3"/>
    <w:rsid w:val="00D1179F"/>
    <w:rsid w:val="00D11E91"/>
    <w:rsid w:val="00D11EB2"/>
    <w:rsid w:val="00D12BDA"/>
    <w:rsid w:val="00D12F76"/>
    <w:rsid w:val="00D13076"/>
    <w:rsid w:val="00D13303"/>
    <w:rsid w:val="00D133EF"/>
    <w:rsid w:val="00D13531"/>
    <w:rsid w:val="00D14CB2"/>
    <w:rsid w:val="00D15773"/>
    <w:rsid w:val="00D16A78"/>
    <w:rsid w:val="00D20039"/>
    <w:rsid w:val="00D20B2D"/>
    <w:rsid w:val="00D20C44"/>
    <w:rsid w:val="00D216F1"/>
    <w:rsid w:val="00D21A1D"/>
    <w:rsid w:val="00D22881"/>
    <w:rsid w:val="00D23270"/>
    <w:rsid w:val="00D23637"/>
    <w:rsid w:val="00D239B4"/>
    <w:rsid w:val="00D248AF"/>
    <w:rsid w:val="00D24E83"/>
    <w:rsid w:val="00D2532A"/>
    <w:rsid w:val="00D254E0"/>
    <w:rsid w:val="00D25865"/>
    <w:rsid w:val="00D25D5D"/>
    <w:rsid w:val="00D262F2"/>
    <w:rsid w:val="00D26F75"/>
    <w:rsid w:val="00D27076"/>
    <w:rsid w:val="00D30338"/>
    <w:rsid w:val="00D3047A"/>
    <w:rsid w:val="00D308B0"/>
    <w:rsid w:val="00D315A6"/>
    <w:rsid w:val="00D31799"/>
    <w:rsid w:val="00D32A53"/>
    <w:rsid w:val="00D32E95"/>
    <w:rsid w:val="00D333C9"/>
    <w:rsid w:val="00D33427"/>
    <w:rsid w:val="00D334B7"/>
    <w:rsid w:val="00D3381B"/>
    <w:rsid w:val="00D3555E"/>
    <w:rsid w:val="00D35987"/>
    <w:rsid w:val="00D367AE"/>
    <w:rsid w:val="00D3696C"/>
    <w:rsid w:val="00D37469"/>
    <w:rsid w:val="00D376B7"/>
    <w:rsid w:val="00D376CE"/>
    <w:rsid w:val="00D37F5E"/>
    <w:rsid w:val="00D40E0A"/>
    <w:rsid w:val="00D41985"/>
    <w:rsid w:val="00D41D76"/>
    <w:rsid w:val="00D424B0"/>
    <w:rsid w:val="00D425BD"/>
    <w:rsid w:val="00D42C21"/>
    <w:rsid w:val="00D4305F"/>
    <w:rsid w:val="00D43164"/>
    <w:rsid w:val="00D4393E"/>
    <w:rsid w:val="00D43A98"/>
    <w:rsid w:val="00D43D55"/>
    <w:rsid w:val="00D440AB"/>
    <w:rsid w:val="00D44E8B"/>
    <w:rsid w:val="00D45017"/>
    <w:rsid w:val="00D4528F"/>
    <w:rsid w:val="00D45426"/>
    <w:rsid w:val="00D45CC6"/>
    <w:rsid w:val="00D46B25"/>
    <w:rsid w:val="00D46C42"/>
    <w:rsid w:val="00D46C68"/>
    <w:rsid w:val="00D50627"/>
    <w:rsid w:val="00D50B93"/>
    <w:rsid w:val="00D51BE3"/>
    <w:rsid w:val="00D527C3"/>
    <w:rsid w:val="00D52D87"/>
    <w:rsid w:val="00D536AA"/>
    <w:rsid w:val="00D5422F"/>
    <w:rsid w:val="00D54362"/>
    <w:rsid w:val="00D546A5"/>
    <w:rsid w:val="00D55A70"/>
    <w:rsid w:val="00D55FE5"/>
    <w:rsid w:val="00D5691D"/>
    <w:rsid w:val="00D56C6D"/>
    <w:rsid w:val="00D571A0"/>
    <w:rsid w:val="00D57357"/>
    <w:rsid w:val="00D57884"/>
    <w:rsid w:val="00D578C0"/>
    <w:rsid w:val="00D57D61"/>
    <w:rsid w:val="00D57EA8"/>
    <w:rsid w:val="00D6055F"/>
    <w:rsid w:val="00D60ABA"/>
    <w:rsid w:val="00D60CCE"/>
    <w:rsid w:val="00D60EBE"/>
    <w:rsid w:val="00D611C0"/>
    <w:rsid w:val="00D6271A"/>
    <w:rsid w:val="00D62FF9"/>
    <w:rsid w:val="00D63AA4"/>
    <w:rsid w:val="00D63CA2"/>
    <w:rsid w:val="00D647A3"/>
    <w:rsid w:val="00D64840"/>
    <w:rsid w:val="00D65108"/>
    <w:rsid w:val="00D652E2"/>
    <w:rsid w:val="00D6568F"/>
    <w:rsid w:val="00D660D3"/>
    <w:rsid w:val="00D662F5"/>
    <w:rsid w:val="00D663D8"/>
    <w:rsid w:val="00D665C9"/>
    <w:rsid w:val="00D66EAA"/>
    <w:rsid w:val="00D66FAD"/>
    <w:rsid w:val="00D67D18"/>
    <w:rsid w:val="00D70301"/>
    <w:rsid w:val="00D70799"/>
    <w:rsid w:val="00D70CD2"/>
    <w:rsid w:val="00D735EC"/>
    <w:rsid w:val="00D73871"/>
    <w:rsid w:val="00D73E3C"/>
    <w:rsid w:val="00D73E65"/>
    <w:rsid w:val="00D73F5D"/>
    <w:rsid w:val="00D741FB"/>
    <w:rsid w:val="00D74E11"/>
    <w:rsid w:val="00D74E17"/>
    <w:rsid w:val="00D74E30"/>
    <w:rsid w:val="00D76267"/>
    <w:rsid w:val="00D76878"/>
    <w:rsid w:val="00D77155"/>
    <w:rsid w:val="00D77246"/>
    <w:rsid w:val="00D777BB"/>
    <w:rsid w:val="00D80991"/>
    <w:rsid w:val="00D809F5"/>
    <w:rsid w:val="00D81436"/>
    <w:rsid w:val="00D81457"/>
    <w:rsid w:val="00D8151D"/>
    <w:rsid w:val="00D81EC1"/>
    <w:rsid w:val="00D82A4B"/>
    <w:rsid w:val="00D82AB0"/>
    <w:rsid w:val="00D82EDE"/>
    <w:rsid w:val="00D851B1"/>
    <w:rsid w:val="00D851B3"/>
    <w:rsid w:val="00D8524C"/>
    <w:rsid w:val="00D85488"/>
    <w:rsid w:val="00D85630"/>
    <w:rsid w:val="00D85766"/>
    <w:rsid w:val="00D8576C"/>
    <w:rsid w:val="00D85941"/>
    <w:rsid w:val="00D860C5"/>
    <w:rsid w:val="00D86F5E"/>
    <w:rsid w:val="00D871FE"/>
    <w:rsid w:val="00D8757F"/>
    <w:rsid w:val="00D9093A"/>
    <w:rsid w:val="00D91089"/>
    <w:rsid w:val="00D915E5"/>
    <w:rsid w:val="00D91A67"/>
    <w:rsid w:val="00D91E2E"/>
    <w:rsid w:val="00D925D0"/>
    <w:rsid w:val="00D92DA6"/>
    <w:rsid w:val="00D92DD6"/>
    <w:rsid w:val="00D9307E"/>
    <w:rsid w:val="00D93600"/>
    <w:rsid w:val="00D9455E"/>
    <w:rsid w:val="00D95798"/>
    <w:rsid w:val="00D957F8"/>
    <w:rsid w:val="00D9600C"/>
    <w:rsid w:val="00D962F3"/>
    <w:rsid w:val="00D963A7"/>
    <w:rsid w:val="00D966E0"/>
    <w:rsid w:val="00D976CE"/>
    <w:rsid w:val="00D97843"/>
    <w:rsid w:val="00DA0067"/>
    <w:rsid w:val="00DA0075"/>
    <w:rsid w:val="00DA07EC"/>
    <w:rsid w:val="00DA0B70"/>
    <w:rsid w:val="00DA0D4A"/>
    <w:rsid w:val="00DA0E5E"/>
    <w:rsid w:val="00DA11D4"/>
    <w:rsid w:val="00DA197B"/>
    <w:rsid w:val="00DA32F9"/>
    <w:rsid w:val="00DA3DF0"/>
    <w:rsid w:val="00DA4731"/>
    <w:rsid w:val="00DA4736"/>
    <w:rsid w:val="00DA4823"/>
    <w:rsid w:val="00DA4E56"/>
    <w:rsid w:val="00DA50B5"/>
    <w:rsid w:val="00DA565B"/>
    <w:rsid w:val="00DA662E"/>
    <w:rsid w:val="00DA69BB"/>
    <w:rsid w:val="00DA6EF7"/>
    <w:rsid w:val="00DA7223"/>
    <w:rsid w:val="00DA7EBA"/>
    <w:rsid w:val="00DB0514"/>
    <w:rsid w:val="00DB0858"/>
    <w:rsid w:val="00DB104D"/>
    <w:rsid w:val="00DB12B5"/>
    <w:rsid w:val="00DB15CF"/>
    <w:rsid w:val="00DB19A3"/>
    <w:rsid w:val="00DB1DB4"/>
    <w:rsid w:val="00DB2091"/>
    <w:rsid w:val="00DB34FE"/>
    <w:rsid w:val="00DB3D68"/>
    <w:rsid w:val="00DB3F8B"/>
    <w:rsid w:val="00DB7767"/>
    <w:rsid w:val="00DB7946"/>
    <w:rsid w:val="00DB7C33"/>
    <w:rsid w:val="00DC0A4F"/>
    <w:rsid w:val="00DC11AE"/>
    <w:rsid w:val="00DC1848"/>
    <w:rsid w:val="00DC1B5E"/>
    <w:rsid w:val="00DC36B1"/>
    <w:rsid w:val="00DC41FB"/>
    <w:rsid w:val="00DC4346"/>
    <w:rsid w:val="00DC4352"/>
    <w:rsid w:val="00DC4377"/>
    <w:rsid w:val="00DC4833"/>
    <w:rsid w:val="00DC621B"/>
    <w:rsid w:val="00DC640E"/>
    <w:rsid w:val="00DC65C5"/>
    <w:rsid w:val="00DC7880"/>
    <w:rsid w:val="00DD00EC"/>
    <w:rsid w:val="00DD04DF"/>
    <w:rsid w:val="00DD04F0"/>
    <w:rsid w:val="00DD0CE8"/>
    <w:rsid w:val="00DD23C0"/>
    <w:rsid w:val="00DD2885"/>
    <w:rsid w:val="00DD2EA3"/>
    <w:rsid w:val="00DD34F4"/>
    <w:rsid w:val="00DD4271"/>
    <w:rsid w:val="00DD5D0A"/>
    <w:rsid w:val="00DD6404"/>
    <w:rsid w:val="00DD6449"/>
    <w:rsid w:val="00DD7266"/>
    <w:rsid w:val="00DD7B00"/>
    <w:rsid w:val="00DD7BB9"/>
    <w:rsid w:val="00DE0154"/>
    <w:rsid w:val="00DE0B00"/>
    <w:rsid w:val="00DE14C3"/>
    <w:rsid w:val="00DE1502"/>
    <w:rsid w:val="00DE174E"/>
    <w:rsid w:val="00DE1D77"/>
    <w:rsid w:val="00DE1E46"/>
    <w:rsid w:val="00DE2003"/>
    <w:rsid w:val="00DE2770"/>
    <w:rsid w:val="00DE2799"/>
    <w:rsid w:val="00DE2AFA"/>
    <w:rsid w:val="00DE3198"/>
    <w:rsid w:val="00DE3232"/>
    <w:rsid w:val="00DE36C3"/>
    <w:rsid w:val="00DE4099"/>
    <w:rsid w:val="00DE43A2"/>
    <w:rsid w:val="00DE4599"/>
    <w:rsid w:val="00DE47A0"/>
    <w:rsid w:val="00DE5274"/>
    <w:rsid w:val="00DE5AB5"/>
    <w:rsid w:val="00DE5EE4"/>
    <w:rsid w:val="00DE6A6E"/>
    <w:rsid w:val="00DE756A"/>
    <w:rsid w:val="00DE7570"/>
    <w:rsid w:val="00DF0CDA"/>
    <w:rsid w:val="00DF0D99"/>
    <w:rsid w:val="00DF1341"/>
    <w:rsid w:val="00DF160B"/>
    <w:rsid w:val="00DF1EAF"/>
    <w:rsid w:val="00DF1F0C"/>
    <w:rsid w:val="00DF1F15"/>
    <w:rsid w:val="00DF2E54"/>
    <w:rsid w:val="00DF2FD1"/>
    <w:rsid w:val="00DF51A8"/>
    <w:rsid w:val="00DF62C5"/>
    <w:rsid w:val="00DF64AC"/>
    <w:rsid w:val="00DF64F1"/>
    <w:rsid w:val="00DF6981"/>
    <w:rsid w:val="00DF705D"/>
    <w:rsid w:val="00DF73F0"/>
    <w:rsid w:val="00DF7572"/>
    <w:rsid w:val="00E0060B"/>
    <w:rsid w:val="00E007E3"/>
    <w:rsid w:val="00E00967"/>
    <w:rsid w:val="00E00DE0"/>
    <w:rsid w:val="00E01984"/>
    <w:rsid w:val="00E0280D"/>
    <w:rsid w:val="00E0305F"/>
    <w:rsid w:val="00E04206"/>
    <w:rsid w:val="00E0472B"/>
    <w:rsid w:val="00E053F2"/>
    <w:rsid w:val="00E066CF"/>
    <w:rsid w:val="00E06708"/>
    <w:rsid w:val="00E06951"/>
    <w:rsid w:val="00E11AE2"/>
    <w:rsid w:val="00E121AE"/>
    <w:rsid w:val="00E12E0E"/>
    <w:rsid w:val="00E13A2D"/>
    <w:rsid w:val="00E1435E"/>
    <w:rsid w:val="00E14414"/>
    <w:rsid w:val="00E14804"/>
    <w:rsid w:val="00E158D8"/>
    <w:rsid w:val="00E162BF"/>
    <w:rsid w:val="00E16529"/>
    <w:rsid w:val="00E16592"/>
    <w:rsid w:val="00E165F2"/>
    <w:rsid w:val="00E16EB0"/>
    <w:rsid w:val="00E175B4"/>
    <w:rsid w:val="00E17885"/>
    <w:rsid w:val="00E17A7C"/>
    <w:rsid w:val="00E2056C"/>
    <w:rsid w:val="00E206F0"/>
    <w:rsid w:val="00E20744"/>
    <w:rsid w:val="00E213FD"/>
    <w:rsid w:val="00E21608"/>
    <w:rsid w:val="00E216CC"/>
    <w:rsid w:val="00E21A39"/>
    <w:rsid w:val="00E21C9E"/>
    <w:rsid w:val="00E21F0B"/>
    <w:rsid w:val="00E22D3B"/>
    <w:rsid w:val="00E22EF8"/>
    <w:rsid w:val="00E2318A"/>
    <w:rsid w:val="00E23A2A"/>
    <w:rsid w:val="00E23D03"/>
    <w:rsid w:val="00E23E6E"/>
    <w:rsid w:val="00E24023"/>
    <w:rsid w:val="00E249E5"/>
    <w:rsid w:val="00E24E49"/>
    <w:rsid w:val="00E2688B"/>
    <w:rsid w:val="00E26C00"/>
    <w:rsid w:val="00E26E47"/>
    <w:rsid w:val="00E27101"/>
    <w:rsid w:val="00E27727"/>
    <w:rsid w:val="00E27AEA"/>
    <w:rsid w:val="00E27F2A"/>
    <w:rsid w:val="00E305B0"/>
    <w:rsid w:val="00E316A4"/>
    <w:rsid w:val="00E31F5A"/>
    <w:rsid w:val="00E325A2"/>
    <w:rsid w:val="00E33CAA"/>
    <w:rsid w:val="00E347C2"/>
    <w:rsid w:val="00E34A35"/>
    <w:rsid w:val="00E34A5E"/>
    <w:rsid w:val="00E34D9B"/>
    <w:rsid w:val="00E35183"/>
    <w:rsid w:val="00E35502"/>
    <w:rsid w:val="00E35B6E"/>
    <w:rsid w:val="00E35D6F"/>
    <w:rsid w:val="00E35E93"/>
    <w:rsid w:val="00E36176"/>
    <w:rsid w:val="00E368D1"/>
    <w:rsid w:val="00E36DAE"/>
    <w:rsid w:val="00E371BF"/>
    <w:rsid w:val="00E37405"/>
    <w:rsid w:val="00E37D5D"/>
    <w:rsid w:val="00E402A7"/>
    <w:rsid w:val="00E403FF"/>
    <w:rsid w:val="00E41248"/>
    <w:rsid w:val="00E41ED9"/>
    <w:rsid w:val="00E43009"/>
    <w:rsid w:val="00E43A4B"/>
    <w:rsid w:val="00E451FF"/>
    <w:rsid w:val="00E45362"/>
    <w:rsid w:val="00E4566C"/>
    <w:rsid w:val="00E45C15"/>
    <w:rsid w:val="00E460C7"/>
    <w:rsid w:val="00E46510"/>
    <w:rsid w:val="00E46AD1"/>
    <w:rsid w:val="00E46DB2"/>
    <w:rsid w:val="00E47603"/>
    <w:rsid w:val="00E47660"/>
    <w:rsid w:val="00E47B9C"/>
    <w:rsid w:val="00E47BD3"/>
    <w:rsid w:val="00E50222"/>
    <w:rsid w:val="00E50460"/>
    <w:rsid w:val="00E5075E"/>
    <w:rsid w:val="00E50F12"/>
    <w:rsid w:val="00E51E81"/>
    <w:rsid w:val="00E51FB5"/>
    <w:rsid w:val="00E52D3E"/>
    <w:rsid w:val="00E53029"/>
    <w:rsid w:val="00E532BC"/>
    <w:rsid w:val="00E5350C"/>
    <w:rsid w:val="00E53A36"/>
    <w:rsid w:val="00E53D64"/>
    <w:rsid w:val="00E53D89"/>
    <w:rsid w:val="00E53FEA"/>
    <w:rsid w:val="00E543C3"/>
    <w:rsid w:val="00E546E6"/>
    <w:rsid w:val="00E555AB"/>
    <w:rsid w:val="00E55803"/>
    <w:rsid w:val="00E55E63"/>
    <w:rsid w:val="00E5644A"/>
    <w:rsid w:val="00E57502"/>
    <w:rsid w:val="00E577F9"/>
    <w:rsid w:val="00E57961"/>
    <w:rsid w:val="00E57DB6"/>
    <w:rsid w:val="00E57F06"/>
    <w:rsid w:val="00E604BC"/>
    <w:rsid w:val="00E6086A"/>
    <w:rsid w:val="00E60B30"/>
    <w:rsid w:val="00E60E0B"/>
    <w:rsid w:val="00E61049"/>
    <w:rsid w:val="00E6113D"/>
    <w:rsid w:val="00E612CF"/>
    <w:rsid w:val="00E614BC"/>
    <w:rsid w:val="00E61881"/>
    <w:rsid w:val="00E61B6D"/>
    <w:rsid w:val="00E61C86"/>
    <w:rsid w:val="00E62214"/>
    <w:rsid w:val="00E6283A"/>
    <w:rsid w:val="00E62C7F"/>
    <w:rsid w:val="00E630CF"/>
    <w:rsid w:val="00E63562"/>
    <w:rsid w:val="00E635A4"/>
    <w:rsid w:val="00E64044"/>
    <w:rsid w:val="00E641DD"/>
    <w:rsid w:val="00E64239"/>
    <w:rsid w:val="00E64A29"/>
    <w:rsid w:val="00E64DCB"/>
    <w:rsid w:val="00E652DB"/>
    <w:rsid w:val="00E66D13"/>
    <w:rsid w:val="00E67356"/>
    <w:rsid w:val="00E6748D"/>
    <w:rsid w:val="00E70CB0"/>
    <w:rsid w:val="00E70DE4"/>
    <w:rsid w:val="00E7100E"/>
    <w:rsid w:val="00E71E16"/>
    <w:rsid w:val="00E71F1C"/>
    <w:rsid w:val="00E729B6"/>
    <w:rsid w:val="00E736D8"/>
    <w:rsid w:val="00E736FB"/>
    <w:rsid w:val="00E738D0"/>
    <w:rsid w:val="00E73C26"/>
    <w:rsid w:val="00E74105"/>
    <w:rsid w:val="00E75B10"/>
    <w:rsid w:val="00E76E47"/>
    <w:rsid w:val="00E774ED"/>
    <w:rsid w:val="00E80739"/>
    <w:rsid w:val="00E807A8"/>
    <w:rsid w:val="00E80827"/>
    <w:rsid w:val="00E811D7"/>
    <w:rsid w:val="00E8257B"/>
    <w:rsid w:val="00E834F2"/>
    <w:rsid w:val="00E83D03"/>
    <w:rsid w:val="00E8445C"/>
    <w:rsid w:val="00E85B06"/>
    <w:rsid w:val="00E8742B"/>
    <w:rsid w:val="00E87459"/>
    <w:rsid w:val="00E87711"/>
    <w:rsid w:val="00E87F54"/>
    <w:rsid w:val="00E90604"/>
    <w:rsid w:val="00E90658"/>
    <w:rsid w:val="00E9072C"/>
    <w:rsid w:val="00E908FF"/>
    <w:rsid w:val="00E91AF8"/>
    <w:rsid w:val="00E91D44"/>
    <w:rsid w:val="00E9201A"/>
    <w:rsid w:val="00E9262D"/>
    <w:rsid w:val="00E92D29"/>
    <w:rsid w:val="00E93481"/>
    <w:rsid w:val="00E93986"/>
    <w:rsid w:val="00E94003"/>
    <w:rsid w:val="00E94278"/>
    <w:rsid w:val="00E94444"/>
    <w:rsid w:val="00E9473A"/>
    <w:rsid w:val="00E9542A"/>
    <w:rsid w:val="00E95BE8"/>
    <w:rsid w:val="00E95FD0"/>
    <w:rsid w:val="00E9666E"/>
    <w:rsid w:val="00E9748F"/>
    <w:rsid w:val="00EA02BF"/>
    <w:rsid w:val="00EA06CA"/>
    <w:rsid w:val="00EA07EE"/>
    <w:rsid w:val="00EA0949"/>
    <w:rsid w:val="00EA103F"/>
    <w:rsid w:val="00EA1D11"/>
    <w:rsid w:val="00EA25BF"/>
    <w:rsid w:val="00EA2814"/>
    <w:rsid w:val="00EA2A33"/>
    <w:rsid w:val="00EA3029"/>
    <w:rsid w:val="00EA3803"/>
    <w:rsid w:val="00EA3F71"/>
    <w:rsid w:val="00EA41CF"/>
    <w:rsid w:val="00EA43E0"/>
    <w:rsid w:val="00EA45F5"/>
    <w:rsid w:val="00EA47FD"/>
    <w:rsid w:val="00EA492C"/>
    <w:rsid w:val="00EA4E76"/>
    <w:rsid w:val="00EA4ED8"/>
    <w:rsid w:val="00EA5586"/>
    <w:rsid w:val="00EA57C4"/>
    <w:rsid w:val="00EA59C8"/>
    <w:rsid w:val="00EA5A79"/>
    <w:rsid w:val="00EA628F"/>
    <w:rsid w:val="00EA7588"/>
    <w:rsid w:val="00EB0618"/>
    <w:rsid w:val="00EB0F4A"/>
    <w:rsid w:val="00EB1314"/>
    <w:rsid w:val="00EB1581"/>
    <w:rsid w:val="00EB16BC"/>
    <w:rsid w:val="00EB20C7"/>
    <w:rsid w:val="00EB29F6"/>
    <w:rsid w:val="00EB2BA9"/>
    <w:rsid w:val="00EB35E5"/>
    <w:rsid w:val="00EB40DA"/>
    <w:rsid w:val="00EB43E0"/>
    <w:rsid w:val="00EB48AE"/>
    <w:rsid w:val="00EB5FAA"/>
    <w:rsid w:val="00EB68CD"/>
    <w:rsid w:val="00EB6A7A"/>
    <w:rsid w:val="00EB6D5A"/>
    <w:rsid w:val="00EB6E9A"/>
    <w:rsid w:val="00EC00E5"/>
    <w:rsid w:val="00EC03EA"/>
    <w:rsid w:val="00EC1011"/>
    <w:rsid w:val="00EC150B"/>
    <w:rsid w:val="00EC19CD"/>
    <w:rsid w:val="00EC2F46"/>
    <w:rsid w:val="00EC3B5E"/>
    <w:rsid w:val="00EC3BEF"/>
    <w:rsid w:val="00EC3E26"/>
    <w:rsid w:val="00EC4509"/>
    <w:rsid w:val="00EC4D7A"/>
    <w:rsid w:val="00EC505A"/>
    <w:rsid w:val="00EC52E1"/>
    <w:rsid w:val="00EC53BA"/>
    <w:rsid w:val="00EC5FB3"/>
    <w:rsid w:val="00EC5FF5"/>
    <w:rsid w:val="00EC68B2"/>
    <w:rsid w:val="00EC6EF6"/>
    <w:rsid w:val="00EC70D9"/>
    <w:rsid w:val="00EC7703"/>
    <w:rsid w:val="00EC7B31"/>
    <w:rsid w:val="00EC7DD4"/>
    <w:rsid w:val="00ED076E"/>
    <w:rsid w:val="00ED12FA"/>
    <w:rsid w:val="00ED143C"/>
    <w:rsid w:val="00ED15D2"/>
    <w:rsid w:val="00ED1941"/>
    <w:rsid w:val="00ED1CD7"/>
    <w:rsid w:val="00ED1E2A"/>
    <w:rsid w:val="00ED24F4"/>
    <w:rsid w:val="00ED2D36"/>
    <w:rsid w:val="00ED3FBB"/>
    <w:rsid w:val="00ED4319"/>
    <w:rsid w:val="00ED47BC"/>
    <w:rsid w:val="00ED49AA"/>
    <w:rsid w:val="00ED4A5C"/>
    <w:rsid w:val="00ED58ED"/>
    <w:rsid w:val="00ED62E9"/>
    <w:rsid w:val="00ED788F"/>
    <w:rsid w:val="00EE0571"/>
    <w:rsid w:val="00EE06B8"/>
    <w:rsid w:val="00EE09FA"/>
    <w:rsid w:val="00EE0DE0"/>
    <w:rsid w:val="00EE13FF"/>
    <w:rsid w:val="00EE176A"/>
    <w:rsid w:val="00EE181A"/>
    <w:rsid w:val="00EE206C"/>
    <w:rsid w:val="00EE32A1"/>
    <w:rsid w:val="00EE339A"/>
    <w:rsid w:val="00EE33A4"/>
    <w:rsid w:val="00EE40D2"/>
    <w:rsid w:val="00EE4682"/>
    <w:rsid w:val="00EE4986"/>
    <w:rsid w:val="00EE5118"/>
    <w:rsid w:val="00EE5992"/>
    <w:rsid w:val="00EE5B66"/>
    <w:rsid w:val="00EE6457"/>
    <w:rsid w:val="00EE675F"/>
    <w:rsid w:val="00EE6B99"/>
    <w:rsid w:val="00EE75E2"/>
    <w:rsid w:val="00EF011F"/>
    <w:rsid w:val="00EF0628"/>
    <w:rsid w:val="00EF0738"/>
    <w:rsid w:val="00EF0BAB"/>
    <w:rsid w:val="00EF0DC7"/>
    <w:rsid w:val="00EF0F8B"/>
    <w:rsid w:val="00EF10A9"/>
    <w:rsid w:val="00EF11F1"/>
    <w:rsid w:val="00EF17D8"/>
    <w:rsid w:val="00EF1ED2"/>
    <w:rsid w:val="00EF27DC"/>
    <w:rsid w:val="00EF3F02"/>
    <w:rsid w:val="00EF46A9"/>
    <w:rsid w:val="00EF5AD4"/>
    <w:rsid w:val="00EF5D40"/>
    <w:rsid w:val="00EF61E1"/>
    <w:rsid w:val="00EF6D45"/>
    <w:rsid w:val="00EF7582"/>
    <w:rsid w:val="00EF7C34"/>
    <w:rsid w:val="00F008A8"/>
    <w:rsid w:val="00F00A8D"/>
    <w:rsid w:val="00F00CAD"/>
    <w:rsid w:val="00F01064"/>
    <w:rsid w:val="00F010FB"/>
    <w:rsid w:val="00F02049"/>
    <w:rsid w:val="00F02173"/>
    <w:rsid w:val="00F023FB"/>
    <w:rsid w:val="00F02DA9"/>
    <w:rsid w:val="00F02FCE"/>
    <w:rsid w:val="00F0329E"/>
    <w:rsid w:val="00F033C7"/>
    <w:rsid w:val="00F03AD3"/>
    <w:rsid w:val="00F04F1E"/>
    <w:rsid w:val="00F05218"/>
    <w:rsid w:val="00F05D10"/>
    <w:rsid w:val="00F0658D"/>
    <w:rsid w:val="00F0768E"/>
    <w:rsid w:val="00F1002C"/>
    <w:rsid w:val="00F11655"/>
    <w:rsid w:val="00F11F7C"/>
    <w:rsid w:val="00F12254"/>
    <w:rsid w:val="00F126E5"/>
    <w:rsid w:val="00F12C99"/>
    <w:rsid w:val="00F13522"/>
    <w:rsid w:val="00F13757"/>
    <w:rsid w:val="00F13C80"/>
    <w:rsid w:val="00F147AF"/>
    <w:rsid w:val="00F14AE4"/>
    <w:rsid w:val="00F14EC2"/>
    <w:rsid w:val="00F14FCE"/>
    <w:rsid w:val="00F157D0"/>
    <w:rsid w:val="00F157F2"/>
    <w:rsid w:val="00F16247"/>
    <w:rsid w:val="00F16775"/>
    <w:rsid w:val="00F16B27"/>
    <w:rsid w:val="00F17056"/>
    <w:rsid w:val="00F170DD"/>
    <w:rsid w:val="00F177DF"/>
    <w:rsid w:val="00F17AA5"/>
    <w:rsid w:val="00F2089A"/>
    <w:rsid w:val="00F20BDC"/>
    <w:rsid w:val="00F20BED"/>
    <w:rsid w:val="00F211BD"/>
    <w:rsid w:val="00F21ECD"/>
    <w:rsid w:val="00F2242F"/>
    <w:rsid w:val="00F233E2"/>
    <w:rsid w:val="00F242D8"/>
    <w:rsid w:val="00F24445"/>
    <w:rsid w:val="00F25057"/>
    <w:rsid w:val="00F251C2"/>
    <w:rsid w:val="00F269DC"/>
    <w:rsid w:val="00F26DBF"/>
    <w:rsid w:val="00F26FE5"/>
    <w:rsid w:val="00F27256"/>
    <w:rsid w:val="00F27446"/>
    <w:rsid w:val="00F2748A"/>
    <w:rsid w:val="00F27ED2"/>
    <w:rsid w:val="00F3042E"/>
    <w:rsid w:val="00F30433"/>
    <w:rsid w:val="00F30DBF"/>
    <w:rsid w:val="00F311AE"/>
    <w:rsid w:val="00F31D2A"/>
    <w:rsid w:val="00F3301D"/>
    <w:rsid w:val="00F33966"/>
    <w:rsid w:val="00F33EBC"/>
    <w:rsid w:val="00F3413F"/>
    <w:rsid w:val="00F34CBE"/>
    <w:rsid w:val="00F35474"/>
    <w:rsid w:val="00F35840"/>
    <w:rsid w:val="00F35A85"/>
    <w:rsid w:val="00F35CBD"/>
    <w:rsid w:val="00F36220"/>
    <w:rsid w:val="00F365D2"/>
    <w:rsid w:val="00F369E8"/>
    <w:rsid w:val="00F3760B"/>
    <w:rsid w:val="00F404D3"/>
    <w:rsid w:val="00F4148D"/>
    <w:rsid w:val="00F4176C"/>
    <w:rsid w:val="00F423AD"/>
    <w:rsid w:val="00F423AF"/>
    <w:rsid w:val="00F42E73"/>
    <w:rsid w:val="00F42FFB"/>
    <w:rsid w:val="00F4307A"/>
    <w:rsid w:val="00F4371D"/>
    <w:rsid w:val="00F43783"/>
    <w:rsid w:val="00F440A5"/>
    <w:rsid w:val="00F4434D"/>
    <w:rsid w:val="00F444D5"/>
    <w:rsid w:val="00F4540F"/>
    <w:rsid w:val="00F454F1"/>
    <w:rsid w:val="00F455F2"/>
    <w:rsid w:val="00F458DF"/>
    <w:rsid w:val="00F4670D"/>
    <w:rsid w:val="00F46B07"/>
    <w:rsid w:val="00F47722"/>
    <w:rsid w:val="00F50F0E"/>
    <w:rsid w:val="00F51114"/>
    <w:rsid w:val="00F511AF"/>
    <w:rsid w:val="00F513E5"/>
    <w:rsid w:val="00F515AF"/>
    <w:rsid w:val="00F52524"/>
    <w:rsid w:val="00F5267F"/>
    <w:rsid w:val="00F52E50"/>
    <w:rsid w:val="00F53684"/>
    <w:rsid w:val="00F53C0D"/>
    <w:rsid w:val="00F5423C"/>
    <w:rsid w:val="00F54391"/>
    <w:rsid w:val="00F54D07"/>
    <w:rsid w:val="00F54DC1"/>
    <w:rsid w:val="00F54E06"/>
    <w:rsid w:val="00F54EB3"/>
    <w:rsid w:val="00F55CBD"/>
    <w:rsid w:val="00F56194"/>
    <w:rsid w:val="00F56984"/>
    <w:rsid w:val="00F572F5"/>
    <w:rsid w:val="00F57817"/>
    <w:rsid w:val="00F57C22"/>
    <w:rsid w:val="00F57C48"/>
    <w:rsid w:val="00F60554"/>
    <w:rsid w:val="00F608C6"/>
    <w:rsid w:val="00F6109C"/>
    <w:rsid w:val="00F61161"/>
    <w:rsid w:val="00F6118A"/>
    <w:rsid w:val="00F62568"/>
    <w:rsid w:val="00F627BC"/>
    <w:rsid w:val="00F6282A"/>
    <w:rsid w:val="00F62BCC"/>
    <w:rsid w:val="00F62DB0"/>
    <w:rsid w:val="00F63269"/>
    <w:rsid w:val="00F6366F"/>
    <w:rsid w:val="00F6372D"/>
    <w:rsid w:val="00F63830"/>
    <w:rsid w:val="00F645F0"/>
    <w:rsid w:val="00F6494A"/>
    <w:rsid w:val="00F649F0"/>
    <w:rsid w:val="00F64E65"/>
    <w:rsid w:val="00F651FB"/>
    <w:rsid w:val="00F65593"/>
    <w:rsid w:val="00F65D51"/>
    <w:rsid w:val="00F66671"/>
    <w:rsid w:val="00F66AC9"/>
    <w:rsid w:val="00F6770D"/>
    <w:rsid w:val="00F706CD"/>
    <w:rsid w:val="00F709E6"/>
    <w:rsid w:val="00F70EF1"/>
    <w:rsid w:val="00F70F52"/>
    <w:rsid w:val="00F71A75"/>
    <w:rsid w:val="00F72160"/>
    <w:rsid w:val="00F72846"/>
    <w:rsid w:val="00F733DE"/>
    <w:rsid w:val="00F73579"/>
    <w:rsid w:val="00F73B64"/>
    <w:rsid w:val="00F73D55"/>
    <w:rsid w:val="00F7411D"/>
    <w:rsid w:val="00F747B4"/>
    <w:rsid w:val="00F7534C"/>
    <w:rsid w:val="00F753C6"/>
    <w:rsid w:val="00F758D7"/>
    <w:rsid w:val="00F7693B"/>
    <w:rsid w:val="00F76996"/>
    <w:rsid w:val="00F77149"/>
    <w:rsid w:val="00F77A45"/>
    <w:rsid w:val="00F77FD2"/>
    <w:rsid w:val="00F8073A"/>
    <w:rsid w:val="00F80A4F"/>
    <w:rsid w:val="00F80D53"/>
    <w:rsid w:val="00F80D8C"/>
    <w:rsid w:val="00F81209"/>
    <w:rsid w:val="00F819F7"/>
    <w:rsid w:val="00F81BC6"/>
    <w:rsid w:val="00F82190"/>
    <w:rsid w:val="00F822BB"/>
    <w:rsid w:val="00F829E8"/>
    <w:rsid w:val="00F82BA4"/>
    <w:rsid w:val="00F836A6"/>
    <w:rsid w:val="00F83A47"/>
    <w:rsid w:val="00F83A5A"/>
    <w:rsid w:val="00F83DBE"/>
    <w:rsid w:val="00F83F90"/>
    <w:rsid w:val="00F84122"/>
    <w:rsid w:val="00F84312"/>
    <w:rsid w:val="00F844FA"/>
    <w:rsid w:val="00F848A5"/>
    <w:rsid w:val="00F85534"/>
    <w:rsid w:val="00F85EB6"/>
    <w:rsid w:val="00F860C8"/>
    <w:rsid w:val="00F86100"/>
    <w:rsid w:val="00F86131"/>
    <w:rsid w:val="00F86733"/>
    <w:rsid w:val="00F8746F"/>
    <w:rsid w:val="00F87718"/>
    <w:rsid w:val="00F904FC"/>
    <w:rsid w:val="00F906A9"/>
    <w:rsid w:val="00F90720"/>
    <w:rsid w:val="00F91AB9"/>
    <w:rsid w:val="00F92224"/>
    <w:rsid w:val="00F9263E"/>
    <w:rsid w:val="00F92993"/>
    <w:rsid w:val="00F92B5D"/>
    <w:rsid w:val="00F92BB9"/>
    <w:rsid w:val="00F92DE7"/>
    <w:rsid w:val="00F92E82"/>
    <w:rsid w:val="00F92EBC"/>
    <w:rsid w:val="00F94A9A"/>
    <w:rsid w:val="00F95AC7"/>
    <w:rsid w:val="00F9638E"/>
    <w:rsid w:val="00F97AD9"/>
    <w:rsid w:val="00FA011A"/>
    <w:rsid w:val="00FA0ADF"/>
    <w:rsid w:val="00FA1473"/>
    <w:rsid w:val="00FA1727"/>
    <w:rsid w:val="00FA1784"/>
    <w:rsid w:val="00FA1CCE"/>
    <w:rsid w:val="00FA2088"/>
    <w:rsid w:val="00FA226F"/>
    <w:rsid w:val="00FA22F7"/>
    <w:rsid w:val="00FA2901"/>
    <w:rsid w:val="00FA2A45"/>
    <w:rsid w:val="00FA2A71"/>
    <w:rsid w:val="00FA2C1F"/>
    <w:rsid w:val="00FA2E0B"/>
    <w:rsid w:val="00FA341C"/>
    <w:rsid w:val="00FA3882"/>
    <w:rsid w:val="00FA3D70"/>
    <w:rsid w:val="00FA3F5C"/>
    <w:rsid w:val="00FA46B0"/>
    <w:rsid w:val="00FA5410"/>
    <w:rsid w:val="00FA55A0"/>
    <w:rsid w:val="00FA56F6"/>
    <w:rsid w:val="00FA57AD"/>
    <w:rsid w:val="00FA5C5B"/>
    <w:rsid w:val="00FA5E1C"/>
    <w:rsid w:val="00FA5F06"/>
    <w:rsid w:val="00FA5F72"/>
    <w:rsid w:val="00FA6565"/>
    <w:rsid w:val="00FA6686"/>
    <w:rsid w:val="00FA6EB2"/>
    <w:rsid w:val="00FA6F1E"/>
    <w:rsid w:val="00FA7BC6"/>
    <w:rsid w:val="00FB008B"/>
    <w:rsid w:val="00FB02A7"/>
    <w:rsid w:val="00FB087E"/>
    <w:rsid w:val="00FB15F6"/>
    <w:rsid w:val="00FB1866"/>
    <w:rsid w:val="00FB192D"/>
    <w:rsid w:val="00FB1A51"/>
    <w:rsid w:val="00FB2752"/>
    <w:rsid w:val="00FB2A5A"/>
    <w:rsid w:val="00FB31DE"/>
    <w:rsid w:val="00FB3B05"/>
    <w:rsid w:val="00FB4089"/>
    <w:rsid w:val="00FB5196"/>
    <w:rsid w:val="00FB51A1"/>
    <w:rsid w:val="00FB556E"/>
    <w:rsid w:val="00FB55D9"/>
    <w:rsid w:val="00FB5817"/>
    <w:rsid w:val="00FB5F51"/>
    <w:rsid w:val="00FB5F98"/>
    <w:rsid w:val="00FB631F"/>
    <w:rsid w:val="00FB6337"/>
    <w:rsid w:val="00FB6626"/>
    <w:rsid w:val="00FB6BB6"/>
    <w:rsid w:val="00FB6EC9"/>
    <w:rsid w:val="00FB7B34"/>
    <w:rsid w:val="00FC0989"/>
    <w:rsid w:val="00FC0A3E"/>
    <w:rsid w:val="00FC0F83"/>
    <w:rsid w:val="00FC0FF7"/>
    <w:rsid w:val="00FC1140"/>
    <w:rsid w:val="00FC284B"/>
    <w:rsid w:val="00FC2A8E"/>
    <w:rsid w:val="00FC376A"/>
    <w:rsid w:val="00FC38B2"/>
    <w:rsid w:val="00FC3935"/>
    <w:rsid w:val="00FC3C17"/>
    <w:rsid w:val="00FC3FF6"/>
    <w:rsid w:val="00FC40BF"/>
    <w:rsid w:val="00FC57A0"/>
    <w:rsid w:val="00FC59CD"/>
    <w:rsid w:val="00FC6080"/>
    <w:rsid w:val="00FC627F"/>
    <w:rsid w:val="00FC6560"/>
    <w:rsid w:val="00FC6AA5"/>
    <w:rsid w:val="00FC6B65"/>
    <w:rsid w:val="00FC743B"/>
    <w:rsid w:val="00FC7640"/>
    <w:rsid w:val="00FC76E9"/>
    <w:rsid w:val="00FC7C10"/>
    <w:rsid w:val="00FD0170"/>
    <w:rsid w:val="00FD046A"/>
    <w:rsid w:val="00FD0672"/>
    <w:rsid w:val="00FD0FD3"/>
    <w:rsid w:val="00FD1508"/>
    <w:rsid w:val="00FD1A2A"/>
    <w:rsid w:val="00FD24AD"/>
    <w:rsid w:val="00FD263E"/>
    <w:rsid w:val="00FD367B"/>
    <w:rsid w:val="00FD3A9B"/>
    <w:rsid w:val="00FD4038"/>
    <w:rsid w:val="00FD4F5A"/>
    <w:rsid w:val="00FD5DB4"/>
    <w:rsid w:val="00FD5F05"/>
    <w:rsid w:val="00FD617C"/>
    <w:rsid w:val="00FD69ED"/>
    <w:rsid w:val="00FD7285"/>
    <w:rsid w:val="00FD738B"/>
    <w:rsid w:val="00FD7E4F"/>
    <w:rsid w:val="00FE03B6"/>
    <w:rsid w:val="00FE061E"/>
    <w:rsid w:val="00FE126C"/>
    <w:rsid w:val="00FE1A03"/>
    <w:rsid w:val="00FE1BC8"/>
    <w:rsid w:val="00FE1D68"/>
    <w:rsid w:val="00FE2422"/>
    <w:rsid w:val="00FE2846"/>
    <w:rsid w:val="00FE290D"/>
    <w:rsid w:val="00FE2A89"/>
    <w:rsid w:val="00FE3021"/>
    <w:rsid w:val="00FE4ACC"/>
    <w:rsid w:val="00FE5C21"/>
    <w:rsid w:val="00FE6083"/>
    <w:rsid w:val="00FE63A0"/>
    <w:rsid w:val="00FE68F2"/>
    <w:rsid w:val="00FE7314"/>
    <w:rsid w:val="00FE761A"/>
    <w:rsid w:val="00FF02E2"/>
    <w:rsid w:val="00FF0728"/>
    <w:rsid w:val="00FF0C3C"/>
    <w:rsid w:val="00FF0DC9"/>
    <w:rsid w:val="00FF11B7"/>
    <w:rsid w:val="00FF202A"/>
    <w:rsid w:val="00FF276F"/>
    <w:rsid w:val="00FF295E"/>
    <w:rsid w:val="00FF414F"/>
    <w:rsid w:val="00FF4517"/>
    <w:rsid w:val="00FF5311"/>
    <w:rsid w:val="00FF5E00"/>
    <w:rsid w:val="00FF623D"/>
    <w:rsid w:val="00FF6C4C"/>
    <w:rsid w:val="00FF7018"/>
    <w:rsid w:val="00FF75A9"/>
    <w:rsid w:val="00FF75C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2DD4E"/>
  <w15:docId w15:val="{53C5F8FE-7DE5-4333-A8B1-1776537E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4FBE"/>
    <w:pPr>
      <w:bidi/>
      <w:spacing w:after="0" w:line="360" w:lineRule="auto"/>
      <w:jc w:val="both"/>
    </w:pPr>
    <w:rPr>
      <w:rFonts w:cs="David"/>
    </w:rPr>
  </w:style>
  <w:style w:type="paragraph" w:styleId="1">
    <w:name w:val="heading 1"/>
    <w:basedOn w:val="a"/>
    <w:next w:val="a"/>
    <w:link w:val="10"/>
    <w:uiPriority w:val="9"/>
    <w:qFormat/>
    <w:rsid w:val="005F2CF6"/>
    <w:pPr>
      <w:keepNext/>
      <w:keepLines/>
      <w:spacing w:line="240" w:lineRule="auto"/>
      <w:outlineLvl w:val="0"/>
    </w:pPr>
    <w:rPr>
      <w:rFonts w:asciiTheme="majorHAnsi" w:eastAsiaTheme="majorEastAsia" w:hAnsiTheme="majorHAnsi"/>
      <w:bCs/>
      <w:sz w:val="32"/>
      <w:szCs w:val="32"/>
    </w:rPr>
  </w:style>
  <w:style w:type="paragraph" w:styleId="2">
    <w:name w:val="heading 2"/>
    <w:basedOn w:val="a"/>
    <w:next w:val="a"/>
    <w:link w:val="20"/>
    <w:uiPriority w:val="9"/>
    <w:unhideWhenUsed/>
    <w:qFormat/>
    <w:rsid w:val="002110C8"/>
    <w:pPr>
      <w:keepNext/>
      <w:keepLines/>
      <w:spacing w:before="40"/>
      <w:outlineLvl w:val="1"/>
    </w:pPr>
    <w:rPr>
      <w:rFonts w:asciiTheme="majorHAnsi" w:eastAsiaTheme="majorEastAsia" w:hAnsiTheme="majorHAnsi"/>
      <w:bCs/>
      <w:sz w:val="26"/>
      <w:szCs w:val="26"/>
    </w:rPr>
  </w:style>
  <w:style w:type="paragraph" w:styleId="3">
    <w:name w:val="heading 3"/>
    <w:basedOn w:val="a"/>
    <w:next w:val="a"/>
    <w:link w:val="30"/>
    <w:uiPriority w:val="9"/>
    <w:unhideWhenUsed/>
    <w:qFormat/>
    <w:rsid w:val="001010AD"/>
    <w:pPr>
      <w:keepNext/>
      <w:keepLines/>
      <w:spacing w:before="40"/>
      <w:outlineLvl w:val="2"/>
    </w:pPr>
    <w:rPr>
      <w:rFonts w:asciiTheme="majorHAnsi" w:eastAsiaTheme="majorEastAsia" w:hAnsiTheme="majorHAnsi"/>
      <w:bCs/>
      <w:sz w:val="24"/>
    </w:rPr>
  </w:style>
  <w:style w:type="paragraph" w:styleId="4">
    <w:name w:val="heading 4"/>
    <w:basedOn w:val="a"/>
    <w:next w:val="a"/>
    <w:link w:val="40"/>
    <w:uiPriority w:val="9"/>
    <w:semiHidden/>
    <w:unhideWhenUsed/>
    <w:qFormat/>
    <w:rsid w:val="001010AD"/>
    <w:pPr>
      <w:keepNext/>
      <w:keepLines/>
      <w:spacing w:before="40"/>
      <w:outlineLvl w:val="3"/>
    </w:pPr>
    <w:rPr>
      <w:rFonts w:asciiTheme="majorHAnsi" w:eastAsiaTheme="majorEastAsia" w:hAnsiTheme="majorHAnsi"/>
      <w:i/>
      <w:iCs/>
      <w:color w:val="C49A00"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F2CF6"/>
    <w:rPr>
      <w:rFonts w:asciiTheme="majorHAnsi" w:eastAsiaTheme="majorEastAsia" w:hAnsiTheme="majorHAnsi" w:cs="David"/>
      <w:bCs/>
      <w:sz w:val="32"/>
      <w:szCs w:val="32"/>
    </w:rPr>
  </w:style>
  <w:style w:type="character" w:customStyle="1" w:styleId="20">
    <w:name w:val="כותרת 2 תו"/>
    <w:basedOn w:val="a0"/>
    <w:link w:val="2"/>
    <w:uiPriority w:val="9"/>
    <w:rsid w:val="002110C8"/>
    <w:rPr>
      <w:rFonts w:asciiTheme="majorHAnsi" w:eastAsiaTheme="majorEastAsia" w:hAnsiTheme="majorHAnsi" w:cs="David"/>
      <w:bCs/>
      <w:sz w:val="26"/>
      <w:szCs w:val="26"/>
    </w:rPr>
  </w:style>
  <w:style w:type="character" w:customStyle="1" w:styleId="30">
    <w:name w:val="כותרת 3 תו"/>
    <w:basedOn w:val="a0"/>
    <w:link w:val="3"/>
    <w:uiPriority w:val="9"/>
    <w:rsid w:val="001010AD"/>
    <w:rPr>
      <w:rFonts w:asciiTheme="majorHAnsi" w:eastAsiaTheme="majorEastAsia" w:hAnsiTheme="majorHAnsi" w:cs="David"/>
      <w:bCs/>
      <w:sz w:val="24"/>
    </w:rPr>
  </w:style>
  <w:style w:type="paragraph" w:styleId="a3">
    <w:name w:val="TOC Heading"/>
    <w:basedOn w:val="1"/>
    <w:next w:val="a"/>
    <w:uiPriority w:val="39"/>
    <w:unhideWhenUsed/>
    <w:qFormat/>
    <w:rsid w:val="001A6BA3"/>
    <w:pPr>
      <w:outlineLvl w:val="9"/>
    </w:pPr>
    <w:rPr>
      <w:rtl/>
      <w:cs/>
    </w:rPr>
  </w:style>
  <w:style w:type="paragraph" w:styleId="TOC1">
    <w:name w:val="toc 1"/>
    <w:basedOn w:val="a"/>
    <w:next w:val="a"/>
    <w:autoRedefine/>
    <w:uiPriority w:val="39"/>
    <w:unhideWhenUsed/>
    <w:rsid w:val="001A6BA3"/>
    <w:pPr>
      <w:spacing w:after="100"/>
    </w:pPr>
  </w:style>
  <w:style w:type="paragraph" w:styleId="TOC2">
    <w:name w:val="toc 2"/>
    <w:basedOn w:val="a"/>
    <w:next w:val="a"/>
    <w:autoRedefine/>
    <w:uiPriority w:val="39"/>
    <w:unhideWhenUsed/>
    <w:rsid w:val="001A6BA3"/>
    <w:pPr>
      <w:spacing w:after="100"/>
      <w:ind w:left="220"/>
    </w:pPr>
  </w:style>
  <w:style w:type="paragraph" w:styleId="TOC3">
    <w:name w:val="toc 3"/>
    <w:basedOn w:val="a"/>
    <w:next w:val="a"/>
    <w:autoRedefine/>
    <w:uiPriority w:val="39"/>
    <w:unhideWhenUsed/>
    <w:rsid w:val="001A6BA3"/>
    <w:pPr>
      <w:spacing w:after="100"/>
      <w:ind w:left="440"/>
    </w:pPr>
  </w:style>
  <w:style w:type="character" w:styleId="Hyperlink">
    <w:name w:val="Hyperlink"/>
    <w:basedOn w:val="a0"/>
    <w:uiPriority w:val="99"/>
    <w:unhideWhenUsed/>
    <w:rsid w:val="001A6BA3"/>
    <w:rPr>
      <w:color w:val="2998E3" w:themeColor="hyperlink"/>
      <w:u w:val="single"/>
    </w:rPr>
  </w:style>
  <w:style w:type="paragraph" w:styleId="a4">
    <w:name w:val="Title"/>
    <w:basedOn w:val="a"/>
    <w:next w:val="a"/>
    <w:link w:val="a5"/>
    <w:uiPriority w:val="10"/>
    <w:qFormat/>
    <w:rsid w:val="00C30103"/>
    <w:pPr>
      <w:spacing w:line="240" w:lineRule="auto"/>
      <w:contextualSpacing/>
    </w:pPr>
    <w:rPr>
      <w:rFonts w:asciiTheme="majorHAnsi" w:eastAsiaTheme="majorEastAsia" w:hAnsiTheme="majorHAnsi"/>
      <w:spacing w:val="-10"/>
      <w:kern w:val="28"/>
      <w:sz w:val="56"/>
      <w:szCs w:val="36"/>
    </w:rPr>
  </w:style>
  <w:style w:type="character" w:customStyle="1" w:styleId="a5">
    <w:name w:val="כותרת טקסט תו"/>
    <w:basedOn w:val="a0"/>
    <w:link w:val="a4"/>
    <w:uiPriority w:val="10"/>
    <w:rsid w:val="00C30103"/>
    <w:rPr>
      <w:rFonts w:asciiTheme="majorHAnsi" w:eastAsiaTheme="majorEastAsia" w:hAnsiTheme="majorHAnsi" w:cs="David"/>
      <w:spacing w:val="-10"/>
      <w:kern w:val="28"/>
      <w:sz w:val="56"/>
      <w:szCs w:val="36"/>
    </w:rPr>
  </w:style>
  <w:style w:type="paragraph" w:styleId="a6">
    <w:name w:val="Subtitle"/>
    <w:basedOn w:val="a"/>
    <w:next w:val="a"/>
    <w:link w:val="a7"/>
    <w:uiPriority w:val="11"/>
    <w:qFormat/>
    <w:rsid w:val="00C30103"/>
    <w:pPr>
      <w:numPr>
        <w:ilvl w:val="1"/>
      </w:numPr>
    </w:pPr>
    <w:rPr>
      <w:rFonts w:eastAsiaTheme="minorEastAsia"/>
      <w:spacing w:val="15"/>
    </w:rPr>
  </w:style>
  <w:style w:type="character" w:customStyle="1" w:styleId="a7">
    <w:name w:val="כותרת משנה תו"/>
    <w:basedOn w:val="a0"/>
    <w:link w:val="a6"/>
    <w:uiPriority w:val="11"/>
    <w:rsid w:val="00C30103"/>
    <w:rPr>
      <w:rFonts w:eastAsiaTheme="minorEastAsia" w:cs="David"/>
      <w:spacing w:val="15"/>
    </w:rPr>
  </w:style>
  <w:style w:type="paragraph" w:styleId="a8">
    <w:name w:val="header"/>
    <w:basedOn w:val="a"/>
    <w:link w:val="a9"/>
    <w:uiPriority w:val="99"/>
    <w:unhideWhenUsed/>
    <w:rsid w:val="00512708"/>
    <w:pPr>
      <w:tabs>
        <w:tab w:val="center" w:pos="4153"/>
        <w:tab w:val="right" w:pos="8306"/>
      </w:tabs>
      <w:spacing w:line="240" w:lineRule="auto"/>
    </w:pPr>
  </w:style>
  <w:style w:type="character" w:customStyle="1" w:styleId="a9">
    <w:name w:val="כותרת עליונה תו"/>
    <w:basedOn w:val="a0"/>
    <w:link w:val="a8"/>
    <w:uiPriority w:val="99"/>
    <w:rsid w:val="00512708"/>
  </w:style>
  <w:style w:type="paragraph" w:styleId="aa">
    <w:name w:val="footer"/>
    <w:basedOn w:val="a"/>
    <w:link w:val="ab"/>
    <w:uiPriority w:val="99"/>
    <w:unhideWhenUsed/>
    <w:rsid w:val="00512708"/>
    <w:pPr>
      <w:tabs>
        <w:tab w:val="center" w:pos="4153"/>
        <w:tab w:val="right" w:pos="8306"/>
      </w:tabs>
      <w:spacing w:line="240" w:lineRule="auto"/>
    </w:pPr>
  </w:style>
  <w:style w:type="character" w:customStyle="1" w:styleId="ab">
    <w:name w:val="כותרת תחתונה תו"/>
    <w:basedOn w:val="a0"/>
    <w:link w:val="aa"/>
    <w:uiPriority w:val="99"/>
    <w:rsid w:val="00512708"/>
  </w:style>
  <w:style w:type="paragraph" w:styleId="ac">
    <w:name w:val="List Paragraph"/>
    <w:basedOn w:val="a"/>
    <w:uiPriority w:val="34"/>
    <w:qFormat/>
    <w:rsid w:val="00922017"/>
    <w:pPr>
      <w:bidi w:val="0"/>
      <w:spacing w:after="200"/>
      <w:ind w:left="720"/>
      <w:contextualSpacing/>
    </w:pPr>
    <w:rPr>
      <w:rFonts w:ascii="Calibri" w:eastAsia="Calibri" w:hAnsi="Calibri"/>
      <w:sz w:val="20"/>
    </w:rPr>
  </w:style>
  <w:style w:type="paragraph" w:styleId="NormalWeb">
    <w:name w:val="Normal (Web)"/>
    <w:basedOn w:val="a"/>
    <w:uiPriority w:val="99"/>
    <w:unhideWhenUsed/>
    <w:rsid w:val="00067C1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כותרת 4 תו"/>
    <w:basedOn w:val="a0"/>
    <w:link w:val="4"/>
    <w:uiPriority w:val="9"/>
    <w:semiHidden/>
    <w:rsid w:val="001010AD"/>
    <w:rPr>
      <w:rFonts w:asciiTheme="majorHAnsi" w:eastAsiaTheme="majorEastAsia" w:hAnsiTheme="majorHAnsi" w:cs="David"/>
      <w:i/>
      <w:iCs/>
      <w:color w:val="C49A00" w:themeColor="accent1" w:themeShade="BF"/>
    </w:rPr>
  </w:style>
  <w:style w:type="table" w:styleId="ad">
    <w:name w:val="Table Grid"/>
    <w:basedOn w:val="a1"/>
    <w:uiPriority w:val="39"/>
    <w:rsid w:val="00C8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1E72B0"/>
    <w:rPr>
      <w:color w:val="605E5C"/>
      <w:shd w:val="clear" w:color="auto" w:fill="E1DFDD"/>
    </w:rPr>
  </w:style>
  <w:style w:type="table" w:styleId="5-4">
    <w:name w:val="Grid Table 5 Dark Accent 4"/>
    <w:basedOn w:val="a1"/>
    <w:uiPriority w:val="50"/>
    <w:rsid w:val="00B6198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styleId="3-4">
    <w:name w:val="Grid Table 3 Accent 4"/>
    <w:basedOn w:val="a1"/>
    <w:uiPriority w:val="48"/>
    <w:rsid w:val="00B61988"/>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4" w:themeFillTint="33"/>
      </w:tcPr>
    </w:tblStylePr>
    <w:tblStylePr w:type="band1Horz">
      <w:tblPr/>
      <w:tcPr>
        <w:shd w:val="clear" w:color="auto" w:fill="FBE2D0" w:themeFill="accent4" w:themeFillTint="33"/>
      </w:tcPr>
    </w:tblStylePr>
    <w:tblStylePr w:type="neCell">
      <w:tblPr/>
      <w:tcPr>
        <w:tcBorders>
          <w:bottom w:val="single" w:sz="4" w:space="0" w:color="F3A873" w:themeColor="accent4" w:themeTint="99"/>
        </w:tcBorders>
      </w:tcPr>
    </w:tblStylePr>
    <w:tblStylePr w:type="nwCell">
      <w:tblPr/>
      <w:tcPr>
        <w:tcBorders>
          <w:bottom w:val="single" w:sz="4" w:space="0" w:color="F3A873" w:themeColor="accent4" w:themeTint="99"/>
        </w:tcBorders>
      </w:tcPr>
    </w:tblStylePr>
    <w:tblStylePr w:type="seCell">
      <w:tblPr/>
      <w:tcPr>
        <w:tcBorders>
          <w:top w:val="single" w:sz="4" w:space="0" w:color="F3A873" w:themeColor="accent4" w:themeTint="99"/>
        </w:tcBorders>
      </w:tcPr>
    </w:tblStylePr>
    <w:tblStylePr w:type="swCell">
      <w:tblPr/>
      <w:tcPr>
        <w:tcBorders>
          <w:top w:val="single" w:sz="4" w:space="0" w:color="F3A873" w:themeColor="accent4" w:themeTint="99"/>
        </w:tcBorders>
      </w:tcPr>
    </w:tblStylePr>
  </w:style>
  <w:style w:type="table" w:styleId="5-3">
    <w:name w:val="Grid Table 5 Dark Accent 3"/>
    <w:basedOn w:val="a1"/>
    <w:uiPriority w:val="50"/>
    <w:rsid w:val="00F62B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styleId="3-3">
    <w:name w:val="Grid Table 3 Accent 3"/>
    <w:basedOn w:val="a1"/>
    <w:uiPriority w:val="48"/>
    <w:rsid w:val="009F4D69"/>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7D8" w:themeFill="accent3" w:themeFillTint="33"/>
      </w:tcPr>
    </w:tblStylePr>
    <w:tblStylePr w:type="band1Horz">
      <w:tblPr/>
      <w:tcPr>
        <w:shd w:val="clear" w:color="auto" w:fill="F5E7D8" w:themeFill="accent3" w:themeFillTint="33"/>
      </w:tcPr>
    </w:tblStylePr>
    <w:tblStylePr w:type="neCell">
      <w:tblPr/>
      <w:tcPr>
        <w:tcBorders>
          <w:bottom w:val="single" w:sz="4" w:space="0" w:color="E1BA8B" w:themeColor="accent3" w:themeTint="99"/>
        </w:tcBorders>
      </w:tcPr>
    </w:tblStylePr>
    <w:tblStylePr w:type="nwCell">
      <w:tblPr/>
      <w:tcPr>
        <w:tcBorders>
          <w:bottom w:val="single" w:sz="4" w:space="0" w:color="E1BA8B" w:themeColor="accent3" w:themeTint="99"/>
        </w:tcBorders>
      </w:tcPr>
    </w:tblStylePr>
    <w:tblStylePr w:type="seCell">
      <w:tblPr/>
      <w:tcPr>
        <w:tcBorders>
          <w:top w:val="single" w:sz="4" w:space="0" w:color="E1BA8B" w:themeColor="accent3" w:themeTint="99"/>
        </w:tcBorders>
      </w:tcPr>
    </w:tblStylePr>
    <w:tblStylePr w:type="swCell">
      <w:tblPr/>
      <w:tcPr>
        <w:tcBorders>
          <w:top w:val="single" w:sz="4" w:space="0" w:color="E1BA8B" w:themeColor="accent3" w:themeTint="99"/>
        </w:tcBorders>
      </w:tcPr>
    </w:tblStylePr>
  </w:style>
  <w:style w:type="paragraph" w:customStyle="1" w:styleId="P00">
    <w:name w:val="P00"/>
    <w:rsid w:val="00E736D8"/>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FrankRuehl"/>
      <w:noProof/>
      <w:sz w:val="20"/>
      <w:szCs w:val="26"/>
      <w:lang w:eastAsia="he-IL"/>
    </w:rPr>
  </w:style>
  <w:style w:type="character" w:customStyle="1" w:styleId="default">
    <w:name w:val="default"/>
    <w:rsid w:val="00E736D8"/>
    <w:rPr>
      <w:rFonts w:ascii="Times New Roman" w:hAnsi="Times New Roman" w:cs="Times New Roman" w:hint="default"/>
      <w:sz w:val="20"/>
      <w:szCs w:val="26"/>
    </w:rPr>
  </w:style>
  <w:style w:type="character" w:customStyle="1" w:styleId="big-number">
    <w:name w:val="big-number"/>
    <w:rsid w:val="00E736D8"/>
    <w:rPr>
      <w:rFonts w:ascii="Times New Roman" w:hAnsi="Times New Roman" w:cs="Miriam" w:hint="default"/>
      <w:sz w:val="20"/>
      <w:szCs w:val="32"/>
    </w:rPr>
  </w:style>
  <w:style w:type="paragraph" w:customStyle="1" w:styleId="p000">
    <w:name w:val="p00"/>
    <w:basedOn w:val="a"/>
    <w:rsid w:val="00F5423C"/>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21">
    <w:name w:val="כותרת 2 מודגש"/>
    <w:basedOn w:val="2"/>
    <w:link w:val="22"/>
    <w:qFormat/>
    <w:rsid w:val="009505CB"/>
    <w:pPr>
      <w:shd w:val="clear" w:color="auto" w:fill="FFDF6A" w:themeFill="accent1" w:themeFillTint="99"/>
    </w:pPr>
  </w:style>
  <w:style w:type="character" w:customStyle="1" w:styleId="22">
    <w:name w:val="כותרת 2 מודגש תו"/>
    <w:basedOn w:val="20"/>
    <w:link w:val="21"/>
    <w:rsid w:val="009505CB"/>
    <w:rPr>
      <w:rFonts w:asciiTheme="majorHAnsi" w:eastAsiaTheme="majorEastAsia" w:hAnsiTheme="majorHAnsi" w:cs="David"/>
      <w:bCs/>
      <w:sz w:val="26"/>
      <w:szCs w:val="26"/>
      <w:shd w:val="clear" w:color="auto" w:fill="FFDF6A" w:themeFill="accent1" w:themeFillTint="99"/>
    </w:rPr>
  </w:style>
  <w:style w:type="paragraph" w:customStyle="1" w:styleId="23">
    <w:name w:val="סגנון2"/>
    <w:basedOn w:val="ac"/>
    <w:link w:val="24"/>
    <w:rsid w:val="00C125E8"/>
    <w:pPr>
      <w:shd w:val="clear" w:color="auto" w:fill="EBE1E1" w:themeFill="accent6" w:themeFillTint="33"/>
      <w:bidi/>
      <w:spacing w:after="40" w:line="259" w:lineRule="auto"/>
      <w:ind w:left="0"/>
    </w:pPr>
    <w:rPr>
      <w:rFonts w:ascii="David" w:eastAsiaTheme="minorHAnsi" w:hAnsi="David"/>
      <w:sz w:val="22"/>
    </w:rPr>
  </w:style>
  <w:style w:type="character" w:customStyle="1" w:styleId="24">
    <w:name w:val="סגנון2 תו"/>
    <w:basedOn w:val="a0"/>
    <w:link w:val="23"/>
    <w:rsid w:val="00C125E8"/>
    <w:rPr>
      <w:rFonts w:ascii="David" w:hAnsi="David" w:cs="David"/>
      <w:shd w:val="clear" w:color="auto" w:fill="EBE1E1" w:themeFill="accent6" w:themeFillTint="33"/>
    </w:rPr>
  </w:style>
  <w:style w:type="paragraph" w:styleId="af">
    <w:name w:val="footnote text"/>
    <w:basedOn w:val="a"/>
    <w:link w:val="af0"/>
    <w:uiPriority w:val="99"/>
    <w:semiHidden/>
    <w:unhideWhenUsed/>
    <w:rsid w:val="00464E6F"/>
    <w:pPr>
      <w:spacing w:line="240" w:lineRule="auto"/>
    </w:pPr>
    <w:rPr>
      <w:sz w:val="20"/>
      <w:szCs w:val="20"/>
    </w:rPr>
  </w:style>
  <w:style w:type="character" w:customStyle="1" w:styleId="af0">
    <w:name w:val="טקסט הערת שוליים תו"/>
    <w:basedOn w:val="a0"/>
    <w:link w:val="af"/>
    <w:uiPriority w:val="99"/>
    <w:semiHidden/>
    <w:rsid w:val="00464E6F"/>
    <w:rPr>
      <w:rFonts w:cs="David"/>
      <w:sz w:val="20"/>
      <w:szCs w:val="20"/>
    </w:rPr>
  </w:style>
  <w:style w:type="character" w:styleId="af1">
    <w:name w:val="footnote reference"/>
    <w:basedOn w:val="a0"/>
    <w:uiPriority w:val="99"/>
    <w:semiHidden/>
    <w:unhideWhenUsed/>
    <w:rsid w:val="00464E6F"/>
    <w:rPr>
      <w:vertAlign w:val="superscript"/>
    </w:rPr>
  </w:style>
  <w:style w:type="paragraph" w:styleId="af2">
    <w:name w:val="No Spacing"/>
    <w:uiPriority w:val="1"/>
    <w:qFormat/>
    <w:rsid w:val="001431FA"/>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07094">
      <w:bodyDiv w:val="1"/>
      <w:marLeft w:val="0"/>
      <w:marRight w:val="0"/>
      <w:marTop w:val="0"/>
      <w:marBottom w:val="0"/>
      <w:divBdr>
        <w:top w:val="none" w:sz="0" w:space="0" w:color="auto"/>
        <w:left w:val="none" w:sz="0" w:space="0" w:color="auto"/>
        <w:bottom w:val="none" w:sz="0" w:space="0" w:color="auto"/>
        <w:right w:val="none" w:sz="0" w:space="0" w:color="auto"/>
      </w:divBdr>
      <w:divsChild>
        <w:div w:id="2073192382">
          <w:marLeft w:val="75"/>
          <w:marRight w:val="150"/>
          <w:marTop w:val="75"/>
          <w:marBottom w:val="75"/>
          <w:divBdr>
            <w:top w:val="none" w:sz="0" w:space="0" w:color="auto"/>
            <w:left w:val="none" w:sz="0" w:space="0" w:color="auto"/>
            <w:bottom w:val="none" w:sz="0" w:space="0" w:color="auto"/>
            <w:right w:val="none" w:sz="0" w:space="0" w:color="auto"/>
          </w:divBdr>
          <w:divsChild>
            <w:div w:id="21263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5043">
      <w:bodyDiv w:val="1"/>
      <w:marLeft w:val="0"/>
      <w:marRight w:val="0"/>
      <w:marTop w:val="0"/>
      <w:marBottom w:val="0"/>
      <w:divBdr>
        <w:top w:val="none" w:sz="0" w:space="0" w:color="auto"/>
        <w:left w:val="none" w:sz="0" w:space="0" w:color="auto"/>
        <w:bottom w:val="none" w:sz="0" w:space="0" w:color="auto"/>
        <w:right w:val="none" w:sz="0" w:space="0" w:color="auto"/>
      </w:divBdr>
    </w:div>
    <w:div w:id="233901702">
      <w:bodyDiv w:val="1"/>
      <w:marLeft w:val="0"/>
      <w:marRight w:val="0"/>
      <w:marTop w:val="0"/>
      <w:marBottom w:val="0"/>
      <w:divBdr>
        <w:top w:val="none" w:sz="0" w:space="0" w:color="auto"/>
        <w:left w:val="none" w:sz="0" w:space="0" w:color="auto"/>
        <w:bottom w:val="none" w:sz="0" w:space="0" w:color="auto"/>
        <w:right w:val="none" w:sz="0" w:space="0" w:color="auto"/>
      </w:divBdr>
    </w:div>
    <w:div w:id="279726208">
      <w:bodyDiv w:val="1"/>
      <w:marLeft w:val="0"/>
      <w:marRight w:val="0"/>
      <w:marTop w:val="0"/>
      <w:marBottom w:val="0"/>
      <w:divBdr>
        <w:top w:val="none" w:sz="0" w:space="0" w:color="auto"/>
        <w:left w:val="none" w:sz="0" w:space="0" w:color="auto"/>
        <w:bottom w:val="none" w:sz="0" w:space="0" w:color="auto"/>
        <w:right w:val="none" w:sz="0" w:space="0" w:color="auto"/>
      </w:divBdr>
      <w:divsChild>
        <w:div w:id="2098599818">
          <w:marLeft w:val="0"/>
          <w:marRight w:val="547"/>
          <w:marTop w:val="0"/>
          <w:marBottom w:val="0"/>
          <w:divBdr>
            <w:top w:val="none" w:sz="0" w:space="0" w:color="auto"/>
            <w:left w:val="none" w:sz="0" w:space="0" w:color="auto"/>
            <w:bottom w:val="none" w:sz="0" w:space="0" w:color="auto"/>
            <w:right w:val="none" w:sz="0" w:space="0" w:color="auto"/>
          </w:divBdr>
        </w:div>
      </w:divsChild>
    </w:div>
    <w:div w:id="345980051">
      <w:bodyDiv w:val="1"/>
      <w:marLeft w:val="0"/>
      <w:marRight w:val="0"/>
      <w:marTop w:val="0"/>
      <w:marBottom w:val="0"/>
      <w:divBdr>
        <w:top w:val="none" w:sz="0" w:space="0" w:color="auto"/>
        <w:left w:val="none" w:sz="0" w:space="0" w:color="auto"/>
        <w:bottom w:val="none" w:sz="0" w:space="0" w:color="auto"/>
        <w:right w:val="none" w:sz="0" w:space="0" w:color="auto"/>
      </w:divBdr>
    </w:div>
    <w:div w:id="404302593">
      <w:bodyDiv w:val="1"/>
      <w:marLeft w:val="0"/>
      <w:marRight w:val="0"/>
      <w:marTop w:val="0"/>
      <w:marBottom w:val="0"/>
      <w:divBdr>
        <w:top w:val="none" w:sz="0" w:space="0" w:color="auto"/>
        <w:left w:val="none" w:sz="0" w:space="0" w:color="auto"/>
        <w:bottom w:val="none" w:sz="0" w:space="0" w:color="auto"/>
        <w:right w:val="none" w:sz="0" w:space="0" w:color="auto"/>
      </w:divBdr>
    </w:div>
    <w:div w:id="473528710">
      <w:bodyDiv w:val="1"/>
      <w:marLeft w:val="0"/>
      <w:marRight w:val="0"/>
      <w:marTop w:val="0"/>
      <w:marBottom w:val="0"/>
      <w:divBdr>
        <w:top w:val="none" w:sz="0" w:space="0" w:color="auto"/>
        <w:left w:val="none" w:sz="0" w:space="0" w:color="auto"/>
        <w:bottom w:val="none" w:sz="0" w:space="0" w:color="auto"/>
        <w:right w:val="none" w:sz="0" w:space="0" w:color="auto"/>
      </w:divBdr>
    </w:div>
    <w:div w:id="547375749">
      <w:bodyDiv w:val="1"/>
      <w:marLeft w:val="0"/>
      <w:marRight w:val="0"/>
      <w:marTop w:val="0"/>
      <w:marBottom w:val="0"/>
      <w:divBdr>
        <w:top w:val="none" w:sz="0" w:space="0" w:color="auto"/>
        <w:left w:val="none" w:sz="0" w:space="0" w:color="auto"/>
        <w:bottom w:val="none" w:sz="0" w:space="0" w:color="auto"/>
        <w:right w:val="none" w:sz="0" w:space="0" w:color="auto"/>
      </w:divBdr>
    </w:div>
    <w:div w:id="669602663">
      <w:bodyDiv w:val="1"/>
      <w:marLeft w:val="0"/>
      <w:marRight w:val="0"/>
      <w:marTop w:val="0"/>
      <w:marBottom w:val="0"/>
      <w:divBdr>
        <w:top w:val="none" w:sz="0" w:space="0" w:color="auto"/>
        <w:left w:val="none" w:sz="0" w:space="0" w:color="auto"/>
        <w:bottom w:val="none" w:sz="0" w:space="0" w:color="auto"/>
        <w:right w:val="none" w:sz="0" w:space="0" w:color="auto"/>
      </w:divBdr>
    </w:div>
    <w:div w:id="670370104">
      <w:bodyDiv w:val="1"/>
      <w:marLeft w:val="0"/>
      <w:marRight w:val="0"/>
      <w:marTop w:val="0"/>
      <w:marBottom w:val="0"/>
      <w:divBdr>
        <w:top w:val="none" w:sz="0" w:space="0" w:color="auto"/>
        <w:left w:val="none" w:sz="0" w:space="0" w:color="auto"/>
        <w:bottom w:val="none" w:sz="0" w:space="0" w:color="auto"/>
        <w:right w:val="none" w:sz="0" w:space="0" w:color="auto"/>
      </w:divBdr>
    </w:div>
    <w:div w:id="781805037">
      <w:bodyDiv w:val="1"/>
      <w:marLeft w:val="0"/>
      <w:marRight w:val="0"/>
      <w:marTop w:val="0"/>
      <w:marBottom w:val="0"/>
      <w:divBdr>
        <w:top w:val="none" w:sz="0" w:space="0" w:color="auto"/>
        <w:left w:val="none" w:sz="0" w:space="0" w:color="auto"/>
        <w:bottom w:val="none" w:sz="0" w:space="0" w:color="auto"/>
        <w:right w:val="none" w:sz="0" w:space="0" w:color="auto"/>
      </w:divBdr>
      <w:divsChild>
        <w:div w:id="567377901">
          <w:marLeft w:val="0"/>
          <w:marRight w:val="0"/>
          <w:marTop w:val="0"/>
          <w:marBottom w:val="0"/>
          <w:divBdr>
            <w:top w:val="none" w:sz="0" w:space="0" w:color="auto"/>
            <w:left w:val="none" w:sz="0" w:space="0" w:color="auto"/>
            <w:bottom w:val="none" w:sz="0" w:space="0" w:color="auto"/>
            <w:right w:val="none" w:sz="0" w:space="0" w:color="auto"/>
          </w:divBdr>
          <w:divsChild>
            <w:div w:id="1219241534">
              <w:marLeft w:val="0"/>
              <w:marRight w:val="0"/>
              <w:marTop w:val="0"/>
              <w:marBottom w:val="0"/>
              <w:divBdr>
                <w:top w:val="none" w:sz="0" w:space="0" w:color="auto"/>
                <w:left w:val="none" w:sz="0" w:space="0" w:color="auto"/>
                <w:bottom w:val="none" w:sz="0" w:space="0" w:color="auto"/>
                <w:right w:val="none" w:sz="0" w:space="0" w:color="auto"/>
              </w:divBdr>
              <w:divsChild>
                <w:div w:id="210073560">
                  <w:marLeft w:val="0"/>
                  <w:marRight w:val="0"/>
                  <w:marTop w:val="0"/>
                  <w:marBottom w:val="0"/>
                  <w:divBdr>
                    <w:top w:val="none" w:sz="0" w:space="0" w:color="auto"/>
                    <w:left w:val="none" w:sz="0" w:space="0" w:color="auto"/>
                    <w:bottom w:val="none" w:sz="0" w:space="0" w:color="auto"/>
                    <w:right w:val="none" w:sz="0" w:space="0" w:color="auto"/>
                  </w:divBdr>
                  <w:divsChild>
                    <w:div w:id="1144157276">
                      <w:marLeft w:val="0"/>
                      <w:marRight w:val="0"/>
                      <w:marTop w:val="120"/>
                      <w:marBottom w:val="0"/>
                      <w:divBdr>
                        <w:top w:val="none" w:sz="0" w:space="0" w:color="auto"/>
                        <w:left w:val="none" w:sz="0" w:space="0" w:color="auto"/>
                        <w:bottom w:val="none" w:sz="0" w:space="0" w:color="auto"/>
                        <w:right w:val="none" w:sz="0" w:space="0" w:color="auto"/>
                      </w:divBdr>
                      <w:divsChild>
                        <w:div w:id="2024894927">
                          <w:marLeft w:val="0"/>
                          <w:marRight w:val="0"/>
                          <w:marTop w:val="0"/>
                          <w:marBottom w:val="0"/>
                          <w:divBdr>
                            <w:top w:val="none" w:sz="0" w:space="0" w:color="auto"/>
                            <w:left w:val="none" w:sz="0" w:space="0" w:color="auto"/>
                            <w:bottom w:val="none" w:sz="0" w:space="0" w:color="auto"/>
                            <w:right w:val="none" w:sz="0" w:space="0" w:color="auto"/>
                          </w:divBdr>
                          <w:divsChild>
                            <w:div w:id="15316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210095">
      <w:bodyDiv w:val="1"/>
      <w:marLeft w:val="0"/>
      <w:marRight w:val="0"/>
      <w:marTop w:val="0"/>
      <w:marBottom w:val="0"/>
      <w:divBdr>
        <w:top w:val="none" w:sz="0" w:space="0" w:color="auto"/>
        <w:left w:val="none" w:sz="0" w:space="0" w:color="auto"/>
        <w:bottom w:val="none" w:sz="0" w:space="0" w:color="auto"/>
        <w:right w:val="none" w:sz="0" w:space="0" w:color="auto"/>
      </w:divBdr>
    </w:div>
    <w:div w:id="1008023595">
      <w:bodyDiv w:val="1"/>
      <w:marLeft w:val="0"/>
      <w:marRight w:val="0"/>
      <w:marTop w:val="0"/>
      <w:marBottom w:val="0"/>
      <w:divBdr>
        <w:top w:val="none" w:sz="0" w:space="0" w:color="auto"/>
        <w:left w:val="none" w:sz="0" w:space="0" w:color="auto"/>
        <w:bottom w:val="none" w:sz="0" w:space="0" w:color="auto"/>
        <w:right w:val="none" w:sz="0" w:space="0" w:color="auto"/>
      </w:divBdr>
    </w:div>
    <w:div w:id="1030956446">
      <w:bodyDiv w:val="1"/>
      <w:marLeft w:val="0"/>
      <w:marRight w:val="0"/>
      <w:marTop w:val="0"/>
      <w:marBottom w:val="0"/>
      <w:divBdr>
        <w:top w:val="none" w:sz="0" w:space="0" w:color="auto"/>
        <w:left w:val="none" w:sz="0" w:space="0" w:color="auto"/>
        <w:bottom w:val="none" w:sz="0" w:space="0" w:color="auto"/>
        <w:right w:val="none" w:sz="0" w:space="0" w:color="auto"/>
      </w:divBdr>
    </w:div>
    <w:div w:id="1056467398">
      <w:bodyDiv w:val="1"/>
      <w:marLeft w:val="0"/>
      <w:marRight w:val="0"/>
      <w:marTop w:val="0"/>
      <w:marBottom w:val="0"/>
      <w:divBdr>
        <w:top w:val="none" w:sz="0" w:space="0" w:color="auto"/>
        <w:left w:val="none" w:sz="0" w:space="0" w:color="auto"/>
        <w:bottom w:val="none" w:sz="0" w:space="0" w:color="auto"/>
        <w:right w:val="none" w:sz="0" w:space="0" w:color="auto"/>
      </w:divBdr>
      <w:divsChild>
        <w:div w:id="207840782">
          <w:marLeft w:val="0"/>
          <w:marRight w:val="0"/>
          <w:marTop w:val="0"/>
          <w:marBottom w:val="0"/>
          <w:divBdr>
            <w:top w:val="none" w:sz="0" w:space="0" w:color="auto"/>
            <w:left w:val="none" w:sz="0" w:space="0" w:color="auto"/>
            <w:bottom w:val="none" w:sz="0" w:space="0" w:color="auto"/>
            <w:right w:val="none" w:sz="0" w:space="0" w:color="auto"/>
          </w:divBdr>
          <w:divsChild>
            <w:div w:id="379940498">
              <w:marLeft w:val="0"/>
              <w:marRight w:val="0"/>
              <w:marTop w:val="0"/>
              <w:marBottom w:val="0"/>
              <w:divBdr>
                <w:top w:val="none" w:sz="0" w:space="0" w:color="auto"/>
                <w:left w:val="none" w:sz="0" w:space="0" w:color="auto"/>
                <w:bottom w:val="none" w:sz="0" w:space="0" w:color="auto"/>
                <w:right w:val="none" w:sz="0" w:space="0" w:color="auto"/>
              </w:divBdr>
              <w:divsChild>
                <w:div w:id="1759867956">
                  <w:marLeft w:val="0"/>
                  <w:marRight w:val="0"/>
                  <w:marTop w:val="0"/>
                  <w:marBottom w:val="0"/>
                  <w:divBdr>
                    <w:top w:val="none" w:sz="0" w:space="0" w:color="auto"/>
                    <w:left w:val="none" w:sz="0" w:space="0" w:color="auto"/>
                    <w:bottom w:val="none" w:sz="0" w:space="0" w:color="auto"/>
                    <w:right w:val="none" w:sz="0" w:space="0" w:color="auto"/>
                  </w:divBdr>
                  <w:divsChild>
                    <w:div w:id="1537153976">
                      <w:marLeft w:val="0"/>
                      <w:marRight w:val="0"/>
                      <w:marTop w:val="120"/>
                      <w:marBottom w:val="0"/>
                      <w:divBdr>
                        <w:top w:val="none" w:sz="0" w:space="0" w:color="auto"/>
                        <w:left w:val="none" w:sz="0" w:space="0" w:color="auto"/>
                        <w:bottom w:val="none" w:sz="0" w:space="0" w:color="auto"/>
                        <w:right w:val="none" w:sz="0" w:space="0" w:color="auto"/>
                      </w:divBdr>
                      <w:divsChild>
                        <w:div w:id="1903056254">
                          <w:marLeft w:val="0"/>
                          <w:marRight w:val="0"/>
                          <w:marTop w:val="0"/>
                          <w:marBottom w:val="0"/>
                          <w:divBdr>
                            <w:top w:val="none" w:sz="0" w:space="0" w:color="auto"/>
                            <w:left w:val="none" w:sz="0" w:space="0" w:color="auto"/>
                            <w:bottom w:val="none" w:sz="0" w:space="0" w:color="auto"/>
                            <w:right w:val="none" w:sz="0" w:space="0" w:color="auto"/>
                          </w:divBdr>
                          <w:divsChild>
                            <w:div w:id="1016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886004">
      <w:bodyDiv w:val="1"/>
      <w:marLeft w:val="0"/>
      <w:marRight w:val="0"/>
      <w:marTop w:val="0"/>
      <w:marBottom w:val="0"/>
      <w:divBdr>
        <w:top w:val="none" w:sz="0" w:space="0" w:color="auto"/>
        <w:left w:val="none" w:sz="0" w:space="0" w:color="auto"/>
        <w:bottom w:val="none" w:sz="0" w:space="0" w:color="auto"/>
        <w:right w:val="none" w:sz="0" w:space="0" w:color="auto"/>
      </w:divBdr>
    </w:div>
    <w:div w:id="1248033331">
      <w:bodyDiv w:val="1"/>
      <w:marLeft w:val="0"/>
      <w:marRight w:val="0"/>
      <w:marTop w:val="0"/>
      <w:marBottom w:val="0"/>
      <w:divBdr>
        <w:top w:val="none" w:sz="0" w:space="0" w:color="auto"/>
        <w:left w:val="none" w:sz="0" w:space="0" w:color="auto"/>
        <w:bottom w:val="none" w:sz="0" w:space="0" w:color="auto"/>
        <w:right w:val="none" w:sz="0" w:space="0" w:color="auto"/>
      </w:divBdr>
    </w:div>
    <w:div w:id="1314993162">
      <w:bodyDiv w:val="1"/>
      <w:marLeft w:val="0"/>
      <w:marRight w:val="0"/>
      <w:marTop w:val="0"/>
      <w:marBottom w:val="0"/>
      <w:divBdr>
        <w:top w:val="none" w:sz="0" w:space="0" w:color="auto"/>
        <w:left w:val="none" w:sz="0" w:space="0" w:color="auto"/>
        <w:bottom w:val="none" w:sz="0" w:space="0" w:color="auto"/>
        <w:right w:val="none" w:sz="0" w:space="0" w:color="auto"/>
      </w:divBdr>
    </w:div>
    <w:div w:id="1338926456">
      <w:bodyDiv w:val="1"/>
      <w:marLeft w:val="0"/>
      <w:marRight w:val="0"/>
      <w:marTop w:val="0"/>
      <w:marBottom w:val="0"/>
      <w:divBdr>
        <w:top w:val="none" w:sz="0" w:space="0" w:color="auto"/>
        <w:left w:val="none" w:sz="0" w:space="0" w:color="auto"/>
        <w:bottom w:val="none" w:sz="0" w:space="0" w:color="auto"/>
        <w:right w:val="none" w:sz="0" w:space="0" w:color="auto"/>
      </w:divBdr>
      <w:divsChild>
        <w:div w:id="970789789">
          <w:marLeft w:val="0"/>
          <w:marRight w:val="0"/>
          <w:marTop w:val="0"/>
          <w:marBottom w:val="0"/>
          <w:divBdr>
            <w:top w:val="none" w:sz="0" w:space="0" w:color="auto"/>
            <w:left w:val="none" w:sz="0" w:space="0" w:color="auto"/>
            <w:bottom w:val="none" w:sz="0" w:space="0" w:color="auto"/>
            <w:right w:val="none" w:sz="0" w:space="0" w:color="auto"/>
          </w:divBdr>
          <w:divsChild>
            <w:div w:id="721904919">
              <w:marLeft w:val="0"/>
              <w:marRight w:val="0"/>
              <w:marTop w:val="0"/>
              <w:marBottom w:val="0"/>
              <w:divBdr>
                <w:top w:val="none" w:sz="0" w:space="0" w:color="auto"/>
                <w:left w:val="none" w:sz="0" w:space="0" w:color="auto"/>
                <w:bottom w:val="none" w:sz="0" w:space="0" w:color="auto"/>
                <w:right w:val="none" w:sz="0" w:space="0" w:color="auto"/>
              </w:divBdr>
              <w:divsChild>
                <w:div w:id="207450328">
                  <w:marLeft w:val="0"/>
                  <w:marRight w:val="0"/>
                  <w:marTop w:val="0"/>
                  <w:marBottom w:val="0"/>
                  <w:divBdr>
                    <w:top w:val="none" w:sz="0" w:space="0" w:color="auto"/>
                    <w:left w:val="none" w:sz="0" w:space="0" w:color="auto"/>
                    <w:bottom w:val="none" w:sz="0" w:space="0" w:color="auto"/>
                    <w:right w:val="none" w:sz="0" w:space="0" w:color="auto"/>
                  </w:divBdr>
                  <w:divsChild>
                    <w:div w:id="869145829">
                      <w:marLeft w:val="0"/>
                      <w:marRight w:val="0"/>
                      <w:marTop w:val="120"/>
                      <w:marBottom w:val="0"/>
                      <w:divBdr>
                        <w:top w:val="none" w:sz="0" w:space="0" w:color="auto"/>
                        <w:left w:val="none" w:sz="0" w:space="0" w:color="auto"/>
                        <w:bottom w:val="none" w:sz="0" w:space="0" w:color="auto"/>
                        <w:right w:val="none" w:sz="0" w:space="0" w:color="auto"/>
                      </w:divBdr>
                      <w:divsChild>
                        <w:div w:id="1101879841">
                          <w:marLeft w:val="0"/>
                          <w:marRight w:val="0"/>
                          <w:marTop w:val="0"/>
                          <w:marBottom w:val="0"/>
                          <w:divBdr>
                            <w:top w:val="none" w:sz="0" w:space="0" w:color="auto"/>
                            <w:left w:val="none" w:sz="0" w:space="0" w:color="auto"/>
                            <w:bottom w:val="none" w:sz="0" w:space="0" w:color="auto"/>
                            <w:right w:val="none" w:sz="0" w:space="0" w:color="auto"/>
                          </w:divBdr>
                          <w:divsChild>
                            <w:div w:id="140576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76135">
      <w:bodyDiv w:val="1"/>
      <w:marLeft w:val="0"/>
      <w:marRight w:val="0"/>
      <w:marTop w:val="0"/>
      <w:marBottom w:val="0"/>
      <w:divBdr>
        <w:top w:val="none" w:sz="0" w:space="0" w:color="auto"/>
        <w:left w:val="none" w:sz="0" w:space="0" w:color="auto"/>
        <w:bottom w:val="none" w:sz="0" w:space="0" w:color="auto"/>
        <w:right w:val="none" w:sz="0" w:space="0" w:color="auto"/>
      </w:divBdr>
    </w:div>
    <w:div w:id="1386876125">
      <w:bodyDiv w:val="1"/>
      <w:marLeft w:val="0"/>
      <w:marRight w:val="0"/>
      <w:marTop w:val="0"/>
      <w:marBottom w:val="0"/>
      <w:divBdr>
        <w:top w:val="none" w:sz="0" w:space="0" w:color="auto"/>
        <w:left w:val="none" w:sz="0" w:space="0" w:color="auto"/>
        <w:bottom w:val="none" w:sz="0" w:space="0" w:color="auto"/>
        <w:right w:val="none" w:sz="0" w:space="0" w:color="auto"/>
      </w:divBdr>
    </w:div>
    <w:div w:id="1424256369">
      <w:bodyDiv w:val="1"/>
      <w:marLeft w:val="0"/>
      <w:marRight w:val="0"/>
      <w:marTop w:val="0"/>
      <w:marBottom w:val="0"/>
      <w:divBdr>
        <w:top w:val="none" w:sz="0" w:space="0" w:color="auto"/>
        <w:left w:val="none" w:sz="0" w:space="0" w:color="auto"/>
        <w:bottom w:val="none" w:sz="0" w:space="0" w:color="auto"/>
        <w:right w:val="none" w:sz="0" w:space="0" w:color="auto"/>
      </w:divBdr>
      <w:divsChild>
        <w:div w:id="107238603">
          <w:marLeft w:val="0"/>
          <w:marRight w:val="0"/>
          <w:marTop w:val="0"/>
          <w:marBottom w:val="0"/>
          <w:divBdr>
            <w:top w:val="none" w:sz="0" w:space="0" w:color="auto"/>
            <w:left w:val="none" w:sz="0" w:space="0" w:color="auto"/>
            <w:bottom w:val="none" w:sz="0" w:space="0" w:color="auto"/>
            <w:right w:val="none" w:sz="0" w:space="0" w:color="auto"/>
          </w:divBdr>
          <w:divsChild>
            <w:div w:id="1020815601">
              <w:marLeft w:val="0"/>
              <w:marRight w:val="0"/>
              <w:marTop w:val="0"/>
              <w:marBottom w:val="0"/>
              <w:divBdr>
                <w:top w:val="none" w:sz="0" w:space="0" w:color="auto"/>
                <w:left w:val="none" w:sz="0" w:space="0" w:color="auto"/>
                <w:bottom w:val="none" w:sz="0" w:space="0" w:color="auto"/>
                <w:right w:val="none" w:sz="0" w:space="0" w:color="auto"/>
              </w:divBdr>
              <w:divsChild>
                <w:div w:id="1939367424">
                  <w:marLeft w:val="0"/>
                  <w:marRight w:val="0"/>
                  <w:marTop w:val="0"/>
                  <w:marBottom w:val="0"/>
                  <w:divBdr>
                    <w:top w:val="none" w:sz="0" w:space="0" w:color="auto"/>
                    <w:left w:val="none" w:sz="0" w:space="0" w:color="auto"/>
                    <w:bottom w:val="none" w:sz="0" w:space="0" w:color="auto"/>
                    <w:right w:val="none" w:sz="0" w:space="0" w:color="auto"/>
                  </w:divBdr>
                  <w:divsChild>
                    <w:div w:id="328171425">
                      <w:marLeft w:val="0"/>
                      <w:marRight w:val="0"/>
                      <w:marTop w:val="120"/>
                      <w:marBottom w:val="0"/>
                      <w:divBdr>
                        <w:top w:val="none" w:sz="0" w:space="0" w:color="auto"/>
                        <w:left w:val="none" w:sz="0" w:space="0" w:color="auto"/>
                        <w:bottom w:val="none" w:sz="0" w:space="0" w:color="auto"/>
                        <w:right w:val="none" w:sz="0" w:space="0" w:color="auto"/>
                      </w:divBdr>
                      <w:divsChild>
                        <w:div w:id="1873301250">
                          <w:marLeft w:val="0"/>
                          <w:marRight w:val="0"/>
                          <w:marTop w:val="0"/>
                          <w:marBottom w:val="0"/>
                          <w:divBdr>
                            <w:top w:val="none" w:sz="0" w:space="0" w:color="auto"/>
                            <w:left w:val="none" w:sz="0" w:space="0" w:color="auto"/>
                            <w:bottom w:val="none" w:sz="0" w:space="0" w:color="auto"/>
                            <w:right w:val="none" w:sz="0" w:space="0" w:color="auto"/>
                          </w:divBdr>
                          <w:divsChild>
                            <w:div w:id="10951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849272">
      <w:bodyDiv w:val="1"/>
      <w:marLeft w:val="0"/>
      <w:marRight w:val="0"/>
      <w:marTop w:val="0"/>
      <w:marBottom w:val="0"/>
      <w:divBdr>
        <w:top w:val="none" w:sz="0" w:space="0" w:color="auto"/>
        <w:left w:val="none" w:sz="0" w:space="0" w:color="auto"/>
        <w:bottom w:val="none" w:sz="0" w:space="0" w:color="auto"/>
        <w:right w:val="none" w:sz="0" w:space="0" w:color="auto"/>
      </w:divBdr>
    </w:div>
    <w:div w:id="1498156313">
      <w:bodyDiv w:val="1"/>
      <w:marLeft w:val="0"/>
      <w:marRight w:val="0"/>
      <w:marTop w:val="0"/>
      <w:marBottom w:val="0"/>
      <w:divBdr>
        <w:top w:val="none" w:sz="0" w:space="0" w:color="auto"/>
        <w:left w:val="none" w:sz="0" w:space="0" w:color="auto"/>
        <w:bottom w:val="none" w:sz="0" w:space="0" w:color="auto"/>
        <w:right w:val="none" w:sz="0" w:space="0" w:color="auto"/>
      </w:divBdr>
    </w:div>
    <w:div w:id="1548445440">
      <w:bodyDiv w:val="1"/>
      <w:marLeft w:val="0"/>
      <w:marRight w:val="0"/>
      <w:marTop w:val="0"/>
      <w:marBottom w:val="0"/>
      <w:divBdr>
        <w:top w:val="none" w:sz="0" w:space="0" w:color="auto"/>
        <w:left w:val="none" w:sz="0" w:space="0" w:color="auto"/>
        <w:bottom w:val="none" w:sz="0" w:space="0" w:color="auto"/>
        <w:right w:val="none" w:sz="0" w:space="0" w:color="auto"/>
      </w:divBdr>
    </w:div>
    <w:div w:id="1548908825">
      <w:bodyDiv w:val="1"/>
      <w:marLeft w:val="0"/>
      <w:marRight w:val="0"/>
      <w:marTop w:val="0"/>
      <w:marBottom w:val="0"/>
      <w:divBdr>
        <w:top w:val="none" w:sz="0" w:space="0" w:color="auto"/>
        <w:left w:val="none" w:sz="0" w:space="0" w:color="auto"/>
        <w:bottom w:val="none" w:sz="0" w:space="0" w:color="auto"/>
        <w:right w:val="none" w:sz="0" w:space="0" w:color="auto"/>
      </w:divBdr>
      <w:divsChild>
        <w:div w:id="1533959310">
          <w:marLeft w:val="0"/>
          <w:marRight w:val="547"/>
          <w:marTop w:val="0"/>
          <w:marBottom w:val="0"/>
          <w:divBdr>
            <w:top w:val="none" w:sz="0" w:space="0" w:color="auto"/>
            <w:left w:val="none" w:sz="0" w:space="0" w:color="auto"/>
            <w:bottom w:val="none" w:sz="0" w:space="0" w:color="auto"/>
            <w:right w:val="none" w:sz="0" w:space="0" w:color="auto"/>
          </w:divBdr>
        </w:div>
      </w:divsChild>
    </w:div>
    <w:div w:id="1556238935">
      <w:bodyDiv w:val="1"/>
      <w:marLeft w:val="0"/>
      <w:marRight w:val="0"/>
      <w:marTop w:val="0"/>
      <w:marBottom w:val="0"/>
      <w:divBdr>
        <w:top w:val="none" w:sz="0" w:space="0" w:color="auto"/>
        <w:left w:val="none" w:sz="0" w:space="0" w:color="auto"/>
        <w:bottom w:val="none" w:sz="0" w:space="0" w:color="auto"/>
        <w:right w:val="none" w:sz="0" w:space="0" w:color="auto"/>
      </w:divBdr>
    </w:div>
    <w:div w:id="1973825686">
      <w:bodyDiv w:val="1"/>
      <w:marLeft w:val="0"/>
      <w:marRight w:val="0"/>
      <w:marTop w:val="0"/>
      <w:marBottom w:val="0"/>
      <w:divBdr>
        <w:top w:val="none" w:sz="0" w:space="0" w:color="auto"/>
        <w:left w:val="none" w:sz="0" w:space="0" w:color="auto"/>
        <w:bottom w:val="none" w:sz="0" w:space="0" w:color="auto"/>
        <w:right w:val="none" w:sz="0" w:space="0" w:color="auto"/>
      </w:divBdr>
    </w:div>
    <w:div w:id="1991671637">
      <w:bodyDiv w:val="1"/>
      <w:marLeft w:val="0"/>
      <w:marRight w:val="0"/>
      <w:marTop w:val="0"/>
      <w:marBottom w:val="0"/>
      <w:divBdr>
        <w:top w:val="none" w:sz="0" w:space="0" w:color="auto"/>
        <w:left w:val="none" w:sz="0" w:space="0" w:color="auto"/>
        <w:bottom w:val="none" w:sz="0" w:space="0" w:color="auto"/>
        <w:right w:val="none" w:sz="0" w:space="0" w:color="auto"/>
      </w:divBdr>
    </w:div>
    <w:div w:id="2106067778">
      <w:bodyDiv w:val="1"/>
      <w:marLeft w:val="0"/>
      <w:marRight w:val="0"/>
      <w:marTop w:val="0"/>
      <w:marBottom w:val="0"/>
      <w:divBdr>
        <w:top w:val="none" w:sz="0" w:space="0" w:color="auto"/>
        <w:left w:val="none" w:sz="0" w:space="0" w:color="auto"/>
        <w:bottom w:val="none" w:sz="0" w:space="0" w:color="auto"/>
        <w:right w:val="none" w:sz="0" w:space="0" w:color="auto"/>
      </w:divBdr>
    </w:div>
    <w:div w:id="2128818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צהוב">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A3573-4ACD-4EB4-809D-96ACBC143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2311</TotalTime>
  <Pages>52</Pages>
  <Words>33232</Words>
  <Characters>143897</Characters>
  <Application>Microsoft Office Word</Application>
  <DocSecurity>0</DocSecurity>
  <Lines>2147</Lines>
  <Paragraphs>1017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Yifat Sella</dc:creator>
  <cp:keywords/>
  <dc:description/>
  <cp:lastModifiedBy>yifat sella</cp:lastModifiedBy>
  <cp:revision>1357</cp:revision>
  <cp:lastPrinted>2022-01-19T20:08:00Z</cp:lastPrinted>
  <dcterms:created xsi:type="dcterms:W3CDTF">2022-03-22T06:57:00Z</dcterms:created>
  <dcterms:modified xsi:type="dcterms:W3CDTF">2023-05-17T18:10:00Z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1c2f9f514163257d692cdca176a54d039fffc7903ada9c32c3845208c307bd1c</vt:lpwstr>
  </property>
</Properties>
</file>