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9FC1C" w14:textId="10676500" w:rsidR="009D0CEA" w:rsidRDefault="009D0CEA" w:rsidP="009D0CEA">
      <w:pPr>
        <w:spacing w:line="360" w:lineRule="auto"/>
        <w:jc w:val="both"/>
        <w:rPr>
          <w:rFonts w:ascii="David" w:hAnsi="David" w:cs="David"/>
          <w:sz w:val="24"/>
          <w:szCs w:val="24"/>
          <w:rtl/>
        </w:rPr>
      </w:pPr>
      <w:r w:rsidRPr="009D0CEA">
        <w:rPr>
          <w:rFonts w:ascii="David" w:hAnsi="David" w:cs="David" w:hint="cs"/>
          <w:sz w:val="24"/>
          <w:szCs w:val="24"/>
          <w:rtl/>
        </w:rPr>
        <w:t xml:space="preserve">                                                                                                                                   </w:t>
      </w:r>
      <w:r>
        <w:rPr>
          <w:rFonts w:ascii="David" w:hAnsi="David" w:cs="David" w:hint="cs"/>
          <w:sz w:val="24"/>
          <w:szCs w:val="24"/>
          <w:rtl/>
        </w:rPr>
        <w:t xml:space="preserve">שם: לירז </w:t>
      </w:r>
      <w:r w:rsidR="00A71328">
        <w:rPr>
          <w:rFonts w:ascii="David" w:hAnsi="David" w:cs="David" w:hint="cs"/>
          <w:sz w:val="24"/>
          <w:szCs w:val="24"/>
          <w:rtl/>
        </w:rPr>
        <w:t>אלביליה</w:t>
      </w:r>
      <w:r>
        <w:rPr>
          <w:rFonts w:ascii="David" w:hAnsi="David" w:cs="David" w:hint="cs"/>
          <w:sz w:val="24"/>
          <w:szCs w:val="24"/>
          <w:rtl/>
        </w:rPr>
        <w:t xml:space="preserve">          </w:t>
      </w:r>
    </w:p>
    <w:p w14:paraId="65D6EF04" w14:textId="3941AE3E" w:rsidR="009D0CEA" w:rsidRPr="009D0CEA" w:rsidRDefault="009D0CEA" w:rsidP="009D0CEA">
      <w:pPr>
        <w:spacing w:line="360" w:lineRule="auto"/>
        <w:jc w:val="both"/>
        <w:rPr>
          <w:rFonts w:ascii="David" w:hAnsi="David" w:cs="David"/>
          <w:sz w:val="24"/>
          <w:szCs w:val="24"/>
          <w:rtl/>
        </w:rPr>
      </w:pPr>
      <w:r>
        <w:rPr>
          <w:rFonts w:ascii="David" w:hAnsi="David" w:cs="David" w:hint="cs"/>
          <w:sz w:val="24"/>
          <w:szCs w:val="24"/>
          <w:rtl/>
        </w:rPr>
        <w:t xml:space="preserve">                                                                                                                                   </w:t>
      </w:r>
      <w:r w:rsidRPr="009D0CEA">
        <w:rPr>
          <w:rFonts w:ascii="David" w:hAnsi="David" w:cs="David" w:hint="cs"/>
          <w:sz w:val="24"/>
          <w:szCs w:val="24"/>
          <w:rtl/>
        </w:rPr>
        <w:t>ת"ז: 322717794</w:t>
      </w:r>
    </w:p>
    <w:p w14:paraId="019C6445" w14:textId="77777777" w:rsidR="009D0CEA" w:rsidRPr="009D0CEA" w:rsidRDefault="009D0CEA" w:rsidP="009D0CEA">
      <w:pPr>
        <w:spacing w:line="360" w:lineRule="auto"/>
        <w:jc w:val="both"/>
        <w:rPr>
          <w:rFonts w:ascii="David" w:hAnsi="David" w:cs="David"/>
          <w:sz w:val="24"/>
          <w:szCs w:val="24"/>
          <w:rtl/>
        </w:rPr>
      </w:pPr>
      <w:r w:rsidRPr="009D0CEA">
        <w:rPr>
          <w:rFonts w:ascii="David" w:hAnsi="David" w:cs="David" w:hint="cs"/>
          <w:sz w:val="24"/>
          <w:szCs w:val="24"/>
          <w:rtl/>
        </w:rPr>
        <w:t xml:space="preserve">                                                                                                                                   מייל: </w:t>
      </w:r>
      <w:r w:rsidRPr="009D0CEA">
        <w:rPr>
          <w:rFonts w:ascii="David" w:hAnsi="David" w:cs="David" w:hint="cs"/>
          <w:sz w:val="24"/>
          <w:szCs w:val="24"/>
        </w:rPr>
        <w:t xml:space="preserve"> </w:t>
      </w:r>
      <w:r w:rsidRPr="009D0CEA">
        <w:rPr>
          <w:rFonts w:ascii="David" w:hAnsi="David" w:cs="David"/>
          <w:sz w:val="24"/>
          <w:szCs w:val="24"/>
        </w:rPr>
        <w:t xml:space="preserve"> </w:t>
      </w:r>
      <w:hyperlink r:id="rId8" w:history="1">
        <w:r w:rsidRPr="009D0CEA">
          <w:rPr>
            <w:rStyle w:val="Hyperlink"/>
            <w:rFonts w:ascii="David" w:hAnsi="David" w:cs="David"/>
            <w:color w:val="auto"/>
            <w:sz w:val="24"/>
            <w:szCs w:val="24"/>
            <w:u w:val="none"/>
          </w:rPr>
          <w:t>liraz428@gmail.com</w:t>
        </w:r>
      </w:hyperlink>
    </w:p>
    <w:p w14:paraId="67BF492F" w14:textId="77777777" w:rsidR="009D0CEA" w:rsidRPr="009D0CEA" w:rsidRDefault="009D0CEA" w:rsidP="009D0CEA">
      <w:pPr>
        <w:spacing w:line="480" w:lineRule="auto"/>
        <w:jc w:val="center"/>
        <w:rPr>
          <w:rFonts w:ascii="David" w:hAnsi="David" w:cs="David"/>
          <w:sz w:val="24"/>
          <w:szCs w:val="24"/>
        </w:rPr>
      </w:pPr>
      <w:r w:rsidRPr="009D0CEA">
        <w:rPr>
          <w:rFonts w:ascii="David" w:hAnsi="David" w:cs="David" w:hint="cs"/>
          <w:sz w:val="24"/>
          <w:szCs w:val="24"/>
          <w:rtl/>
        </w:rPr>
        <w:t>שויקה_לירז-עבודה_בגידה</w:t>
      </w:r>
    </w:p>
    <w:p w14:paraId="4B5A1277" w14:textId="2F753099" w:rsidR="005E5BDF" w:rsidRDefault="00AE66E0" w:rsidP="00D55DDB">
      <w:pPr>
        <w:spacing w:line="480" w:lineRule="auto"/>
        <w:jc w:val="both"/>
        <w:rPr>
          <w:rFonts w:ascii="David" w:hAnsi="David" w:cs="David"/>
          <w:sz w:val="24"/>
          <w:szCs w:val="24"/>
          <w:rtl/>
        </w:rPr>
      </w:pPr>
      <w:r>
        <w:rPr>
          <w:rFonts w:ascii="David" w:hAnsi="David" w:cs="David" w:hint="cs"/>
          <w:sz w:val="24"/>
          <w:szCs w:val="24"/>
          <w:rtl/>
        </w:rPr>
        <w:t xml:space="preserve">במהלך עשרים השנה האחרונות מתרחשת עלייה בתביעות הנזיקין בתא המשפחתי אשר מוגשות לביהמ"ש לענייני משפחה. </w:t>
      </w:r>
      <w:r w:rsidR="00FB00B9">
        <w:rPr>
          <w:rFonts w:ascii="David" w:hAnsi="David" w:cs="David" w:hint="cs"/>
          <w:sz w:val="24"/>
          <w:szCs w:val="24"/>
          <w:rtl/>
        </w:rPr>
        <w:t>תביעות אלו אשר עוסקות בתביעת בן משפחה בנסיבות השונות מאפשרות מפגש ייחודי בין דיני הנזיקין לדיני המשפחה</w:t>
      </w:r>
      <w:r w:rsidR="003955EE">
        <w:rPr>
          <w:rFonts w:ascii="David" w:hAnsi="David" w:cs="David" w:hint="cs"/>
          <w:sz w:val="24"/>
          <w:szCs w:val="24"/>
          <w:rtl/>
        </w:rPr>
        <w:t>.</w:t>
      </w:r>
      <w:r w:rsidR="005E5BDF">
        <w:rPr>
          <w:rStyle w:val="ab"/>
          <w:rFonts w:ascii="David" w:hAnsi="David" w:cs="David"/>
          <w:sz w:val="24"/>
          <w:szCs w:val="24"/>
          <w:rtl/>
        </w:rPr>
        <w:footnoteReference w:id="1"/>
      </w:r>
      <w:r w:rsidR="00FB00B9">
        <w:rPr>
          <w:rFonts w:ascii="David" w:hAnsi="David" w:cs="David" w:hint="cs"/>
          <w:sz w:val="24"/>
          <w:szCs w:val="24"/>
          <w:rtl/>
        </w:rPr>
        <w:t xml:space="preserve"> עד לאחרונה, תביעות נגד בן זוג היו חסומות ובעלות חסינות משפטית. עם השנים, בוטלה החסינות המלאה והתפתחו דברי חקיקה ופסיקה שהצביעו על חסינות חלקית. כיום, נראה כי הכיוון הכללי בו מערכת המשפט הולכת היא לכיוון של חסינות מלאה</w:t>
      </w:r>
      <w:r w:rsidR="005E5BDF">
        <w:rPr>
          <w:rStyle w:val="ab"/>
          <w:rFonts w:ascii="David" w:hAnsi="David" w:cs="David"/>
          <w:sz w:val="24"/>
          <w:szCs w:val="24"/>
          <w:rtl/>
        </w:rPr>
        <w:footnoteReference w:id="2"/>
      </w:r>
      <w:r w:rsidR="00FB00B9">
        <w:rPr>
          <w:rFonts w:ascii="David" w:hAnsi="David" w:cs="David" w:hint="cs"/>
          <w:sz w:val="24"/>
          <w:szCs w:val="24"/>
          <w:rtl/>
        </w:rPr>
        <w:t xml:space="preserve">. תביעות נזיקין בתא המשפחתי </w:t>
      </w:r>
      <w:r w:rsidR="005E5BDF">
        <w:rPr>
          <w:rFonts w:ascii="David" w:hAnsi="David" w:cs="David" w:hint="cs"/>
          <w:sz w:val="24"/>
          <w:szCs w:val="24"/>
          <w:rtl/>
        </w:rPr>
        <w:t>מכילות חמישה מעגלים מרכזים ובתוכם תביעות נזיקין שונו</w:t>
      </w:r>
      <w:r w:rsidR="003955EE">
        <w:rPr>
          <w:rFonts w:ascii="David" w:hAnsi="David" w:cs="David" w:hint="cs"/>
          <w:sz w:val="24"/>
          <w:szCs w:val="24"/>
          <w:rtl/>
        </w:rPr>
        <w:t>ת -</w:t>
      </w:r>
      <w:r w:rsidR="005E5BDF">
        <w:rPr>
          <w:rFonts w:ascii="David" w:hAnsi="David" w:cs="David" w:hint="cs"/>
          <w:sz w:val="24"/>
          <w:szCs w:val="24"/>
          <w:rtl/>
        </w:rPr>
        <w:t xml:space="preserve"> ישנן תביעות בגין אלימות כלכלית, הפרת הסדרי ראייה, ריבוי נשים, סרבנות גט בגידה ועוד</w:t>
      </w:r>
      <w:r w:rsidR="005E5BDF">
        <w:rPr>
          <w:rStyle w:val="ab"/>
          <w:rFonts w:ascii="David" w:hAnsi="David" w:cs="David"/>
          <w:sz w:val="24"/>
          <w:szCs w:val="24"/>
          <w:rtl/>
        </w:rPr>
        <w:footnoteReference w:id="3"/>
      </w:r>
      <w:r w:rsidR="005E5BDF">
        <w:rPr>
          <w:rFonts w:ascii="David" w:hAnsi="David" w:cs="David" w:hint="cs"/>
          <w:sz w:val="24"/>
          <w:szCs w:val="24"/>
          <w:rtl/>
        </w:rPr>
        <w:t xml:space="preserve">. בנייר עמדה זה אעסוק בעיקר במעגל החמישי </w:t>
      </w:r>
      <w:r w:rsidR="005E5BDF">
        <w:rPr>
          <w:rFonts w:ascii="David" w:hAnsi="David" w:cs="David"/>
          <w:sz w:val="24"/>
          <w:szCs w:val="24"/>
          <w:rtl/>
        </w:rPr>
        <w:t>–</w:t>
      </w:r>
      <w:r w:rsidR="005E5BDF">
        <w:rPr>
          <w:rFonts w:ascii="David" w:hAnsi="David" w:cs="David" w:hint="cs"/>
          <w:sz w:val="24"/>
          <w:szCs w:val="24"/>
          <w:rtl/>
        </w:rPr>
        <w:t xml:space="preserve"> סוגיית תביעות הנזיקין בגין בגידה ובשאלת ההתנגשות והצורך בסימטריה בין</w:t>
      </w:r>
      <w:r w:rsidR="003955EE">
        <w:rPr>
          <w:rFonts w:ascii="David" w:hAnsi="David" w:cs="David" w:hint="cs"/>
          <w:sz w:val="24"/>
          <w:szCs w:val="24"/>
          <w:rtl/>
        </w:rPr>
        <w:t xml:space="preserve"> דיני הנזיקין לדיני המשפחה</w:t>
      </w:r>
      <w:r w:rsidR="005E5BDF">
        <w:rPr>
          <w:rFonts w:ascii="David" w:hAnsi="David" w:cs="David" w:hint="cs"/>
          <w:sz w:val="24"/>
          <w:szCs w:val="24"/>
          <w:rtl/>
        </w:rPr>
        <w:t xml:space="preserve">. </w:t>
      </w:r>
      <w:r w:rsidR="00A76D8A">
        <w:rPr>
          <w:rFonts w:ascii="David" w:hAnsi="David" w:cs="David" w:hint="cs"/>
          <w:sz w:val="24"/>
          <w:szCs w:val="24"/>
          <w:rtl/>
        </w:rPr>
        <w:t>בדין הישראלי טרם הוכרה תביעת נזיקין בגין בגידה, ורוב התביעות נדחו על הסף</w:t>
      </w:r>
      <w:r w:rsidR="00A76D8A">
        <w:rPr>
          <w:rStyle w:val="ab"/>
          <w:rFonts w:ascii="David" w:hAnsi="David" w:cs="David"/>
          <w:sz w:val="24"/>
          <w:szCs w:val="24"/>
          <w:rtl/>
        </w:rPr>
        <w:footnoteReference w:id="4"/>
      </w:r>
      <w:r w:rsidR="00A76D8A">
        <w:rPr>
          <w:rFonts w:ascii="David" w:hAnsi="David" w:cs="David" w:hint="cs"/>
          <w:sz w:val="24"/>
          <w:szCs w:val="24"/>
          <w:rtl/>
        </w:rPr>
        <w:t>. תביעות אלו יוצרות התנגשות</w:t>
      </w:r>
      <w:r w:rsidR="00D55DDB">
        <w:rPr>
          <w:rFonts w:ascii="David" w:hAnsi="David" w:cs="David" w:hint="cs"/>
          <w:sz w:val="24"/>
          <w:szCs w:val="24"/>
          <w:rtl/>
        </w:rPr>
        <w:t xml:space="preserve"> בין דיני המשפחה לדיני הנזיקין</w:t>
      </w:r>
      <w:r w:rsidR="00A76D8A">
        <w:rPr>
          <w:rFonts w:ascii="David" w:hAnsi="David" w:cs="David" w:hint="cs"/>
          <w:sz w:val="24"/>
          <w:szCs w:val="24"/>
          <w:rtl/>
        </w:rPr>
        <w:t xml:space="preserve"> משום שמגמת דיני המשפחה היא</w:t>
      </w:r>
      <w:r w:rsidR="00D55DDB">
        <w:rPr>
          <w:rFonts w:ascii="David" w:hAnsi="David" w:cs="David" w:hint="cs"/>
          <w:sz w:val="24"/>
          <w:szCs w:val="24"/>
          <w:rtl/>
        </w:rPr>
        <w:t xml:space="preserve"> תביעה </w:t>
      </w:r>
      <w:r w:rsidR="00A76D8A">
        <w:rPr>
          <w:rFonts w:ascii="David" w:hAnsi="David" w:cs="David" w:hint="cs"/>
          <w:sz w:val="24"/>
          <w:szCs w:val="24"/>
          <w:rtl/>
        </w:rPr>
        <w:t xml:space="preserve">ללא אשם, ואילו בדיני הנזיקין בגידה מהווה אשם כבסיס לעוולה. </w:t>
      </w:r>
    </w:p>
    <w:p w14:paraId="2730B4A1" w14:textId="44AB49CB" w:rsidR="009E1420" w:rsidRPr="00CB68EB" w:rsidRDefault="009E1420" w:rsidP="00D55DDB">
      <w:pPr>
        <w:spacing w:line="480" w:lineRule="auto"/>
        <w:jc w:val="both"/>
        <w:rPr>
          <w:rFonts w:ascii="David" w:hAnsi="David" w:cs="David"/>
          <w:b/>
          <w:bCs/>
          <w:sz w:val="24"/>
          <w:szCs w:val="24"/>
          <w:rtl/>
        </w:rPr>
      </w:pPr>
      <w:r w:rsidRPr="00CB68EB">
        <w:rPr>
          <w:rFonts w:ascii="David" w:hAnsi="David" w:cs="David" w:hint="cs"/>
          <w:b/>
          <w:bCs/>
          <w:sz w:val="24"/>
          <w:szCs w:val="24"/>
          <w:rtl/>
        </w:rPr>
        <w:t>האם ניתן לקבל תביעות נזיקין בגין בגידה?</w:t>
      </w:r>
    </w:p>
    <w:p w14:paraId="710A84EB" w14:textId="77DBBDC6" w:rsidR="00433F29" w:rsidRDefault="00CB68EB" w:rsidP="00D55DDB">
      <w:pPr>
        <w:spacing w:line="480" w:lineRule="auto"/>
        <w:jc w:val="both"/>
        <w:rPr>
          <w:rFonts w:ascii="David" w:hAnsi="David" w:cs="David"/>
          <w:sz w:val="24"/>
          <w:szCs w:val="24"/>
          <w:rtl/>
        </w:rPr>
      </w:pPr>
      <w:r>
        <w:rPr>
          <w:rFonts w:ascii="David" w:hAnsi="David" w:cs="David" w:hint="cs"/>
          <w:sz w:val="24"/>
          <w:szCs w:val="24"/>
          <w:rtl/>
        </w:rPr>
        <w:t>סבורני</w:t>
      </w:r>
      <w:r w:rsidR="00D55DDB">
        <w:rPr>
          <w:rFonts w:ascii="David" w:hAnsi="David" w:cs="David" w:hint="cs"/>
          <w:sz w:val="24"/>
          <w:szCs w:val="24"/>
          <w:rtl/>
        </w:rPr>
        <w:t>,</w:t>
      </w:r>
      <w:r>
        <w:rPr>
          <w:rFonts w:ascii="David" w:hAnsi="David" w:cs="David" w:hint="cs"/>
          <w:sz w:val="24"/>
          <w:szCs w:val="24"/>
          <w:rtl/>
        </w:rPr>
        <w:t xml:space="preserve"> כי </w:t>
      </w:r>
      <w:r w:rsidR="00BF06FA">
        <w:rPr>
          <w:rFonts w:ascii="David" w:hAnsi="David" w:cs="David" w:hint="cs"/>
          <w:sz w:val="24"/>
          <w:szCs w:val="24"/>
          <w:rtl/>
        </w:rPr>
        <w:t xml:space="preserve">לרוב </w:t>
      </w:r>
      <w:r>
        <w:rPr>
          <w:rFonts w:ascii="David" w:hAnsi="David" w:cs="David" w:hint="cs"/>
          <w:sz w:val="24"/>
          <w:szCs w:val="24"/>
          <w:rtl/>
        </w:rPr>
        <w:t xml:space="preserve">לא ניתן לקבל תביעות בין בני זוג בגין בגידה וגם כנגד צד ג'. </w:t>
      </w:r>
      <w:r w:rsidRPr="0027108D">
        <w:rPr>
          <w:rFonts w:ascii="David" w:hAnsi="David" w:cs="David" w:hint="cs"/>
          <w:b/>
          <w:bCs/>
          <w:sz w:val="24"/>
          <w:szCs w:val="24"/>
          <w:rtl/>
        </w:rPr>
        <w:t>ראשית</w:t>
      </w:r>
      <w:r>
        <w:rPr>
          <w:rFonts w:ascii="David" w:hAnsi="David" w:cs="David" w:hint="cs"/>
          <w:sz w:val="24"/>
          <w:szCs w:val="24"/>
          <w:rtl/>
        </w:rPr>
        <w:t>,</w:t>
      </w:r>
      <w:r w:rsidR="00E85D78">
        <w:rPr>
          <w:rFonts w:ascii="David" w:hAnsi="David" w:cs="David" w:hint="cs"/>
          <w:sz w:val="24"/>
          <w:szCs w:val="24"/>
          <w:rtl/>
        </w:rPr>
        <w:t xml:space="preserve"> </w:t>
      </w:r>
      <w:r w:rsidR="0027108D">
        <w:rPr>
          <w:rFonts w:ascii="David" w:hAnsi="David" w:cs="David" w:hint="cs"/>
          <w:sz w:val="24"/>
          <w:szCs w:val="24"/>
          <w:rtl/>
        </w:rPr>
        <w:t>מאחר ו</w:t>
      </w:r>
      <w:r w:rsidR="00E85D78">
        <w:rPr>
          <w:rFonts w:ascii="David" w:hAnsi="David" w:cs="David" w:hint="cs"/>
          <w:sz w:val="24"/>
          <w:szCs w:val="24"/>
          <w:rtl/>
        </w:rPr>
        <w:t>בגידות וקיום יחסים מחוץ לקשר הזוגי בחברה המודרני</w:t>
      </w:r>
      <w:r w:rsidR="00BF06FA">
        <w:rPr>
          <w:rFonts w:ascii="David" w:hAnsi="David" w:cs="David" w:hint="cs"/>
          <w:sz w:val="24"/>
          <w:szCs w:val="24"/>
          <w:rtl/>
        </w:rPr>
        <w:t>ת</w:t>
      </w:r>
      <w:r w:rsidR="00E85D78">
        <w:rPr>
          <w:rFonts w:ascii="David" w:hAnsi="David" w:cs="David" w:hint="cs"/>
          <w:sz w:val="24"/>
          <w:szCs w:val="24"/>
          <w:rtl/>
        </w:rPr>
        <w:t xml:space="preserve"> הפכו לעניין נפוץ</w:t>
      </w:r>
      <w:r w:rsidR="00BF06FA">
        <w:rPr>
          <w:rFonts w:ascii="David" w:hAnsi="David" w:cs="David" w:hint="cs"/>
          <w:sz w:val="24"/>
          <w:szCs w:val="24"/>
          <w:rtl/>
        </w:rPr>
        <w:t xml:space="preserve"> לצערנו</w:t>
      </w:r>
      <w:r w:rsidR="00E85D78">
        <w:rPr>
          <w:rFonts w:ascii="David" w:hAnsi="David" w:cs="David" w:hint="cs"/>
          <w:sz w:val="24"/>
          <w:szCs w:val="24"/>
          <w:rtl/>
        </w:rPr>
        <w:t>, קבלה של תביעות אלו עלולה להציף את בתי המשפט ולהוביל למשפטיזציה של חיי הנישואין</w:t>
      </w:r>
      <w:r w:rsidR="0027108D">
        <w:rPr>
          <w:rFonts w:ascii="David" w:hAnsi="David" w:cs="David" w:hint="cs"/>
          <w:sz w:val="24"/>
          <w:szCs w:val="24"/>
          <w:rtl/>
        </w:rPr>
        <w:t xml:space="preserve"> (שיקולי מדיניות משפטית)</w:t>
      </w:r>
      <w:r w:rsidR="00E85D78">
        <w:rPr>
          <w:rFonts w:ascii="David" w:hAnsi="David" w:cs="David" w:hint="cs"/>
          <w:sz w:val="24"/>
          <w:szCs w:val="24"/>
          <w:rtl/>
        </w:rPr>
        <w:t xml:space="preserve">. </w:t>
      </w:r>
      <w:r w:rsidR="0027108D">
        <w:rPr>
          <w:rFonts w:ascii="David" w:hAnsi="David" w:cs="David" w:hint="cs"/>
          <w:sz w:val="24"/>
          <w:szCs w:val="24"/>
          <w:rtl/>
        </w:rPr>
        <w:t xml:space="preserve">בנוסף, </w:t>
      </w:r>
      <w:r w:rsidR="00E85D78">
        <w:rPr>
          <w:rFonts w:ascii="David" w:hAnsi="David" w:cs="David" w:hint="cs"/>
          <w:sz w:val="24"/>
          <w:szCs w:val="24"/>
          <w:rtl/>
        </w:rPr>
        <w:t>קבלה של תביעות אלו עלולה להוביל לפגיעה קשה והרסנית בתא המשפחתי שתמנע את אפשרות שיקום הקשר הזוגי במקרים מסוימים.</w:t>
      </w:r>
      <w:r w:rsidR="00E85D78">
        <w:rPr>
          <w:rStyle w:val="ab"/>
          <w:rFonts w:ascii="David" w:hAnsi="David" w:cs="David"/>
          <w:sz w:val="24"/>
          <w:szCs w:val="24"/>
          <w:rtl/>
        </w:rPr>
        <w:footnoteReference w:id="5"/>
      </w:r>
      <w:r w:rsidR="00E85D78">
        <w:rPr>
          <w:rFonts w:ascii="David" w:hAnsi="David" w:cs="David" w:hint="cs"/>
          <w:sz w:val="24"/>
          <w:szCs w:val="24"/>
          <w:rtl/>
        </w:rPr>
        <w:t xml:space="preserve"> </w:t>
      </w:r>
      <w:r w:rsidR="0027108D">
        <w:rPr>
          <w:rFonts w:ascii="David" w:hAnsi="David" w:cs="David" w:hint="cs"/>
          <w:sz w:val="24"/>
          <w:szCs w:val="24"/>
          <w:rtl/>
        </w:rPr>
        <w:t>זאת ועוד</w:t>
      </w:r>
      <w:r w:rsidR="00BF06FA">
        <w:rPr>
          <w:rFonts w:ascii="David" w:hAnsi="David" w:cs="David" w:hint="cs"/>
          <w:sz w:val="24"/>
          <w:szCs w:val="24"/>
          <w:rtl/>
        </w:rPr>
        <w:t>, בתביעות מסוג זה קיימת חדירה למרחב הפרטי של הנתבע שעלולה לפגוע בפרטיותו</w:t>
      </w:r>
      <w:r w:rsidR="0027108D">
        <w:rPr>
          <w:rFonts w:ascii="David" w:hAnsi="David" w:cs="David" w:hint="cs"/>
          <w:sz w:val="24"/>
          <w:szCs w:val="24"/>
          <w:rtl/>
        </w:rPr>
        <w:t xml:space="preserve"> כגון האזנת סתר, צילומים וכו</w:t>
      </w:r>
      <w:r w:rsidR="0027108D">
        <w:rPr>
          <w:rFonts w:ascii="David" w:hAnsi="David" w:cs="David"/>
          <w:sz w:val="24"/>
          <w:szCs w:val="24"/>
          <w:rtl/>
        </w:rPr>
        <w:t>'</w:t>
      </w:r>
      <w:r w:rsidR="0027108D">
        <w:rPr>
          <w:rFonts w:ascii="David" w:hAnsi="David" w:cs="David" w:hint="cs"/>
          <w:sz w:val="24"/>
          <w:szCs w:val="24"/>
          <w:rtl/>
        </w:rPr>
        <w:t xml:space="preserve"> ועל כן</w:t>
      </w:r>
      <w:r w:rsidR="00BF06FA">
        <w:rPr>
          <w:rFonts w:ascii="David" w:hAnsi="David" w:cs="David" w:hint="cs"/>
          <w:sz w:val="24"/>
          <w:szCs w:val="24"/>
          <w:rtl/>
        </w:rPr>
        <w:t xml:space="preserve"> קיים החשש מפני מדרון חלקלק בפגיעה בזכויות היסוד שלו.</w:t>
      </w:r>
      <w:r w:rsidR="00BF06FA">
        <w:rPr>
          <w:rStyle w:val="ab"/>
          <w:rFonts w:ascii="David" w:hAnsi="David" w:cs="David"/>
          <w:sz w:val="24"/>
          <w:szCs w:val="24"/>
          <w:rtl/>
        </w:rPr>
        <w:footnoteReference w:id="6"/>
      </w:r>
      <w:r w:rsidR="00BF06FA">
        <w:rPr>
          <w:rFonts w:ascii="David" w:hAnsi="David" w:cs="David" w:hint="cs"/>
          <w:sz w:val="24"/>
          <w:szCs w:val="24"/>
          <w:rtl/>
        </w:rPr>
        <w:t xml:space="preserve"> </w:t>
      </w:r>
      <w:r w:rsidR="0027108D" w:rsidRPr="0027108D">
        <w:rPr>
          <w:rFonts w:ascii="David" w:hAnsi="David" w:cs="David" w:hint="cs"/>
          <w:b/>
          <w:bCs/>
          <w:sz w:val="24"/>
          <w:szCs w:val="24"/>
          <w:rtl/>
        </w:rPr>
        <w:t>שנית</w:t>
      </w:r>
      <w:r w:rsidR="0027108D">
        <w:rPr>
          <w:rFonts w:ascii="David" w:hAnsi="David" w:cs="David" w:hint="cs"/>
          <w:sz w:val="24"/>
          <w:szCs w:val="24"/>
          <w:rtl/>
        </w:rPr>
        <w:t xml:space="preserve">, ישנה סכנה כי התובע ינסה להכניס את עיקרון האשם בדלת האחורית אל דיני המשפחה בסכסוך הצדדים בנוגע לחלוקת איזון המשאבים באמצעות טענות </w:t>
      </w:r>
      <w:r w:rsidR="0027108D">
        <w:rPr>
          <w:rFonts w:ascii="David" w:hAnsi="David" w:cs="David" w:hint="cs"/>
          <w:sz w:val="24"/>
          <w:szCs w:val="24"/>
          <w:rtl/>
        </w:rPr>
        <w:lastRenderedPageBreak/>
        <w:t>הבגידה</w:t>
      </w:r>
      <w:r w:rsidR="001E45DE">
        <w:rPr>
          <w:rFonts w:ascii="David" w:hAnsi="David" w:cs="David" w:hint="cs"/>
          <w:sz w:val="24"/>
          <w:szCs w:val="24"/>
          <w:rtl/>
        </w:rPr>
        <w:t xml:space="preserve"> ויוביל לחלוקת רכוש לא שוויונית</w:t>
      </w:r>
      <w:r w:rsidR="0027108D">
        <w:rPr>
          <w:rFonts w:ascii="David" w:hAnsi="David" w:cs="David" w:hint="cs"/>
          <w:sz w:val="24"/>
          <w:szCs w:val="24"/>
          <w:rtl/>
        </w:rPr>
        <w:t>.</w:t>
      </w:r>
      <w:r w:rsidR="0027108D">
        <w:rPr>
          <w:rStyle w:val="ab"/>
          <w:rFonts w:ascii="David" w:hAnsi="David" w:cs="David"/>
          <w:sz w:val="24"/>
          <w:szCs w:val="24"/>
          <w:rtl/>
        </w:rPr>
        <w:footnoteReference w:id="7"/>
      </w:r>
      <w:r w:rsidR="0027108D">
        <w:rPr>
          <w:rFonts w:ascii="David" w:hAnsi="David" w:cs="David" w:hint="cs"/>
          <w:sz w:val="24"/>
          <w:szCs w:val="24"/>
          <w:rtl/>
        </w:rPr>
        <w:t xml:space="preserve"> קושי נוסף ה</w:t>
      </w:r>
      <w:r w:rsidR="001E45DE">
        <w:rPr>
          <w:rFonts w:ascii="David" w:hAnsi="David" w:cs="David" w:hint="cs"/>
          <w:sz w:val="24"/>
          <w:szCs w:val="24"/>
          <w:rtl/>
        </w:rPr>
        <w:t xml:space="preserve">ינו </w:t>
      </w:r>
      <w:r w:rsidR="0027108D" w:rsidRPr="0027108D">
        <w:rPr>
          <w:rFonts w:ascii="David" w:hAnsi="David" w:cs="David" w:hint="cs"/>
          <w:sz w:val="24"/>
          <w:szCs w:val="24"/>
          <w:rtl/>
        </w:rPr>
        <w:t>ההגדרה המילונית של בגידה</w:t>
      </w:r>
      <w:r w:rsidR="0027108D">
        <w:rPr>
          <w:rFonts w:ascii="David" w:hAnsi="David" w:cs="David" w:hint="cs"/>
          <w:sz w:val="24"/>
          <w:szCs w:val="24"/>
          <w:rtl/>
        </w:rPr>
        <w:t>. מכיוון שאין הגדרה ברורה למה הוא מעשה ניאוף מתעורר קושי לביהמ"ש</w:t>
      </w:r>
      <w:r w:rsidR="0027108D" w:rsidRPr="0027108D">
        <w:rPr>
          <w:rFonts w:ascii="David" w:hAnsi="David" w:cs="David" w:hint="cs"/>
          <w:sz w:val="24"/>
          <w:szCs w:val="24"/>
          <w:rtl/>
        </w:rPr>
        <w:t xml:space="preserve"> לקבוע מתי התקיימה בפניו בגידה </w:t>
      </w:r>
      <w:r w:rsidR="0027108D">
        <w:rPr>
          <w:rFonts w:ascii="David" w:hAnsi="David" w:cs="David" w:hint="cs"/>
          <w:sz w:val="24"/>
          <w:szCs w:val="24"/>
          <w:rtl/>
        </w:rPr>
        <w:t>והדבר מקשה בבירור התביעה ופסיקתה</w:t>
      </w:r>
      <w:r w:rsidR="001E45DE">
        <w:rPr>
          <w:rFonts w:ascii="David" w:hAnsi="David" w:cs="David" w:hint="cs"/>
          <w:sz w:val="24"/>
          <w:szCs w:val="24"/>
          <w:rtl/>
        </w:rPr>
        <w:t>.</w:t>
      </w:r>
      <w:r w:rsidR="0027108D" w:rsidRPr="0027108D">
        <w:rPr>
          <w:rFonts w:ascii="David" w:hAnsi="David" w:cs="David"/>
          <w:sz w:val="24"/>
          <w:szCs w:val="24"/>
          <w:vertAlign w:val="superscript"/>
          <w:rtl/>
        </w:rPr>
        <w:footnoteReference w:id="8"/>
      </w:r>
      <w:r w:rsidR="001E45DE">
        <w:rPr>
          <w:rFonts w:ascii="David" w:hAnsi="David" w:cs="David" w:hint="cs"/>
          <w:sz w:val="24"/>
          <w:szCs w:val="24"/>
          <w:rtl/>
        </w:rPr>
        <w:t xml:space="preserve"> </w:t>
      </w:r>
      <w:r w:rsidR="00433F29">
        <w:rPr>
          <w:rFonts w:ascii="David" w:hAnsi="David" w:cs="David" w:hint="cs"/>
          <w:sz w:val="24"/>
          <w:szCs w:val="24"/>
          <w:rtl/>
        </w:rPr>
        <w:t>א</w:t>
      </w:r>
      <w:r w:rsidR="00D55DDB">
        <w:rPr>
          <w:rFonts w:ascii="David" w:hAnsi="David" w:cs="David" w:hint="cs"/>
          <w:sz w:val="24"/>
          <w:szCs w:val="24"/>
          <w:rtl/>
        </w:rPr>
        <w:t xml:space="preserve">ע"פ </w:t>
      </w:r>
      <w:r w:rsidR="00433F29">
        <w:rPr>
          <w:rFonts w:ascii="David" w:hAnsi="David" w:cs="David" w:hint="cs"/>
          <w:sz w:val="24"/>
          <w:szCs w:val="24"/>
          <w:rtl/>
        </w:rPr>
        <w:t xml:space="preserve">הנאמר לעיל </w:t>
      </w:r>
      <w:r w:rsidR="00D55DDB">
        <w:rPr>
          <w:rFonts w:ascii="David" w:hAnsi="David" w:cs="David" w:hint="cs"/>
          <w:sz w:val="24"/>
          <w:szCs w:val="24"/>
          <w:rtl/>
        </w:rPr>
        <w:t>לדעת</w:t>
      </w:r>
      <w:r w:rsidR="00433F29">
        <w:rPr>
          <w:rFonts w:ascii="David" w:hAnsi="David" w:cs="David" w:hint="cs"/>
          <w:sz w:val="24"/>
          <w:szCs w:val="24"/>
          <w:rtl/>
        </w:rPr>
        <w:t>י</w:t>
      </w:r>
      <w:r w:rsidR="001E45DE">
        <w:rPr>
          <w:rFonts w:ascii="David" w:hAnsi="David" w:cs="David" w:hint="cs"/>
          <w:sz w:val="24"/>
          <w:szCs w:val="24"/>
          <w:rtl/>
        </w:rPr>
        <w:t xml:space="preserve"> במקרים חריגים ייתכן וניתן יהיה לקבל את התביעה אך בסייגים שונים אותם קבע השופט זגורי. השופט מציע כי ביהמ"ש יוסמך לדחות תביעה על הסף במקרים בהם ישנו החשש כי היא תוביל לערעור איזון המשאבים הרכושי</w:t>
      </w:r>
      <w:r w:rsidR="00D55DDB">
        <w:rPr>
          <w:rFonts w:ascii="David" w:hAnsi="David" w:cs="David" w:hint="cs"/>
          <w:sz w:val="24"/>
          <w:szCs w:val="24"/>
          <w:rtl/>
        </w:rPr>
        <w:t>,</w:t>
      </w:r>
      <w:r w:rsidR="001E45DE">
        <w:rPr>
          <w:rFonts w:ascii="David" w:hAnsi="David" w:cs="David" w:hint="cs"/>
          <w:sz w:val="24"/>
          <w:szCs w:val="24"/>
          <w:rtl/>
        </w:rPr>
        <w:t xml:space="preserve"> או במצב בו ישנו החשש שהיא נועדה להחזיר את עיקרון האשם לדיון. בנוסף להצעה זו, הגשת התביעה תותר רק לאחר גירושים או התרת הנישואין, פיצוי מוגבל, בירור הנזק שנגרם ועוד. שיקולים אלו לפי השופט הינם רשימה פתוחה שמטרתה לעזור לביהמ"ש להחליט האם לקבל תביעות בנושא או לפסול אותן.</w:t>
      </w:r>
      <w:r w:rsidR="001E45DE">
        <w:rPr>
          <w:rStyle w:val="ab"/>
          <w:rFonts w:ascii="David" w:hAnsi="David" w:cs="David"/>
          <w:sz w:val="24"/>
          <w:szCs w:val="24"/>
          <w:rtl/>
        </w:rPr>
        <w:footnoteReference w:id="9"/>
      </w:r>
    </w:p>
    <w:p w14:paraId="221F53D4" w14:textId="5C441777" w:rsidR="00433F29" w:rsidRDefault="00BC439B" w:rsidP="00D55DDB">
      <w:pPr>
        <w:spacing w:line="480" w:lineRule="auto"/>
        <w:jc w:val="both"/>
        <w:rPr>
          <w:rFonts w:ascii="David" w:hAnsi="David" w:cs="David"/>
          <w:b/>
          <w:bCs/>
          <w:sz w:val="24"/>
          <w:szCs w:val="24"/>
          <w:rtl/>
        </w:rPr>
      </w:pPr>
      <w:r>
        <w:rPr>
          <w:rFonts w:ascii="David" w:hAnsi="David" w:cs="David" w:hint="cs"/>
          <w:b/>
          <w:bCs/>
          <w:sz w:val="24"/>
          <w:szCs w:val="24"/>
          <w:rtl/>
        </w:rPr>
        <w:t xml:space="preserve">שאלת הסימטריה </w:t>
      </w:r>
    </w:p>
    <w:p w14:paraId="352529A3" w14:textId="3CEAC334" w:rsidR="00433F29" w:rsidRPr="00BC439B" w:rsidRDefault="00BC439B" w:rsidP="00D55DDB">
      <w:pPr>
        <w:spacing w:line="480" w:lineRule="auto"/>
        <w:jc w:val="both"/>
        <w:rPr>
          <w:rFonts w:ascii="David" w:hAnsi="David" w:cs="David"/>
          <w:sz w:val="24"/>
          <w:szCs w:val="24"/>
          <w:rtl/>
        </w:rPr>
      </w:pPr>
      <w:r>
        <w:rPr>
          <w:rFonts w:ascii="David" w:hAnsi="David" w:cs="David" w:hint="cs"/>
          <w:sz w:val="24"/>
          <w:szCs w:val="24"/>
          <w:rtl/>
        </w:rPr>
        <w:t>ישנ</w:t>
      </w:r>
      <w:r w:rsidR="00EC179B">
        <w:rPr>
          <w:rFonts w:ascii="David" w:hAnsi="David" w:cs="David" w:hint="cs"/>
          <w:sz w:val="24"/>
          <w:szCs w:val="24"/>
          <w:rtl/>
        </w:rPr>
        <w:t>ן</w:t>
      </w:r>
      <w:r>
        <w:rPr>
          <w:rFonts w:ascii="David" w:hAnsi="David" w:cs="David" w:hint="cs"/>
          <w:sz w:val="24"/>
          <w:szCs w:val="24"/>
          <w:rtl/>
        </w:rPr>
        <w:t xml:space="preserve"> שני סוגים של סימטריות. ישנה סימטריה מהותית וסימטריה תוצאתית. סימטריה תוצאתית מחפשת תוצאה שווה בין התביעה הנזיקית לחלוקת הרכוש בתביעה בביהמ"ש לדיני משפחה ובמקרה דנן - קבלת תביעה נזיקית במקרים של בגידה מתמשכת וארוכת טווח. </w:t>
      </w:r>
      <w:r w:rsidR="00CD0DF4">
        <w:rPr>
          <w:rFonts w:ascii="David" w:hAnsi="David" w:cs="David" w:hint="cs"/>
          <w:sz w:val="24"/>
          <w:szCs w:val="24"/>
          <w:rtl/>
        </w:rPr>
        <w:t xml:space="preserve">מנגד </w:t>
      </w:r>
      <w:r>
        <w:rPr>
          <w:rFonts w:ascii="David" w:hAnsi="David" w:cs="David" w:hint="cs"/>
          <w:sz w:val="24"/>
          <w:szCs w:val="24"/>
          <w:rtl/>
        </w:rPr>
        <w:t xml:space="preserve">סימטריה מהותית </w:t>
      </w:r>
      <w:r w:rsidR="00EC179B">
        <w:rPr>
          <w:rFonts w:ascii="David" w:hAnsi="David" w:cs="David" w:hint="cs"/>
          <w:sz w:val="24"/>
          <w:szCs w:val="24"/>
          <w:rtl/>
        </w:rPr>
        <w:t>ש</w:t>
      </w:r>
      <w:r>
        <w:rPr>
          <w:rFonts w:ascii="David" w:hAnsi="David" w:cs="David" w:hint="cs"/>
          <w:sz w:val="24"/>
          <w:szCs w:val="24"/>
          <w:rtl/>
        </w:rPr>
        <w:t xml:space="preserve">משמעותה </w:t>
      </w:r>
      <w:r w:rsidR="00CD0DF4">
        <w:rPr>
          <w:rFonts w:ascii="David" w:hAnsi="David" w:cs="David" w:hint="cs"/>
          <w:sz w:val="24"/>
          <w:szCs w:val="24"/>
          <w:rtl/>
        </w:rPr>
        <w:t>כי במקרים בהם חלוקת הרכוש בדיני משפחה מושפעת מהאשמה בבגידה תהיינה אפשרות לתבוע תביעה נזיקית בגין הבגידה</w:t>
      </w:r>
      <w:r w:rsidR="00614947">
        <w:rPr>
          <w:rStyle w:val="ab"/>
          <w:rFonts w:ascii="David" w:hAnsi="David" w:cs="David"/>
          <w:sz w:val="24"/>
          <w:szCs w:val="24"/>
          <w:rtl/>
        </w:rPr>
        <w:footnoteReference w:id="10"/>
      </w:r>
      <w:r w:rsidR="00CD0DF4">
        <w:rPr>
          <w:rFonts w:ascii="David" w:hAnsi="David" w:cs="David" w:hint="cs"/>
          <w:sz w:val="24"/>
          <w:szCs w:val="24"/>
          <w:rtl/>
        </w:rPr>
        <w:t xml:space="preserve">. </w:t>
      </w:r>
    </w:p>
    <w:p w14:paraId="3A14E4C8" w14:textId="112A97FA" w:rsidR="00242257" w:rsidRDefault="003A7877" w:rsidP="00D55DDB">
      <w:pPr>
        <w:spacing w:line="480" w:lineRule="auto"/>
        <w:jc w:val="both"/>
        <w:rPr>
          <w:rFonts w:ascii="David" w:hAnsi="David" w:cs="David"/>
          <w:sz w:val="24"/>
          <w:szCs w:val="24"/>
          <w:rtl/>
        </w:rPr>
      </w:pPr>
      <w:r>
        <w:rPr>
          <w:rFonts w:ascii="David" w:hAnsi="David" w:cs="David" w:hint="cs"/>
          <w:sz w:val="24"/>
          <w:szCs w:val="24"/>
          <w:rtl/>
        </w:rPr>
        <w:t>לד</w:t>
      </w:r>
      <w:r w:rsidR="00D55DDB">
        <w:rPr>
          <w:rFonts w:ascii="David" w:hAnsi="David" w:cs="David" w:hint="cs"/>
          <w:sz w:val="24"/>
          <w:szCs w:val="24"/>
          <w:rtl/>
        </w:rPr>
        <w:t>יד</w:t>
      </w:r>
      <w:r>
        <w:rPr>
          <w:rFonts w:ascii="David" w:hAnsi="David" w:cs="David" w:hint="cs"/>
          <w:sz w:val="24"/>
          <w:szCs w:val="24"/>
          <w:rtl/>
        </w:rPr>
        <w:t>י</w:t>
      </w:r>
      <w:r w:rsidR="00CD0DF4">
        <w:rPr>
          <w:rFonts w:ascii="David" w:hAnsi="David" w:cs="David" w:hint="cs"/>
          <w:sz w:val="24"/>
          <w:szCs w:val="24"/>
          <w:rtl/>
        </w:rPr>
        <w:t xml:space="preserve">, </w:t>
      </w:r>
      <w:r w:rsidR="00EC179B">
        <w:rPr>
          <w:rFonts w:ascii="David" w:hAnsi="David" w:cs="David" w:hint="cs"/>
          <w:sz w:val="24"/>
          <w:szCs w:val="24"/>
          <w:rtl/>
        </w:rPr>
        <w:t>ישנה בעייתיות מסויימת בניסיון להגיע לסימטריה בין הדינים במקרים של בגידה</w:t>
      </w:r>
      <w:r w:rsidR="00CD0DF4">
        <w:rPr>
          <w:rFonts w:ascii="David" w:hAnsi="David" w:cs="David" w:hint="cs"/>
          <w:sz w:val="24"/>
          <w:szCs w:val="24"/>
          <w:rtl/>
        </w:rPr>
        <w:t xml:space="preserve"> משום </w:t>
      </w:r>
      <w:r w:rsidR="00EC179B">
        <w:rPr>
          <w:rFonts w:ascii="David" w:hAnsi="David" w:cs="David" w:hint="cs"/>
          <w:sz w:val="24"/>
          <w:szCs w:val="24"/>
          <w:rtl/>
        </w:rPr>
        <w:t xml:space="preserve">שלעיתים </w:t>
      </w:r>
      <w:r w:rsidR="00614947">
        <w:rPr>
          <w:rFonts w:ascii="David" w:hAnsi="David" w:cs="David" w:hint="cs"/>
          <w:sz w:val="24"/>
          <w:szCs w:val="24"/>
          <w:rtl/>
        </w:rPr>
        <w:t xml:space="preserve">הקשר בין בני הזוג היה כבר פגום ובעייתי לאורך זמן והבגידה היא לא </w:t>
      </w:r>
      <w:r w:rsidR="00D55DDB">
        <w:rPr>
          <w:rFonts w:ascii="David" w:hAnsi="David" w:cs="David" w:hint="cs"/>
          <w:sz w:val="24"/>
          <w:szCs w:val="24"/>
          <w:rtl/>
        </w:rPr>
        <w:t>"</w:t>
      </w:r>
      <w:r w:rsidR="00614947">
        <w:rPr>
          <w:rFonts w:ascii="David" w:hAnsi="David" w:cs="David" w:hint="cs"/>
          <w:sz w:val="24"/>
          <w:szCs w:val="24"/>
          <w:rtl/>
        </w:rPr>
        <w:t>המעשה הגדול והמשמעותי</w:t>
      </w:r>
      <w:r w:rsidR="00D55DDB">
        <w:rPr>
          <w:rFonts w:ascii="David" w:hAnsi="David" w:cs="David" w:hint="cs"/>
          <w:sz w:val="24"/>
          <w:szCs w:val="24"/>
          <w:rtl/>
        </w:rPr>
        <w:t>"</w:t>
      </w:r>
      <w:r w:rsidR="00614947">
        <w:rPr>
          <w:rFonts w:ascii="David" w:hAnsi="David" w:cs="David" w:hint="cs"/>
          <w:sz w:val="24"/>
          <w:szCs w:val="24"/>
          <w:rtl/>
        </w:rPr>
        <w:t xml:space="preserve"> שפירק את התא המשפחתי</w:t>
      </w:r>
      <w:r w:rsidR="00EC179B">
        <w:rPr>
          <w:rFonts w:ascii="David" w:hAnsi="David" w:cs="David" w:hint="cs"/>
          <w:sz w:val="24"/>
          <w:szCs w:val="24"/>
          <w:rtl/>
        </w:rPr>
        <w:t>. לאור זאת</w:t>
      </w:r>
      <w:r w:rsidR="00D55DDB">
        <w:rPr>
          <w:rFonts w:ascii="David" w:hAnsi="David" w:cs="David" w:hint="cs"/>
          <w:sz w:val="24"/>
          <w:szCs w:val="24"/>
          <w:rtl/>
        </w:rPr>
        <w:t>,</w:t>
      </w:r>
      <w:r w:rsidR="00EC179B">
        <w:rPr>
          <w:rFonts w:ascii="David" w:hAnsi="David" w:cs="David" w:hint="cs"/>
          <w:sz w:val="24"/>
          <w:szCs w:val="24"/>
          <w:rtl/>
        </w:rPr>
        <w:t xml:space="preserve"> ייתכן ו</w:t>
      </w:r>
      <w:r w:rsidR="00614947">
        <w:rPr>
          <w:rFonts w:ascii="David" w:hAnsi="David" w:cs="David" w:hint="cs"/>
          <w:sz w:val="24"/>
          <w:szCs w:val="24"/>
          <w:rtl/>
        </w:rPr>
        <w:t>הבגידה המדוברת לכאורה הינה מעשה של מה בכך וישנו חשש כי הניסיון להגיע לסימטריה יפגע בזכויותיה</w:t>
      </w:r>
      <w:r w:rsidR="00614947">
        <w:rPr>
          <w:rFonts w:ascii="David" w:hAnsi="David" w:cs="David" w:hint="eastAsia"/>
          <w:sz w:val="24"/>
          <w:szCs w:val="24"/>
          <w:rtl/>
        </w:rPr>
        <w:t>ם</w:t>
      </w:r>
      <w:r w:rsidR="00614947">
        <w:rPr>
          <w:rFonts w:ascii="David" w:hAnsi="David" w:cs="David" w:hint="cs"/>
          <w:sz w:val="24"/>
          <w:szCs w:val="24"/>
          <w:rtl/>
        </w:rPr>
        <w:t xml:space="preserve"> של הגבר/האישה הבוגדים</w:t>
      </w:r>
      <w:r w:rsidR="00242257">
        <w:rPr>
          <w:rFonts w:ascii="David" w:hAnsi="David" w:cs="David" w:hint="cs"/>
          <w:sz w:val="24"/>
          <w:szCs w:val="24"/>
          <w:rtl/>
        </w:rPr>
        <w:t xml:space="preserve"> ויוביל</w:t>
      </w:r>
      <w:r w:rsidR="00EC179B" w:rsidRPr="00EC179B">
        <w:rPr>
          <w:rFonts w:ascii="David" w:hAnsi="David" w:cs="David" w:hint="cs"/>
          <w:sz w:val="24"/>
          <w:szCs w:val="24"/>
          <w:rtl/>
        </w:rPr>
        <w:t xml:space="preserve"> </w:t>
      </w:r>
      <w:r w:rsidR="00EC179B">
        <w:rPr>
          <w:rFonts w:ascii="David" w:hAnsi="David" w:cs="David" w:hint="cs"/>
          <w:sz w:val="24"/>
          <w:szCs w:val="24"/>
          <w:rtl/>
        </w:rPr>
        <w:t>בצורה עקיפה ל</w:t>
      </w:r>
      <w:r w:rsidR="00EC179B" w:rsidRPr="00EC179B">
        <w:rPr>
          <w:rFonts w:ascii="David" w:hAnsi="David" w:cs="David" w:hint="cs"/>
          <w:sz w:val="24"/>
          <w:szCs w:val="24"/>
          <w:rtl/>
        </w:rPr>
        <w:t>הענשת האישה הבוגדת או הגבר הבוגד</w:t>
      </w:r>
      <w:r w:rsidR="00242257">
        <w:rPr>
          <w:rFonts w:ascii="David" w:hAnsi="David" w:cs="David" w:hint="cs"/>
          <w:sz w:val="24"/>
          <w:szCs w:val="24"/>
          <w:rtl/>
        </w:rPr>
        <w:t xml:space="preserve"> </w:t>
      </w:r>
      <w:r w:rsidR="00EC179B">
        <w:rPr>
          <w:rFonts w:ascii="David" w:hAnsi="David" w:cs="David" w:hint="cs"/>
          <w:sz w:val="24"/>
          <w:szCs w:val="24"/>
          <w:rtl/>
        </w:rPr>
        <w:t xml:space="preserve">ע"י </w:t>
      </w:r>
      <w:r w:rsidR="00242257">
        <w:rPr>
          <w:rFonts w:ascii="David" w:hAnsi="David" w:cs="David" w:hint="cs"/>
          <w:sz w:val="24"/>
          <w:szCs w:val="24"/>
          <w:rtl/>
        </w:rPr>
        <w:t>חלוקת רכוש לא שוויונית למרות שלשני הצדדים מגיע חלק שווה. ניתן לראות זאת גם בדנג"ץ הבגידה בו הוכרע כי ל</w:t>
      </w:r>
      <w:r w:rsidR="00EC179B">
        <w:rPr>
          <w:rFonts w:ascii="David" w:hAnsi="David" w:cs="David" w:hint="cs"/>
          <w:sz w:val="24"/>
          <w:szCs w:val="24"/>
          <w:rtl/>
        </w:rPr>
        <w:t>מרות הבגידה ל</w:t>
      </w:r>
      <w:r w:rsidR="00242257">
        <w:rPr>
          <w:rFonts w:ascii="David" w:hAnsi="David" w:cs="David" w:hint="cs"/>
          <w:sz w:val="24"/>
          <w:szCs w:val="24"/>
          <w:rtl/>
        </w:rPr>
        <w:t>אישה הבוגדת יש זכויות בבית המגורים המשותף אם ניתן להוכיח כי התקיימו נסיבות שהצביעו על שיתוף ספציפי של בני הזוג בנכס</w:t>
      </w:r>
      <w:r w:rsidR="00761A7B">
        <w:rPr>
          <w:rFonts w:ascii="David" w:hAnsi="David" w:cs="David" w:hint="cs"/>
          <w:sz w:val="24"/>
          <w:szCs w:val="24"/>
          <w:rtl/>
        </w:rPr>
        <w:t>.</w:t>
      </w:r>
      <w:r w:rsidR="00242257">
        <w:rPr>
          <w:rFonts w:ascii="David" w:hAnsi="David" w:cs="David" w:hint="cs"/>
          <w:sz w:val="24"/>
          <w:szCs w:val="24"/>
          <w:rtl/>
        </w:rPr>
        <w:t xml:space="preserve"> ביהמ"ש מדגיש שם כי ההלכה היא שאם במהלך הנישואין מתגבש שיתוף בנכס מסוים של בני הזוג לא ניתן לשלול את הזכות המוקנית להם בעקבות בגידה שהתרחשה לאחר התגבשות הזכות.</w:t>
      </w:r>
      <w:r w:rsidR="00242257">
        <w:rPr>
          <w:rStyle w:val="ab"/>
          <w:rFonts w:ascii="David" w:hAnsi="David" w:cs="David"/>
          <w:sz w:val="24"/>
          <w:szCs w:val="24"/>
          <w:rtl/>
        </w:rPr>
        <w:footnoteReference w:id="11"/>
      </w:r>
      <w:r w:rsidR="00242257">
        <w:rPr>
          <w:rFonts w:ascii="David" w:hAnsi="David" w:cs="David" w:hint="cs"/>
          <w:sz w:val="24"/>
          <w:szCs w:val="24"/>
          <w:rtl/>
        </w:rPr>
        <w:t xml:space="preserve"> </w:t>
      </w:r>
    </w:p>
    <w:p w14:paraId="498A6121" w14:textId="1627974E" w:rsidR="00EC179B" w:rsidRDefault="00242257" w:rsidP="00D55DDB">
      <w:pPr>
        <w:spacing w:line="480" w:lineRule="auto"/>
        <w:jc w:val="both"/>
        <w:rPr>
          <w:rFonts w:ascii="David" w:hAnsi="David" w:cs="David"/>
          <w:sz w:val="24"/>
          <w:szCs w:val="24"/>
          <w:rtl/>
        </w:rPr>
      </w:pPr>
      <w:r>
        <w:rPr>
          <w:rFonts w:ascii="David" w:hAnsi="David" w:cs="David" w:hint="cs"/>
          <w:sz w:val="24"/>
          <w:szCs w:val="24"/>
          <w:rtl/>
        </w:rPr>
        <w:t>מנגד, אני סבורה כי במקרים חריגים של אלימות</w:t>
      </w:r>
      <w:r w:rsidR="00EC179B">
        <w:rPr>
          <w:rFonts w:ascii="David" w:hAnsi="David" w:cs="David" w:hint="cs"/>
          <w:sz w:val="24"/>
          <w:szCs w:val="24"/>
          <w:rtl/>
        </w:rPr>
        <w:t xml:space="preserve"> ותקיפה</w:t>
      </w:r>
      <w:r>
        <w:rPr>
          <w:rFonts w:ascii="David" w:hAnsi="David" w:cs="David" w:hint="cs"/>
          <w:sz w:val="24"/>
          <w:szCs w:val="24"/>
          <w:rtl/>
        </w:rPr>
        <w:t xml:space="preserve"> לגיטימי לנסות ליצור סימטריה בין הדינים </w:t>
      </w:r>
      <w:r w:rsidR="00EC179B">
        <w:rPr>
          <w:rFonts w:ascii="David" w:hAnsi="David" w:cs="David" w:hint="cs"/>
          <w:sz w:val="24"/>
          <w:szCs w:val="24"/>
          <w:rtl/>
        </w:rPr>
        <w:t xml:space="preserve">בכך </w:t>
      </w:r>
      <w:r>
        <w:rPr>
          <w:rFonts w:ascii="David" w:hAnsi="David" w:cs="David" w:hint="cs"/>
          <w:sz w:val="24"/>
          <w:szCs w:val="24"/>
          <w:rtl/>
        </w:rPr>
        <w:t>שחלוקת הרכוש תהיה לא שוויונית ותושפע מהאשם בתביעה הנזיקית.</w:t>
      </w:r>
      <w:r w:rsidR="003A4BE6">
        <w:rPr>
          <w:rFonts w:ascii="David" w:hAnsi="David" w:cs="David" w:hint="cs"/>
          <w:sz w:val="24"/>
          <w:szCs w:val="24"/>
          <w:rtl/>
        </w:rPr>
        <w:t xml:space="preserve"> הדבר המתבקש הוא כי</w:t>
      </w:r>
      <w:r>
        <w:rPr>
          <w:rFonts w:ascii="David" w:hAnsi="David" w:cs="David" w:hint="cs"/>
          <w:sz w:val="24"/>
          <w:szCs w:val="24"/>
          <w:rtl/>
        </w:rPr>
        <w:t xml:space="preserve"> במצב בו אדם מאיים או </w:t>
      </w:r>
      <w:r>
        <w:rPr>
          <w:rFonts w:ascii="David" w:hAnsi="David" w:cs="David" w:hint="cs"/>
          <w:sz w:val="24"/>
          <w:szCs w:val="24"/>
          <w:rtl/>
        </w:rPr>
        <w:lastRenderedPageBreak/>
        <w:t xml:space="preserve">מנסה ליטול את חייו של בן זוגו </w:t>
      </w:r>
      <w:r w:rsidR="003A4BE6">
        <w:rPr>
          <w:rFonts w:ascii="David" w:hAnsi="David" w:cs="David" w:hint="cs"/>
          <w:sz w:val="24"/>
          <w:szCs w:val="24"/>
          <w:rtl/>
        </w:rPr>
        <w:t xml:space="preserve">לא תהיה לו זכאות ברכוש ובכספי הפנסיה שלו/ה </w:t>
      </w:r>
      <w:r w:rsidR="003A4BE6" w:rsidRPr="003A4BE6">
        <w:rPr>
          <w:rFonts w:ascii="David" w:hAnsi="David" w:cs="David" w:hint="cs"/>
          <w:sz w:val="24"/>
          <w:szCs w:val="24"/>
          <w:rtl/>
        </w:rPr>
        <w:t>התלוי</w:t>
      </w:r>
      <w:r w:rsidR="003A4BE6">
        <w:rPr>
          <w:rFonts w:ascii="David" w:hAnsi="David" w:cs="David" w:hint="cs"/>
          <w:sz w:val="24"/>
          <w:szCs w:val="24"/>
          <w:rtl/>
        </w:rPr>
        <w:t>י</w:t>
      </w:r>
      <w:r w:rsidR="003A4BE6" w:rsidRPr="003A4BE6">
        <w:rPr>
          <w:rFonts w:ascii="David" w:hAnsi="David" w:cs="David" w:hint="cs"/>
          <w:sz w:val="24"/>
          <w:szCs w:val="24"/>
          <w:rtl/>
        </w:rPr>
        <w:t>ם בחיים אותם ביקש ליטול ועל כן</w:t>
      </w:r>
      <w:r w:rsidR="003A4BE6">
        <w:rPr>
          <w:rFonts w:ascii="David" w:hAnsi="David" w:cs="David" w:hint="cs"/>
          <w:sz w:val="24"/>
          <w:szCs w:val="24"/>
          <w:rtl/>
        </w:rPr>
        <w:t xml:space="preserve"> יש מקום לסימטריה ולכך שלא תהיה זכאות </w:t>
      </w:r>
      <w:r w:rsidR="003A4BE6" w:rsidRPr="003A4BE6">
        <w:rPr>
          <w:rFonts w:ascii="David" w:hAnsi="David" w:cs="David" w:hint="cs"/>
          <w:sz w:val="24"/>
          <w:szCs w:val="24"/>
          <w:rtl/>
        </w:rPr>
        <w:t>לאיזון משאבים</w:t>
      </w:r>
      <w:r w:rsidR="003A4BE6">
        <w:rPr>
          <w:rFonts w:ascii="David" w:hAnsi="David" w:cs="David" w:hint="cs"/>
          <w:sz w:val="24"/>
          <w:szCs w:val="24"/>
          <w:rtl/>
        </w:rPr>
        <w:t>.</w:t>
      </w:r>
      <w:r w:rsidR="003A4BE6">
        <w:rPr>
          <w:rStyle w:val="ab"/>
          <w:rFonts w:ascii="David" w:hAnsi="David" w:cs="David"/>
          <w:sz w:val="24"/>
          <w:szCs w:val="24"/>
          <w:rtl/>
        </w:rPr>
        <w:footnoteReference w:id="12"/>
      </w:r>
      <w:r w:rsidR="003A4BE6">
        <w:rPr>
          <w:rFonts w:ascii="David" w:hAnsi="David" w:cs="David" w:hint="cs"/>
          <w:sz w:val="24"/>
          <w:szCs w:val="24"/>
          <w:rtl/>
        </w:rPr>
        <w:t xml:space="preserve">  </w:t>
      </w:r>
    </w:p>
    <w:p w14:paraId="58A761DD" w14:textId="5FE48B4D" w:rsidR="00E46C34" w:rsidRDefault="003A4BE6" w:rsidP="00D55DDB">
      <w:pPr>
        <w:spacing w:line="480" w:lineRule="auto"/>
        <w:jc w:val="both"/>
        <w:rPr>
          <w:rFonts w:ascii="David" w:hAnsi="David" w:cs="David"/>
          <w:sz w:val="24"/>
          <w:szCs w:val="24"/>
          <w:rtl/>
        </w:rPr>
      </w:pPr>
      <w:r>
        <w:rPr>
          <w:rFonts w:ascii="David" w:hAnsi="David" w:cs="David" w:hint="cs"/>
          <w:sz w:val="24"/>
          <w:szCs w:val="24"/>
          <w:rtl/>
        </w:rPr>
        <w:t>א</w:t>
      </w:r>
      <w:r w:rsidR="00EC179B">
        <w:rPr>
          <w:rFonts w:ascii="David" w:hAnsi="David" w:cs="David" w:hint="cs"/>
          <w:sz w:val="24"/>
          <w:szCs w:val="24"/>
          <w:rtl/>
        </w:rPr>
        <w:t xml:space="preserve">ולם </w:t>
      </w:r>
      <w:r>
        <w:rPr>
          <w:rFonts w:ascii="David" w:hAnsi="David" w:cs="David" w:hint="cs"/>
          <w:sz w:val="24"/>
          <w:szCs w:val="24"/>
          <w:rtl/>
        </w:rPr>
        <w:t>חשוב לציין כי מדובר בחריג ובמקרים של אלימות ותקיפה אין סימטריה</w:t>
      </w:r>
      <w:r w:rsidR="00EC179B">
        <w:rPr>
          <w:rFonts w:ascii="David" w:hAnsi="David" w:cs="David" w:hint="cs"/>
          <w:sz w:val="24"/>
          <w:szCs w:val="24"/>
          <w:rtl/>
        </w:rPr>
        <w:t xml:space="preserve"> משום ש</w:t>
      </w:r>
      <w:r>
        <w:rPr>
          <w:rFonts w:ascii="David" w:hAnsi="David" w:cs="David" w:hint="cs"/>
          <w:sz w:val="24"/>
          <w:szCs w:val="24"/>
          <w:rtl/>
        </w:rPr>
        <w:t xml:space="preserve">תקיפה לא מהווה פרמטר לסטייה </w:t>
      </w:r>
      <w:r w:rsidR="00EC179B">
        <w:rPr>
          <w:rFonts w:ascii="David" w:hAnsi="David" w:cs="David" w:hint="cs"/>
          <w:sz w:val="24"/>
          <w:szCs w:val="24"/>
          <w:rtl/>
        </w:rPr>
        <w:t>מ</w:t>
      </w:r>
      <w:r>
        <w:rPr>
          <w:rFonts w:ascii="David" w:hAnsi="David" w:cs="David" w:hint="cs"/>
          <w:sz w:val="24"/>
          <w:szCs w:val="24"/>
          <w:rtl/>
        </w:rPr>
        <w:t xml:space="preserve">חלוקת </w:t>
      </w:r>
      <w:r w:rsidR="00EC179B">
        <w:rPr>
          <w:rFonts w:ascii="David" w:hAnsi="David" w:cs="David" w:hint="cs"/>
          <w:sz w:val="24"/>
          <w:szCs w:val="24"/>
          <w:rtl/>
        </w:rPr>
        <w:t>ה</w:t>
      </w:r>
      <w:r>
        <w:rPr>
          <w:rFonts w:ascii="David" w:hAnsi="David" w:cs="David" w:hint="cs"/>
          <w:sz w:val="24"/>
          <w:szCs w:val="24"/>
          <w:rtl/>
        </w:rPr>
        <w:t>רכוש</w:t>
      </w:r>
      <w:r w:rsidR="00EC179B">
        <w:rPr>
          <w:rFonts w:ascii="David" w:hAnsi="David" w:cs="David" w:hint="cs"/>
          <w:sz w:val="24"/>
          <w:szCs w:val="24"/>
          <w:rtl/>
        </w:rPr>
        <w:t>.</w:t>
      </w:r>
      <w:r w:rsidR="00E46C34">
        <w:rPr>
          <w:rFonts w:ascii="David" w:hAnsi="David" w:cs="David" w:hint="cs"/>
          <w:sz w:val="24"/>
          <w:szCs w:val="24"/>
          <w:rtl/>
        </w:rPr>
        <w:t xml:space="preserve"> אמנם </w:t>
      </w:r>
      <w:r w:rsidR="00EC179B">
        <w:rPr>
          <w:rFonts w:ascii="David" w:hAnsi="David" w:cs="David" w:hint="cs"/>
          <w:sz w:val="24"/>
          <w:szCs w:val="24"/>
          <w:rtl/>
        </w:rPr>
        <w:t xml:space="preserve">במקרים האלו </w:t>
      </w:r>
      <w:r w:rsidR="00E46C34">
        <w:rPr>
          <w:rFonts w:ascii="David" w:hAnsi="David" w:cs="David" w:hint="cs"/>
          <w:sz w:val="24"/>
          <w:szCs w:val="24"/>
          <w:rtl/>
        </w:rPr>
        <w:t>יש</w:t>
      </w:r>
      <w:r w:rsidR="00EC179B">
        <w:rPr>
          <w:rFonts w:ascii="David" w:hAnsi="David" w:cs="David" w:hint="cs"/>
          <w:sz w:val="24"/>
          <w:szCs w:val="24"/>
          <w:rtl/>
        </w:rPr>
        <w:t>נה</w:t>
      </w:r>
      <w:r w:rsidR="00E46C34">
        <w:rPr>
          <w:rFonts w:ascii="David" w:hAnsi="David" w:cs="David" w:hint="cs"/>
          <w:sz w:val="24"/>
          <w:szCs w:val="24"/>
          <w:rtl/>
        </w:rPr>
        <w:t xml:space="preserve"> </w:t>
      </w:r>
      <w:r w:rsidR="00EC179B">
        <w:rPr>
          <w:rFonts w:ascii="David" w:hAnsi="David" w:cs="David" w:hint="cs"/>
          <w:sz w:val="24"/>
          <w:szCs w:val="24"/>
          <w:rtl/>
        </w:rPr>
        <w:t>ה</w:t>
      </w:r>
      <w:r w:rsidR="00E46C34">
        <w:rPr>
          <w:rFonts w:ascii="David" w:hAnsi="David" w:cs="David" w:hint="cs"/>
          <w:sz w:val="24"/>
          <w:szCs w:val="24"/>
          <w:rtl/>
        </w:rPr>
        <w:t xml:space="preserve">חובה לקבל תביעת </w:t>
      </w:r>
      <w:r w:rsidR="00EC179B">
        <w:rPr>
          <w:rFonts w:ascii="David" w:hAnsi="David" w:cs="David" w:hint="cs"/>
          <w:sz w:val="24"/>
          <w:szCs w:val="24"/>
          <w:rtl/>
        </w:rPr>
        <w:t xml:space="preserve">נזיקית </w:t>
      </w:r>
      <w:r w:rsidR="00E46C34">
        <w:rPr>
          <w:rFonts w:ascii="David" w:hAnsi="David" w:cs="David" w:hint="cs"/>
          <w:sz w:val="24"/>
          <w:szCs w:val="24"/>
          <w:rtl/>
        </w:rPr>
        <w:t>משום שאין להתפשר על ערך קדושת הגוף, אך אין הדבר אומר כי חייבים לסטות מחלוקת רכוש שוויונית.</w:t>
      </w:r>
      <w:r w:rsidR="00E46C34">
        <w:rPr>
          <w:rStyle w:val="ab"/>
          <w:rFonts w:ascii="David" w:hAnsi="David" w:cs="David"/>
          <w:sz w:val="24"/>
          <w:szCs w:val="24"/>
          <w:rtl/>
        </w:rPr>
        <w:footnoteReference w:id="13"/>
      </w:r>
      <w:r w:rsidR="00AB2348">
        <w:rPr>
          <w:rFonts w:ascii="David" w:hAnsi="David" w:cs="David" w:hint="cs"/>
          <w:sz w:val="24"/>
          <w:szCs w:val="24"/>
          <w:rtl/>
        </w:rPr>
        <w:t xml:space="preserve"> </w:t>
      </w:r>
      <w:r w:rsidR="00E46C34">
        <w:rPr>
          <w:rFonts w:ascii="David" w:hAnsi="David" w:cs="David" w:hint="cs"/>
          <w:sz w:val="24"/>
          <w:szCs w:val="24"/>
          <w:rtl/>
        </w:rPr>
        <w:t>אסייג ואומר כי במקרים של בגידה</w:t>
      </w:r>
      <w:r w:rsidR="00EC179B">
        <w:rPr>
          <w:rFonts w:ascii="David" w:hAnsi="David" w:cs="David" w:hint="cs"/>
          <w:sz w:val="24"/>
          <w:szCs w:val="24"/>
          <w:rtl/>
        </w:rPr>
        <w:t xml:space="preserve"> מתמשכת</w:t>
      </w:r>
      <w:r w:rsidR="00E46C34">
        <w:rPr>
          <w:rFonts w:ascii="David" w:hAnsi="David" w:cs="David" w:hint="cs"/>
          <w:sz w:val="24"/>
          <w:szCs w:val="24"/>
          <w:rtl/>
        </w:rPr>
        <w:t xml:space="preserve"> מתחילת הנישואין סבורני כי ניתן יהיה לשלול את הלכת איזון המשאבים. הסיבה לכך היא שלא ניתן לייחס לבן הזוג בעל הנכס הסכמה מוגמרת לתת זכויות על הנכס לתוך הנישואין</w:t>
      </w:r>
      <w:r w:rsidR="007B4ECA">
        <w:rPr>
          <w:rFonts w:ascii="David" w:hAnsi="David" w:cs="David" w:hint="cs"/>
          <w:sz w:val="24"/>
          <w:szCs w:val="24"/>
          <w:rtl/>
        </w:rPr>
        <w:t xml:space="preserve"> משום שהגיוני כי במקרה זה בן הזוג לא התכוון מלכתחילה לחלוק את רכושו.</w:t>
      </w:r>
      <w:r w:rsidR="007B4ECA">
        <w:rPr>
          <w:rStyle w:val="ab"/>
          <w:rFonts w:ascii="David" w:hAnsi="David" w:cs="David"/>
          <w:sz w:val="24"/>
          <w:szCs w:val="24"/>
          <w:rtl/>
        </w:rPr>
        <w:footnoteReference w:id="14"/>
      </w:r>
    </w:p>
    <w:p w14:paraId="14FD9443" w14:textId="4A6D3E4F" w:rsidR="005A7485" w:rsidRDefault="00EC179B" w:rsidP="00D55DDB">
      <w:pPr>
        <w:spacing w:line="480" w:lineRule="auto"/>
        <w:jc w:val="both"/>
        <w:rPr>
          <w:rFonts w:ascii="David" w:hAnsi="David" w:cs="David"/>
          <w:sz w:val="24"/>
          <w:szCs w:val="24"/>
          <w:rtl/>
        </w:rPr>
      </w:pPr>
      <w:r>
        <w:rPr>
          <w:rFonts w:ascii="David" w:hAnsi="David" w:cs="David" w:hint="cs"/>
          <w:sz w:val="24"/>
          <w:szCs w:val="24"/>
          <w:rtl/>
        </w:rPr>
        <w:t xml:space="preserve">על כן בהתחשב בכל האמור לעיל </w:t>
      </w:r>
      <w:r w:rsidR="003A04BA">
        <w:rPr>
          <w:rFonts w:ascii="David" w:hAnsi="David" w:cs="David" w:hint="cs"/>
          <w:sz w:val="24"/>
          <w:szCs w:val="24"/>
          <w:rtl/>
        </w:rPr>
        <w:t>לעניות דעתי</w:t>
      </w:r>
      <w:r>
        <w:rPr>
          <w:rFonts w:ascii="David" w:hAnsi="David" w:cs="David" w:hint="cs"/>
          <w:sz w:val="24"/>
          <w:szCs w:val="24"/>
          <w:rtl/>
        </w:rPr>
        <w:t xml:space="preserve"> הפתרון הטוב ביותר למצב היא חסינות חלקית בתביעות נזיקיות בגין בגידה. </w:t>
      </w:r>
      <w:r w:rsidR="005A7485">
        <w:rPr>
          <w:rFonts w:ascii="David" w:hAnsi="David" w:cs="David" w:hint="cs"/>
          <w:sz w:val="24"/>
          <w:szCs w:val="24"/>
          <w:rtl/>
        </w:rPr>
        <w:t>על כן</w:t>
      </w:r>
      <w:r w:rsidR="00121CBB">
        <w:rPr>
          <w:rFonts w:ascii="David" w:hAnsi="David" w:cs="David" w:hint="cs"/>
          <w:sz w:val="24"/>
          <w:szCs w:val="24"/>
          <w:rtl/>
        </w:rPr>
        <w:t>,</w:t>
      </w:r>
      <w:r w:rsidR="005A7485">
        <w:rPr>
          <w:rFonts w:ascii="David" w:hAnsi="David" w:cs="David" w:hint="cs"/>
          <w:sz w:val="24"/>
          <w:szCs w:val="24"/>
          <w:rtl/>
        </w:rPr>
        <w:t xml:space="preserve"> יש לקבל תביעות נזיקיות רק במקרים בהם ניתן יהיה להוכיח קשר סיבתי מובהק בין הבגידה לפירוק הקשר והתא המשפחתי.</w:t>
      </w:r>
      <w:r w:rsidR="005A7485">
        <w:rPr>
          <w:rStyle w:val="ab"/>
          <w:rFonts w:ascii="David" w:hAnsi="David" w:cs="David"/>
          <w:sz w:val="24"/>
          <w:szCs w:val="24"/>
          <w:rtl/>
        </w:rPr>
        <w:footnoteReference w:id="15"/>
      </w:r>
      <w:r w:rsidR="005A7485">
        <w:rPr>
          <w:rFonts w:ascii="David" w:hAnsi="David" w:cs="David" w:hint="cs"/>
          <w:sz w:val="24"/>
          <w:szCs w:val="24"/>
          <w:rtl/>
        </w:rPr>
        <w:t xml:space="preserve"> בנוסף, במידה והחליטו לקבל את התביעה מבחינת האשם סבורני כי יש עדיין לשקול האם יש לדחות את התביעה או לא ע"פ רשימת השיקולים של השופט זגורי.</w:t>
      </w:r>
      <w:r w:rsidR="005A7485">
        <w:rPr>
          <w:rStyle w:val="ab"/>
          <w:rFonts w:ascii="David" w:hAnsi="David" w:cs="David"/>
          <w:sz w:val="24"/>
          <w:szCs w:val="24"/>
          <w:rtl/>
        </w:rPr>
        <w:footnoteReference w:id="16"/>
      </w:r>
      <w:r w:rsidR="005A7485">
        <w:rPr>
          <w:rFonts w:ascii="David" w:hAnsi="David" w:cs="David" w:hint="cs"/>
          <w:sz w:val="24"/>
          <w:szCs w:val="24"/>
          <w:rtl/>
        </w:rPr>
        <w:t xml:space="preserve">  בכך, ייתכן ויוכלו למנוע הענשת הבוגד/ת במקרים בהם הבגידה לא הייתה המעשה שפירק את הקשר, ומנגד תישמר הההרמוניה בין הדינים ותיווצר סימטריה. אמת כי לא מדובר בסימטריה מושלמת, אך לטעמי היא עדיפה משאר האפשרויות. </w:t>
      </w:r>
    </w:p>
    <w:p w14:paraId="03D2AFCA" w14:textId="250558E0" w:rsidR="00B547B2" w:rsidRDefault="00450B7A" w:rsidP="00D55DDB">
      <w:pPr>
        <w:spacing w:line="480" w:lineRule="auto"/>
        <w:jc w:val="both"/>
        <w:rPr>
          <w:rFonts w:ascii="David" w:hAnsi="David" w:cs="David"/>
          <w:sz w:val="24"/>
          <w:szCs w:val="24"/>
          <w:rtl/>
        </w:rPr>
      </w:pPr>
      <w:r>
        <w:rPr>
          <w:rFonts w:ascii="David" w:hAnsi="David" w:cs="David" w:hint="cs"/>
          <w:sz w:val="24"/>
          <w:szCs w:val="24"/>
          <w:rtl/>
        </w:rPr>
        <w:t xml:space="preserve">לסיכום, </w:t>
      </w:r>
      <w:r w:rsidR="00B06B5A">
        <w:rPr>
          <w:rFonts w:ascii="David" w:hAnsi="David" w:cs="David" w:hint="cs"/>
          <w:sz w:val="24"/>
          <w:szCs w:val="24"/>
          <w:rtl/>
        </w:rPr>
        <w:t xml:space="preserve">במצגת, </w:t>
      </w:r>
      <w:r>
        <w:rPr>
          <w:rFonts w:ascii="David" w:hAnsi="David" w:cs="David" w:hint="cs"/>
          <w:sz w:val="24"/>
          <w:szCs w:val="24"/>
          <w:rtl/>
        </w:rPr>
        <w:t>במאמרו של שמואלי</w:t>
      </w:r>
      <w:r w:rsidR="00B06B5A">
        <w:rPr>
          <w:rFonts w:ascii="David" w:hAnsi="David" w:cs="David" w:hint="cs"/>
          <w:sz w:val="24"/>
          <w:szCs w:val="24"/>
          <w:rtl/>
        </w:rPr>
        <w:t xml:space="preserve"> ובפסקי הדין השונים ניתן לראות כי ישנן דעות לכאן ולכאן בנוגע לסימטריה בין דיני המשפחה לדיני הנזיקין ולהתנגשות ביניהם, ובנוסף דעות</w:t>
      </w:r>
      <w:r w:rsidR="00121CBB">
        <w:rPr>
          <w:rFonts w:ascii="David" w:hAnsi="David" w:cs="David" w:hint="cs"/>
          <w:sz w:val="24"/>
          <w:szCs w:val="24"/>
          <w:rtl/>
        </w:rPr>
        <w:t xml:space="preserve"> שונות</w:t>
      </w:r>
      <w:r w:rsidR="00B06B5A">
        <w:rPr>
          <w:rFonts w:ascii="David" w:hAnsi="David" w:cs="David" w:hint="cs"/>
          <w:sz w:val="24"/>
          <w:szCs w:val="24"/>
          <w:rtl/>
        </w:rPr>
        <w:t xml:space="preserve"> בנוגע לשאלה האם ניתן לתבוע תביעות נזיקיות בתא המשפחתי או שיש לתת לתביעות אלו חסינות מלאה. בנייר עמדה זה הצגתי </w:t>
      </w:r>
      <w:r w:rsidR="00121CBB">
        <w:rPr>
          <w:rFonts w:ascii="David" w:hAnsi="David" w:cs="David" w:hint="cs"/>
          <w:sz w:val="24"/>
          <w:szCs w:val="24"/>
          <w:rtl/>
        </w:rPr>
        <w:t>כי לעניות דעתי</w:t>
      </w:r>
      <w:r w:rsidR="00B06B5A">
        <w:rPr>
          <w:rFonts w:ascii="David" w:hAnsi="David" w:cs="David" w:hint="cs"/>
          <w:sz w:val="24"/>
          <w:szCs w:val="24"/>
          <w:rtl/>
        </w:rPr>
        <w:t xml:space="preserve"> קבלה של תביעות אלו תהיינה בעייתית</w:t>
      </w:r>
      <w:r w:rsidR="009D0CEA">
        <w:rPr>
          <w:rFonts w:ascii="David" w:hAnsi="David" w:cs="David" w:hint="cs"/>
          <w:sz w:val="24"/>
          <w:szCs w:val="24"/>
          <w:rtl/>
        </w:rPr>
        <w:t xml:space="preserve"> ו</w:t>
      </w:r>
      <w:r w:rsidR="00B06B5A">
        <w:rPr>
          <w:rFonts w:ascii="David" w:hAnsi="David" w:cs="David" w:hint="cs"/>
          <w:sz w:val="24"/>
          <w:szCs w:val="24"/>
          <w:rtl/>
        </w:rPr>
        <w:t>תוביל להשלכות לא שוויוניות בחלוקת הרכוש ותפגע בזכויותיהם של בעלי הדין במטרה להגיע לסימטריה (חוץ מהחריגים כמובן)</w:t>
      </w:r>
      <w:r w:rsidR="00121CBB">
        <w:rPr>
          <w:rFonts w:ascii="David" w:hAnsi="David" w:cs="David" w:hint="cs"/>
          <w:sz w:val="24"/>
          <w:szCs w:val="24"/>
          <w:rtl/>
        </w:rPr>
        <w:t xml:space="preserve">, </w:t>
      </w:r>
      <w:r w:rsidR="00B06B5A">
        <w:rPr>
          <w:rFonts w:ascii="David" w:hAnsi="David" w:cs="David" w:hint="cs"/>
          <w:sz w:val="24"/>
          <w:szCs w:val="24"/>
          <w:rtl/>
        </w:rPr>
        <w:t>ועל כן סברתי כי הפתרון הטוב ביותר לשאלות הללו הינו חסינות חלקית בשילוב רשימת השיקולים.</w:t>
      </w:r>
    </w:p>
    <w:p w14:paraId="7F9FEEA7" w14:textId="72D76F09" w:rsidR="005A0DFC" w:rsidRPr="005A0DFC" w:rsidRDefault="005A0DFC" w:rsidP="00D55DDB">
      <w:pPr>
        <w:tabs>
          <w:tab w:val="left" w:pos="2421"/>
        </w:tabs>
        <w:spacing w:line="480" w:lineRule="auto"/>
        <w:jc w:val="both"/>
      </w:pPr>
    </w:p>
    <w:sectPr w:rsidR="005A0DFC" w:rsidRPr="005A0DFC" w:rsidSect="0086618F">
      <w:pgSz w:w="11906" w:h="16838"/>
      <w:pgMar w:top="1134" w:right="1134" w:bottom="1134" w:left="1134"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E4003" w14:textId="77777777" w:rsidR="0039572E" w:rsidRDefault="0039572E" w:rsidP="0086618F">
      <w:pPr>
        <w:spacing w:after="0" w:line="240" w:lineRule="auto"/>
      </w:pPr>
      <w:r>
        <w:separator/>
      </w:r>
    </w:p>
  </w:endnote>
  <w:endnote w:type="continuationSeparator" w:id="0">
    <w:p w14:paraId="4E6A3E19" w14:textId="77777777" w:rsidR="0039572E" w:rsidRDefault="0039572E" w:rsidP="00866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D31DB" w14:textId="77777777" w:rsidR="0039572E" w:rsidRDefault="0039572E" w:rsidP="0086618F">
      <w:pPr>
        <w:spacing w:after="0" w:line="240" w:lineRule="auto"/>
      </w:pPr>
      <w:r>
        <w:separator/>
      </w:r>
    </w:p>
  </w:footnote>
  <w:footnote w:type="continuationSeparator" w:id="0">
    <w:p w14:paraId="569CA343" w14:textId="77777777" w:rsidR="0039572E" w:rsidRDefault="0039572E" w:rsidP="0086618F">
      <w:pPr>
        <w:spacing w:after="0" w:line="240" w:lineRule="auto"/>
      </w:pPr>
      <w:r>
        <w:continuationSeparator/>
      </w:r>
    </w:p>
  </w:footnote>
  <w:footnote w:id="1">
    <w:p w14:paraId="20760EAC" w14:textId="49A2A9DC" w:rsidR="005E5BDF" w:rsidRPr="009D0CEA" w:rsidRDefault="005E5BDF" w:rsidP="00412254">
      <w:pPr>
        <w:pStyle w:val="a9"/>
        <w:spacing w:line="480" w:lineRule="auto"/>
        <w:jc w:val="both"/>
        <w:rPr>
          <w:rFonts w:ascii="David" w:hAnsi="David" w:cs="David"/>
          <w:rtl/>
        </w:rPr>
      </w:pPr>
      <w:r w:rsidRPr="009D0CEA">
        <w:rPr>
          <w:rStyle w:val="ab"/>
          <w:rFonts w:ascii="David" w:hAnsi="David" w:cs="David"/>
        </w:rPr>
        <w:footnoteRef/>
      </w:r>
      <w:r w:rsidR="00376E4A" w:rsidRPr="009D0CEA">
        <w:rPr>
          <w:rFonts w:ascii="David" w:hAnsi="David" w:cs="David"/>
        </w:rPr>
        <w:t xml:space="preserve"> </w:t>
      </w:r>
      <w:r w:rsidR="006A37FE" w:rsidRPr="009D0CEA">
        <w:rPr>
          <w:rFonts w:ascii="David" w:hAnsi="David" w:cs="David"/>
          <w:rtl/>
        </w:rPr>
        <w:t xml:space="preserve">בנימין שמואלי "מפגשים ועימותים בין דיני הנזיקין לדיני המשפחה הדתיים והאזרחיים: המעגלים השונים של תביעות הנזיקין במשפחה" </w:t>
      </w:r>
      <w:r w:rsidR="006A37FE" w:rsidRPr="009D0CEA">
        <w:rPr>
          <w:rFonts w:ascii="David" w:hAnsi="David" w:cs="David"/>
          <w:b/>
          <w:bCs/>
          <w:rtl/>
        </w:rPr>
        <w:t>אסופת מאמרים במלאת 20 שנה להקמת בתי המשפט למשפחה בישראל</w:t>
      </w:r>
      <w:r w:rsidR="006A37FE" w:rsidRPr="009D0CEA">
        <w:rPr>
          <w:rFonts w:ascii="David" w:hAnsi="David" w:cs="David"/>
          <w:rtl/>
        </w:rPr>
        <w:t xml:space="preserve"> 207 (צבי ויצמן עורך, 2015). (להלן: שמואלי, "מפגשים ועימותים" </w:t>
      </w:r>
      <w:r w:rsidR="006A37FE" w:rsidRPr="009D0CEA">
        <w:rPr>
          <w:rFonts w:ascii="David" w:hAnsi="David" w:cs="David"/>
          <w:b/>
          <w:bCs/>
          <w:rtl/>
        </w:rPr>
        <w:t>אסופת מאמרים</w:t>
      </w:r>
      <w:r w:rsidR="006A37FE" w:rsidRPr="009D0CEA">
        <w:rPr>
          <w:rFonts w:ascii="David" w:hAnsi="David" w:cs="David"/>
          <w:rtl/>
        </w:rPr>
        <w:t>, 2015)</w:t>
      </w:r>
    </w:p>
  </w:footnote>
  <w:footnote w:id="2">
    <w:p w14:paraId="0E51B32F" w14:textId="691999A7" w:rsidR="005E5BDF" w:rsidRPr="009D0CEA" w:rsidRDefault="005E5BDF" w:rsidP="00412254">
      <w:pPr>
        <w:pStyle w:val="a9"/>
        <w:spacing w:line="480" w:lineRule="auto"/>
        <w:rPr>
          <w:rFonts w:ascii="David" w:hAnsi="David" w:cs="David"/>
          <w:rtl/>
        </w:rPr>
      </w:pPr>
      <w:r w:rsidRPr="009D0CEA">
        <w:rPr>
          <w:rStyle w:val="ab"/>
          <w:rFonts w:ascii="David" w:hAnsi="David" w:cs="David"/>
        </w:rPr>
        <w:footnoteRef/>
      </w:r>
      <w:r w:rsidRPr="009D0CEA">
        <w:rPr>
          <w:rFonts w:ascii="David" w:hAnsi="David" w:cs="David"/>
          <w:rtl/>
        </w:rPr>
        <w:t xml:space="preserve"> </w:t>
      </w:r>
      <w:r w:rsidR="006A37FE" w:rsidRPr="009D0CEA">
        <w:rPr>
          <w:rFonts w:ascii="David" w:hAnsi="David" w:cs="David"/>
          <w:rtl/>
        </w:rPr>
        <w:t xml:space="preserve">בנימין שמואלי "בגידה בדיני הנזיקין וכשיקול בסטייה מחלוקת רכוש שוויונית בישראל" </w:t>
      </w:r>
      <w:r w:rsidR="0071318B" w:rsidRPr="009D0CEA">
        <w:rPr>
          <w:rFonts w:ascii="David" w:hAnsi="David" w:cs="David"/>
          <w:rtl/>
        </w:rPr>
        <w:t>שקופית 3,</w:t>
      </w:r>
      <w:r w:rsidR="006A37FE" w:rsidRPr="009D0CEA">
        <w:rPr>
          <w:rFonts w:ascii="David" w:hAnsi="David" w:cs="David"/>
          <w:rtl/>
        </w:rPr>
        <w:t xml:space="preserve"> </w:t>
      </w:r>
      <w:r w:rsidR="0071318B" w:rsidRPr="009D0CEA">
        <w:rPr>
          <w:rFonts w:ascii="David" w:hAnsi="David" w:cs="David"/>
          <w:rtl/>
        </w:rPr>
        <w:t>(</w:t>
      </w:r>
      <w:r w:rsidR="006A37FE" w:rsidRPr="009D0CEA">
        <w:rPr>
          <w:rFonts w:ascii="David" w:hAnsi="David" w:cs="David"/>
          <w:rtl/>
        </w:rPr>
        <w:t>2022</w:t>
      </w:r>
      <w:r w:rsidR="0071318B" w:rsidRPr="009D0CEA">
        <w:rPr>
          <w:rFonts w:ascii="David" w:hAnsi="David" w:cs="David"/>
          <w:rtl/>
        </w:rPr>
        <w:t>).</w:t>
      </w:r>
      <w:r w:rsidR="006A37FE" w:rsidRPr="009D0CEA">
        <w:rPr>
          <w:rFonts w:ascii="David" w:hAnsi="David" w:cs="David"/>
          <w:rtl/>
        </w:rPr>
        <w:t xml:space="preserve"> </w:t>
      </w:r>
    </w:p>
  </w:footnote>
  <w:footnote w:id="3">
    <w:p w14:paraId="41783CC5" w14:textId="0D7DB28C" w:rsidR="005E5BDF" w:rsidRPr="009D0CEA" w:rsidRDefault="005E5BDF" w:rsidP="00412254">
      <w:pPr>
        <w:pStyle w:val="a9"/>
        <w:spacing w:line="480" w:lineRule="auto"/>
        <w:rPr>
          <w:rFonts w:ascii="David" w:hAnsi="David" w:cs="David"/>
        </w:rPr>
      </w:pPr>
      <w:r w:rsidRPr="009D0CEA">
        <w:rPr>
          <w:rStyle w:val="ab"/>
          <w:rFonts w:ascii="David" w:hAnsi="David" w:cs="David"/>
        </w:rPr>
        <w:footnoteRef/>
      </w:r>
      <w:r w:rsidRPr="009D0CEA">
        <w:rPr>
          <w:rFonts w:ascii="David" w:hAnsi="David" w:cs="David"/>
          <w:rtl/>
        </w:rPr>
        <w:t xml:space="preserve"> </w:t>
      </w:r>
      <w:r w:rsidR="006A37FE" w:rsidRPr="009D0CEA">
        <w:rPr>
          <w:rFonts w:ascii="David" w:hAnsi="David" w:cs="David"/>
          <w:rtl/>
        </w:rPr>
        <w:t>ה"ש 1.</w:t>
      </w:r>
    </w:p>
  </w:footnote>
  <w:footnote w:id="4">
    <w:p w14:paraId="7DDD4277" w14:textId="0F21E8C6" w:rsidR="00A76D8A" w:rsidRPr="009D0CEA" w:rsidRDefault="00A76D8A" w:rsidP="00412254">
      <w:pPr>
        <w:pStyle w:val="a9"/>
        <w:spacing w:line="480" w:lineRule="auto"/>
        <w:rPr>
          <w:rFonts w:ascii="David" w:hAnsi="David" w:cs="David"/>
        </w:rPr>
      </w:pPr>
      <w:r w:rsidRPr="009D0CEA">
        <w:rPr>
          <w:rStyle w:val="ab"/>
          <w:rFonts w:ascii="David" w:hAnsi="David" w:cs="David"/>
        </w:rPr>
        <w:footnoteRef/>
      </w:r>
      <w:r w:rsidRPr="009D0CEA">
        <w:rPr>
          <w:rFonts w:ascii="David" w:hAnsi="David" w:cs="David"/>
          <w:rtl/>
        </w:rPr>
        <w:t xml:space="preserve"> </w:t>
      </w:r>
      <w:r w:rsidR="006A37FE" w:rsidRPr="009D0CEA">
        <w:rPr>
          <w:rFonts w:ascii="David" w:hAnsi="David" w:cs="David"/>
          <w:rtl/>
        </w:rPr>
        <w:t>ע"א</w:t>
      </w:r>
      <w:r w:rsidR="006A37FE" w:rsidRPr="009D0CEA">
        <w:rPr>
          <w:rFonts w:ascii="David" w:hAnsi="David" w:cs="David"/>
        </w:rPr>
        <w:t xml:space="preserve"> 98/5258 </w:t>
      </w:r>
      <w:r w:rsidR="006A37FE" w:rsidRPr="009D0CEA">
        <w:rPr>
          <w:rFonts w:ascii="David" w:hAnsi="David" w:cs="David"/>
          <w:b/>
          <w:bCs/>
          <w:rtl/>
        </w:rPr>
        <w:t>פלונית נ' פלוני</w:t>
      </w:r>
      <w:r w:rsidR="00591CB0" w:rsidRPr="009D0CEA">
        <w:rPr>
          <w:rFonts w:ascii="David" w:hAnsi="David" w:cs="David"/>
          <w:rtl/>
        </w:rPr>
        <w:t xml:space="preserve"> </w:t>
      </w:r>
      <w:r w:rsidR="006A37FE" w:rsidRPr="009D0CEA">
        <w:rPr>
          <w:rFonts w:ascii="David" w:hAnsi="David" w:cs="David"/>
          <w:rtl/>
        </w:rPr>
        <w:t>פ"ד נח(6) 209, פס' 14 לפסק</w:t>
      </w:r>
      <w:r w:rsidR="00376E4A" w:rsidRPr="009D0CEA">
        <w:rPr>
          <w:rFonts w:ascii="David" w:hAnsi="David" w:cs="David"/>
          <w:rtl/>
        </w:rPr>
        <w:t xml:space="preserve"> </w:t>
      </w:r>
      <w:r w:rsidR="006A37FE" w:rsidRPr="009D0CEA">
        <w:rPr>
          <w:rFonts w:ascii="David" w:hAnsi="David" w:cs="David"/>
          <w:rtl/>
        </w:rPr>
        <w:t>דינו של השופט ריבלין (2004).</w:t>
      </w:r>
    </w:p>
  </w:footnote>
  <w:footnote w:id="5">
    <w:p w14:paraId="28BE32B6" w14:textId="1F543BD4" w:rsidR="00E85D78" w:rsidRPr="009D0CEA" w:rsidRDefault="00E85D78" w:rsidP="00412254">
      <w:pPr>
        <w:pStyle w:val="a9"/>
        <w:spacing w:line="480" w:lineRule="auto"/>
        <w:rPr>
          <w:rFonts w:ascii="David" w:hAnsi="David" w:cs="David"/>
        </w:rPr>
      </w:pPr>
      <w:r w:rsidRPr="009D0CEA">
        <w:rPr>
          <w:rStyle w:val="ab"/>
          <w:rFonts w:ascii="David" w:hAnsi="David" w:cs="David"/>
        </w:rPr>
        <w:footnoteRef/>
      </w:r>
      <w:r w:rsidRPr="009D0CEA">
        <w:rPr>
          <w:rFonts w:ascii="David" w:hAnsi="David" w:cs="David"/>
          <w:rtl/>
        </w:rPr>
        <w:t xml:space="preserve"> </w:t>
      </w:r>
      <w:r w:rsidR="00591CB0" w:rsidRPr="009D0CEA">
        <w:rPr>
          <w:rFonts w:ascii="David" w:hAnsi="David" w:cs="David"/>
          <w:rtl/>
        </w:rPr>
        <w:t>ע"א</w:t>
      </w:r>
      <w:r w:rsidR="006A37FE" w:rsidRPr="009D0CEA">
        <w:rPr>
          <w:rFonts w:ascii="David" w:hAnsi="David" w:cs="David"/>
          <w:rtl/>
        </w:rPr>
        <w:t xml:space="preserve"> 8489/12  </w:t>
      </w:r>
      <w:r w:rsidR="006A37FE" w:rsidRPr="009D0CEA">
        <w:rPr>
          <w:rFonts w:ascii="David" w:hAnsi="David" w:cs="David"/>
          <w:b/>
          <w:bCs/>
          <w:rtl/>
        </w:rPr>
        <w:t>פלוני נ' פלוני</w:t>
      </w:r>
      <w:r w:rsidR="006A37FE" w:rsidRPr="009D0CEA">
        <w:rPr>
          <w:rFonts w:ascii="David" w:hAnsi="David" w:cs="David"/>
          <w:rtl/>
        </w:rPr>
        <w:t xml:space="preserve"> </w:t>
      </w:r>
      <w:r w:rsidR="00591CB0" w:rsidRPr="009D0CEA">
        <w:rPr>
          <w:rFonts w:ascii="David" w:hAnsi="David" w:cs="David"/>
          <w:rtl/>
        </w:rPr>
        <w:t>פס' 8 לפסק דינו של השופט עמית (2013).</w:t>
      </w:r>
    </w:p>
  </w:footnote>
  <w:footnote w:id="6">
    <w:p w14:paraId="24479C9C" w14:textId="710F9394" w:rsidR="00BF06FA" w:rsidRPr="00591CB0" w:rsidRDefault="00BF06FA" w:rsidP="00412254">
      <w:pPr>
        <w:pStyle w:val="a9"/>
        <w:spacing w:line="480" w:lineRule="auto"/>
        <w:rPr>
          <w:rFonts w:ascii="David" w:hAnsi="David" w:cs="David"/>
        </w:rPr>
      </w:pPr>
      <w:r w:rsidRPr="009D0CEA">
        <w:rPr>
          <w:rStyle w:val="ab"/>
          <w:rFonts w:ascii="David" w:hAnsi="David" w:cs="David"/>
        </w:rPr>
        <w:footnoteRef/>
      </w:r>
      <w:r w:rsidRPr="009D0CEA">
        <w:rPr>
          <w:rFonts w:ascii="David" w:hAnsi="David" w:cs="David"/>
          <w:rtl/>
        </w:rPr>
        <w:t xml:space="preserve"> </w:t>
      </w:r>
      <w:r w:rsidR="00591CB0" w:rsidRPr="009D0CEA">
        <w:rPr>
          <w:rFonts w:ascii="David" w:hAnsi="David" w:cs="David"/>
          <w:rtl/>
        </w:rPr>
        <w:t xml:space="preserve">תמ"ש (טבריה) 10541-03-11 </w:t>
      </w:r>
      <w:r w:rsidR="00591CB0" w:rsidRPr="009D0CEA">
        <w:rPr>
          <w:rFonts w:ascii="David" w:hAnsi="David" w:cs="David"/>
          <w:b/>
          <w:bCs/>
          <w:rtl/>
        </w:rPr>
        <w:t>מ.ז נ' א.ז</w:t>
      </w:r>
      <w:r w:rsidR="00591CB0" w:rsidRPr="009D0CEA">
        <w:rPr>
          <w:rFonts w:ascii="David" w:hAnsi="David" w:cs="David"/>
          <w:rtl/>
        </w:rPr>
        <w:t xml:space="preserve"> פס' 28.4 לפסק דינו של השופט זגורי</w:t>
      </w:r>
      <w:r w:rsidR="0071318B" w:rsidRPr="009D0CEA">
        <w:rPr>
          <w:rFonts w:ascii="David" w:hAnsi="David" w:cs="David"/>
          <w:rtl/>
        </w:rPr>
        <w:t xml:space="preserve"> </w:t>
      </w:r>
      <w:r w:rsidR="00591CB0" w:rsidRPr="009D0CEA">
        <w:rPr>
          <w:rFonts w:ascii="David" w:hAnsi="David" w:cs="David"/>
          <w:rtl/>
        </w:rPr>
        <w:t>(2012).</w:t>
      </w:r>
      <w:r w:rsidR="00591CB0" w:rsidRPr="00591CB0">
        <w:rPr>
          <w:rFonts w:ascii="David" w:hAnsi="David" w:cs="David"/>
          <w:rtl/>
        </w:rPr>
        <w:t xml:space="preserve"> </w:t>
      </w:r>
    </w:p>
  </w:footnote>
  <w:footnote w:id="7">
    <w:p w14:paraId="3781AD2C" w14:textId="586B37AE" w:rsidR="0027108D" w:rsidRPr="00376E4A" w:rsidRDefault="0027108D" w:rsidP="00412254">
      <w:pPr>
        <w:pStyle w:val="a9"/>
        <w:spacing w:line="480" w:lineRule="auto"/>
        <w:rPr>
          <w:rFonts w:ascii="David" w:hAnsi="David" w:cs="David"/>
          <w:rtl/>
        </w:rPr>
      </w:pPr>
      <w:r w:rsidRPr="00376E4A">
        <w:rPr>
          <w:rStyle w:val="ab"/>
          <w:rFonts w:ascii="David" w:hAnsi="David" w:cs="David"/>
        </w:rPr>
        <w:footnoteRef/>
      </w:r>
      <w:r w:rsidRPr="00376E4A">
        <w:rPr>
          <w:rFonts w:ascii="David" w:hAnsi="David" w:cs="David"/>
          <w:rtl/>
        </w:rPr>
        <w:t xml:space="preserve"> </w:t>
      </w:r>
      <w:r w:rsidR="00376E4A" w:rsidRPr="00376E4A">
        <w:rPr>
          <w:rFonts w:ascii="David" w:hAnsi="David" w:cs="David"/>
          <w:rtl/>
        </w:rPr>
        <w:t xml:space="preserve"> פס"ד 4046-05-12 תמ"ש (נצרת) </w:t>
      </w:r>
      <w:r w:rsidR="00376E4A" w:rsidRPr="00376E4A">
        <w:rPr>
          <w:rFonts w:ascii="David" w:hAnsi="David" w:cs="David"/>
          <w:b/>
          <w:bCs/>
          <w:rtl/>
        </w:rPr>
        <w:t>ל.מ נ' א.מ</w:t>
      </w:r>
      <w:r w:rsidR="00376E4A" w:rsidRPr="00376E4A">
        <w:rPr>
          <w:rFonts w:ascii="David" w:hAnsi="David" w:cs="David"/>
          <w:rtl/>
        </w:rPr>
        <w:t xml:space="preserve"> פס' 36.2 לפסק דינו של השופט זגורי (2017). </w:t>
      </w:r>
    </w:p>
  </w:footnote>
  <w:footnote w:id="8">
    <w:p w14:paraId="3E9B2471" w14:textId="2A730B57" w:rsidR="0027108D" w:rsidRPr="00376E4A" w:rsidRDefault="0027108D" w:rsidP="00412254">
      <w:pPr>
        <w:pStyle w:val="a9"/>
        <w:spacing w:line="480" w:lineRule="auto"/>
        <w:rPr>
          <w:rFonts w:ascii="David" w:hAnsi="David" w:cs="David"/>
        </w:rPr>
      </w:pPr>
      <w:r w:rsidRPr="00376E4A">
        <w:rPr>
          <w:rStyle w:val="ab"/>
          <w:rFonts w:ascii="David" w:hAnsi="David" w:cs="David"/>
        </w:rPr>
        <w:footnoteRef/>
      </w:r>
      <w:r w:rsidRPr="00376E4A">
        <w:rPr>
          <w:rFonts w:ascii="David" w:hAnsi="David" w:cs="David"/>
          <w:rtl/>
        </w:rPr>
        <w:t xml:space="preserve"> </w:t>
      </w:r>
      <w:r w:rsidR="00376E4A" w:rsidRPr="00376E4A">
        <w:rPr>
          <w:rFonts w:ascii="David" w:hAnsi="David" w:cs="David"/>
          <w:rtl/>
        </w:rPr>
        <w:t xml:space="preserve">פס"ד 4046-05-12 תמ"ש (נצרת) </w:t>
      </w:r>
      <w:r w:rsidR="00376E4A" w:rsidRPr="00376E4A">
        <w:rPr>
          <w:rFonts w:ascii="David" w:hAnsi="David" w:cs="David"/>
          <w:b/>
          <w:bCs/>
          <w:rtl/>
        </w:rPr>
        <w:t>ל.מ נ' א.מ</w:t>
      </w:r>
      <w:r w:rsidR="00376E4A" w:rsidRPr="00376E4A">
        <w:rPr>
          <w:rFonts w:ascii="David" w:hAnsi="David" w:cs="David"/>
          <w:rtl/>
        </w:rPr>
        <w:t xml:space="preserve"> פס' 36.1 לפסק דינו של השופט זגורי (2017).</w:t>
      </w:r>
    </w:p>
  </w:footnote>
  <w:footnote w:id="9">
    <w:p w14:paraId="36D19499" w14:textId="1A02A16E" w:rsidR="001E45DE" w:rsidRPr="0071318B" w:rsidRDefault="001E45DE" w:rsidP="00412254">
      <w:pPr>
        <w:pStyle w:val="a9"/>
        <w:spacing w:line="480" w:lineRule="auto"/>
        <w:rPr>
          <w:rFonts w:ascii="David" w:hAnsi="David" w:cs="David"/>
        </w:rPr>
      </w:pPr>
      <w:r w:rsidRPr="0071318B">
        <w:rPr>
          <w:rStyle w:val="ab"/>
          <w:rFonts w:ascii="David" w:hAnsi="David" w:cs="David"/>
        </w:rPr>
        <w:footnoteRef/>
      </w:r>
      <w:r w:rsidRPr="0071318B">
        <w:rPr>
          <w:rFonts w:ascii="David" w:hAnsi="David" w:cs="David"/>
          <w:rtl/>
        </w:rPr>
        <w:t xml:space="preserve"> </w:t>
      </w:r>
      <w:r w:rsidR="00376E4A" w:rsidRPr="0071318B">
        <w:rPr>
          <w:rFonts w:ascii="David" w:hAnsi="David" w:cs="David"/>
          <w:rtl/>
        </w:rPr>
        <w:t xml:space="preserve">תמ"ש (טבריה) 10541-03-11 </w:t>
      </w:r>
      <w:r w:rsidR="00376E4A" w:rsidRPr="0071318B">
        <w:rPr>
          <w:rFonts w:ascii="David" w:hAnsi="David" w:cs="David"/>
          <w:b/>
          <w:bCs/>
          <w:rtl/>
        </w:rPr>
        <w:t>מ.ז נ' א.ז</w:t>
      </w:r>
      <w:r w:rsidR="00376E4A" w:rsidRPr="0071318B">
        <w:rPr>
          <w:rFonts w:ascii="David" w:hAnsi="David" w:cs="David"/>
          <w:rtl/>
        </w:rPr>
        <w:t xml:space="preserve"> פס' 28.5 לפסק דינו של השופט זגורי</w:t>
      </w:r>
      <w:r w:rsidR="0071318B" w:rsidRPr="0071318B">
        <w:rPr>
          <w:rFonts w:ascii="David" w:hAnsi="David" w:cs="David"/>
          <w:rtl/>
        </w:rPr>
        <w:t xml:space="preserve"> (2012)</w:t>
      </w:r>
      <w:r w:rsidR="00376E4A" w:rsidRPr="0071318B">
        <w:rPr>
          <w:rFonts w:ascii="David" w:hAnsi="David" w:cs="David"/>
          <w:rtl/>
        </w:rPr>
        <w:t>.</w:t>
      </w:r>
    </w:p>
  </w:footnote>
  <w:footnote w:id="10">
    <w:p w14:paraId="5D9D1952" w14:textId="71BE99FD" w:rsidR="00614947" w:rsidRPr="0071318B" w:rsidRDefault="00614947" w:rsidP="00412254">
      <w:pPr>
        <w:pStyle w:val="a9"/>
        <w:spacing w:line="480" w:lineRule="auto"/>
        <w:rPr>
          <w:rFonts w:ascii="David" w:hAnsi="David" w:cs="David"/>
        </w:rPr>
      </w:pPr>
      <w:r w:rsidRPr="0071318B">
        <w:rPr>
          <w:rStyle w:val="ab"/>
          <w:rFonts w:ascii="David" w:hAnsi="David" w:cs="David"/>
        </w:rPr>
        <w:footnoteRef/>
      </w:r>
      <w:r w:rsidRPr="0071318B">
        <w:rPr>
          <w:rFonts w:ascii="David" w:hAnsi="David" w:cs="David"/>
          <w:rtl/>
        </w:rPr>
        <w:t xml:space="preserve"> </w:t>
      </w:r>
      <w:r w:rsidR="0071318B" w:rsidRPr="0071318B">
        <w:rPr>
          <w:rFonts w:ascii="David" w:hAnsi="David" w:cs="David"/>
          <w:rtl/>
        </w:rPr>
        <w:t xml:space="preserve">ה"ש 2, שקופית 9. </w:t>
      </w:r>
      <w:r w:rsidRPr="0071318B">
        <w:rPr>
          <w:rFonts w:ascii="David" w:hAnsi="David" w:cs="David"/>
          <w:rtl/>
        </w:rPr>
        <w:t xml:space="preserve"> </w:t>
      </w:r>
    </w:p>
  </w:footnote>
  <w:footnote w:id="11">
    <w:p w14:paraId="767D73F0" w14:textId="43E8A520" w:rsidR="00242257" w:rsidRPr="00761A7B" w:rsidRDefault="00242257" w:rsidP="00412254">
      <w:pPr>
        <w:pStyle w:val="a9"/>
        <w:spacing w:line="480" w:lineRule="auto"/>
        <w:rPr>
          <w:rFonts w:ascii="David" w:hAnsi="David" w:cs="David"/>
        </w:rPr>
      </w:pPr>
      <w:r w:rsidRPr="00761A7B">
        <w:rPr>
          <w:rStyle w:val="ab"/>
          <w:rFonts w:ascii="David" w:hAnsi="David" w:cs="David"/>
        </w:rPr>
        <w:footnoteRef/>
      </w:r>
      <w:r w:rsidRPr="00761A7B">
        <w:rPr>
          <w:rFonts w:ascii="David" w:hAnsi="David" w:cs="David"/>
          <w:rtl/>
        </w:rPr>
        <w:t xml:space="preserve"> </w:t>
      </w:r>
      <w:r w:rsidR="00761A7B" w:rsidRPr="00761A7B">
        <w:rPr>
          <w:rFonts w:ascii="David" w:hAnsi="David" w:cs="David"/>
          <w:rtl/>
        </w:rPr>
        <w:t>דנג"ץ 8537-18 </w:t>
      </w:r>
      <w:r w:rsidR="00761A7B" w:rsidRPr="00761A7B">
        <w:rPr>
          <w:rFonts w:ascii="David" w:hAnsi="David" w:cs="David"/>
          <w:b/>
          <w:bCs/>
          <w:rtl/>
        </w:rPr>
        <w:t>פלונית נ'</w:t>
      </w:r>
      <w:r w:rsidR="00761A7B" w:rsidRPr="00761A7B">
        <w:rPr>
          <w:rFonts w:ascii="David" w:hAnsi="David" w:cs="David"/>
        </w:rPr>
        <w:t> </w:t>
      </w:r>
      <w:r w:rsidR="00761A7B" w:rsidRPr="00761A7B">
        <w:rPr>
          <w:rFonts w:ascii="David" w:hAnsi="David" w:cs="David"/>
          <w:b/>
          <w:bCs/>
          <w:rtl/>
        </w:rPr>
        <w:t>בית הדין הרבני הגדול בירושלים</w:t>
      </w:r>
      <w:r w:rsidR="00761A7B" w:rsidRPr="00761A7B">
        <w:rPr>
          <w:rFonts w:ascii="David" w:hAnsi="David" w:cs="David"/>
          <w:rtl/>
        </w:rPr>
        <w:t xml:space="preserve"> פס' 45, 50, 62 לפסק דינה של השופטת חיות (2021). </w:t>
      </w:r>
    </w:p>
  </w:footnote>
  <w:footnote w:id="12">
    <w:p w14:paraId="1CA68F88" w14:textId="215DAD4A" w:rsidR="003A4BE6" w:rsidRPr="009D0CEA" w:rsidRDefault="003A4BE6" w:rsidP="00412254">
      <w:pPr>
        <w:pStyle w:val="a9"/>
        <w:spacing w:line="480" w:lineRule="auto"/>
        <w:rPr>
          <w:rFonts w:ascii="David" w:hAnsi="David" w:cs="David"/>
        </w:rPr>
      </w:pPr>
      <w:r w:rsidRPr="009D0CEA">
        <w:rPr>
          <w:rStyle w:val="ab"/>
          <w:rFonts w:ascii="David" w:hAnsi="David" w:cs="David"/>
        </w:rPr>
        <w:footnoteRef/>
      </w:r>
      <w:r w:rsidRPr="009D0CEA">
        <w:rPr>
          <w:rFonts w:ascii="David" w:hAnsi="David" w:cs="David"/>
          <w:rtl/>
        </w:rPr>
        <w:t xml:space="preserve"> </w:t>
      </w:r>
      <w:r w:rsidR="00761A7B" w:rsidRPr="009D0CEA">
        <w:rPr>
          <w:rFonts w:ascii="David" w:hAnsi="David" w:cs="David"/>
          <w:rtl/>
        </w:rPr>
        <w:t xml:space="preserve">בע"מ 7272/10 </w:t>
      </w:r>
      <w:r w:rsidR="00761A7B" w:rsidRPr="009D0CEA">
        <w:rPr>
          <w:rFonts w:ascii="David" w:hAnsi="David" w:cs="David"/>
          <w:b/>
          <w:bCs/>
          <w:rtl/>
        </w:rPr>
        <w:t>פלונית נ' פלוני</w:t>
      </w:r>
      <w:r w:rsidR="00761A7B" w:rsidRPr="009D0CEA">
        <w:rPr>
          <w:rFonts w:ascii="David" w:hAnsi="David" w:cs="David"/>
          <w:rtl/>
        </w:rPr>
        <w:t xml:space="preserve"> פס' 28, 42 לפסק דינה של השופטת ברק-ארז (2014).</w:t>
      </w:r>
    </w:p>
  </w:footnote>
  <w:footnote w:id="13">
    <w:p w14:paraId="0CFFE1FC" w14:textId="3680F157" w:rsidR="00E46C34" w:rsidRPr="009D0CEA" w:rsidRDefault="00E46C34" w:rsidP="00412254">
      <w:pPr>
        <w:pStyle w:val="a9"/>
        <w:spacing w:line="480" w:lineRule="auto"/>
        <w:rPr>
          <w:rFonts w:ascii="David" w:hAnsi="David" w:cs="David"/>
        </w:rPr>
      </w:pPr>
      <w:r w:rsidRPr="009D0CEA">
        <w:rPr>
          <w:rStyle w:val="ab"/>
          <w:rFonts w:ascii="David" w:hAnsi="David" w:cs="David"/>
        </w:rPr>
        <w:footnoteRef/>
      </w:r>
      <w:r w:rsidRPr="009D0CEA">
        <w:rPr>
          <w:rFonts w:ascii="David" w:hAnsi="David" w:cs="David"/>
          <w:rtl/>
        </w:rPr>
        <w:t xml:space="preserve"> </w:t>
      </w:r>
      <w:r w:rsidR="00761A7B" w:rsidRPr="009D0CEA">
        <w:rPr>
          <w:rFonts w:ascii="David" w:hAnsi="David" w:cs="David"/>
          <w:rtl/>
        </w:rPr>
        <w:t>ה"ש 2, שקופית 13.</w:t>
      </w:r>
    </w:p>
  </w:footnote>
  <w:footnote w:id="14">
    <w:p w14:paraId="57EADC76" w14:textId="3F551F10" w:rsidR="007B4ECA" w:rsidRPr="009D0CEA" w:rsidRDefault="007B4ECA" w:rsidP="00412254">
      <w:pPr>
        <w:pStyle w:val="a9"/>
        <w:spacing w:line="480" w:lineRule="auto"/>
        <w:rPr>
          <w:rFonts w:ascii="David" w:hAnsi="David" w:cs="David"/>
        </w:rPr>
      </w:pPr>
      <w:r w:rsidRPr="009D0CEA">
        <w:rPr>
          <w:rStyle w:val="ab"/>
          <w:rFonts w:ascii="David" w:hAnsi="David" w:cs="David"/>
        </w:rPr>
        <w:footnoteRef/>
      </w:r>
      <w:r w:rsidRPr="009D0CEA">
        <w:rPr>
          <w:rFonts w:ascii="David" w:hAnsi="David" w:cs="David"/>
        </w:rPr>
        <w:t xml:space="preserve"> </w:t>
      </w:r>
      <w:r w:rsidRPr="009D0CEA">
        <w:rPr>
          <w:rFonts w:ascii="David" w:hAnsi="David" w:cs="David"/>
          <w:rtl/>
        </w:rPr>
        <w:t>בג"ץ 4602-13 </w:t>
      </w:r>
      <w:r w:rsidRPr="009D0CEA">
        <w:rPr>
          <w:rFonts w:ascii="David" w:hAnsi="David" w:cs="David"/>
          <w:b/>
          <w:bCs/>
          <w:rtl/>
        </w:rPr>
        <w:t>פלונית</w:t>
      </w:r>
      <w:r w:rsidRPr="009D0CEA">
        <w:rPr>
          <w:rFonts w:ascii="David" w:hAnsi="David" w:cs="David"/>
          <w:rtl/>
        </w:rPr>
        <w:t> </w:t>
      </w:r>
      <w:r w:rsidRPr="009D0CEA">
        <w:rPr>
          <w:rFonts w:ascii="David" w:hAnsi="David" w:cs="David"/>
          <w:b/>
          <w:bCs/>
          <w:rtl/>
        </w:rPr>
        <w:t>נ</w:t>
      </w:r>
      <w:r w:rsidRPr="009D0CEA">
        <w:rPr>
          <w:rFonts w:ascii="David" w:hAnsi="David" w:cs="David"/>
          <w:b/>
          <w:bCs/>
        </w:rPr>
        <w:t>'</w:t>
      </w:r>
      <w:r w:rsidRPr="009D0CEA">
        <w:rPr>
          <w:rFonts w:ascii="David" w:hAnsi="David" w:cs="David"/>
        </w:rPr>
        <w:t> </w:t>
      </w:r>
      <w:r w:rsidRPr="009D0CEA">
        <w:rPr>
          <w:rFonts w:ascii="David" w:hAnsi="David" w:cs="David"/>
          <w:b/>
          <w:bCs/>
          <w:rtl/>
        </w:rPr>
        <w:t>בית הדין הרבני האזורי בחיפה</w:t>
      </w:r>
      <w:r w:rsidR="00CA4674" w:rsidRPr="009D0CEA">
        <w:rPr>
          <w:rFonts w:ascii="David" w:hAnsi="David" w:cs="David"/>
          <w:b/>
          <w:bCs/>
          <w:rtl/>
        </w:rPr>
        <w:t xml:space="preserve"> </w:t>
      </w:r>
      <w:r w:rsidR="00CA4674" w:rsidRPr="009D0CEA">
        <w:rPr>
          <w:rFonts w:ascii="David" w:hAnsi="David" w:cs="David"/>
          <w:rtl/>
        </w:rPr>
        <w:t>פס' 14 לפסק דינו של השופט עמית (2018).</w:t>
      </w:r>
    </w:p>
  </w:footnote>
  <w:footnote w:id="15">
    <w:p w14:paraId="7D2B9435" w14:textId="1D5DE99B" w:rsidR="005A7485" w:rsidRPr="009D0CEA" w:rsidRDefault="005A7485" w:rsidP="00412254">
      <w:pPr>
        <w:pStyle w:val="a9"/>
        <w:spacing w:line="480" w:lineRule="auto"/>
        <w:rPr>
          <w:rFonts w:ascii="David" w:hAnsi="David" w:cs="David"/>
        </w:rPr>
      </w:pPr>
      <w:r w:rsidRPr="009D0CEA">
        <w:rPr>
          <w:rStyle w:val="ab"/>
          <w:rFonts w:ascii="David" w:hAnsi="David" w:cs="David"/>
        </w:rPr>
        <w:footnoteRef/>
      </w:r>
      <w:r w:rsidRPr="009D0CEA">
        <w:rPr>
          <w:rFonts w:ascii="David" w:hAnsi="David" w:cs="David"/>
          <w:rtl/>
        </w:rPr>
        <w:t xml:space="preserve"> </w:t>
      </w:r>
      <w:r w:rsidR="00761A7B" w:rsidRPr="009D0CEA">
        <w:rPr>
          <w:rFonts w:ascii="David" w:hAnsi="David" w:cs="David"/>
          <w:rtl/>
        </w:rPr>
        <w:t>ה"ש 2 שקופית 10.</w:t>
      </w:r>
    </w:p>
  </w:footnote>
  <w:footnote w:id="16">
    <w:p w14:paraId="78FB2C90" w14:textId="36D7B3FA" w:rsidR="005A7485" w:rsidRDefault="005A7485" w:rsidP="00412254">
      <w:pPr>
        <w:pStyle w:val="a9"/>
        <w:spacing w:line="480" w:lineRule="auto"/>
      </w:pPr>
      <w:r w:rsidRPr="009D0CEA">
        <w:rPr>
          <w:rStyle w:val="ab"/>
          <w:rFonts w:ascii="David" w:hAnsi="David" w:cs="David"/>
        </w:rPr>
        <w:footnoteRef/>
      </w:r>
      <w:r w:rsidRPr="009D0CEA">
        <w:rPr>
          <w:rFonts w:ascii="David" w:hAnsi="David" w:cs="David"/>
          <w:rtl/>
        </w:rPr>
        <w:t xml:space="preserve"> ה"ש 9</w:t>
      </w:r>
      <w:r w:rsidR="00761A7B" w:rsidRPr="009D0CEA">
        <w:rPr>
          <w:rFonts w:ascii="David" w:hAnsi="David" w:cs="David"/>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20BAE"/>
    <w:multiLevelType w:val="hybridMultilevel"/>
    <w:tmpl w:val="A3963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72121F"/>
    <w:multiLevelType w:val="hybridMultilevel"/>
    <w:tmpl w:val="2BACCABA"/>
    <w:lvl w:ilvl="0" w:tplc="8D50A8C6">
      <w:start w:val="3"/>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764DC7"/>
    <w:multiLevelType w:val="hybridMultilevel"/>
    <w:tmpl w:val="13F2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244E1F"/>
    <w:multiLevelType w:val="hybridMultilevel"/>
    <w:tmpl w:val="7F90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8343881">
    <w:abstractNumId w:val="1"/>
  </w:num>
  <w:num w:numId="2" w16cid:durableId="918249412">
    <w:abstractNumId w:val="0"/>
  </w:num>
  <w:num w:numId="3" w16cid:durableId="750004447">
    <w:abstractNumId w:val="2"/>
  </w:num>
  <w:num w:numId="4" w16cid:durableId="18698766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18F"/>
    <w:rsid w:val="000E5E99"/>
    <w:rsid w:val="001072CF"/>
    <w:rsid w:val="00121CBB"/>
    <w:rsid w:val="00187AE7"/>
    <w:rsid w:val="00187FB4"/>
    <w:rsid w:val="001D6A90"/>
    <w:rsid w:val="001E45DE"/>
    <w:rsid w:val="00242257"/>
    <w:rsid w:val="00251C99"/>
    <w:rsid w:val="0027108D"/>
    <w:rsid w:val="00376E4A"/>
    <w:rsid w:val="003955EE"/>
    <w:rsid w:val="0039572E"/>
    <w:rsid w:val="003A04BA"/>
    <w:rsid w:val="003A4BE6"/>
    <w:rsid w:val="003A7877"/>
    <w:rsid w:val="00412254"/>
    <w:rsid w:val="00433F29"/>
    <w:rsid w:val="00450B7A"/>
    <w:rsid w:val="004608E0"/>
    <w:rsid w:val="004A65BE"/>
    <w:rsid w:val="00554166"/>
    <w:rsid w:val="00591CB0"/>
    <w:rsid w:val="005A0DFC"/>
    <w:rsid w:val="005A7485"/>
    <w:rsid w:val="005C6A66"/>
    <w:rsid w:val="005E5BDF"/>
    <w:rsid w:val="00614947"/>
    <w:rsid w:val="006827C1"/>
    <w:rsid w:val="006A37FE"/>
    <w:rsid w:val="00711851"/>
    <w:rsid w:val="0071318B"/>
    <w:rsid w:val="00732920"/>
    <w:rsid w:val="00761A7B"/>
    <w:rsid w:val="007B4ECA"/>
    <w:rsid w:val="0086618F"/>
    <w:rsid w:val="009A21C5"/>
    <w:rsid w:val="009D0CEA"/>
    <w:rsid w:val="009E1420"/>
    <w:rsid w:val="00A71328"/>
    <w:rsid w:val="00A76D8A"/>
    <w:rsid w:val="00AB2348"/>
    <w:rsid w:val="00AE66E0"/>
    <w:rsid w:val="00B06B5A"/>
    <w:rsid w:val="00B547B2"/>
    <w:rsid w:val="00BC439B"/>
    <w:rsid w:val="00BD11A5"/>
    <w:rsid w:val="00BF06FA"/>
    <w:rsid w:val="00C141EA"/>
    <w:rsid w:val="00CA4674"/>
    <w:rsid w:val="00CB68EB"/>
    <w:rsid w:val="00CC385D"/>
    <w:rsid w:val="00CD0DF4"/>
    <w:rsid w:val="00D55DDB"/>
    <w:rsid w:val="00E23B1E"/>
    <w:rsid w:val="00E46C34"/>
    <w:rsid w:val="00E85D78"/>
    <w:rsid w:val="00EC179B"/>
    <w:rsid w:val="00FB00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F7211"/>
  <w15:chartTrackingRefBased/>
  <w15:docId w15:val="{6CE431E6-60E0-4D40-B721-A9710C01A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5">
    <w:name w:val="heading 5"/>
    <w:basedOn w:val="a"/>
    <w:next w:val="a"/>
    <w:link w:val="50"/>
    <w:uiPriority w:val="9"/>
    <w:semiHidden/>
    <w:unhideWhenUsed/>
    <w:qFormat/>
    <w:rsid w:val="007B4EC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618F"/>
    <w:pPr>
      <w:tabs>
        <w:tab w:val="center" w:pos="4153"/>
        <w:tab w:val="right" w:pos="8306"/>
      </w:tabs>
      <w:spacing w:after="0" w:line="240" w:lineRule="auto"/>
    </w:pPr>
  </w:style>
  <w:style w:type="character" w:customStyle="1" w:styleId="a4">
    <w:name w:val="כותרת עליונה תו"/>
    <w:basedOn w:val="a0"/>
    <w:link w:val="a3"/>
    <w:uiPriority w:val="99"/>
    <w:rsid w:val="0086618F"/>
  </w:style>
  <w:style w:type="paragraph" w:styleId="a5">
    <w:name w:val="footer"/>
    <w:basedOn w:val="a"/>
    <w:link w:val="a6"/>
    <w:uiPriority w:val="99"/>
    <w:unhideWhenUsed/>
    <w:rsid w:val="0086618F"/>
    <w:pPr>
      <w:tabs>
        <w:tab w:val="center" w:pos="4153"/>
        <w:tab w:val="right" w:pos="8306"/>
      </w:tabs>
      <w:spacing w:after="0" w:line="240" w:lineRule="auto"/>
    </w:pPr>
  </w:style>
  <w:style w:type="character" w:customStyle="1" w:styleId="a6">
    <w:name w:val="כותרת תחתונה תו"/>
    <w:basedOn w:val="a0"/>
    <w:link w:val="a5"/>
    <w:uiPriority w:val="99"/>
    <w:rsid w:val="0086618F"/>
  </w:style>
  <w:style w:type="character" w:styleId="Hyperlink">
    <w:name w:val="Hyperlink"/>
    <w:basedOn w:val="a0"/>
    <w:uiPriority w:val="99"/>
    <w:unhideWhenUsed/>
    <w:rsid w:val="0086618F"/>
    <w:rPr>
      <w:color w:val="0563C1" w:themeColor="hyperlink"/>
      <w:u w:val="single"/>
    </w:rPr>
  </w:style>
  <w:style w:type="character" w:styleId="a7">
    <w:name w:val="Unresolved Mention"/>
    <w:basedOn w:val="a0"/>
    <w:uiPriority w:val="99"/>
    <w:semiHidden/>
    <w:unhideWhenUsed/>
    <w:rsid w:val="0086618F"/>
    <w:rPr>
      <w:color w:val="605E5C"/>
      <w:shd w:val="clear" w:color="auto" w:fill="E1DFDD"/>
    </w:rPr>
  </w:style>
  <w:style w:type="paragraph" w:styleId="a8">
    <w:name w:val="List Paragraph"/>
    <w:basedOn w:val="a"/>
    <w:uiPriority w:val="34"/>
    <w:qFormat/>
    <w:rsid w:val="005C6A66"/>
    <w:pPr>
      <w:ind w:left="720"/>
      <w:contextualSpacing/>
    </w:pPr>
  </w:style>
  <w:style w:type="paragraph" w:styleId="a9">
    <w:name w:val="footnote text"/>
    <w:basedOn w:val="a"/>
    <w:link w:val="aa"/>
    <w:uiPriority w:val="99"/>
    <w:semiHidden/>
    <w:unhideWhenUsed/>
    <w:rsid w:val="005E5BDF"/>
    <w:pPr>
      <w:spacing w:after="0" w:line="240" w:lineRule="auto"/>
    </w:pPr>
    <w:rPr>
      <w:sz w:val="20"/>
      <w:szCs w:val="20"/>
    </w:rPr>
  </w:style>
  <w:style w:type="character" w:customStyle="1" w:styleId="aa">
    <w:name w:val="טקסט הערת שוליים תו"/>
    <w:basedOn w:val="a0"/>
    <w:link w:val="a9"/>
    <w:uiPriority w:val="99"/>
    <w:semiHidden/>
    <w:rsid w:val="005E5BDF"/>
    <w:rPr>
      <w:sz w:val="20"/>
      <w:szCs w:val="20"/>
    </w:rPr>
  </w:style>
  <w:style w:type="character" w:styleId="ab">
    <w:name w:val="footnote reference"/>
    <w:basedOn w:val="a0"/>
    <w:uiPriority w:val="99"/>
    <w:semiHidden/>
    <w:unhideWhenUsed/>
    <w:rsid w:val="005E5BDF"/>
    <w:rPr>
      <w:vertAlign w:val="superscript"/>
    </w:rPr>
  </w:style>
  <w:style w:type="character" w:customStyle="1" w:styleId="50">
    <w:name w:val="כותרת 5 תו"/>
    <w:basedOn w:val="a0"/>
    <w:link w:val="5"/>
    <w:uiPriority w:val="9"/>
    <w:semiHidden/>
    <w:rsid w:val="007B4ECA"/>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849064">
      <w:bodyDiv w:val="1"/>
      <w:marLeft w:val="0"/>
      <w:marRight w:val="0"/>
      <w:marTop w:val="0"/>
      <w:marBottom w:val="0"/>
      <w:divBdr>
        <w:top w:val="none" w:sz="0" w:space="0" w:color="auto"/>
        <w:left w:val="none" w:sz="0" w:space="0" w:color="auto"/>
        <w:bottom w:val="none" w:sz="0" w:space="0" w:color="auto"/>
        <w:right w:val="none" w:sz="0" w:space="0" w:color="auto"/>
      </w:divBdr>
      <w:divsChild>
        <w:div w:id="322128216">
          <w:marLeft w:val="0"/>
          <w:marRight w:val="0"/>
          <w:marTop w:val="0"/>
          <w:marBottom w:val="0"/>
          <w:divBdr>
            <w:top w:val="single" w:sz="6" w:space="8" w:color="CCCCCC"/>
            <w:left w:val="single" w:sz="6" w:space="8" w:color="CCCCCC"/>
            <w:bottom w:val="single" w:sz="6" w:space="8" w:color="CCCCCC"/>
            <w:right w:val="single" w:sz="6" w:space="11"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raz428@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4F1C8-C853-46FB-8ACF-9BCDF49A7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5033</Characters>
  <Application>Microsoft Office Word</Application>
  <DocSecurity>0</DocSecurity>
  <Lines>41</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לירז שויקה</dc:creator>
  <cp:keywords/>
  <dc:description/>
  <cp:lastModifiedBy>Liraz Shveka</cp:lastModifiedBy>
  <cp:revision>2</cp:revision>
  <dcterms:created xsi:type="dcterms:W3CDTF">2023-08-01T13:09:00Z</dcterms:created>
  <dcterms:modified xsi:type="dcterms:W3CDTF">2023-08-01T13:09:00Z</dcterms:modified>
</cp:coreProperties>
</file>