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DD484" w14:textId="5627B0C7" w:rsidR="003A06CC" w:rsidRPr="003A06CC" w:rsidRDefault="003A06CC" w:rsidP="002F20E6">
      <w:pPr>
        <w:pStyle w:val="Title"/>
        <w:spacing w:line="276" w:lineRule="auto"/>
        <w:jc w:val="center"/>
        <w:rPr>
          <w:rFonts w:ascii="David" w:hAnsi="David" w:cs="David"/>
          <w:sz w:val="44"/>
          <w:szCs w:val="44"/>
          <w:rtl/>
        </w:rPr>
      </w:pPr>
      <w:bookmarkStart w:id="0" w:name="_Hlk141391747"/>
      <w:bookmarkEnd w:id="0"/>
      <w:r w:rsidRPr="003A06CC">
        <w:rPr>
          <w:rFonts w:ascii="David" w:hAnsi="David" w:cs="David"/>
          <w:sz w:val="44"/>
          <w:szCs w:val="44"/>
          <w:rtl/>
        </w:rPr>
        <w:t>נזיקין ופלילים</w:t>
      </w:r>
    </w:p>
    <w:p w14:paraId="2E5715EA" w14:textId="77777777" w:rsidR="003A06CC" w:rsidRDefault="003A06CC" w:rsidP="00CC7DF2">
      <w:pPr>
        <w:pStyle w:val="IntenseQuote"/>
        <w:jc w:val="both"/>
        <w:rPr>
          <w:rtl/>
        </w:rPr>
      </w:pPr>
      <w:r w:rsidRPr="003A06CC">
        <w:rPr>
          <w:rFonts w:hint="cs"/>
          <w:rtl/>
        </w:rPr>
        <w:t xml:space="preserve">פיצוי לנפגעי עבירה בהליך פלילי </w:t>
      </w:r>
    </w:p>
    <w:p w14:paraId="0B25DFFE" w14:textId="0B2935A3" w:rsidR="003A06CC" w:rsidRDefault="00321946" w:rsidP="00CC7DF2">
      <w:pPr>
        <w:bidi/>
        <w:spacing w:line="276" w:lineRule="auto"/>
        <w:jc w:val="both"/>
        <w:rPr>
          <w:rFonts w:ascii="David" w:hAnsi="David" w:cs="David"/>
          <w:rtl/>
        </w:rPr>
      </w:pPr>
      <w:r>
        <w:rPr>
          <w:rFonts w:ascii="David" w:hAnsi="David" w:cs="David" w:hint="cs"/>
          <w:rtl/>
        </w:rPr>
        <w:t>2</w:t>
      </w:r>
      <w:r w:rsidR="003A06CC" w:rsidRPr="00321946">
        <w:rPr>
          <w:rFonts w:ascii="David" w:hAnsi="David" w:cs="David" w:hint="cs"/>
          <w:rtl/>
        </w:rPr>
        <w:t xml:space="preserve"> דרכים לפצות נפגע במסגרת הליך פלילי:</w:t>
      </w:r>
      <w:r w:rsidR="003A06CC" w:rsidRPr="00321946">
        <w:rPr>
          <w:rFonts w:ascii="David" w:hAnsi="David" w:cs="David" w:hint="cs"/>
        </w:rPr>
        <w:t xml:space="preserve"> </w:t>
      </w:r>
      <w:r w:rsidRPr="00321946">
        <w:rPr>
          <w:rFonts w:ascii="David" w:hAnsi="David" w:cs="David" w:hint="cs"/>
          <w:rtl/>
        </w:rPr>
        <w:t>(1)</w:t>
      </w:r>
      <w:r w:rsidRPr="00321946">
        <w:rPr>
          <w:rFonts w:ascii="David" w:hAnsi="David" w:cs="David" w:hint="cs"/>
        </w:rPr>
        <w:t xml:space="preserve"> </w:t>
      </w:r>
      <w:r w:rsidRPr="00321946">
        <w:rPr>
          <w:rFonts w:ascii="David" w:hAnsi="David" w:cs="David" w:hint="cs"/>
          <w:rtl/>
        </w:rPr>
        <w:t xml:space="preserve">הוראה בשיקול דעת ביהמ"ש </w:t>
      </w:r>
      <w:r w:rsidRPr="00321946">
        <w:rPr>
          <w:rFonts w:ascii="David" w:hAnsi="David" w:cs="David"/>
          <w:rtl/>
        </w:rPr>
        <w:t>–</w:t>
      </w:r>
      <w:r w:rsidRPr="00321946">
        <w:rPr>
          <w:rFonts w:ascii="David" w:hAnsi="David" w:cs="David" w:hint="cs"/>
          <w:rtl/>
        </w:rPr>
        <w:t xml:space="preserve"> </w:t>
      </w:r>
      <w:r w:rsidRPr="00ED0662">
        <w:rPr>
          <w:rStyle w:val="SubtleReference"/>
          <w:rFonts w:hint="cs"/>
          <w:rtl/>
        </w:rPr>
        <w:t>ס' 77 לחוק העונשין</w:t>
      </w:r>
      <w:r w:rsidRPr="00321946">
        <w:rPr>
          <w:rFonts w:ascii="David" w:hAnsi="David" w:cs="David" w:hint="cs"/>
          <w:rtl/>
        </w:rPr>
        <w:t xml:space="preserve"> (2)</w:t>
      </w:r>
      <w:r w:rsidRPr="00321946">
        <w:rPr>
          <w:rFonts w:ascii="David" w:hAnsi="David" w:cs="David" w:hint="cs"/>
        </w:rPr>
        <w:t xml:space="preserve"> </w:t>
      </w:r>
      <w:r w:rsidRPr="00321946">
        <w:rPr>
          <w:rFonts w:ascii="David" w:hAnsi="David" w:cs="David" w:hint="cs"/>
          <w:rtl/>
        </w:rPr>
        <w:t>פיצוי במסגרת סגירת תיק מותנית.</w:t>
      </w:r>
    </w:p>
    <w:p w14:paraId="46FB5866" w14:textId="3301CD77" w:rsidR="00321946" w:rsidRPr="001C0633" w:rsidRDefault="00DF054C" w:rsidP="00DF69B2">
      <w:pPr>
        <w:pStyle w:val="ListParagraph"/>
        <w:numPr>
          <w:ilvl w:val="0"/>
          <w:numId w:val="22"/>
        </w:numPr>
        <w:bidi/>
        <w:spacing w:line="276" w:lineRule="auto"/>
        <w:jc w:val="both"/>
        <w:rPr>
          <w:rStyle w:val="SubtleReference"/>
          <w:rtl/>
        </w:rPr>
      </w:pPr>
      <w:r>
        <w:rPr>
          <w:rFonts w:ascii="David" w:hAnsi="David" w:cs="David"/>
          <w:noProof/>
          <w:u w:val="single"/>
          <w:rtl/>
          <w:lang w:val="he-IL"/>
        </w:rPr>
        <w:drawing>
          <wp:anchor distT="0" distB="0" distL="114300" distR="114300" simplePos="0" relativeHeight="251683840" behindDoc="1" locked="0" layoutInCell="1" allowOverlap="1" wp14:anchorId="01598832" wp14:editId="47C64DD5">
            <wp:simplePos x="0" y="0"/>
            <wp:positionH relativeFrom="margin">
              <wp:posOffset>-587237</wp:posOffset>
            </wp:positionH>
            <wp:positionV relativeFrom="paragraph">
              <wp:posOffset>163581</wp:posOffset>
            </wp:positionV>
            <wp:extent cx="7277100" cy="3200400"/>
            <wp:effectExtent l="38100" t="0" r="38100" b="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3947AF" w:rsidRPr="003947AF">
        <w:rPr>
          <w:rStyle w:val="SubtleReference"/>
          <w:rFonts w:hint="cs"/>
          <w:color w:val="auto"/>
          <w:rtl/>
        </w:rPr>
        <w:t xml:space="preserve">פיצוי בהוראת ביהמ"ש </w:t>
      </w:r>
      <w:r w:rsidR="003947AF">
        <w:rPr>
          <w:rStyle w:val="SubtleReference"/>
          <w:rFonts w:hint="cs"/>
          <w:rtl/>
        </w:rPr>
        <w:t xml:space="preserve">- </w:t>
      </w:r>
      <w:r w:rsidR="00321946" w:rsidRPr="001C0633">
        <w:rPr>
          <w:rStyle w:val="SubtleReference"/>
          <w:rFonts w:hint="cs"/>
          <w:rtl/>
        </w:rPr>
        <w:t xml:space="preserve">ס' 77 לחוק העונשין </w:t>
      </w:r>
    </w:p>
    <w:p w14:paraId="26AA2B1D" w14:textId="64C12551" w:rsidR="00321946" w:rsidRDefault="00960770" w:rsidP="00CC7DF2">
      <w:pPr>
        <w:pStyle w:val="ListParagraph"/>
        <w:bidi/>
        <w:spacing w:line="276" w:lineRule="auto"/>
        <w:ind w:left="630"/>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661312" behindDoc="0" locked="0" layoutInCell="1" allowOverlap="1" wp14:anchorId="0278E153" wp14:editId="75C4FFC5">
                <wp:simplePos x="0" y="0"/>
                <wp:positionH relativeFrom="page">
                  <wp:align>center</wp:align>
                </wp:positionH>
                <wp:positionV relativeFrom="paragraph">
                  <wp:posOffset>18415</wp:posOffset>
                </wp:positionV>
                <wp:extent cx="2441051" cy="858741"/>
                <wp:effectExtent l="0" t="0" r="16510" b="17780"/>
                <wp:wrapNone/>
                <wp:docPr id="4" name="Rectangle: Rounded Corners 4"/>
                <wp:cNvGraphicFramePr/>
                <a:graphic xmlns:a="http://schemas.openxmlformats.org/drawingml/2006/main">
                  <a:graphicData uri="http://schemas.microsoft.com/office/word/2010/wordprocessingShape">
                    <wps:wsp>
                      <wps:cNvSpPr/>
                      <wps:spPr>
                        <a:xfrm>
                          <a:off x="0" y="0"/>
                          <a:ext cx="2441051" cy="858741"/>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7346EF8A" w14:textId="2C7686D3" w:rsidR="00ED0662" w:rsidRPr="008A4CC8" w:rsidRDefault="00ED0662" w:rsidP="00ED0662">
                            <w:pPr>
                              <w:bidi/>
                              <w:spacing w:after="0" w:line="240" w:lineRule="auto"/>
                              <w:rPr>
                                <w:rFonts w:ascii="David" w:hAnsi="David" w:cs="David"/>
                                <w:sz w:val="20"/>
                                <w:szCs w:val="20"/>
                                <w:u w:val="single"/>
                                <w:rtl/>
                              </w:rPr>
                            </w:pPr>
                            <w:r w:rsidRPr="008A4CC8">
                              <w:rPr>
                                <w:rFonts w:ascii="David" w:hAnsi="David" w:cs="David" w:hint="cs"/>
                                <w:sz w:val="20"/>
                                <w:szCs w:val="20"/>
                                <w:u w:val="single"/>
                                <w:rtl/>
                              </w:rPr>
                              <w:t>הסדרים לקטינים:</w:t>
                            </w:r>
                          </w:p>
                          <w:p w14:paraId="5A1F0752" w14:textId="216B7AE4" w:rsidR="00ED0662" w:rsidRPr="008A4CC8" w:rsidRDefault="00ED0662" w:rsidP="00ED0662">
                            <w:pPr>
                              <w:bidi/>
                              <w:spacing w:after="0" w:line="240" w:lineRule="auto"/>
                              <w:rPr>
                                <w:rFonts w:ascii="David" w:hAnsi="David" w:cs="David"/>
                                <w:sz w:val="20"/>
                                <w:szCs w:val="20"/>
                                <w:rtl/>
                              </w:rPr>
                            </w:pPr>
                            <w:r w:rsidRPr="008A4CC8">
                              <w:rPr>
                                <w:rFonts w:ascii="David" w:hAnsi="David" w:cs="David" w:hint="cs"/>
                                <w:b/>
                                <w:bCs/>
                                <w:sz w:val="20"/>
                                <w:szCs w:val="20"/>
                                <w:rtl/>
                              </w:rPr>
                              <w:t>קטינים פוגעים</w:t>
                            </w:r>
                            <w:r w:rsidRPr="008A4CC8">
                              <w:rPr>
                                <w:rFonts w:ascii="David" w:hAnsi="David" w:cs="David" w:hint="cs"/>
                                <w:sz w:val="20"/>
                                <w:szCs w:val="20"/>
                                <w:rtl/>
                              </w:rPr>
                              <w:t xml:space="preserve"> </w:t>
                            </w:r>
                            <w:r w:rsidRPr="008A4CC8">
                              <w:rPr>
                                <w:rFonts w:ascii="David" w:hAnsi="David" w:cs="David"/>
                                <w:sz w:val="20"/>
                                <w:szCs w:val="20"/>
                              </w:rPr>
                              <w:sym w:font="Wingdings" w:char="F0DF"/>
                            </w:r>
                            <w:r w:rsidRPr="008A4CC8">
                              <w:rPr>
                                <w:rFonts w:ascii="David" w:hAnsi="David" w:cs="David" w:hint="cs"/>
                                <w:sz w:val="20"/>
                                <w:szCs w:val="20"/>
                                <w:rtl/>
                              </w:rPr>
                              <w:t xml:space="preserve"> חיוב הקטין או הוריו בתשלום. </w:t>
                            </w:r>
                          </w:p>
                          <w:p w14:paraId="335640F0" w14:textId="2F260B00" w:rsidR="00ED0662" w:rsidRPr="008A4CC8" w:rsidRDefault="00ED0662" w:rsidP="00ED0662">
                            <w:pPr>
                              <w:bidi/>
                              <w:spacing w:line="240" w:lineRule="auto"/>
                              <w:rPr>
                                <w:rFonts w:ascii="David" w:hAnsi="David" w:cs="David"/>
                                <w:sz w:val="20"/>
                                <w:szCs w:val="20"/>
                              </w:rPr>
                            </w:pPr>
                            <w:r w:rsidRPr="008A4CC8">
                              <w:rPr>
                                <w:rFonts w:ascii="David" w:hAnsi="David" w:cs="David" w:hint="cs"/>
                                <w:b/>
                                <w:bCs/>
                                <w:sz w:val="20"/>
                                <w:szCs w:val="20"/>
                                <w:rtl/>
                              </w:rPr>
                              <w:t>קטינים נפגעים</w:t>
                            </w:r>
                            <w:r w:rsidRPr="008A4CC8">
                              <w:rPr>
                                <w:rFonts w:ascii="David" w:hAnsi="David" w:cs="David" w:hint="cs"/>
                                <w:sz w:val="20"/>
                                <w:szCs w:val="20"/>
                                <w:rtl/>
                              </w:rPr>
                              <w:t xml:space="preserve"> </w:t>
                            </w:r>
                            <w:r w:rsidRPr="008A4CC8">
                              <w:rPr>
                                <w:rFonts w:ascii="David" w:hAnsi="David" w:cs="David"/>
                                <w:sz w:val="20"/>
                                <w:szCs w:val="20"/>
                                <w:rtl/>
                              </w:rPr>
                              <w:t>–</w:t>
                            </w:r>
                            <w:r w:rsidRPr="008A4CC8">
                              <w:rPr>
                                <w:rFonts w:ascii="David" w:hAnsi="David" w:cs="David" w:hint="cs"/>
                                <w:sz w:val="20"/>
                                <w:szCs w:val="20"/>
                                <w:rtl/>
                              </w:rPr>
                              <w:t xml:space="preserve"> פיצוי מהמרכז לגביית קנסות (עד 10000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8E153" id="Rectangle: Rounded Corners 4" o:spid="_x0000_s1026" style="position:absolute;left:0;text-align:left;margin-left:0;margin-top:1.45pt;width:192.2pt;height:67.6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" fillcolor="#c2d685 [2169]" strokecolor="#a5c249 [3209]" strokeweight=".5pt">
                <v:fill color2="#b5cd6c [2617]" rotate="t" angle="45" colors="0 #cfdea9;.5 #c6d89c;1 #c0d689" focus="100%" type="gradient"/>
                <v:stroke joinstyle="miter"/>
                <v:textbox>
                  <w:txbxContent>
                    <w:p w14:paraId="7346EF8A" w14:textId="2C7686D3" w:rsidR="00ED0662" w:rsidRPr="008A4CC8" w:rsidRDefault="00ED0662" w:rsidP="00ED0662">
                      <w:pPr>
                        <w:bidi/>
                        <w:spacing w:after="0" w:line="240" w:lineRule="auto"/>
                        <w:rPr>
                          <w:rFonts w:ascii="David" w:hAnsi="David" w:cs="David"/>
                          <w:sz w:val="20"/>
                          <w:szCs w:val="20"/>
                          <w:u w:val="single"/>
                          <w:rtl/>
                        </w:rPr>
                      </w:pPr>
                      <w:r w:rsidRPr="008A4CC8">
                        <w:rPr>
                          <w:rFonts w:ascii="David" w:hAnsi="David" w:cs="David" w:hint="cs"/>
                          <w:sz w:val="20"/>
                          <w:szCs w:val="20"/>
                          <w:u w:val="single"/>
                          <w:rtl/>
                        </w:rPr>
                        <w:t>הסדרים לקטינים:</w:t>
                      </w:r>
                    </w:p>
                    <w:p w14:paraId="5A1F0752" w14:textId="216B7AE4" w:rsidR="00ED0662" w:rsidRPr="008A4CC8" w:rsidRDefault="00ED0662" w:rsidP="00ED0662">
                      <w:pPr>
                        <w:bidi/>
                        <w:spacing w:after="0" w:line="240" w:lineRule="auto"/>
                        <w:rPr>
                          <w:rFonts w:ascii="David" w:hAnsi="David" w:cs="David"/>
                          <w:sz w:val="20"/>
                          <w:szCs w:val="20"/>
                          <w:rtl/>
                        </w:rPr>
                      </w:pPr>
                      <w:r w:rsidRPr="008A4CC8">
                        <w:rPr>
                          <w:rFonts w:ascii="David" w:hAnsi="David" w:cs="David" w:hint="cs"/>
                          <w:b/>
                          <w:bCs/>
                          <w:sz w:val="20"/>
                          <w:szCs w:val="20"/>
                          <w:rtl/>
                        </w:rPr>
                        <w:t>קטינים פוגעים</w:t>
                      </w:r>
                      <w:r w:rsidRPr="008A4CC8">
                        <w:rPr>
                          <w:rFonts w:ascii="David" w:hAnsi="David" w:cs="David" w:hint="cs"/>
                          <w:sz w:val="20"/>
                          <w:szCs w:val="20"/>
                          <w:rtl/>
                        </w:rPr>
                        <w:t xml:space="preserve"> </w:t>
                      </w:r>
                      <w:r w:rsidRPr="008A4CC8">
                        <w:rPr>
                          <w:rFonts w:ascii="David" w:hAnsi="David" w:cs="David"/>
                          <w:sz w:val="20"/>
                          <w:szCs w:val="20"/>
                        </w:rPr>
                        <w:sym w:font="Wingdings" w:char="F0DF"/>
                      </w:r>
                      <w:r w:rsidRPr="008A4CC8">
                        <w:rPr>
                          <w:rFonts w:ascii="David" w:hAnsi="David" w:cs="David" w:hint="cs"/>
                          <w:sz w:val="20"/>
                          <w:szCs w:val="20"/>
                          <w:rtl/>
                        </w:rPr>
                        <w:t xml:space="preserve"> חיוב הקטין או הוריו בתשלום. </w:t>
                      </w:r>
                    </w:p>
                    <w:p w14:paraId="335640F0" w14:textId="2F260B00" w:rsidR="00ED0662" w:rsidRPr="008A4CC8" w:rsidRDefault="00ED0662" w:rsidP="00ED0662">
                      <w:pPr>
                        <w:bidi/>
                        <w:spacing w:line="240" w:lineRule="auto"/>
                        <w:rPr>
                          <w:rFonts w:ascii="David" w:hAnsi="David" w:cs="David"/>
                          <w:sz w:val="20"/>
                          <w:szCs w:val="20"/>
                        </w:rPr>
                      </w:pPr>
                      <w:r w:rsidRPr="008A4CC8">
                        <w:rPr>
                          <w:rFonts w:ascii="David" w:hAnsi="David" w:cs="David" w:hint="cs"/>
                          <w:b/>
                          <w:bCs/>
                          <w:sz w:val="20"/>
                          <w:szCs w:val="20"/>
                          <w:rtl/>
                        </w:rPr>
                        <w:t>קטינים נפגעים</w:t>
                      </w:r>
                      <w:r w:rsidRPr="008A4CC8">
                        <w:rPr>
                          <w:rFonts w:ascii="David" w:hAnsi="David" w:cs="David" w:hint="cs"/>
                          <w:sz w:val="20"/>
                          <w:szCs w:val="20"/>
                          <w:rtl/>
                        </w:rPr>
                        <w:t xml:space="preserve"> </w:t>
                      </w:r>
                      <w:r w:rsidRPr="008A4CC8">
                        <w:rPr>
                          <w:rFonts w:ascii="David" w:hAnsi="David" w:cs="David"/>
                          <w:sz w:val="20"/>
                          <w:szCs w:val="20"/>
                          <w:rtl/>
                        </w:rPr>
                        <w:t>–</w:t>
                      </w:r>
                      <w:r w:rsidRPr="008A4CC8">
                        <w:rPr>
                          <w:rFonts w:ascii="David" w:hAnsi="David" w:cs="David" w:hint="cs"/>
                          <w:sz w:val="20"/>
                          <w:szCs w:val="20"/>
                          <w:rtl/>
                        </w:rPr>
                        <w:t xml:space="preserve"> פיצוי מהמרכז לגביית קנסות (עד 10000 ₪)</w:t>
                      </w:r>
                    </w:p>
                  </w:txbxContent>
                </v:textbox>
                <w10:wrap anchorx="page"/>
              </v:roundrect>
            </w:pict>
          </mc:Fallback>
        </mc:AlternateContent>
      </w:r>
      <w:r>
        <w:rPr>
          <w:rFonts w:ascii="David" w:hAnsi="David" w:cs="David"/>
          <w:noProof/>
          <w:rtl/>
          <w:lang w:val="he-IL"/>
        </w:rPr>
        <mc:AlternateContent>
          <mc:Choice Requires="wps">
            <w:drawing>
              <wp:anchor distT="0" distB="0" distL="114300" distR="114300" simplePos="0" relativeHeight="251659264" behindDoc="0" locked="0" layoutInCell="1" allowOverlap="1" wp14:anchorId="26A430A2" wp14:editId="605BB322">
                <wp:simplePos x="0" y="0"/>
                <wp:positionH relativeFrom="margin">
                  <wp:posOffset>4460102</wp:posOffset>
                </wp:positionH>
                <wp:positionV relativeFrom="paragraph">
                  <wp:posOffset>4914</wp:posOffset>
                </wp:positionV>
                <wp:extent cx="1989565" cy="834887"/>
                <wp:effectExtent l="0" t="0" r="10795" b="22860"/>
                <wp:wrapNone/>
                <wp:docPr id="3" name="Rectangle: Rounded Corners 3"/>
                <wp:cNvGraphicFramePr/>
                <a:graphic xmlns:a="http://schemas.openxmlformats.org/drawingml/2006/main">
                  <a:graphicData uri="http://schemas.microsoft.com/office/word/2010/wordprocessingShape">
                    <wps:wsp>
                      <wps:cNvSpPr/>
                      <wps:spPr>
                        <a:xfrm>
                          <a:off x="0" y="0"/>
                          <a:ext cx="1989565" cy="834887"/>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578F2ABA" w14:textId="77777777" w:rsidR="00ED0662" w:rsidRPr="008A4CC8" w:rsidRDefault="000E5ACB" w:rsidP="00ED0662">
                            <w:pPr>
                              <w:bidi/>
                              <w:spacing w:after="0" w:line="240" w:lineRule="auto"/>
                              <w:rPr>
                                <w:rFonts w:ascii="David" w:hAnsi="David" w:cs="David"/>
                                <w:sz w:val="20"/>
                                <w:szCs w:val="20"/>
                                <w:rtl/>
                              </w:rPr>
                            </w:pPr>
                            <w:r w:rsidRPr="008A4CC8">
                              <w:rPr>
                                <w:rFonts w:ascii="David" w:hAnsi="David" w:cs="David"/>
                                <w:sz w:val="20"/>
                                <w:szCs w:val="20"/>
                                <w:rtl/>
                              </w:rPr>
                              <w:t xml:space="preserve">תקרה- 258,000 ₪ </w:t>
                            </w:r>
                          </w:p>
                          <w:p w14:paraId="55D08D2A" w14:textId="0A9D4D63" w:rsidR="000E5ACB" w:rsidRPr="008A4CC8" w:rsidRDefault="000E5ACB" w:rsidP="00ED0662">
                            <w:pPr>
                              <w:bidi/>
                              <w:spacing w:after="0" w:line="240" w:lineRule="auto"/>
                              <w:jc w:val="both"/>
                              <w:rPr>
                                <w:rFonts w:ascii="David" w:hAnsi="David" w:cs="David"/>
                                <w:sz w:val="20"/>
                                <w:szCs w:val="20"/>
                              </w:rPr>
                            </w:pPr>
                            <w:r w:rsidRPr="008A4CC8">
                              <w:rPr>
                                <w:rFonts w:ascii="David" w:hAnsi="David" w:cs="David"/>
                                <w:sz w:val="20"/>
                                <w:szCs w:val="20"/>
                                <w:rtl/>
                              </w:rPr>
                              <w:t>ברוב המקרים נפס</w:t>
                            </w:r>
                            <w:r w:rsidR="00ED0662" w:rsidRPr="008A4CC8">
                              <w:rPr>
                                <w:rFonts w:ascii="David" w:hAnsi="David" w:cs="David"/>
                                <w:sz w:val="20"/>
                                <w:szCs w:val="20"/>
                                <w:rtl/>
                              </w:rPr>
                              <w:t>קים סכומים נמוכים באופן משמעותי</w:t>
                            </w:r>
                            <w:r w:rsidR="00ED0662" w:rsidRPr="008A4CC8">
                              <w:rPr>
                                <w:rFonts w:ascii="David" w:hAnsi="David" w:cs="David" w:hint="cs"/>
                                <w:sz w:val="20"/>
                                <w:szCs w:val="20"/>
                                <w:rtl/>
                              </w:rPr>
                              <w:t xml:space="preserve"> ואין ביטוי לכך יש מס' אישומים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430A2" id="Rectangle: Rounded Corners 3" o:spid="_x0000_s1027" style="position:absolute;left:0;text-align:left;margin-left:351.2pt;margin-top:.4pt;width:156.65pt;height:6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" fillcolor="#c2d685 [2169]" strokecolor="#a5c249 [3209]" strokeweight=".5pt">
                <v:fill color2="#b5cd6c [2617]" rotate="t" angle="45" colors="0 #cfdea9;.5 #c6d89c;1 #c0d689" focus="100%" type="gradient"/>
                <v:stroke joinstyle="miter"/>
                <v:textbox>
                  <w:txbxContent>
                    <w:p w14:paraId="578F2ABA" w14:textId="77777777" w:rsidR="00ED0662" w:rsidRPr="008A4CC8" w:rsidRDefault="000E5ACB" w:rsidP="00ED0662">
                      <w:pPr>
                        <w:bidi/>
                        <w:spacing w:after="0" w:line="240" w:lineRule="auto"/>
                        <w:rPr>
                          <w:rFonts w:ascii="David" w:hAnsi="David" w:cs="David"/>
                          <w:sz w:val="20"/>
                          <w:szCs w:val="20"/>
                          <w:rtl/>
                        </w:rPr>
                      </w:pPr>
                      <w:r w:rsidRPr="008A4CC8">
                        <w:rPr>
                          <w:rFonts w:ascii="David" w:hAnsi="David" w:cs="David"/>
                          <w:sz w:val="20"/>
                          <w:szCs w:val="20"/>
                          <w:rtl/>
                        </w:rPr>
                        <w:t xml:space="preserve">תקרה- 258,000 ₪ </w:t>
                      </w:r>
                    </w:p>
                    <w:p w14:paraId="55D08D2A" w14:textId="0A9D4D63" w:rsidR="000E5ACB" w:rsidRPr="008A4CC8" w:rsidRDefault="000E5ACB" w:rsidP="00ED0662">
                      <w:pPr>
                        <w:bidi/>
                        <w:spacing w:after="0" w:line="240" w:lineRule="auto"/>
                        <w:jc w:val="both"/>
                        <w:rPr>
                          <w:rFonts w:ascii="David" w:hAnsi="David" w:cs="David"/>
                          <w:sz w:val="20"/>
                          <w:szCs w:val="20"/>
                        </w:rPr>
                      </w:pPr>
                      <w:r w:rsidRPr="008A4CC8">
                        <w:rPr>
                          <w:rFonts w:ascii="David" w:hAnsi="David" w:cs="David"/>
                          <w:sz w:val="20"/>
                          <w:szCs w:val="20"/>
                          <w:rtl/>
                        </w:rPr>
                        <w:t>ברוב המקרים נפס</w:t>
                      </w:r>
                      <w:r w:rsidR="00ED0662" w:rsidRPr="008A4CC8">
                        <w:rPr>
                          <w:rFonts w:ascii="David" w:hAnsi="David" w:cs="David"/>
                          <w:sz w:val="20"/>
                          <w:szCs w:val="20"/>
                          <w:rtl/>
                        </w:rPr>
                        <w:t>קים סכומים נמוכים באופן משמעותי</w:t>
                      </w:r>
                      <w:r w:rsidR="00ED0662" w:rsidRPr="008A4CC8">
                        <w:rPr>
                          <w:rFonts w:ascii="David" w:hAnsi="David" w:cs="David" w:hint="cs"/>
                          <w:sz w:val="20"/>
                          <w:szCs w:val="20"/>
                          <w:rtl/>
                        </w:rPr>
                        <w:t xml:space="preserve"> ואין ביטוי לכך יש מס' אישומים</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82816" behindDoc="0" locked="0" layoutInCell="1" allowOverlap="1" wp14:anchorId="3DE4A234" wp14:editId="1103E6C1">
                <wp:simplePos x="0" y="0"/>
                <wp:positionH relativeFrom="margin">
                  <wp:posOffset>643669</wp:posOffset>
                </wp:positionH>
                <wp:positionV relativeFrom="paragraph">
                  <wp:posOffset>21590</wp:posOffset>
                </wp:positionV>
                <wp:extent cx="790133" cy="826853"/>
                <wp:effectExtent l="0" t="0" r="10160" b="11430"/>
                <wp:wrapNone/>
                <wp:docPr id="28" name="Rectangle: Rounded Corners 28"/>
                <wp:cNvGraphicFramePr/>
                <a:graphic xmlns:a="http://schemas.openxmlformats.org/drawingml/2006/main">
                  <a:graphicData uri="http://schemas.microsoft.com/office/word/2010/wordprocessingShape">
                    <wps:wsp>
                      <wps:cNvSpPr/>
                      <wps:spPr>
                        <a:xfrm>
                          <a:off x="0" y="0"/>
                          <a:ext cx="790133" cy="826853"/>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183B3300" w14:textId="77777777" w:rsidR="00960770" w:rsidRPr="00960770" w:rsidRDefault="00960770" w:rsidP="00960770">
                            <w:pPr>
                              <w:bidi/>
                              <w:spacing w:after="0" w:line="240" w:lineRule="auto"/>
                              <w:rPr>
                                <w:rFonts w:ascii="David" w:hAnsi="David" w:cs="David"/>
                                <w:sz w:val="20"/>
                                <w:szCs w:val="20"/>
                                <w:rtl/>
                              </w:rPr>
                            </w:pPr>
                            <w:r w:rsidRPr="00960770">
                              <w:rPr>
                                <w:rFonts w:ascii="David" w:hAnsi="David" w:cs="David" w:hint="cs"/>
                                <w:sz w:val="20"/>
                                <w:szCs w:val="20"/>
                                <w:rtl/>
                              </w:rPr>
                              <w:t>לנפגע אין זכות ערר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4A234" id="Rectangle: Rounded Corners 28" o:spid="_x0000_s1028" style="position:absolute;left:0;text-align:left;margin-left:50.7pt;margin-top:1.7pt;width:62.2pt;height:65.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" fillcolor="#c2d685 [2169]" strokecolor="#a5c249 [3209]" strokeweight=".5pt">
                <v:fill color2="#b5cd6c [2617]" rotate="t" angle="45" colors="0 #cfdea9;.5 #c6d89c;1 #c0d689" focus="100%" type="gradient"/>
                <v:stroke joinstyle="miter"/>
                <v:textbox>
                  <w:txbxContent>
                    <w:p w14:paraId="183B3300" w14:textId="77777777" w:rsidR="00960770" w:rsidRPr="00960770" w:rsidRDefault="00960770" w:rsidP="00960770">
                      <w:pPr>
                        <w:bidi/>
                        <w:spacing w:after="0" w:line="240" w:lineRule="auto"/>
                        <w:rPr>
                          <w:rFonts w:ascii="David" w:hAnsi="David" w:cs="David"/>
                          <w:sz w:val="20"/>
                          <w:szCs w:val="20"/>
                          <w:rtl/>
                        </w:rPr>
                      </w:pPr>
                      <w:r w:rsidRPr="00960770">
                        <w:rPr>
                          <w:rFonts w:ascii="David" w:hAnsi="David" w:cs="David" w:hint="cs"/>
                          <w:sz w:val="20"/>
                          <w:szCs w:val="20"/>
                          <w:rtl/>
                        </w:rPr>
                        <w:t>לנפגע אין זכות ערר</w:t>
                      </w:r>
                    </w:p>
                  </w:txbxContent>
                </v:textbox>
                <w10:wrap anchorx="margin"/>
              </v:roundrect>
            </w:pict>
          </mc:Fallback>
        </mc:AlternateContent>
      </w:r>
    </w:p>
    <w:p w14:paraId="5D891C22" w14:textId="4116E8F2" w:rsidR="000E5ACB" w:rsidRPr="00ED0662" w:rsidRDefault="000E5ACB" w:rsidP="00CC7DF2">
      <w:pPr>
        <w:pStyle w:val="ListParagraph"/>
        <w:bidi/>
        <w:spacing w:line="276" w:lineRule="auto"/>
        <w:ind w:left="630"/>
        <w:jc w:val="both"/>
        <w:rPr>
          <w:rStyle w:val="Strong"/>
        </w:rPr>
      </w:pPr>
    </w:p>
    <w:p w14:paraId="2BF45A0A" w14:textId="6150E4CF" w:rsidR="000E5ACB" w:rsidRDefault="000E5ACB" w:rsidP="00CC7DF2">
      <w:pPr>
        <w:pStyle w:val="ListParagraph"/>
        <w:bidi/>
        <w:spacing w:line="276" w:lineRule="auto"/>
        <w:ind w:left="630"/>
        <w:jc w:val="both"/>
        <w:rPr>
          <w:rFonts w:ascii="David" w:hAnsi="David" w:cs="David"/>
          <w:rtl/>
        </w:rPr>
      </w:pPr>
    </w:p>
    <w:p w14:paraId="1AB92D9B" w14:textId="2967BAD6" w:rsidR="000E5ACB" w:rsidRDefault="000E5ACB" w:rsidP="00CC7DF2">
      <w:pPr>
        <w:pStyle w:val="ListParagraph"/>
        <w:bidi/>
        <w:spacing w:line="276" w:lineRule="auto"/>
        <w:ind w:left="630"/>
        <w:jc w:val="both"/>
        <w:rPr>
          <w:rFonts w:ascii="David" w:hAnsi="David" w:cs="David"/>
          <w:rtl/>
        </w:rPr>
      </w:pPr>
    </w:p>
    <w:p w14:paraId="10DB2081" w14:textId="14A94742" w:rsidR="000E5ACB" w:rsidRPr="00321946" w:rsidRDefault="000E5ACB" w:rsidP="00CC7DF2">
      <w:pPr>
        <w:pStyle w:val="ListParagraph"/>
        <w:bidi/>
        <w:spacing w:line="276" w:lineRule="auto"/>
        <w:ind w:left="630"/>
        <w:jc w:val="both"/>
        <w:rPr>
          <w:rFonts w:ascii="David" w:hAnsi="David" w:cs="David"/>
          <w:rtl/>
        </w:rPr>
      </w:pPr>
    </w:p>
    <w:p w14:paraId="0D41B4E9" w14:textId="0D7DED35" w:rsidR="00ED0662" w:rsidRDefault="00ED0662" w:rsidP="00CC7DF2">
      <w:pPr>
        <w:bidi/>
        <w:spacing w:line="276" w:lineRule="auto"/>
        <w:jc w:val="both"/>
        <w:rPr>
          <w:rFonts w:ascii="David" w:hAnsi="David" w:cs="David"/>
          <w:b/>
          <w:bCs/>
          <w:highlight w:val="green"/>
          <w:rtl/>
        </w:rPr>
      </w:pPr>
    </w:p>
    <w:p w14:paraId="10E94947" w14:textId="4D9146B6" w:rsidR="00960770" w:rsidRDefault="00BA0416" w:rsidP="00CC7DF2">
      <w:pPr>
        <w:bidi/>
        <w:spacing w:after="0"/>
        <w:jc w:val="both"/>
        <w:rPr>
          <w:rFonts w:ascii="David" w:hAnsi="David" w:cs="David"/>
          <w:u w:val="single"/>
          <w:rtl/>
        </w:rPr>
      </w:pPr>
      <w:r w:rsidRPr="00321946">
        <w:rPr>
          <w:rFonts w:ascii="David" w:hAnsi="David" w:cs="David"/>
          <w:rtl/>
        </w:rPr>
        <w:br/>
      </w:r>
    </w:p>
    <w:p w14:paraId="0ECE0273" w14:textId="77777777" w:rsidR="00960770" w:rsidRDefault="00960770" w:rsidP="00CC7DF2">
      <w:pPr>
        <w:bidi/>
        <w:spacing w:after="0"/>
        <w:jc w:val="both"/>
        <w:rPr>
          <w:rFonts w:ascii="David" w:hAnsi="David" w:cs="David"/>
          <w:u w:val="single"/>
          <w:rtl/>
        </w:rPr>
      </w:pPr>
    </w:p>
    <w:p w14:paraId="1DF459E8" w14:textId="77777777" w:rsidR="00960770" w:rsidRDefault="00960770" w:rsidP="00CC7DF2">
      <w:pPr>
        <w:bidi/>
        <w:spacing w:after="0"/>
        <w:jc w:val="both"/>
        <w:rPr>
          <w:rFonts w:ascii="David" w:hAnsi="David" w:cs="David"/>
          <w:u w:val="single"/>
          <w:rtl/>
        </w:rPr>
      </w:pPr>
    </w:p>
    <w:p w14:paraId="590E3B3C" w14:textId="77777777" w:rsidR="00960770" w:rsidRDefault="00960770" w:rsidP="00CC7DF2">
      <w:pPr>
        <w:bidi/>
        <w:spacing w:after="0"/>
        <w:jc w:val="both"/>
        <w:rPr>
          <w:rFonts w:ascii="David" w:hAnsi="David" w:cs="David"/>
          <w:u w:val="single"/>
          <w:rtl/>
        </w:rPr>
      </w:pPr>
    </w:p>
    <w:p w14:paraId="222FB319" w14:textId="77777777" w:rsidR="00960770" w:rsidRDefault="00960770" w:rsidP="00CC7DF2">
      <w:pPr>
        <w:bidi/>
        <w:spacing w:after="0"/>
        <w:jc w:val="both"/>
        <w:rPr>
          <w:rFonts w:ascii="David" w:hAnsi="David" w:cs="David"/>
          <w:u w:val="single"/>
          <w:rtl/>
        </w:rPr>
      </w:pPr>
    </w:p>
    <w:p w14:paraId="60024620" w14:textId="77777777" w:rsidR="00DF054C" w:rsidRDefault="00DF054C" w:rsidP="00CC7DF2">
      <w:pPr>
        <w:bidi/>
        <w:spacing w:after="0"/>
        <w:jc w:val="both"/>
        <w:rPr>
          <w:rFonts w:ascii="David" w:hAnsi="David" w:cs="David"/>
          <w:u w:val="single"/>
          <w:rtl/>
        </w:rPr>
      </w:pPr>
    </w:p>
    <w:p w14:paraId="646EA66A" w14:textId="3F2A7FE2" w:rsidR="00DF054C" w:rsidRDefault="00DF054C" w:rsidP="00CC7DF2">
      <w:pPr>
        <w:bidi/>
        <w:spacing w:after="0"/>
        <w:jc w:val="both"/>
        <w:rPr>
          <w:rFonts w:ascii="David" w:hAnsi="David" w:cs="David"/>
          <w:u w:val="single"/>
          <w:rtl/>
        </w:rPr>
      </w:pPr>
      <w:r>
        <w:rPr>
          <w:noProof/>
          <w:rtl/>
          <w:lang w:val="he-IL"/>
        </w:rPr>
        <mc:AlternateContent>
          <mc:Choice Requires="wps">
            <w:drawing>
              <wp:anchor distT="0" distB="0" distL="114300" distR="114300" simplePos="0" relativeHeight="251684864" behindDoc="0" locked="0" layoutInCell="1" allowOverlap="1" wp14:anchorId="4079BA1D" wp14:editId="7F56CD33">
                <wp:simplePos x="0" y="0"/>
                <wp:positionH relativeFrom="page">
                  <wp:align>center</wp:align>
                </wp:positionH>
                <wp:positionV relativeFrom="paragraph">
                  <wp:posOffset>146685</wp:posOffset>
                </wp:positionV>
                <wp:extent cx="6313170" cy="1892300"/>
                <wp:effectExtent l="0" t="0" r="11430" b="12700"/>
                <wp:wrapNone/>
                <wp:docPr id="30" name="Rectangle: Rounded Corners 30"/>
                <wp:cNvGraphicFramePr/>
                <a:graphic xmlns:a="http://schemas.openxmlformats.org/drawingml/2006/main">
                  <a:graphicData uri="http://schemas.microsoft.com/office/word/2010/wordprocessingShape">
                    <wps:wsp>
                      <wps:cNvSpPr/>
                      <wps:spPr>
                        <a:xfrm>
                          <a:off x="0" y="0"/>
                          <a:ext cx="6313170" cy="1892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5FEC7" w14:textId="4DE7D500" w:rsidR="00DF054C" w:rsidRDefault="00DF054C" w:rsidP="00DF054C">
                            <w:pPr>
                              <w:jc w:val="center"/>
                            </w:pPr>
                            <w:r>
                              <w:rPr>
                                <w:rFonts w:hint="cs"/>
                                <w:rtl/>
                              </w:rPr>
                              <w:t>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79BA1D" id="Rectangle: Rounded Corners 30" o:spid="_x0000_s1029" style="position:absolute;left:0;text-align:left;margin-left:0;margin-top:11.55pt;width:497.1pt;height:149pt;z-index:251684864;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" filled="f" strokecolor="black [3213]" strokeweight="1pt">
                <v:stroke joinstyle="miter"/>
                <v:textbox>
                  <w:txbxContent>
                    <w:p w14:paraId="12F5FEC7" w14:textId="4DE7D500" w:rsidR="00DF054C" w:rsidRDefault="00DF054C" w:rsidP="00DF054C">
                      <w:pPr>
                        <w:jc w:val="center"/>
                      </w:pPr>
                      <w:r>
                        <w:rPr>
                          <w:rFonts w:hint="cs"/>
                          <w:rtl/>
                        </w:rPr>
                        <w:t>ה</w:t>
                      </w:r>
                    </w:p>
                  </w:txbxContent>
                </v:textbox>
                <w10:wrap anchorx="page"/>
              </v:roundrect>
            </w:pict>
          </mc:Fallback>
        </mc:AlternateContent>
      </w:r>
    </w:p>
    <w:p w14:paraId="1977D0D2" w14:textId="3B8D84C0" w:rsidR="00960770" w:rsidRPr="004B58B3" w:rsidRDefault="00960770" w:rsidP="00CC7DF2">
      <w:pPr>
        <w:pStyle w:val="Quote"/>
        <w:bidi/>
        <w:spacing w:after="0" w:line="276" w:lineRule="auto"/>
        <w:ind w:left="0"/>
        <w:jc w:val="both"/>
        <w:rPr>
          <w:rtl/>
          <w:lang w:bidi="he"/>
        </w:rPr>
      </w:pPr>
      <w:r w:rsidRPr="004B58B3">
        <w:rPr>
          <w:rtl/>
        </w:rPr>
        <w:t>פלוני נ</w:t>
      </w:r>
      <w:r w:rsidRPr="004B58B3">
        <w:rPr>
          <w:rtl/>
          <w:lang w:bidi="he"/>
        </w:rPr>
        <w:t xml:space="preserve">' </w:t>
      </w:r>
      <w:r w:rsidRPr="004B58B3">
        <w:rPr>
          <w:rtl/>
        </w:rPr>
        <w:t xml:space="preserve">מדינת ישראל </w:t>
      </w:r>
      <w:r w:rsidRPr="004B58B3">
        <w:rPr>
          <w:rtl/>
          <w:lang w:bidi="he"/>
        </w:rPr>
        <w:t>(</w:t>
      </w:r>
      <w:r w:rsidRPr="004B58B3">
        <w:rPr>
          <w:rtl/>
        </w:rPr>
        <w:t>ע</w:t>
      </w:r>
      <w:r w:rsidRPr="004B58B3">
        <w:rPr>
          <w:rtl/>
          <w:lang w:bidi="he"/>
        </w:rPr>
        <w:t>"</w:t>
      </w:r>
      <w:r w:rsidRPr="004B58B3">
        <w:rPr>
          <w:rtl/>
        </w:rPr>
        <w:t xml:space="preserve">פ </w:t>
      </w:r>
      <w:r w:rsidRPr="004B58B3">
        <w:rPr>
          <w:rtl/>
          <w:lang w:bidi="he"/>
        </w:rPr>
        <w:t>10549/06)</w:t>
      </w:r>
    </w:p>
    <w:p w14:paraId="2492BF83" w14:textId="77777777" w:rsidR="00960770" w:rsidRPr="004B58B3" w:rsidRDefault="00960770" w:rsidP="00CC7DF2">
      <w:pPr>
        <w:bidi/>
        <w:spacing w:after="0" w:line="276" w:lineRule="auto"/>
        <w:jc w:val="both"/>
        <w:rPr>
          <w:rFonts w:ascii="David" w:hAnsi="David" w:cs="David"/>
          <w:rtl/>
          <w:lang w:bidi="he"/>
        </w:rPr>
      </w:pPr>
      <w:r w:rsidRPr="00DF054C">
        <w:rPr>
          <w:rFonts w:ascii="David" w:hAnsi="David" w:cs="David"/>
          <w:b/>
          <w:bCs/>
          <w:rtl/>
        </w:rPr>
        <w:t>רציו</w:t>
      </w:r>
      <w:r w:rsidRPr="00DF054C">
        <w:rPr>
          <w:rFonts w:ascii="David" w:hAnsi="David" w:cs="David"/>
          <w:b/>
          <w:bCs/>
          <w:rtl/>
          <w:lang w:bidi="he"/>
        </w:rPr>
        <w:t>:</w:t>
      </w:r>
      <w:r w:rsidRPr="004B58B3">
        <w:rPr>
          <w:rFonts w:ascii="David" w:hAnsi="David" w:cs="David"/>
          <w:rtl/>
          <w:lang w:bidi="he"/>
        </w:rPr>
        <w:t xml:space="preserve"> </w:t>
      </w:r>
      <w:r w:rsidRPr="004B58B3">
        <w:rPr>
          <w:rFonts w:ascii="David" w:hAnsi="David" w:cs="David"/>
          <w:rtl/>
        </w:rPr>
        <w:t xml:space="preserve">ערעור לאחר מתן גזר דין לנער בן </w:t>
      </w:r>
      <w:r w:rsidRPr="004B58B3">
        <w:rPr>
          <w:rFonts w:ascii="David" w:hAnsi="David" w:cs="David"/>
          <w:rtl/>
          <w:lang w:bidi="he"/>
        </w:rPr>
        <w:t xml:space="preserve">18 </w:t>
      </w:r>
      <w:r w:rsidRPr="004B58B3">
        <w:rPr>
          <w:rFonts w:ascii="David" w:hAnsi="David" w:cs="David"/>
          <w:rtl/>
        </w:rPr>
        <w:t>שאנס את חברתו לכיתה בהיותו שיכור לאחר מפגש חברים בזמן היותה מנסה להתנגד ולצעוק לעזרה למרות שהוא סתם את פיה</w:t>
      </w:r>
      <w:r w:rsidRPr="004B58B3">
        <w:rPr>
          <w:rFonts w:ascii="David" w:hAnsi="David" w:cs="David"/>
          <w:rtl/>
          <w:lang w:bidi="he"/>
        </w:rPr>
        <w:t xml:space="preserve">. </w:t>
      </w:r>
      <w:r w:rsidRPr="004B58B3">
        <w:rPr>
          <w:rFonts w:ascii="David" w:hAnsi="David" w:cs="David"/>
          <w:rtl/>
        </w:rPr>
        <w:t>הנער</w:t>
      </w:r>
      <w:r w:rsidRPr="004B58B3">
        <w:rPr>
          <w:rFonts w:ascii="David" w:hAnsi="David" w:cs="David"/>
          <w:rtl/>
          <w:lang w:bidi="he"/>
        </w:rPr>
        <w:t xml:space="preserve">, </w:t>
      </w:r>
      <w:r w:rsidRPr="004B58B3">
        <w:rPr>
          <w:rFonts w:ascii="David" w:hAnsi="David" w:cs="David"/>
          <w:rtl/>
        </w:rPr>
        <w:t>שהוגדר במהלך פסק הדין כנער ללא דופי שזוהי עברתו הראשונה</w:t>
      </w:r>
      <w:r w:rsidRPr="004B58B3">
        <w:rPr>
          <w:rFonts w:ascii="David" w:hAnsi="David" w:cs="David"/>
          <w:rtl/>
          <w:lang w:bidi="he"/>
        </w:rPr>
        <w:t xml:space="preserve">, </w:t>
      </w:r>
      <w:r w:rsidRPr="004B58B3">
        <w:rPr>
          <w:rFonts w:ascii="David" w:hAnsi="David" w:cs="David"/>
          <w:rtl/>
        </w:rPr>
        <w:t xml:space="preserve">ערער על חומרת העונש שקיבל </w:t>
      </w:r>
      <w:r w:rsidRPr="004B58B3">
        <w:rPr>
          <w:rFonts w:ascii="David" w:hAnsi="David" w:cs="David"/>
          <w:rtl/>
          <w:lang w:bidi="he"/>
        </w:rPr>
        <w:t xml:space="preserve">(15 </w:t>
      </w:r>
      <w:r w:rsidRPr="004B58B3">
        <w:rPr>
          <w:rFonts w:ascii="David" w:hAnsi="David" w:cs="David"/>
          <w:rtl/>
        </w:rPr>
        <w:t>חודשי מאסר ומאסר על תנאי ופיצויים לנפגעת</w:t>
      </w:r>
      <w:r w:rsidRPr="004B58B3">
        <w:rPr>
          <w:rFonts w:ascii="David" w:hAnsi="David" w:cs="David"/>
          <w:rtl/>
          <w:lang w:bidi="he"/>
        </w:rPr>
        <w:t xml:space="preserve">). </w:t>
      </w:r>
    </w:p>
    <w:p w14:paraId="2CC9D969" w14:textId="77777777" w:rsidR="00960770" w:rsidRPr="004B58B3" w:rsidRDefault="00960770" w:rsidP="00CC7DF2">
      <w:pPr>
        <w:bidi/>
        <w:spacing w:after="0" w:line="276" w:lineRule="auto"/>
        <w:jc w:val="both"/>
        <w:rPr>
          <w:rFonts w:ascii="David" w:hAnsi="David" w:cs="David"/>
          <w:rtl/>
          <w:lang w:bidi="he"/>
        </w:rPr>
      </w:pPr>
      <w:r w:rsidRPr="00DF054C">
        <w:rPr>
          <w:rStyle w:val="Strong"/>
          <w:rtl/>
        </w:rPr>
        <w:t>השופט רובינשטיין</w:t>
      </w:r>
      <w:r w:rsidRPr="004B58B3">
        <w:rPr>
          <w:rFonts w:ascii="David" w:hAnsi="David" w:cs="David"/>
          <w:rtl/>
          <w:lang w:bidi="he"/>
        </w:rPr>
        <w:t xml:space="preserve"> (</w:t>
      </w:r>
      <w:r w:rsidRPr="004B58B3">
        <w:rPr>
          <w:rFonts w:ascii="David" w:hAnsi="David" w:cs="David"/>
          <w:rtl/>
        </w:rPr>
        <w:t>דעת רוב</w:t>
      </w:r>
      <w:r w:rsidRPr="004B58B3">
        <w:rPr>
          <w:rFonts w:ascii="David" w:hAnsi="David" w:cs="David"/>
          <w:rtl/>
          <w:lang w:bidi="he"/>
        </w:rPr>
        <w:t xml:space="preserve">) </w:t>
      </w:r>
      <w:r w:rsidRPr="004B58B3">
        <w:rPr>
          <w:rFonts w:ascii="David" w:hAnsi="David" w:cs="David"/>
          <w:rtl/>
        </w:rPr>
        <w:t>מביא בחשבון את עברו של הנאשם</w:t>
      </w:r>
      <w:r w:rsidRPr="004B58B3">
        <w:rPr>
          <w:rFonts w:ascii="David" w:hAnsi="David" w:cs="David"/>
          <w:rtl/>
          <w:lang w:bidi="he"/>
        </w:rPr>
        <w:t xml:space="preserve">, </w:t>
      </w:r>
      <w:r w:rsidRPr="004B58B3">
        <w:rPr>
          <w:rFonts w:ascii="David" w:hAnsi="David" w:cs="David"/>
          <w:rtl/>
        </w:rPr>
        <w:t>חרטתו ושיש לתת לו את האפשרות להשתקם</w:t>
      </w:r>
      <w:r w:rsidRPr="004B58B3">
        <w:rPr>
          <w:rFonts w:ascii="David" w:hAnsi="David" w:cs="David"/>
          <w:rtl/>
          <w:lang w:bidi="he"/>
        </w:rPr>
        <w:t xml:space="preserve">. </w:t>
      </w:r>
      <w:r w:rsidRPr="004B58B3">
        <w:rPr>
          <w:rFonts w:ascii="David" w:hAnsi="David" w:cs="David"/>
          <w:rtl/>
        </w:rPr>
        <w:t xml:space="preserve">לכן החליט לבוא לקראת הנאשם </w:t>
      </w:r>
      <w:r w:rsidRPr="004B58B3">
        <w:rPr>
          <w:rFonts w:ascii="David" w:hAnsi="David" w:cs="David"/>
          <w:shd w:val="clear" w:color="auto" w:fill="FFFF99"/>
          <w:rtl/>
        </w:rPr>
        <w:t>ולהפחית מעט את חודשי מאסרו בפועל</w:t>
      </w:r>
      <w:r w:rsidRPr="004B58B3">
        <w:rPr>
          <w:rFonts w:ascii="David" w:hAnsi="David" w:cs="David"/>
          <w:shd w:val="clear" w:color="auto" w:fill="FFFF99"/>
          <w:rtl/>
          <w:lang w:bidi="he"/>
        </w:rPr>
        <w:t xml:space="preserve"> </w:t>
      </w:r>
      <w:r w:rsidRPr="004B58B3">
        <w:rPr>
          <w:rFonts w:ascii="David" w:hAnsi="David" w:cs="David"/>
          <w:shd w:val="clear" w:color="auto" w:fill="FFFF99"/>
          <w:rtl/>
        </w:rPr>
        <w:t>אך העלה את סך הפיצויים לנפגעת</w:t>
      </w:r>
      <w:r w:rsidRPr="004B58B3">
        <w:rPr>
          <w:rFonts w:ascii="David" w:hAnsi="David" w:cs="David"/>
          <w:shd w:val="clear" w:color="auto" w:fill="FFFF99"/>
          <w:rtl/>
          <w:lang w:bidi="he"/>
        </w:rPr>
        <w:t xml:space="preserve">, </w:t>
      </w:r>
      <w:r w:rsidRPr="004B58B3">
        <w:rPr>
          <w:rFonts w:ascii="David" w:hAnsi="David" w:cs="David"/>
          <w:shd w:val="clear" w:color="auto" w:fill="FFFF99"/>
          <w:rtl/>
        </w:rPr>
        <w:t xml:space="preserve">הפיצוי ניתן לפי </w:t>
      </w:r>
      <w:r w:rsidRPr="00DF054C">
        <w:rPr>
          <w:rStyle w:val="SubtleReference"/>
          <w:rtl/>
        </w:rPr>
        <w:t>סעיף 77 לחוק העונשין</w:t>
      </w:r>
      <w:r w:rsidRPr="004B58B3">
        <w:rPr>
          <w:rFonts w:ascii="David" w:hAnsi="David" w:cs="David"/>
          <w:rtl/>
        </w:rPr>
        <w:t xml:space="preserve"> שתכליתו ומהותו אזרחית</w:t>
      </w:r>
      <w:r w:rsidRPr="004B58B3">
        <w:rPr>
          <w:rFonts w:ascii="David" w:hAnsi="David" w:cs="David"/>
          <w:rtl/>
          <w:lang w:bidi="he"/>
        </w:rPr>
        <w:t xml:space="preserve">, </w:t>
      </w:r>
      <w:r w:rsidRPr="004B58B3">
        <w:rPr>
          <w:rFonts w:ascii="David" w:hAnsi="David" w:cs="David"/>
          <w:rtl/>
        </w:rPr>
        <w:t xml:space="preserve">ולפי הוראת סעיף </w:t>
      </w:r>
      <w:r w:rsidRPr="004B58B3">
        <w:rPr>
          <w:rFonts w:ascii="David" w:hAnsi="David" w:cs="David"/>
          <w:rtl/>
          <w:lang w:bidi="he"/>
        </w:rPr>
        <w:t xml:space="preserve">213 (1) </w:t>
      </w:r>
      <w:r w:rsidRPr="004B58B3">
        <w:rPr>
          <w:rFonts w:ascii="David" w:hAnsi="David" w:cs="David"/>
          <w:rtl/>
        </w:rPr>
        <w:t>לחוק הסד</w:t>
      </w:r>
      <w:r w:rsidRPr="004B58B3">
        <w:rPr>
          <w:rFonts w:ascii="David" w:hAnsi="David" w:cs="David"/>
          <w:rtl/>
          <w:lang w:bidi="he"/>
        </w:rPr>
        <w:t>"</w:t>
      </w:r>
      <w:r w:rsidRPr="004B58B3">
        <w:rPr>
          <w:rFonts w:ascii="David" w:hAnsi="David" w:cs="David"/>
          <w:rtl/>
        </w:rPr>
        <w:t>פ יש לביהמ</w:t>
      </w:r>
      <w:r w:rsidRPr="004B58B3">
        <w:rPr>
          <w:rFonts w:ascii="David" w:hAnsi="David" w:cs="David"/>
          <w:rtl/>
          <w:lang w:bidi="he"/>
        </w:rPr>
        <w:t>"</w:t>
      </w:r>
      <w:r w:rsidRPr="004B58B3">
        <w:rPr>
          <w:rFonts w:ascii="David" w:hAnsi="David" w:cs="David"/>
          <w:rtl/>
        </w:rPr>
        <w:t>ש לערעור האפשרות לשנות את פסק הדין של הערכאה הקודמת</w:t>
      </w:r>
      <w:r w:rsidRPr="004B58B3">
        <w:rPr>
          <w:rFonts w:ascii="David" w:hAnsi="David" w:cs="David"/>
          <w:rtl/>
          <w:lang w:bidi="he"/>
        </w:rPr>
        <w:t>.</w:t>
      </w:r>
      <w:r w:rsidRPr="004B58B3">
        <w:rPr>
          <w:rFonts w:ascii="David" w:hAnsi="David" w:cs="David"/>
          <w:rtl/>
        </w:rPr>
        <w:t xml:space="preserve"> העלאת פיצוי זה אינה בדרגת עונש</w:t>
      </w:r>
      <w:r w:rsidRPr="004B58B3">
        <w:rPr>
          <w:rFonts w:ascii="David" w:hAnsi="David" w:cs="David"/>
          <w:rtl/>
          <w:lang w:bidi="he"/>
        </w:rPr>
        <w:t xml:space="preserve">, </w:t>
      </w:r>
      <w:r w:rsidRPr="004B58B3">
        <w:rPr>
          <w:rFonts w:ascii="David" w:hAnsi="David" w:cs="David"/>
          <w:rtl/>
        </w:rPr>
        <w:t>אלא כתרומה לסיוע שיקומה של הנפגעת</w:t>
      </w:r>
      <w:r w:rsidRPr="004B58B3">
        <w:rPr>
          <w:rFonts w:ascii="David" w:hAnsi="David" w:cs="David"/>
          <w:rtl/>
          <w:lang w:bidi="he"/>
        </w:rPr>
        <w:t xml:space="preserve">. </w:t>
      </w:r>
    </w:p>
    <w:p w14:paraId="56A65C4C" w14:textId="77777777" w:rsidR="00960770" w:rsidRPr="004B58B3" w:rsidRDefault="00960770" w:rsidP="00CC7DF2">
      <w:pPr>
        <w:bidi/>
        <w:spacing w:after="0" w:line="276" w:lineRule="auto"/>
        <w:jc w:val="both"/>
        <w:rPr>
          <w:rFonts w:ascii="David" w:hAnsi="David" w:cs="David"/>
          <w:rtl/>
        </w:rPr>
      </w:pPr>
      <w:r w:rsidRPr="00DF054C">
        <w:rPr>
          <w:rStyle w:val="Strong"/>
          <w:rtl/>
        </w:rPr>
        <w:t>השופטת ארבל</w:t>
      </w:r>
      <w:r w:rsidRPr="004B58B3">
        <w:rPr>
          <w:rFonts w:ascii="David" w:hAnsi="David" w:cs="David"/>
          <w:rtl/>
          <w:lang w:bidi="he"/>
        </w:rPr>
        <w:t xml:space="preserve"> (</w:t>
      </w:r>
      <w:r w:rsidRPr="004B58B3">
        <w:rPr>
          <w:rFonts w:ascii="David" w:hAnsi="David" w:cs="David"/>
          <w:rtl/>
        </w:rPr>
        <w:t>מיעוט</w:t>
      </w:r>
      <w:r w:rsidRPr="004B58B3">
        <w:rPr>
          <w:rFonts w:ascii="David" w:hAnsi="David" w:cs="David"/>
          <w:rtl/>
          <w:lang w:bidi="he"/>
        </w:rPr>
        <w:t xml:space="preserve">) </w:t>
      </w:r>
      <w:r w:rsidRPr="004B58B3">
        <w:rPr>
          <w:rFonts w:ascii="David" w:hAnsi="David" w:cs="David"/>
          <w:rtl/>
        </w:rPr>
        <w:t>גורסת כי בגזירת העונש צריך להביא לידי ביטוי את פגיעות הנאשמת</w:t>
      </w:r>
      <w:r w:rsidRPr="004B58B3">
        <w:rPr>
          <w:rFonts w:ascii="David" w:hAnsi="David" w:cs="David"/>
          <w:rtl/>
          <w:lang w:bidi="he"/>
        </w:rPr>
        <w:t xml:space="preserve">, </w:t>
      </w:r>
      <w:r w:rsidRPr="004B58B3">
        <w:rPr>
          <w:rFonts w:ascii="David" w:hAnsi="David" w:cs="David"/>
          <w:rtl/>
        </w:rPr>
        <w:t>מהגופנית עד לנפשית</w:t>
      </w:r>
      <w:r w:rsidRPr="004B58B3">
        <w:rPr>
          <w:rFonts w:ascii="David" w:hAnsi="David" w:cs="David"/>
          <w:rtl/>
          <w:lang w:bidi="he"/>
        </w:rPr>
        <w:t>,</w:t>
      </w:r>
      <w:r w:rsidRPr="004B58B3">
        <w:rPr>
          <w:rFonts w:ascii="David" w:hAnsi="David" w:cs="David"/>
          <w:rtl/>
        </w:rPr>
        <w:t xml:space="preserve"> הקיימת והעתידית</w:t>
      </w:r>
      <w:r w:rsidRPr="004B58B3">
        <w:rPr>
          <w:rFonts w:ascii="David" w:hAnsi="David" w:cs="David"/>
          <w:rtl/>
          <w:lang w:bidi="he"/>
        </w:rPr>
        <w:t xml:space="preserve">, </w:t>
      </w:r>
      <w:r w:rsidRPr="004B58B3">
        <w:rPr>
          <w:rFonts w:ascii="David" w:hAnsi="David" w:cs="David"/>
          <w:shd w:val="clear" w:color="auto" w:fill="FFFF99"/>
          <w:rtl/>
        </w:rPr>
        <w:t>ולכן אין להתערב בגזר דין של ביהמ</w:t>
      </w:r>
      <w:r w:rsidRPr="004B58B3">
        <w:rPr>
          <w:rFonts w:ascii="David" w:hAnsi="David" w:cs="David"/>
          <w:shd w:val="clear" w:color="auto" w:fill="FFFF99"/>
          <w:rtl/>
          <w:lang w:bidi="he"/>
        </w:rPr>
        <w:t>"</w:t>
      </w:r>
      <w:r w:rsidRPr="004B58B3">
        <w:rPr>
          <w:rFonts w:ascii="David" w:hAnsi="David" w:cs="David"/>
          <w:shd w:val="clear" w:color="auto" w:fill="FFFF99"/>
          <w:rtl/>
        </w:rPr>
        <w:t>ש קמא ויש לדחות את הערעור</w:t>
      </w:r>
      <w:r w:rsidRPr="004B58B3">
        <w:rPr>
          <w:rFonts w:ascii="David" w:hAnsi="David" w:cs="David"/>
          <w:shd w:val="clear" w:color="auto" w:fill="FFFF99"/>
          <w:rtl/>
          <w:lang w:bidi="he"/>
        </w:rPr>
        <w:t xml:space="preserve">, </w:t>
      </w:r>
      <w:r w:rsidRPr="004B58B3">
        <w:rPr>
          <w:rFonts w:ascii="David" w:hAnsi="David" w:cs="David"/>
          <w:shd w:val="clear" w:color="auto" w:fill="FFFF99"/>
          <w:rtl/>
        </w:rPr>
        <w:t>נכון שהעלו את הפיצויים לנפגעת אך אין זו הצדקה להפחתת עונש מאסר הנאשם</w:t>
      </w:r>
      <w:r w:rsidRPr="004B58B3">
        <w:rPr>
          <w:rFonts w:ascii="David" w:hAnsi="David" w:cs="David"/>
          <w:rtl/>
          <w:lang w:bidi="he"/>
        </w:rPr>
        <w:t>.</w:t>
      </w:r>
    </w:p>
    <w:p w14:paraId="472FB091" w14:textId="3364F81B" w:rsidR="00960770" w:rsidRPr="004B58B3" w:rsidRDefault="00AF07F7" w:rsidP="00CC7DF2">
      <w:pPr>
        <w:bidi/>
        <w:spacing w:after="0" w:line="276" w:lineRule="auto"/>
        <w:jc w:val="both"/>
        <w:rPr>
          <w:rFonts w:ascii="David" w:hAnsi="David" w:cs="David"/>
          <w:u w:val="single"/>
          <w:rtl/>
          <w:lang w:bidi="he"/>
        </w:rPr>
      </w:pPr>
      <w:r>
        <w:rPr>
          <w:noProof/>
          <w:rtl/>
          <w:lang w:val="he-IL"/>
        </w:rPr>
        <mc:AlternateContent>
          <mc:Choice Requires="wps">
            <w:drawing>
              <wp:anchor distT="0" distB="0" distL="114300" distR="114300" simplePos="0" relativeHeight="251686912" behindDoc="0" locked="0" layoutInCell="1" allowOverlap="1" wp14:anchorId="5A00A90A" wp14:editId="16B59E76">
                <wp:simplePos x="0" y="0"/>
                <wp:positionH relativeFrom="page">
                  <wp:align>center</wp:align>
                </wp:positionH>
                <wp:positionV relativeFrom="paragraph">
                  <wp:posOffset>168408</wp:posOffset>
                </wp:positionV>
                <wp:extent cx="6313170" cy="1240155"/>
                <wp:effectExtent l="0" t="0" r="11430" b="17145"/>
                <wp:wrapNone/>
                <wp:docPr id="32" name="Rectangle: Rounded Corners 32"/>
                <wp:cNvGraphicFramePr/>
                <a:graphic xmlns:a="http://schemas.openxmlformats.org/drawingml/2006/main">
                  <a:graphicData uri="http://schemas.microsoft.com/office/word/2010/wordprocessingShape">
                    <wps:wsp>
                      <wps:cNvSpPr/>
                      <wps:spPr>
                        <a:xfrm>
                          <a:off x="0" y="0"/>
                          <a:ext cx="6313170" cy="12401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4FE27" id="Rectangle: Rounded Corners 32" o:spid="_x0000_s1026" style="position:absolute;margin-left:0;margin-top:13.25pt;width:497.1pt;height:97.65pt;z-index:2516869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" filled="f" strokecolor="black [3213]" strokeweight="1pt">
                <v:stroke joinstyle="miter"/>
                <w10:wrap anchorx="page"/>
              </v:roundrect>
            </w:pict>
          </mc:Fallback>
        </mc:AlternateContent>
      </w:r>
    </w:p>
    <w:p w14:paraId="45D193EA" w14:textId="77777777" w:rsidR="00015EEF" w:rsidRDefault="00015EEF" w:rsidP="00CC7DF2">
      <w:pPr>
        <w:bidi/>
        <w:spacing w:after="0" w:line="276" w:lineRule="auto"/>
        <w:jc w:val="both"/>
        <w:rPr>
          <w:rFonts w:ascii="David" w:hAnsi="David" w:cs="David"/>
          <w:b/>
          <w:bCs/>
          <w:color w:val="7F84DF"/>
          <w:rtl/>
        </w:rPr>
      </w:pPr>
    </w:p>
    <w:p w14:paraId="0B95862B" w14:textId="508CD4EE" w:rsidR="00960770" w:rsidRPr="00DF054C" w:rsidRDefault="00960770" w:rsidP="00CC7DF2">
      <w:pPr>
        <w:bidi/>
        <w:spacing w:after="0" w:line="276" w:lineRule="auto"/>
        <w:jc w:val="both"/>
        <w:rPr>
          <w:rFonts w:ascii="David" w:hAnsi="David" w:cs="David"/>
          <w:b/>
          <w:bCs/>
          <w:color w:val="7F84DF"/>
          <w:rtl/>
        </w:rPr>
      </w:pPr>
      <w:r w:rsidRPr="00DF054C">
        <w:rPr>
          <w:rFonts w:ascii="David" w:hAnsi="David" w:cs="David"/>
          <w:b/>
          <w:bCs/>
          <w:color w:val="7F84DF"/>
          <w:rtl/>
        </w:rPr>
        <w:t>גליקסמן נ' מדינה ישראל ( רע" פ 9727/05)</w:t>
      </w:r>
    </w:p>
    <w:p w14:paraId="0248CAC9" w14:textId="5B63548C" w:rsidR="00960770" w:rsidRPr="004B58B3" w:rsidRDefault="00960770" w:rsidP="00CC7DF2">
      <w:pPr>
        <w:bidi/>
        <w:spacing w:after="0" w:line="276" w:lineRule="auto"/>
        <w:jc w:val="both"/>
        <w:rPr>
          <w:rFonts w:ascii="David" w:hAnsi="David" w:cs="David"/>
          <w:rtl/>
        </w:rPr>
      </w:pPr>
      <w:r w:rsidRPr="00DF054C">
        <w:rPr>
          <w:rFonts w:ascii="David" w:hAnsi="David" w:cs="David"/>
          <w:b/>
          <w:bCs/>
          <w:rtl/>
        </w:rPr>
        <w:t>רציו :</w:t>
      </w:r>
      <w:r w:rsidRPr="004B58B3">
        <w:rPr>
          <w:rFonts w:ascii="David" w:hAnsi="David" w:cs="David"/>
          <w:rtl/>
        </w:rPr>
        <w:t xml:space="preserve">רופא בזמן טיפול לייזר הטריד מינית מטופלת </w:t>
      </w:r>
      <w:r w:rsidR="00DF054C">
        <w:rPr>
          <w:rFonts w:ascii="David" w:hAnsi="David" w:cs="David" w:hint="cs"/>
          <w:rtl/>
        </w:rPr>
        <w:t xml:space="preserve">, </w:t>
      </w:r>
      <w:r w:rsidRPr="004B58B3">
        <w:rPr>
          <w:rFonts w:ascii="David" w:hAnsi="David" w:cs="David"/>
          <w:rtl/>
        </w:rPr>
        <w:t xml:space="preserve">הואשם וקיבל שנה מאסר ופיצויים. ערער על כך  למחוזי ושם ביטלו לו את הפיצויים, על כך מערערת הנפגעת. </w:t>
      </w:r>
    </w:p>
    <w:p w14:paraId="3D98261C" w14:textId="6BE6111D" w:rsidR="00960770" w:rsidRPr="004B58B3" w:rsidRDefault="00960770" w:rsidP="00CC7DF2">
      <w:pPr>
        <w:bidi/>
        <w:spacing w:after="0" w:line="276" w:lineRule="auto"/>
        <w:jc w:val="both"/>
        <w:rPr>
          <w:rFonts w:ascii="David" w:hAnsi="David" w:cs="David"/>
          <w:rtl/>
        </w:rPr>
      </w:pPr>
      <w:r w:rsidRPr="004B58B3">
        <w:rPr>
          <w:rFonts w:ascii="David" w:hAnsi="David" w:cs="David"/>
          <w:rtl/>
        </w:rPr>
        <w:t>העליון (</w:t>
      </w:r>
      <w:r w:rsidRPr="00DF054C">
        <w:rPr>
          <w:rStyle w:val="Strong"/>
          <w:rtl/>
        </w:rPr>
        <w:t>בייניש</w:t>
      </w:r>
      <w:r w:rsidRPr="004B58B3">
        <w:rPr>
          <w:rFonts w:ascii="David" w:hAnsi="David" w:cs="David"/>
          <w:rtl/>
        </w:rPr>
        <w:t xml:space="preserve"> בראשן) החזיר את הפיצויים </w:t>
      </w:r>
      <w:r w:rsidRPr="004B58B3">
        <w:rPr>
          <w:rFonts w:ascii="David" w:hAnsi="David" w:cs="David"/>
          <w:shd w:val="clear" w:color="auto" w:fill="FFFF99"/>
          <w:rtl/>
        </w:rPr>
        <w:t xml:space="preserve">בטענה </w:t>
      </w:r>
      <w:r w:rsidRPr="00DF054C">
        <w:rPr>
          <w:rStyle w:val="SubtleReference"/>
          <w:rtl/>
        </w:rPr>
        <w:t>שסעיף 77 לחוק העונשין</w:t>
      </w:r>
      <w:r w:rsidRPr="004B58B3">
        <w:rPr>
          <w:rFonts w:ascii="David" w:hAnsi="David" w:cs="David"/>
          <w:shd w:val="clear" w:color="auto" w:fill="FFFF99"/>
          <w:rtl/>
        </w:rPr>
        <w:t xml:space="preserve"> הוא אזרחי שמתקיים בתוך חוק העונשין, לכן ישלו מטרות פליליות (כמו הרתעה וגמול) וגם אזרחיות (פיצוי הנפגעת) מטרת הסעיף הינה לסייע לקורבנות העבירה, לכן אין לוותר על פיצויים שלא לצורך</w:t>
      </w:r>
      <w:r w:rsidRPr="004B58B3">
        <w:rPr>
          <w:rFonts w:ascii="David" w:hAnsi="David" w:cs="David"/>
          <w:rtl/>
        </w:rPr>
        <w:t>. יש לשנות את הענישה רק במקרים חריגים בהם הענישה הייתה מוגזמת, פה זה אינו המקרה</w:t>
      </w:r>
      <w:r>
        <w:rPr>
          <w:rFonts w:ascii="David" w:hAnsi="David" w:cs="David" w:hint="cs"/>
          <w:rtl/>
        </w:rPr>
        <w:t xml:space="preserve"> </w:t>
      </w:r>
      <w:r>
        <w:rPr>
          <w:rFonts w:ascii="David" w:hAnsi="David" w:cs="David"/>
          <w:rtl/>
        </w:rPr>
        <w:t>–</w:t>
      </w:r>
      <w:r>
        <w:rPr>
          <w:rFonts w:ascii="David" w:hAnsi="David" w:cs="David" w:hint="cs"/>
          <w:rtl/>
        </w:rPr>
        <w:t xml:space="preserve"> </w:t>
      </w:r>
      <w:r w:rsidRPr="00DF054C">
        <w:rPr>
          <w:rFonts w:ascii="David" w:hAnsi="David" w:cs="David" w:hint="cs"/>
          <w:b/>
          <w:bCs/>
          <w:rtl/>
        </w:rPr>
        <w:t>ביקורת של שמואלי:</w:t>
      </w:r>
      <w:r w:rsidRPr="00DF054C">
        <w:rPr>
          <w:rFonts w:ascii="David" w:hAnsi="David" w:cs="David" w:hint="cs"/>
          <w:b/>
          <w:bCs/>
        </w:rPr>
        <w:t xml:space="preserve"> </w:t>
      </w:r>
      <w:r w:rsidRPr="00DF054C">
        <w:rPr>
          <w:rFonts w:ascii="David" w:hAnsi="David" w:cs="David" w:hint="cs"/>
          <w:b/>
          <w:bCs/>
          <w:rtl/>
        </w:rPr>
        <w:t>למה היא לא מו</w:t>
      </w:r>
      <w:r w:rsidR="00DF054C">
        <w:rPr>
          <w:rFonts w:ascii="David" w:hAnsi="David" w:cs="David" w:hint="cs"/>
          <w:b/>
          <w:bCs/>
          <w:rtl/>
        </w:rPr>
        <w:t>סיפה</w:t>
      </w:r>
      <w:r w:rsidRPr="00DF054C">
        <w:rPr>
          <w:rFonts w:ascii="David" w:hAnsi="David" w:cs="David" w:hint="cs"/>
          <w:b/>
          <w:bCs/>
          <w:rtl/>
        </w:rPr>
        <w:t xml:space="preserve"> יותר?</w:t>
      </w:r>
      <w:r>
        <w:rPr>
          <w:rFonts w:ascii="David" w:hAnsi="David" w:cs="David" w:hint="cs"/>
          <w:rtl/>
        </w:rPr>
        <w:t xml:space="preserve"> </w:t>
      </w:r>
    </w:p>
    <w:p w14:paraId="1E7828ED" w14:textId="0DD2AFBE" w:rsidR="00C60B26" w:rsidRDefault="00E34A5A" w:rsidP="00CC7DF2">
      <w:pPr>
        <w:bidi/>
        <w:spacing w:line="276" w:lineRule="auto"/>
        <w:jc w:val="both"/>
        <w:rPr>
          <w:rFonts w:ascii="David" w:hAnsi="David" w:cs="David"/>
          <w:b/>
          <w:bCs/>
          <w:rtl/>
        </w:rPr>
      </w:pPr>
      <w:r>
        <w:rPr>
          <w:rFonts w:ascii="David" w:hAnsi="David" w:cs="David" w:hint="cs"/>
          <w:b/>
          <w:bCs/>
          <w:noProof/>
          <w:color w:val="7F84DF"/>
          <w:rtl/>
          <w:lang w:val="he-IL"/>
        </w:rPr>
        <mc:AlternateContent>
          <mc:Choice Requires="wps">
            <w:drawing>
              <wp:anchor distT="0" distB="0" distL="114300" distR="114300" simplePos="0" relativeHeight="251705344" behindDoc="0" locked="0" layoutInCell="1" allowOverlap="1" wp14:anchorId="3D98636D" wp14:editId="1E947CE3">
                <wp:simplePos x="0" y="0"/>
                <wp:positionH relativeFrom="page">
                  <wp:align>center</wp:align>
                </wp:positionH>
                <wp:positionV relativeFrom="paragraph">
                  <wp:posOffset>271780</wp:posOffset>
                </wp:positionV>
                <wp:extent cx="6237517" cy="1910281"/>
                <wp:effectExtent l="0" t="0" r="11430" b="13970"/>
                <wp:wrapNone/>
                <wp:docPr id="35" name="Rectangle: Rounded Corners 35"/>
                <wp:cNvGraphicFramePr/>
                <a:graphic xmlns:a="http://schemas.openxmlformats.org/drawingml/2006/main">
                  <a:graphicData uri="http://schemas.microsoft.com/office/word/2010/wordprocessingShape">
                    <wps:wsp>
                      <wps:cNvSpPr/>
                      <wps:spPr>
                        <a:xfrm>
                          <a:off x="0" y="0"/>
                          <a:ext cx="6237517" cy="191028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DC3D" id="Rectangle: Rounded Corners 35" o:spid="_x0000_s1026" style="position:absolute;margin-left:0;margin-top:21.4pt;width:491.15pt;height:150.4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" filled="f" strokecolor="black [3213]" strokeweight="1pt">
                <v:stroke joinstyle="miter"/>
                <w10:wrap anchorx="page"/>
              </v:roundrect>
            </w:pict>
          </mc:Fallback>
        </mc:AlternateContent>
      </w:r>
    </w:p>
    <w:p w14:paraId="35F8B534" w14:textId="383E1B26" w:rsidR="00DF054C" w:rsidRDefault="00E34A5A" w:rsidP="00CC7DF2">
      <w:pPr>
        <w:bidi/>
        <w:spacing w:line="276" w:lineRule="auto"/>
        <w:jc w:val="both"/>
        <w:rPr>
          <w:rFonts w:ascii="David" w:hAnsi="David" w:cs="David"/>
          <w:b/>
          <w:bCs/>
          <w:rtl/>
        </w:rPr>
      </w:pPr>
      <w:r>
        <w:rPr>
          <w:rFonts w:ascii="David" w:hAnsi="David" w:cs="David" w:hint="cs"/>
          <w:b/>
          <w:bCs/>
          <w:noProof/>
          <w:color w:val="7F84DF"/>
          <w:rtl/>
          <w:lang w:val="he-IL"/>
        </w:rPr>
        <mc:AlternateContent>
          <mc:Choice Requires="wps">
            <w:drawing>
              <wp:anchor distT="0" distB="0" distL="114300" distR="114300" simplePos="0" relativeHeight="251706368" behindDoc="0" locked="0" layoutInCell="1" allowOverlap="1" wp14:anchorId="1FFCBB30" wp14:editId="0D20BAC4">
                <wp:simplePos x="0" y="0"/>
                <wp:positionH relativeFrom="page">
                  <wp:posOffset>965200</wp:posOffset>
                </wp:positionH>
                <wp:positionV relativeFrom="paragraph">
                  <wp:posOffset>118110</wp:posOffset>
                </wp:positionV>
                <wp:extent cx="5982970" cy="1733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982970" cy="1733550"/>
                        </a:xfrm>
                        <a:prstGeom prst="rect">
                          <a:avLst/>
                        </a:prstGeom>
                        <a:solidFill>
                          <a:schemeClr val="lt1"/>
                        </a:solidFill>
                        <a:ln w="6350">
                          <a:noFill/>
                        </a:ln>
                      </wps:spPr>
                      <wps:txbx>
                        <w:txbxContent>
                          <w:p w14:paraId="257880AA" w14:textId="5FB8954F" w:rsidR="00A9750D" w:rsidRPr="00A9750D" w:rsidRDefault="00A9750D" w:rsidP="00A9750D">
                            <w:pPr>
                              <w:bidi/>
                              <w:rPr>
                                <w:rFonts w:ascii="David" w:hAnsi="David" w:cs="David"/>
                                <w:rtl/>
                              </w:rPr>
                            </w:pPr>
                            <w:r w:rsidRPr="0093117C">
                              <w:rPr>
                                <w:rStyle w:val="QuoteChar"/>
                                <w:rFonts w:hint="cs"/>
                                <w:rtl/>
                              </w:rPr>
                              <w:t>אסף נ' מדינת ישראל:</w:t>
                            </w:r>
                            <w:r>
                              <w:rPr>
                                <w:rFonts w:ascii="David" w:hAnsi="David" w:cs="David" w:hint="cs"/>
                              </w:rPr>
                              <w:t xml:space="preserve"> </w:t>
                            </w:r>
                            <w:r>
                              <w:rPr>
                                <w:rFonts w:ascii="David" w:hAnsi="David" w:cs="David" w:hint="cs"/>
                                <w:rtl/>
                              </w:rPr>
                              <w:t xml:space="preserve">אישה שפכה מים רותחים על שכנה וגרמה לו לכוויות קשות. ביהמ"ש השלום פסק שאכן ביצעה עביר חבלה של ממש, אך פסק לה עבודות שירות ופיצויים במקום מאסר, לפי </w:t>
                            </w:r>
                            <w:r w:rsidRPr="00933C72">
                              <w:rPr>
                                <w:rStyle w:val="SubtleReference"/>
                                <w:rFonts w:hint="cs"/>
                                <w:rtl/>
                              </w:rPr>
                              <w:t>ס' 77</w:t>
                            </w:r>
                            <w:r w:rsidRPr="00933C72">
                              <w:rPr>
                                <w:rStyle w:val="SubtleReference"/>
                                <w:rFonts w:hint="cs"/>
                              </w:rPr>
                              <w:t xml:space="preserve"> </w:t>
                            </w:r>
                            <w:r w:rsidRPr="00933C72">
                              <w:rPr>
                                <w:rStyle w:val="SubtleReference"/>
                                <w:rFonts w:hint="cs"/>
                                <w:rtl/>
                              </w:rPr>
                              <w:t>לחוק העונשין</w:t>
                            </w:r>
                            <w:r>
                              <w:rPr>
                                <w:rFonts w:ascii="David" w:hAnsi="David" w:cs="David" w:hint="cs"/>
                                <w:rtl/>
                              </w:rPr>
                              <w:t xml:space="preserve">. </w:t>
                            </w:r>
                            <w:r>
                              <w:rPr>
                                <w:rFonts w:ascii="David" w:hAnsi="David" w:cs="David"/>
                                <w:rtl/>
                              </w:rPr>
                              <w:br/>
                            </w:r>
                            <w:r w:rsidRPr="0093117C">
                              <w:rPr>
                                <w:rFonts w:ascii="David" w:hAnsi="David" w:cs="David" w:hint="cs"/>
                                <w:u w:val="single"/>
                                <w:rtl/>
                              </w:rPr>
                              <w:t>השאלה המשפטית:</w:t>
                            </w:r>
                            <w:r>
                              <w:rPr>
                                <w:rFonts w:ascii="David" w:hAnsi="David" w:cs="David" w:hint="cs"/>
                              </w:rPr>
                              <w:t xml:space="preserve"> </w:t>
                            </w:r>
                            <w:r>
                              <w:rPr>
                                <w:rFonts w:ascii="David" w:hAnsi="David" w:cs="David" w:hint="cs"/>
                                <w:rtl/>
                              </w:rPr>
                              <w:t xml:space="preserve"> האם ניתן להטיל פיצוי במקרים של עבודות שירות ללא הרשעה? נובע מהשאלה- האם סעיף זה אזרחי או פלילי? </w:t>
                            </w:r>
                            <w:r>
                              <w:rPr>
                                <w:rFonts w:ascii="David" w:hAnsi="David" w:cs="David"/>
                                <w:rtl/>
                              </w:rPr>
                              <w:br/>
                            </w:r>
                            <w:r w:rsidRPr="0093117C">
                              <w:rPr>
                                <w:rFonts w:ascii="David" w:hAnsi="David" w:cs="David" w:hint="cs"/>
                                <w:u w:val="single"/>
                                <w:rtl/>
                              </w:rPr>
                              <w:t>דעת רוב</w:t>
                            </w:r>
                            <w:r>
                              <w:rPr>
                                <w:rFonts w:ascii="David" w:hAnsi="David" w:cs="David" w:hint="cs"/>
                                <w:u w:val="single"/>
                                <w:rtl/>
                              </w:rPr>
                              <w:t>:</w:t>
                            </w:r>
                            <w:r w:rsidRPr="0093117C">
                              <w:rPr>
                                <w:rStyle w:val="Strong"/>
                                <w:rFonts w:hint="cs"/>
                                <w:rtl/>
                              </w:rPr>
                              <w:t xml:space="preserve"> (חשין וריבלין)</w:t>
                            </w:r>
                            <w:r>
                              <w:rPr>
                                <w:rFonts w:ascii="David" w:hAnsi="David" w:cs="David" w:hint="cs"/>
                              </w:rPr>
                              <w:t xml:space="preserve"> </w:t>
                            </w:r>
                            <w:r>
                              <w:rPr>
                                <w:rFonts w:ascii="David" w:hAnsi="David" w:cs="David" w:hint="cs"/>
                                <w:rtl/>
                              </w:rPr>
                              <w:t xml:space="preserve">סעיף אזרחי ומיקומו בחוק העונשין טפל. בניגוד למשפט הפלילי, במשפט האזרחי הניזוק עומד במרכז, ומטרת הסעיף היא פיצויו. זהו ניסיון לקיצור דרך כדי שנפגע לא יאלץ לתבוע בתביעה אזרחית. הרשעה זה רחב ולא מדובר רק על הרשעה מוחלטת. </w:t>
                            </w:r>
                            <w:r>
                              <w:rPr>
                                <w:rFonts w:ascii="David" w:hAnsi="David" w:cs="David"/>
                                <w:rtl/>
                              </w:rPr>
                              <w:br/>
                            </w:r>
                            <w:r w:rsidRPr="00C60B26">
                              <w:rPr>
                                <w:rFonts w:ascii="David" w:hAnsi="David" w:cs="David" w:hint="cs"/>
                                <w:u w:val="single"/>
                                <w:rtl/>
                              </w:rPr>
                              <w:t>דעת מיעוט:</w:t>
                            </w:r>
                            <w:r>
                              <w:rPr>
                                <w:rFonts w:ascii="David" w:hAnsi="David" w:cs="David" w:hint="cs"/>
                              </w:rPr>
                              <w:t xml:space="preserve"> </w:t>
                            </w:r>
                            <w:r>
                              <w:rPr>
                                <w:rFonts w:ascii="David" w:hAnsi="David" w:cs="David" w:hint="cs"/>
                                <w:rtl/>
                              </w:rPr>
                              <w:t>(נאור)</w:t>
                            </w:r>
                            <w:r>
                              <w:rPr>
                                <w:rFonts w:ascii="David" w:hAnsi="David" w:cs="David" w:hint="cs"/>
                              </w:rPr>
                              <w:t xml:space="preserve"> </w:t>
                            </w:r>
                            <w:r>
                              <w:rPr>
                                <w:rFonts w:ascii="David" w:hAnsi="David" w:cs="David" w:hint="cs"/>
                                <w:rtl/>
                              </w:rPr>
                              <w:t xml:space="preserve"> סעיף עונשי, כפי שנלמד ממיקומו בחוק העונשין. התפיסה היא כי הדין הפלילי מגן לא רק  החברה, אלא גם על הפרטים, ע"כ זהו אינו פיצוי אזרחי. </w:t>
                            </w:r>
                            <w:r w:rsidRPr="0093117C">
                              <w:rPr>
                                <w:rFonts w:ascii="David" w:hAnsi="David" w:cs="David"/>
                                <w:rtl/>
                              </w:rPr>
                              <w:t>מכיוון שהסעיף הוא עונשי-פלילי מובהק – מחילים עליו את עיקרון היסוד הפלילי, לפיו אין ענישה אלא לפי חוק, ולכן במקום שאין הרשעה - אין לגבות פיצוי זה.</w:t>
                            </w:r>
                            <w:r>
                              <w:rPr>
                                <w:rFonts w:ascii="David" w:hAnsi="David" w:cs="David"/>
                                <w:rtl/>
                              </w:rPr>
                              <w:br/>
                            </w:r>
                            <w:r w:rsidRPr="00682EE9">
                              <w:rPr>
                                <w:rFonts w:ascii="David" w:hAnsi="David" w:cs="David" w:hint="cs"/>
                                <w:b/>
                                <w:bCs/>
                                <w:rtl/>
                              </w:rPr>
                              <w:t>הלכה: אין חובה בהרשעה של ממש ע"מ לפסוק פיצויים לפי ס 77</w:t>
                            </w:r>
                          </w:p>
                          <w:p w14:paraId="5E6A0CC3" w14:textId="77777777" w:rsidR="00A9750D" w:rsidRDefault="00A9750D" w:rsidP="00A9750D">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CBB30" id="_x0000_t202" coordsize="21600,21600" o:spt="202" path="m,l,21600r21600,l21600,xe">
                <v:stroke joinstyle="miter"/>
                <v:path gradientshapeok="t" o:connecttype="rect"/>
              </v:shapetype>
              <v:shape id="Text Box 36" o:spid="_x0000_s1030" type="#_x0000_t202" style="position:absolute;left:0;text-align:left;margin-left:76pt;margin-top:9.3pt;width:471.1pt;height:13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" fillcolor="white [3201]" stroked="f" strokeweight=".5pt">
                <v:textbox>
                  <w:txbxContent>
                    <w:p w14:paraId="257880AA" w14:textId="5FB8954F" w:rsidR="00A9750D" w:rsidRPr="00A9750D" w:rsidRDefault="00A9750D" w:rsidP="00A9750D">
                      <w:pPr>
                        <w:bidi/>
                        <w:rPr>
                          <w:rFonts w:ascii="David" w:hAnsi="David" w:cs="David"/>
                          <w:rtl/>
                        </w:rPr>
                      </w:pPr>
                      <w:r w:rsidRPr="0093117C">
                        <w:rPr>
                          <w:rStyle w:val="QuoteChar"/>
                          <w:rFonts w:hint="cs"/>
                          <w:rtl/>
                        </w:rPr>
                        <w:t>אסף נ' מדינת ישראל:</w:t>
                      </w:r>
                      <w:r>
                        <w:rPr>
                          <w:rFonts w:ascii="David" w:hAnsi="David" w:cs="David" w:hint="cs"/>
                        </w:rPr>
                        <w:t xml:space="preserve"> </w:t>
                      </w:r>
                      <w:r>
                        <w:rPr>
                          <w:rFonts w:ascii="David" w:hAnsi="David" w:cs="David" w:hint="cs"/>
                          <w:rtl/>
                        </w:rPr>
                        <w:t xml:space="preserve">אישה שפכה מים רותחים על שכנה וגרמה לו לכוויות קשות. ביהמ"ש השלום פסק שאכן ביצעה עביר חבלה של ממש, אך פסק לה עבודות שירות ופיצויים במקום מאסר, לפי </w:t>
                      </w:r>
                      <w:r w:rsidRPr="00933C72">
                        <w:rPr>
                          <w:rStyle w:val="SubtleReference"/>
                          <w:rFonts w:hint="cs"/>
                          <w:rtl/>
                        </w:rPr>
                        <w:t>ס' 77</w:t>
                      </w:r>
                      <w:r w:rsidRPr="00933C72">
                        <w:rPr>
                          <w:rStyle w:val="SubtleReference"/>
                          <w:rFonts w:hint="cs"/>
                        </w:rPr>
                        <w:t xml:space="preserve"> </w:t>
                      </w:r>
                      <w:r w:rsidRPr="00933C72">
                        <w:rPr>
                          <w:rStyle w:val="SubtleReference"/>
                          <w:rFonts w:hint="cs"/>
                          <w:rtl/>
                        </w:rPr>
                        <w:t>לחוק העונשין</w:t>
                      </w:r>
                      <w:r>
                        <w:rPr>
                          <w:rFonts w:ascii="David" w:hAnsi="David" w:cs="David" w:hint="cs"/>
                          <w:rtl/>
                        </w:rPr>
                        <w:t xml:space="preserve">. </w:t>
                      </w:r>
                      <w:r>
                        <w:rPr>
                          <w:rFonts w:ascii="David" w:hAnsi="David" w:cs="David"/>
                          <w:rtl/>
                        </w:rPr>
                        <w:br/>
                      </w:r>
                      <w:r w:rsidRPr="0093117C">
                        <w:rPr>
                          <w:rFonts w:ascii="David" w:hAnsi="David" w:cs="David" w:hint="cs"/>
                          <w:u w:val="single"/>
                          <w:rtl/>
                        </w:rPr>
                        <w:t>השאלה המשפטית:</w:t>
                      </w:r>
                      <w:r>
                        <w:rPr>
                          <w:rFonts w:ascii="David" w:hAnsi="David" w:cs="David" w:hint="cs"/>
                        </w:rPr>
                        <w:t xml:space="preserve"> </w:t>
                      </w:r>
                      <w:r>
                        <w:rPr>
                          <w:rFonts w:ascii="David" w:hAnsi="David" w:cs="David" w:hint="cs"/>
                          <w:rtl/>
                        </w:rPr>
                        <w:t xml:space="preserve"> האם ניתן להטיל פיצוי במקרים של עבודות שירות ללא הרשעה? נובע מהשאלה- האם סעיף זה אזרחי או פלילי? </w:t>
                      </w:r>
                      <w:r>
                        <w:rPr>
                          <w:rFonts w:ascii="David" w:hAnsi="David" w:cs="David"/>
                          <w:rtl/>
                        </w:rPr>
                        <w:br/>
                      </w:r>
                      <w:r w:rsidRPr="0093117C">
                        <w:rPr>
                          <w:rFonts w:ascii="David" w:hAnsi="David" w:cs="David" w:hint="cs"/>
                          <w:u w:val="single"/>
                          <w:rtl/>
                        </w:rPr>
                        <w:t>דעת רוב</w:t>
                      </w:r>
                      <w:r>
                        <w:rPr>
                          <w:rFonts w:ascii="David" w:hAnsi="David" w:cs="David" w:hint="cs"/>
                          <w:u w:val="single"/>
                          <w:rtl/>
                        </w:rPr>
                        <w:t>:</w:t>
                      </w:r>
                      <w:r w:rsidRPr="0093117C">
                        <w:rPr>
                          <w:rStyle w:val="Strong"/>
                          <w:rFonts w:hint="cs"/>
                          <w:rtl/>
                        </w:rPr>
                        <w:t xml:space="preserve"> (חשין וריבלין)</w:t>
                      </w:r>
                      <w:r>
                        <w:rPr>
                          <w:rFonts w:ascii="David" w:hAnsi="David" w:cs="David" w:hint="cs"/>
                        </w:rPr>
                        <w:t xml:space="preserve"> </w:t>
                      </w:r>
                      <w:r>
                        <w:rPr>
                          <w:rFonts w:ascii="David" w:hAnsi="David" w:cs="David" w:hint="cs"/>
                          <w:rtl/>
                        </w:rPr>
                        <w:t xml:space="preserve">סעיף אזרחי ומיקומו בחוק העונשין טפל. בניגוד למשפט הפלילי, במשפט האזרחי הניזוק עומד במרכז, ומטרת הסעיף היא פיצויו. זהו ניסיון לקיצור דרך כדי שנפגע לא יאלץ לתבוע בתביעה אזרחית. הרשעה זה רחב ולא מדובר רק על הרשעה מוחלטת. </w:t>
                      </w:r>
                      <w:r>
                        <w:rPr>
                          <w:rFonts w:ascii="David" w:hAnsi="David" w:cs="David"/>
                          <w:rtl/>
                        </w:rPr>
                        <w:br/>
                      </w:r>
                      <w:r w:rsidRPr="00C60B26">
                        <w:rPr>
                          <w:rFonts w:ascii="David" w:hAnsi="David" w:cs="David" w:hint="cs"/>
                          <w:u w:val="single"/>
                          <w:rtl/>
                        </w:rPr>
                        <w:t>דעת מיעוט:</w:t>
                      </w:r>
                      <w:r>
                        <w:rPr>
                          <w:rFonts w:ascii="David" w:hAnsi="David" w:cs="David" w:hint="cs"/>
                        </w:rPr>
                        <w:t xml:space="preserve"> </w:t>
                      </w:r>
                      <w:r>
                        <w:rPr>
                          <w:rFonts w:ascii="David" w:hAnsi="David" w:cs="David" w:hint="cs"/>
                          <w:rtl/>
                        </w:rPr>
                        <w:t>(נאור)</w:t>
                      </w:r>
                      <w:r>
                        <w:rPr>
                          <w:rFonts w:ascii="David" w:hAnsi="David" w:cs="David" w:hint="cs"/>
                        </w:rPr>
                        <w:t xml:space="preserve"> </w:t>
                      </w:r>
                      <w:r>
                        <w:rPr>
                          <w:rFonts w:ascii="David" w:hAnsi="David" w:cs="David" w:hint="cs"/>
                          <w:rtl/>
                        </w:rPr>
                        <w:t xml:space="preserve"> סעיף עונשי, כפי שנלמד ממיקומו בחוק העונשין. התפיסה היא כי הדין הפלילי מגן לא רק  החברה, אלא גם על הפרטים, ע"כ זהו אינו פיצוי אזרחי. </w:t>
                      </w:r>
                      <w:r w:rsidRPr="0093117C">
                        <w:rPr>
                          <w:rFonts w:ascii="David" w:hAnsi="David" w:cs="David"/>
                          <w:rtl/>
                        </w:rPr>
                        <w:t>מכיוון שהסעיף הוא עונשי-פלילי מובהק – מחילים עליו את עיקרון היסוד הפלילי, לפיו אין ענישה אלא לפי חוק, ולכן במקום שאין הרשעה - אין לגבות פיצוי זה.</w:t>
                      </w:r>
                      <w:r>
                        <w:rPr>
                          <w:rFonts w:ascii="David" w:hAnsi="David" w:cs="David"/>
                          <w:rtl/>
                        </w:rPr>
                        <w:br/>
                      </w:r>
                      <w:r w:rsidRPr="00682EE9">
                        <w:rPr>
                          <w:rFonts w:ascii="David" w:hAnsi="David" w:cs="David" w:hint="cs"/>
                          <w:b/>
                          <w:bCs/>
                          <w:rtl/>
                        </w:rPr>
                        <w:t>הלכה: אין חובה בהרשעה של ממש ע"מ לפסוק פיצויים לפי ס 77</w:t>
                      </w:r>
                    </w:p>
                    <w:p w14:paraId="5E6A0CC3" w14:textId="77777777" w:rsidR="00A9750D" w:rsidRDefault="00A9750D" w:rsidP="00A9750D">
                      <w:pPr>
                        <w:bidi/>
                      </w:pPr>
                    </w:p>
                  </w:txbxContent>
                </v:textbox>
                <w10:wrap anchorx="page"/>
              </v:shape>
            </w:pict>
          </mc:Fallback>
        </mc:AlternateContent>
      </w:r>
    </w:p>
    <w:p w14:paraId="12A0A54A" w14:textId="5BAA885C" w:rsidR="00DF054C" w:rsidRDefault="00DF054C" w:rsidP="00CC7DF2">
      <w:pPr>
        <w:bidi/>
        <w:spacing w:line="276" w:lineRule="auto"/>
        <w:jc w:val="both"/>
        <w:rPr>
          <w:rFonts w:ascii="David" w:hAnsi="David" w:cs="David"/>
          <w:b/>
          <w:bCs/>
          <w:rtl/>
        </w:rPr>
      </w:pPr>
    </w:p>
    <w:p w14:paraId="4EC4B492" w14:textId="51DF1741" w:rsidR="00DF054C" w:rsidRDefault="00DF054C" w:rsidP="00CC7DF2">
      <w:pPr>
        <w:bidi/>
        <w:spacing w:line="276" w:lineRule="auto"/>
        <w:jc w:val="both"/>
        <w:rPr>
          <w:rFonts w:ascii="David" w:hAnsi="David" w:cs="David"/>
          <w:b/>
          <w:bCs/>
          <w:rtl/>
        </w:rPr>
      </w:pPr>
    </w:p>
    <w:p w14:paraId="79EDADB2" w14:textId="77777777" w:rsidR="00DF054C" w:rsidRDefault="00DF054C" w:rsidP="00CC7DF2">
      <w:pPr>
        <w:bidi/>
        <w:spacing w:line="276" w:lineRule="auto"/>
        <w:jc w:val="both"/>
        <w:rPr>
          <w:rFonts w:ascii="David" w:hAnsi="David" w:cs="David"/>
          <w:b/>
          <w:bCs/>
          <w:rtl/>
        </w:rPr>
      </w:pPr>
    </w:p>
    <w:p w14:paraId="14F2FF81" w14:textId="4EF73F05" w:rsidR="001C0633" w:rsidRPr="00185608" w:rsidRDefault="001C0633" w:rsidP="00DF69B2">
      <w:pPr>
        <w:pStyle w:val="ListParagraph"/>
        <w:numPr>
          <w:ilvl w:val="0"/>
          <w:numId w:val="22"/>
        </w:numPr>
        <w:bidi/>
        <w:spacing w:line="276" w:lineRule="auto"/>
        <w:jc w:val="both"/>
        <w:rPr>
          <w:rStyle w:val="SubtleReference"/>
          <w:smallCaps w:val="0"/>
          <w:color w:val="auto"/>
          <w:sz w:val="22"/>
        </w:rPr>
      </w:pPr>
      <w:r w:rsidRPr="00185608">
        <w:rPr>
          <w:rFonts w:ascii="David" w:hAnsi="David" w:cs="David" w:hint="cs"/>
          <w:b/>
          <w:bCs/>
          <w:rtl/>
        </w:rPr>
        <w:lastRenderedPageBreak/>
        <w:t xml:space="preserve">סגירת תיק מותנית </w:t>
      </w:r>
      <w:r w:rsidRPr="001C0633">
        <w:rPr>
          <w:rStyle w:val="SubtleReference"/>
          <w:rFonts w:hint="cs"/>
          <w:rtl/>
        </w:rPr>
        <w:t>(תיקון מס' 66 לחוק סדר הדין הפלילי)</w:t>
      </w:r>
    </w:p>
    <w:p w14:paraId="42A1368D" w14:textId="58EA35EE" w:rsidR="001C0633" w:rsidRPr="001C0633" w:rsidRDefault="00660C5E" w:rsidP="00CC7DF2">
      <w:pPr>
        <w:pStyle w:val="ListParagraph"/>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671552" behindDoc="0" locked="0" layoutInCell="1" allowOverlap="1" wp14:anchorId="1A7A144E" wp14:editId="7EDD59DC">
                <wp:simplePos x="0" y="0"/>
                <wp:positionH relativeFrom="margin">
                  <wp:posOffset>-171450</wp:posOffset>
                </wp:positionH>
                <wp:positionV relativeFrom="paragraph">
                  <wp:posOffset>195580</wp:posOffset>
                </wp:positionV>
                <wp:extent cx="552450" cy="68580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552450" cy="685800"/>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2F26360B" w14:textId="502A859D" w:rsidR="008A4CC8" w:rsidRPr="00ED0662" w:rsidRDefault="008A4CC8" w:rsidP="008A4CC8">
                            <w:pPr>
                              <w:bidi/>
                              <w:spacing w:after="0" w:line="240" w:lineRule="auto"/>
                              <w:rPr>
                                <w:rFonts w:ascii="David" w:hAnsi="David" w:cs="David"/>
                                <w:sz w:val="16"/>
                                <w:szCs w:val="16"/>
                                <w:rtl/>
                              </w:rPr>
                            </w:pPr>
                            <w:r>
                              <w:rPr>
                                <w:rFonts w:ascii="David" w:hAnsi="David" w:cs="David" w:hint="cs"/>
                                <w:sz w:val="16"/>
                                <w:szCs w:val="16"/>
                                <w:rtl/>
                              </w:rPr>
                              <w:t>כפוף לשק"ד התביעה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A144E" id="Rectangle: Rounded Corners 18" o:spid="_x0000_s1031" style="position:absolute;left:0;text-align:left;margin-left:-13.5pt;margin-top:15.4pt;width:43.5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" fillcolor="#c2d685 [2169]" strokecolor="#a5c249 [3209]" strokeweight=".5pt">
                <v:fill color2="#b5cd6c [2617]" rotate="t" angle="45" colors="0 #cfdea9;.5 #c6d89c;1 #c0d689" focus="100%" type="gradient"/>
                <v:stroke joinstyle="miter"/>
                <v:textbox>
                  <w:txbxContent>
                    <w:p w14:paraId="2F26360B" w14:textId="502A859D" w:rsidR="008A4CC8" w:rsidRPr="00ED0662" w:rsidRDefault="008A4CC8" w:rsidP="008A4CC8">
                      <w:pPr>
                        <w:bidi/>
                        <w:spacing w:after="0" w:line="240" w:lineRule="auto"/>
                        <w:rPr>
                          <w:rFonts w:ascii="David" w:hAnsi="David" w:cs="David"/>
                          <w:sz w:val="16"/>
                          <w:szCs w:val="16"/>
                          <w:rtl/>
                        </w:rPr>
                      </w:pPr>
                      <w:r>
                        <w:rPr>
                          <w:rFonts w:ascii="David" w:hAnsi="David" w:cs="David" w:hint="cs"/>
                          <w:sz w:val="16"/>
                          <w:szCs w:val="16"/>
                          <w:rtl/>
                        </w:rPr>
                        <w:t>כפוף לשק"ד התביעה</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74624" behindDoc="0" locked="0" layoutInCell="1" allowOverlap="1" wp14:anchorId="3FECDCB5" wp14:editId="4F10348B">
                <wp:simplePos x="0" y="0"/>
                <wp:positionH relativeFrom="margin">
                  <wp:posOffset>-793750</wp:posOffset>
                </wp:positionH>
                <wp:positionV relativeFrom="paragraph">
                  <wp:posOffset>208280</wp:posOffset>
                </wp:positionV>
                <wp:extent cx="552450" cy="6858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552450" cy="685800"/>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76040E66" w14:textId="550EA496" w:rsidR="00660C5E" w:rsidRPr="00ED0662" w:rsidRDefault="00660C5E" w:rsidP="00660C5E">
                            <w:pPr>
                              <w:bidi/>
                              <w:spacing w:after="0" w:line="240" w:lineRule="auto"/>
                              <w:rPr>
                                <w:rFonts w:ascii="David" w:hAnsi="David" w:cs="David"/>
                                <w:sz w:val="16"/>
                                <w:szCs w:val="16"/>
                                <w:rtl/>
                              </w:rPr>
                            </w:pPr>
                            <w:r>
                              <w:rPr>
                                <w:rFonts w:ascii="David" w:hAnsi="David" w:cs="David" w:hint="cs"/>
                                <w:sz w:val="16"/>
                                <w:szCs w:val="16"/>
                                <w:rtl/>
                              </w:rPr>
                              <w:t>גבייה:</w:t>
                            </w:r>
                            <w:r>
                              <w:rPr>
                                <w:rFonts w:ascii="David" w:hAnsi="David" w:cs="David" w:hint="cs"/>
                                <w:sz w:val="16"/>
                                <w:szCs w:val="16"/>
                              </w:rPr>
                              <w:t xml:space="preserve"> </w:t>
                            </w:r>
                            <w:r>
                              <w:rPr>
                                <w:rFonts w:ascii="David" w:hAnsi="David" w:cs="David" w:hint="cs"/>
                                <w:sz w:val="16"/>
                                <w:szCs w:val="16"/>
                                <w:rtl/>
                              </w:rPr>
                              <w:t>כמו קנס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CDCB5" id="Rectangle: Rounded Corners 21" o:spid="_x0000_s1032" style="position:absolute;left:0;text-align:left;margin-left:-62.5pt;margin-top:16.4pt;width:43.5pt;height: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" fillcolor="#c2d685 [2169]" strokecolor="#a5c249 [3209]" strokeweight=".5pt">
                <v:fill color2="#b5cd6c [2617]" rotate="t" angle="45" colors="0 #cfdea9;.5 #c6d89c;1 #c0d689" focus="100%" type="gradient"/>
                <v:stroke joinstyle="miter"/>
                <v:textbox>
                  <w:txbxContent>
                    <w:p w14:paraId="76040E66" w14:textId="550EA496" w:rsidR="00660C5E" w:rsidRPr="00ED0662" w:rsidRDefault="00660C5E" w:rsidP="00660C5E">
                      <w:pPr>
                        <w:bidi/>
                        <w:spacing w:after="0" w:line="240" w:lineRule="auto"/>
                        <w:rPr>
                          <w:rFonts w:ascii="David" w:hAnsi="David" w:cs="David"/>
                          <w:sz w:val="16"/>
                          <w:szCs w:val="16"/>
                          <w:rtl/>
                        </w:rPr>
                      </w:pPr>
                      <w:r>
                        <w:rPr>
                          <w:rFonts w:ascii="David" w:hAnsi="David" w:cs="David" w:hint="cs"/>
                          <w:sz w:val="16"/>
                          <w:szCs w:val="16"/>
                          <w:rtl/>
                        </w:rPr>
                        <w:t>גבייה:</w:t>
                      </w:r>
                      <w:r>
                        <w:rPr>
                          <w:rFonts w:ascii="David" w:hAnsi="David" w:cs="David" w:hint="cs"/>
                          <w:sz w:val="16"/>
                          <w:szCs w:val="16"/>
                        </w:rPr>
                        <w:t xml:space="preserve"> </w:t>
                      </w:r>
                      <w:r>
                        <w:rPr>
                          <w:rFonts w:ascii="David" w:hAnsi="David" w:cs="David" w:hint="cs"/>
                          <w:sz w:val="16"/>
                          <w:szCs w:val="16"/>
                          <w:rtl/>
                        </w:rPr>
                        <w:t>כמו קנס</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69504" behindDoc="0" locked="0" layoutInCell="1" allowOverlap="1" wp14:anchorId="2634128B" wp14:editId="3E62D5EE">
                <wp:simplePos x="0" y="0"/>
                <wp:positionH relativeFrom="margin">
                  <wp:posOffset>444500</wp:posOffset>
                </wp:positionH>
                <wp:positionV relativeFrom="paragraph">
                  <wp:posOffset>189230</wp:posOffset>
                </wp:positionV>
                <wp:extent cx="599440" cy="692150"/>
                <wp:effectExtent l="0" t="0" r="10160" b="12700"/>
                <wp:wrapNone/>
                <wp:docPr id="17" name="Rectangle: Rounded Corners 17"/>
                <wp:cNvGraphicFramePr/>
                <a:graphic xmlns:a="http://schemas.openxmlformats.org/drawingml/2006/main">
                  <a:graphicData uri="http://schemas.microsoft.com/office/word/2010/wordprocessingShape">
                    <wps:wsp>
                      <wps:cNvSpPr/>
                      <wps:spPr>
                        <a:xfrm>
                          <a:off x="0" y="0"/>
                          <a:ext cx="599440" cy="692150"/>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2C13615C" w14:textId="6068C8C3" w:rsidR="00E02273" w:rsidRPr="00ED0662" w:rsidRDefault="008A4CC8" w:rsidP="00E02273">
                            <w:pPr>
                              <w:bidi/>
                              <w:spacing w:after="0" w:line="240" w:lineRule="auto"/>
                              <w:rPr>
                                <w:rFonts w:ascii="David" w:hAnsi="David" w:cs="David"/>
                                <w:sz w:val="16"/>
                                <w:szCs w:val="16"/>
                                <w:rtl/>
                              </w:rPr>
                            </w:pPr>
                            <w:r>
                              <w:rPr>
                                <w:rFonts w:ascii="David" w:hAnsi="David" w:cs="David" w:hint="cs"/>
                                <w:sz w:val="16"/>
                                <w:szCs w:val="16"/>
                                <w:rtl/>
                              </w:rPr>
                              <w:t>לנפגע אין זכות ערר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4128B" id="Rectangle: Rounded Corners 17" o:spid="_x0000_s1033" style="position:absolute;left:0;text-align:left;margin-left:35pt;margin-top:14.9pt;width:47.2pt;height:5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" fillcolor="#c2d685 [2169]" strokecolor="#a5c249 [3209]" strokeweight=".5pt">
                <v:fill color2="#b5cd6c [2617]" rotate="t" angle="45" colors="0 #cfdea9;.5 #c6d89c;1 #c0d689" focus="100%" type="gradient"/>
                <v:stroke joinstyle="miter"/>
                <v:textbox>
                  <w:txbxContent>
                    <w:p w14:paraId="2C13615C" w14:textId="6068C8C3" w:rsidR="00E02273" w:rsidRPr="00ED0662" w:rsidRDefault="008A4CC8" w:rsidP="00E02273">
                      <w:pPr>
                        <w:bidi/>
                        <w:spacing w:after="0" w:line="240" w:lineRule="auto"/>
                        <w:rPr>
                          <w:rFonts w:ascii="David" w:hAnsi="David" w:cs="David"/>
                          <w:sz w:val="16"/>
                          <w:szCs w:val="16"/>
                          <w:rtl/>
                        </w:rPr>
                      </w:pPr>
                      <w:r>
                        <w:rPr>
                          <w:rFonts w:ascii="David" w:hAnsi="David" w:cs="David" w:hint="cs"/>
                          <w:sz w:val="16"/>
                          <w:szCs w:val="16"/>
                          <w:rtl/>
                        </w:rPr>
                        <w:t>לנפגע אין זכות ערר</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67456" behindDoc="0" locked="0" layoutInCell="1" allowOverlap="1" wp14:anchorId="43A5D03C" wp14:editId="742F5B52">
                <wp:simplePos x="0" y="0"/>
                <wp:positionH relativeFrom="margin">
                  <wp:posOffset>1100455</wp:posOffset>
                </wp:positionH>
                <wp:positionV relativeFrom="paragraph">
                  <wp:posOffset>154305</wp:posOffset>
                </wp:positionV>
                <wp:extent cx="3076120" cy="729406"/>
                <wp:effectExtent l="0" t="0" r="10160" b="13970"/>
                <wp:wrapNone/>
                <wp:docPr id="7" name="Rectangle: Rounded Corners 7"/>
                <wp:cNvGraphicFramePr/>
                <a:graphic xmlns:a="http://schemas.openxmlformats.org/drawingml/2006/main">
                  <a:graphicData uri="http://schemas.microsoft.com/office/word/2010/wordprocessingShape">
                    <wps:wsp>
                      <wps:cNvSpPr/>
                      <wps:spPr>
                        <a:xfrm>
                          <a:off x="0" y="0"/>
                          <a:ext cx="3076120" cy="729406"/>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11609E84" w14:textId="09E45D7D" w:rsidR="003947AF" w:rsidRDefault="003947AF" w:rsidP="003947AF">
                            <w:pPr>
                              <w:bidi/>
                              <w:spacing w:after="0" w:line="240" w:lineRule="auto"/>
                              <w:rPr>
                                <w:rFonts w:ascii="David" w:hAnsi="David" w:cs="David"/>
                                <w:sz w:val="16"/>
                                <w:szCs w:val="16"/>
                                <w:rtl/>
                              </w:rPr>
                            </w:pPr>
                            <w:r>
                              <w:rPr>
                                <w:rFonts w:ascii="David" w:hAnsi="David" w:cs="David" w:hint="cs"/>
                                <w:sz w:val="16"/>
                                <w:szCs w:val="16"/>
                                <w:rtl/>
                              </w:rPr>
                              <w:t>תנאי לתחולה-</w:t>
                            </w:r>
                          </w:p>
                          <w:p w14:paraId="4BB5D257" w14:textId="7ECECF37" w:rsidR="003947AF" w:rsidRDefault="003947AF"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יענה על רכיב עניין לציבור</w:t>
                            </w:r>
                          </w:p>
                          <w:p w14:paraId="5EF07574" w14:textId="2543A942" w:rsidR="003947AF" w:rsidRDefault="003947AF"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ישנה תשתית ראייתית להעמדה לדין</w:t>
                            </w:r>
                          </w:p>
                          <w:p w14:paraId="19FDBBAD" w14:textId="77777777" w:rsidR="00DD0D01" w:rsidRDefault="00DD0D01"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 xml:space="preserve">העונש המותאם לדעת התובע לא כולל מאסר בפועל (או עבודות שירות) </w:t>
                            </w:r>
                          </w:p>
                          <w:p w14:paraId="2FC0FEDA" w14:textId="42E5A557" w:rsidR="00DD0D01" w:rsidRPr="00DD0D01" w:rsidRDefault="00DD0D01"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אין ב-5 השנים שקדמו הסדרים/ חקירות אחרות.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5D03C" id="Rectangle: Rounded Corners 7" o:spid="_x0000_s1034" style="position:absolute;left:0;text-align:left;margin-left:86.65pt;margin-top:12.15pt;width:242.2pt;height:57.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" fillcolor="#c2d685 [2169]" strokecolor="#a5c249 [3209]" strokeweight=".5pt">
                <v:fill color2="#b5cd6c [2617]" rotate="t" angle="45" colors="0 #cfdea9;.5 #c6d89c;1 #c0d689" focus="100%" type="gradient"/>
                <v:stroke joinstyle="miter"/>
                <v:textbox>
                  <w:txbxContent>
                    <w:p w14:paraId="11609E84" w14:textId="09E45D7D" w:rsidR="003947AF" w:rsidRDefault="003947AF" w:rsidP="003947AF">
                      <w:pPr>
                        <w:bidi/>
                        <w:spacing w:after="0" w:line="240" w:lineRule="auto"/>
                        <w:rPr>
                          <w:rFonts w:ascii="David" w:hAnsi="David" w:cs="David"/>
                          <w:sz w:val="16"/>
                          <w:szCs w:val="16"/>
                          <w:rtl/>
                        </w:rPr>
                      </w:pPr>
                      <w:r>
                        <w:rPr>
                          <w:rFonts w:ascii="David" w:hAnsi="David" w:cs="David" w:hint="cs"/>
                          <w:sz w:val="16"/>
                          <w:szCs w:val="16"/>
                          <w:rtl/>
                        </w:rPr>
                        <w:t>תנאי לתחולה-</w:t>
                      </w:r>
                    </w:p>
                    <w:p w14:paraId="4BB5D257" w14:textId="7ECECF37" w:rsidR="003947AF" w:rsidRDefault="003947AF"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יענה על רכיב עניין לציבור</w:t>
                      </w:r>
                    </w:p>
                    <w:p w14:paraId="5EF07574" w14:textId="2543A942" w:rsidR="003947AF" w:rsidRDefault="003947AF"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ישנה תשתית ראייתית להעמדה לדין</w:t>
                      </w:r>
                    </w:p>
                    <w:p w14:paraId="19FDBBAD" w14:textId="77777777" w:rsidR="00DD0D01" w:rsidRDefault="00DD0D01"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 xml:space="preserve">העונש המותאם לדעת התובע לא כולל מאסר בפועל (או עבודות שירות) </w:t>
                      </w:r>
                    </w:p>
                    <w:p w14:paraId="2FC0FEDA" w14:textId="42E5A557" w:rsidR="00DD0D01" w:rsidRPr="00DD0D01" w:rsidRDefault="00DD0D01" w:rsidP="00DF69B2">
                      <w:pPr>
                        <w:pStyle w:val="ListParagraph"/>
                        <w:numPr>
                          <w:ilvl w:val="0"/>
                          <w:numId w:val="23"/>
                        </w:numPr>
                        <w:bidi/>
                        <w:spacing w:after="0" w:line="240" w:lineRule="auto"/>
                        <w:rPr>
                          <w:rFonts w:ascii="David" w:hAnsi="David" w:cs="David"/>
                          <w:sz w:val="16"/>
                          <w:szCs w:val="16"/>
                        </w:rPr>
                      </w:pPr>
                      <w:r>
                        <w:rPr>
                          <w:rFonts w:ascii="David" w:hAnsi="David" w:cs="David" w:hint="cs"/>
                          <w:sz w:val="16"/>
                          <w:szCs w:val="16"/>
                          <w:rtl/>
                        </w:rPr>
                        <w:t>אין ב-5 השנים שקדמו הסדרים/ חקירות אחרות.</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65408" behindDoc="0" locked="0" layoutInCell="1" allowOverlap="1" wp14:anchorId="53AE448C" wp14:editId="7A9C9ECD">
                <wp:simplePos x="0" y="0"/>
                <wp:positionH relativeFrom="margin">
                  <wp:posOffset>4248785</wp:posOffset>
                </wp:positionH>
                <wp:positionV relativeFrom="paragraph">
                  <wp:posOffset>166370</wp:posOffset>
                </wp:positionV>
                <wp:extent cx="1466850" cy="708025"/>
                <wp:effectExtent l="0" t="0" r="19050" b="15875"/>
                <wp:wrapNone/>
                <wp:docPr id="6" name="Rectangle: Rounded Corners 6"/>
                <wp:cNvGraphicFramePr/>
                <a:graphic xmlns:a="http://schemas.openxmlformats.org/drawingml/2006/main">
                  <a:graphicData uri="http://schemas.microsoft.com/office/word/2010/wordprocessingShape">
                    <wps:wsp>
                      <wps:cNvSpPr/>
                      <wps:spPr>
                        <a:xfrm>
                          <a:off x="0" y="0"/>
                          <a:ext cx="1466850" cy="708025"/>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7104282D" w14:textId="1202D2E0" w:rsidR="001C0633" w:rsidRPr="00ED0662" w:rsidRDefault="001C0633" w:rsidP="001C0633">
                            <w:pPr>
                              <w:bidi/>
                              <w:spacing w:after="0" w:line="240" w:lineRule="auto"/>
                              <w:jc w:val="center"/>
                              <w:rPr>
                                <w:rFonts w:ascii="David" w:hAnsi="David" w:cs="David"/>
                                <w:sz w:val="16"/>
                                <w:szCs w:val="16"/>
                              </w:rPr>
                            </w:pPr>
                            <w:r>
                              <w:rPr>
                                <w:rFonts w:ascii="David" w:hAnsi="David" w:cs="David" w:hint="cs"/>
                                <w:sz w:val="16"/>
                                <w:szCs w:val="16"/>
                                <w:rtl/>
                              </w:rPr>
                              <w:t xml:space="preserve">בהסדר נכללות רק עבירות </w:t>
                            </w:r>
                            <w:r w:rsidR="003947AF">
                              <w:rPr>
                                <w:rFonts w:ascii="David" w:hAnsi="David" w:cs="David" w:hint="cs"/>
                                <w:sz w:val="16"/>
                                <w:szCs w:val="16"/>
                                <w:rtl/>
                              </w:rPr>
                              <w:t>מסוימות (מעשי פזיזות ורשלנות, סימני מסחר, סיכון ילדים וחלק מ: עבירות מחשב, זכויות יוצרים)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E448C" id="Rectangle: Rounded Corners 6" o:spid="_x0000_s1035" style="position:absolute;left:0;text-align:left;margin-left:334.55pt;margin-top:13.1pt;width:115.5pt;height:5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" fillcolor="#c2d685 [2169]" strokecolor="#a5c249 [3209]" strokeweight=".5pt">
                <v:fill color2="#b5cd6c [2617]" rotate="t" angle="45" colors="0 #cfdea9;.5 #c6d89c;1 #c0d689" focus="100%" type="gradient"/>
                <v:stroke joinstyle="miter"/>
                <v:textbox>
                  <w:txbxContent>
                    <w:p w14:paraId="7104282D" w14:textId="1202D2E0" w:rsidR="001C0633" w:rsidRPr="00ED0662" w:rsidRDefault="001C0633" w:rsidP="001C0633">
                      <w:pPr>
                        <w:bidi/>
                        <w:spacing w:after="0" w:line="240" w:lineRule="auto"/>
                        <w:jc w:val="center"/>
                        <w:rPr>
                          <w:rFonts w:ascii="David" w:hAnsi="David" w:cs="David"/>
                          <w:sz w:val="16"/>
                          <w:szCs w:val="16"/>
                        </w:rPr>
                      </w:pPr>
                      <w:r>
                        <w:rPr>
                          <w:rFonts w:ascii="David" w:hAnsi="David" w:cs="David" w:hint="cs"/>
                          <w:sz w:val="16"/>
                          <w:szCs w:val="16"/>
                          <w:rtl/>
                        </w:rPr>
                        <w:t xml:space="preserve">בהסדר נכללות רק עבירות </w:t>
                      </w:r>
                      <w:r w:rsidR="003947AF">
                        <w:rPr>
                          <w:rFonts w:ascii="David" w:hAnsi="David" w:cs="David" w:hint="cs"/>
                          <w:sz w:val="16"/>
                          <w:szCs w:val="16"/>
                          <w:rtl/>
                        </w:rPr>
                        <w:t>מסוימות (מעשי פזיזות ורשלנות, סימני מסחר, סיכון ילדים וחלק מ: עבירות מחשב, זכויות יוצרים)</w:t>
                      </w:r>
                    </w:p>
                  </w:txbxContent>
                </v:textbox>
                <w10:wrap anchorx="margin"/>
              </v:roundrect>
            </w:pict>
          </mc:Fallback>
        </mc:AlternateContent>
      </w:r>
      <w:r>
        <w:rPr>
          <w:rFonts w:ascii="David" w:hAnsi="David" w:cs="David"/>
          <w:noProof/>
          <w:rtl/>
          <w:lang w:val="he-IL"/>
        </w:rPr>
        <mc:AlternateContent>
          <mc:Choice Requires="wps">
            <w:drawing>
              <wp:anchor distT="0" distB="0" distL="114300" distR="114300" simplePos="0" relativeHeight="251663360" behindDoc="0" locked="0" layoutInCell="1" allowOverlap="1" wp14:anchorId="55304EE9" wp14:editId="4C711CBA">
                <wp:simplePos x="0" y="0"/>
                <wp:positionH relativeFrom="margin">
                  <wp:posOffset>5784850</wp:posOffset>
                </wp:positionH>
                <wp:positionV relativeFrom="paragraph">
                  <wp:posOffset>182880</wp:posOffset>
                </wp:positionV>
                <wp:extent cx="970915" cy="673100"/>
                <wp:effectExtent l="0" t="0" r="19685" b="12700"/>
                <wp:wrapNone/>
                <wp:docPr id="5" name="Rectangle: Rounded Corners 5"/>
                <wp:cNvGraphicFramePr/>
                <a:graphic xmlns:a="http://schemas.openxmlformats.org/drawingml/2006/main">
                  <a:graphicData uri="http://schemas.microsoft.com/office/word/2010/wordprocessingShape">
                    <wps:wsp>
                      <wps:cNvSpPr/>
                      <wps:spPr>
                        <a:xfrm>
                          <a:off x="0" y="0"/>
                          <a:ext cx="970915" cy="673100"/>
                        </a:xfrm>
                        <a:prstGeom prst="round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wps:spPr>
                      <wps:style>
                        <a:lnRef idx="1">
                          <a:schemeClr val="accent6"/>
                        </a:lnRef>
                        <a:fillRef idx="2">
                          <a:schemeClr val="accent6"/>
                        </a:fillRef>
                        <a:effectRef idx="1">
                          <a:schemeClr val="accent6"/>
                        </a:effectRef>
                        <a:fontRef idx="minor">
                          <a:schemeClr val="dk1"/>
                        </a:fontRef>
                      </wps:style>
                      <wps:txbx>
                        <w:txbxContent>
                          <w:p w14:paraId="00E2F5C3" w14:textId="0E83890F" w:rsidR="001C0633" w:rsidRPr="00ED0662" w:rsidRDefault="001C0633" w:rsidP="001C0633">
                            <w:pPr>
                              <w:bidi/>
                              <w:spacing w:after="0" w:line="240" w:lineRule="auto"/>
                              <w:jc w:val="center"/>
                              <w:rPr>
                                <w:rFonts w:ascii="David" w:hAnsi="David" w:cs="David"/>
                                <w:sz w:val="16"/>
                                <w:szCs w:val="16"/>
                              </w:rPr>
                            </w:pPr>
                            <w:r>
                              <w:rPr>
                                <w:rFonts w:ascii="David" w:hAnsi="David" w:cs="David" w:hint="cs"/>
                                <w:sz w:val="16"/>
                                <w:szCs w:val="16"/>
                                <w:rtl/>
                              </w:rPr>
                              <w:t>נערך בהסכמה בין התביעה לחשוד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4EE9" id="Rectangle: Rounded Corners 5" o:spid="_x0000_s1036" style="position:absolute;left:0;text-align:left;margin-left:455.5pt;margin-top:14.4pt;width:76.45pt;height: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" fillcolor="#c2d685 [2169]" strokecolor="#a5c249 [3209]" strokeweight=".5pt">
                <v:fill color2="#b5cd6c [2617]" rotate="t" angle="45" colors="0 #cfdea9;.5 #c6d89c;1 #c0d689" focus="100%" type="gradient"/>
                <v:stroke joinstyle="miter"/>
                <v:textbox>
                  <w:txbxContent>
                    <w:p w14:paraId="00E2F5C3" w14:textId="0E83890F" w:rsidR="001C0633" w:rsidRPr="00ED0662" w:rsidRDefault="001C0633" w:rsidP="001C0633">
                      <w:pPr>
                        <w:bidi/>
                        <w:spacing w:after="0" w:line="240" w:lineRule="auto"/>
                        <w:jc w:val="center"/>
                        <w:rPr>
                          <w:rFonts w:ascii="David" w:hAnsi="David" w:cs="David"/>
                          <w:sz w:val="16"/>
                          <w:szCs w:val="16"/>
                        </w:rPr>
                      </w:pPr>
                      <w:r>
                        <w:rPr>
                          <w:rFonts w:ascii="David" w:hAnsi="David" w:cs="David" w:hint="cs"/>
                          <w:sz w:val="16"/>
                          <w:szCs w:val="16"/>
                          <w:rtl/>
                        </w:rPr>
                        <w:t>נערך בהסכמה בין התביעה לחשוד</w:t>
                      </w:r>
                    </w:p>
                  </w:txbxContent>
                </v:textbox>
                <w10:wrap anchorx="margin"/>
              </v:roundrect>
            </w:pict>
          </mc:Fallback>
        </mc:AlternateContent>
      </w:r>
    </w:p>
    <w:p w14:paraId="6E87A3C2" w14:textId="0349ACB8" w:rsidR="00ED0662" w:rsidRPr="00CB7936" w:rsidRDefault="00ED0662" w:rsidP="00CC7DF2">
      <w:pPr>
        <w:bidi/>
        <w:spacing w:line="276" w:lineRule="auto"/>
        <w:jc w:val="both"/>
        <w:rPr>
          <w:rStyle w:val="SubtleReference"/>
          <w:rtl/>
        </w:rPr>
      </w:pPr>
    </w:p>
    <w:p w14:paraId="294E9F15" w14:textId="49988227" w:rsidR="001C0633" w:rsidRDefault="001C0633" w:rsidP="00CC7DF2">
      <w:pPr>
        <w:bidi/>
        <w:spacing w:line="276" w:lineRule="auto"/>
        <w:jc w:val="both"/>
        <w:rPr>
          <w:rFonts w:ascii="David" w:hAnsi="David" w:cs="David"/>
          <w:b/>
          <w:bCs/>
          <w:rtl/>
        </w:rPr>
      </w:pPr>
    </w:p>
    <w:p w14:paraId="5FBF9D08" w14:textId="6FE94CC1" w:rsidR="00DD0D01" w:rsidRDefault="00DD0D01" w:rsidP="00CC7DF2">
      <w:pPr>
        <w:bidi/>
        <w:spacing w:line="276" w:lineRule="auto"/>
        <w:jc w:val="both"/>
        <w:rPr>
          <w:rFonts w:ascii="David" w:hAnsi="David" w:cs="David"/>
          <w:b/>
          <w:bCs/>
          <w:rtl/>
        </w:rPr>
      </w:pPr>
    </w:p>
    <w:p w14:paraId="47C56198" w14:textId="32E552CC" w:rsidR="00CA7E4D" w:rsidRDefault="00DD0D01" w:rsidP="00CC7DF2">
      <w:pPr>
        <w:bidi/>
        <w:spacing w:line="276" w:lineRule="auto"/>
        <w:jc w:val="both"/>
        <w:rPr>
          <w:rFonts w:ascii="David" w:hAnsi="David" w:cs="David"/>
          <w:rtl/>
        </w:rPr>
      </w:pPr>
      <w:r w:rsidRPr="00DD0D01">
        <w:rPr>
          <w:rFonts w:ascii="David" w:hAnsi="David" w:cs="David" w:hint="cs"/>
          <w:rtl/>
        </w:rPr>
        <w:t xml:space="preserve">משמעות: החשוד יודה בעובדות המעשים המיוחסים לו בתמורה לתנאים </w:t>
      </w:r>
      <w:r w:rsidRPr="00DD0D01">
        <w:rPr>
          <w:rFonts w:ascii="David" w:hAnsi="David" w:cs="David" w:hint="cs"/>
          <w:u w:val="single"/>
          <w:rtl/>
        </w:rPr>
        <w:t>מתוך</w:t>
      </w:r>
      <w:r w:rsidRPr="00DD0D01">
        <w:rPr>
          <w:rFonts w:ascii="David" w:hAnsi="David" w:cs="David" w:hint="cs"/>
          <w:rtl/>
        </w:rPr>
        <w:t xml:space="preserve"> רשימה</w:t>
      </w:r>
      <w:r w:rsidR="0009246A">
        <w:rPr>
          <w:rFonts w:ascii="David" w:hAnsi="David" w:cs="David" w:hint="cs"/>
          <w:rtl/>
        </w:rPr>
        <w:t>:</w:t>
      </w:r>
      <w:r w:rsidRPr="00DD0D01">
        <w:rPr>
          <w:rFonts w:ascii="David" w:hAnsi="David" w:cs="David" w:hint="cs"/>
          <w:rtl/>
        </w:rPr>
        <w:t xml:space="preserve"> </w:t>
      </w:r>
    </w:p>
    <w:p w14:paraId="23998160" w14:textId="2D33C5E4" w:rsidR="00185608" w:rsidRDefault="008A4CC8" w:rsidP="00CC7DF2">
      <w:pPr>
        <w:bidi/>
        <w:spacing w:line="276" w:lineRule="auto"/>
        <w:jc w:val="both"/>
        <w:rPr>
          <w:rFonts w:ascii="David" w:hAnsi="David" w:cs="David"/>
          <w:color w:val="000000" w:themeColor="text1"/>
          <w:u w:val="single"/>
          <w:rtl/>
        </w:rPr>
      </w:pPr>
      <w:r>
        <w:rPr>
          <w:rFonts w:ascii="David" w:hAnsi="David" w:cs="David"/>
          <w:noProof/>
          <w:rtl/>
          <w:lang w:val="he-IL"/>
        </w:rPr>
        <w:drawing>
          <wp:inline distT="0" distB="0" distL="0" distR="0" wp14:anchorId="64149B85" wp14:editId="363B9811">
            <wp:extent cx="5647940" cy="2169546"/>
            <wp:effectExtent l="0" t="0" r="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396954" w14:textId="0AB6D86D" w:rsidR="00660C5E" w:rsidRPr="00185608" w:rsidRDefault="00660C5E" w:rsidP="00CC7DF2">
      <w:pPr>
        <w:bidi/>
        <w:spacing w:line="276" w:lineRule="auto"/>
        <w:jc w:val="both"/>
        <w:rPr>
          <w:rFonts w:ascii="David" w:hAnsi="David" w:cs="David"/>
          <w:b/>
          <w:bCs/>
          <w:rtl/>
        </w:rPr>
      </w:pPr>
      <w:r w:rsidRPr="000D13B4">
        <w:rPr>
          <w:rFonts w:ascii="David" w:hAnsi="David" w:cs="David" w:hint="cs"/>
          <w:color w:val="000000" w:themeColor="text1"/>
          <w:u w:val="single"/>
          <w:rtl/>
        </w:rPr>
        <w:t>מטרות:</w:t>
      </w:r>
      <w:r w:rsidRPr="000D13B4">
        <w:rPr>
          <w:rFonts w:ascii="David" w:hAnsi="David" w:cs="David" w:hint="cs"/>
          <w:color w:val="000000" w:themeColor="text1"/>
          <w:rtl/>
        </w:rPr>
        <w:t xml:space="preserve"> הקלת סבל הנפגע, אפשרות לקבלת פיצויים באופן מהיר, ייתור הגשת תביעה נזיקית שמטילים על הקורבן מחיר כלכלי ורגשי</w:t>
      </w:r>
      <w:r w:rsidR="000D13B4" w:rsidRPr="000D13B4">
        <w:rPr>
          <w:rFonts w:ascii="David" w:hAnsi="David" w:cs="David" w:hint="cs"/>
          <w:color w:val="000000" w:themeColor="text1"/>
          <w:rtl/>
        </w:rPr>
        <w:t>.</w:t>
      </w:r>
    </w:p>
    <w:p w14:paraId="3197531B" w14:textId="411DB723" w:rsidR="003656EE" w:rsidRPr="000D13B4" w:rsidRDefault="003656EE" w:rsidP="00CC7DF2">
      <w:pPr>
        <w:bidi/>
        <w:spacing w:before="240" w:line="276" w:lineRule="auto"/>
        <w:jc w:val="both"/>
        <w:rPr>
          <w:rFonts w:ascii="David" w:hAnsi="David" w:cs="David"/>
          <w:color w:val="000000" w:themeColor="text1"/>
          <w:rtl/>
        </w:rPr>
      </w:pPr>
      <w:r w:rsidRPr="000D13B4">
        <w:rPr>
          <w:rFonts w:ascii="David" w:hAnsi="David" w:cs="David" w:hint="cs"/>
          <w:b/>
          <w:bCs/>
          <w:color w:val="000000" w:themeColor="text1"/>
          <w:rtl/>
        </w:rPr>
        <w:t>הצעה 1:</w:t>
      </w:r>
      <w:r w:rsidRPr="000D13B4">
        <w:rPr>
          <w:rFonts w:ascii="David" w:hAnsi="David" w:cs="David" w:hint="cs"/>
          <w:color w:val="000000" w:themeColor="text1"/>
          <w:rtl/>
        </w:rPr>
        <w:t xml:space="preserve"> מתן פיצוי </w:t>
      </w:r>
      <w:r w:rsidRPr="006C7678">
        <w:rPr>
          <w:rFonts w:ascii="David" w:hAnsi="David" w:cs="David" w:hint="cs"/>
          <w:color w:val="000000" w:themeColor="text1"/>
          <w:highlight w:val="cyan"/>
          <w:rtl/>
        </w:rPr>
        <w:t>בהליך הפלילי</w:t>
      </w:r>
      <w:r w:rsidRPr="006C7678">
        <w:rPr>
          <w:rFonts w:ascii="David" w:hAnsi="David" w:cs="David" w:hint="cs"/>
          <w:color w:val="000000" w:themeColor="text1"/>
          <w:rtl/>
        </w:rPr>
        <w:t xml:space="preserve"> </w:t>
      </w:r>
      <w:r w:rsidRPr="000D13B4">
        <w:rPr>
          <w:rFonts w:ascii="David" w:hAnsi="David" w:cs="David" w:hint="cs"/>
          <w:color w:val="000000" w:themeColor="text1"/>
          <w:rtl/>
        </w:rPr>
        <w:t xml:space="preserve">כחובה וכל חריגה תלווה בהנמקה </w:t>
      </w:r>
      <w:r w:rsidRPr="000D13B4">
        <w:rPr>
          <w:rFonts w:ascii="David" w:hAnsi="David" w:cs="David"/>
          <w:color w:val="000000" w:themeColor="text1"/>
          <w:rtl/>
        </w:rPr>
        <w:t>–</w:t>
      </w:r>
      <w:r w:rsidRPr="000D13B4">
        <w:rPr>
          <w:rFonts w:ascii="David" w:hAnsi="David" w:cs="David" w:hint="cs"/>
          <w:color w:val="000000" w:themeColor="text1"/>
          <w:rtl/>
        </w:rPr>
        <w:t xml:space="preserve"> החובה מוטלת על בית המשפט</w:t>
      </w:r>
      <w:r w:rsidR="000D13B4" w:rsidRPr="000D13B4">
        <w:rPr>
          <w:rFonts w:ascii="David" w:hAnsi="David" w:cs="David" w:hint="cs"/>
          <w:color w:val="000000" w:themeColor="text1"/>
          <w:rtl/>
        </w:rPr>
        <w:t xml:space="preserve"> (כך נעשה בעבירות סחר בבני אדם). </w:t>
      </w:r>
    </w:p>
    <w:p w14:paraId="3B2EE838" w14:textId="77777777" w:rsidR="006C7678" w:rsidRDefault="003656EE" w:rsidP="00CC7DF2">
      <w:pPr>
        <w:bidi/>
        <w:spacing w:before="240" w:line="276" w:lineRule="auto"/>
        <w:jc w:val="both"/>
        <w:rPr>
          <w:rFonts w:ascii="David" w:hAnsi="David" w:cs="David"/>
          <w:rtl/>
        </w:rPr>
      </w:pPr>
      <w:r w:rsidRPr="000D13B4">
        <w:rPr>
          <w:rFonts w:ascii="David" w:hAnsi="David" w:cs="David" w:hint="cs"/>
          <w:b/>
          <w:bCs/>
          <w:rtl/>
        </w:rPr>
        <w:t>הצעה 2:</w:t>
      </w:r>
      <w:r w:rsidR="006C7678">
        <w:rPr>
          <w:rFonts w:ascii="David" w:hAnsi="David" w:cs="David" w:hint="cs"/>
          <w:b/>
          <w:bCs/>
          <w:rtl/>
        </w:rPr>
        <w:t xml:space="preserve"> </w:t>
      </w:r>
      <w:r w:rsidRPr="000D13B4">
        <w:rPr>
          <w:rFonts w:ascii="David" w:hAnsi="David" w:cs="David" w:hint="cs"/>
          <w:rtl/>
        </w:rPr>
        <w:t xml:space="preserve">כבר </w:t>
      </w:r>
      <w:r w:rsidRPr="006C7678">
        <w:rPr>
          <w:rFonts w:ascii="David" w:hAnsi="David" w:cs="David" w:hint="cs"/>
          <w:u w:val="single"/>
          <w:rtl/>
        </w:rPr>
        <w:t>בכתב האישום</w:t>
      </w:r>
      <w:r w:rsidRPr="000D13B4">
        <w:rPr>
          <w:rFonts w:ascii="David" w:hAnsi="David" w:cs="David" w:hint="cs"/>
          <w:rtl/>
        </w:rPr>
        <w:t xml:space="preserve"> להכליל את הבקשה של התביעה לפיצוי</w:t>
      </w:r>
      <w:r w:rsidR="006C7678">
        <w:rPr>
          <w:rFonts w:ascii="David" w:hAnsi="David" w:cs="David" w:hint="cs"/>
          <w:rtl/>
        </w:rPr>
        <w:t xml:space="preserve">, כחלק מכל </w:t>
      </w:r>
      <w:r w:rsidR="006C7678" w:rsidRPr="006C7678">
        <w:rPr>
          <w:rFonts w:ascii="David" w:hAnsi="David" w:cs="David" w:hint="cs"/>
          <w:highlight w:val="magenta"/>
          <w:rtl/>
        </w:rPr>
        <w:t>הסדר טיעון/</w:t>
      </w:r>
      <w:r w:rsidR="006C7678">
        <w:rPr>
          <w:rFonts w:ascii="David" w:hAnsi="David" w:cs="David" w:hint="cs"/>
          <w:highlight w:val="magenta"/>
          <w:rtl/>
        </w:rPr>
        <w:t xml:space="preserve"> הסדר </w:t>
      </w:r>
      <w:r w:rsidR="006C7678" w:rsidRPr="006C7678">
        <w:rPr>
          <w:rFonts w:ascii="David" w:hAnsi="David" w:cs="David" w:hint="cs"/>
          <w:highlight w:val="magenta"/>
          <w:rtl/>
        </w:rPr>
        <w:t>מותנה.</w:t>
      </w:r>
      <w:r w:rsidR="006C7678">
        <w:rPr>
          <w:rFonts w:ascii="David" w:hAnsi="David" w:cs="David" w:hint="cs"/>
          <w:rtl/>
        </w:rPr>
        <w:t xml:space="preserve"> </w:t>
      </w:r>
      <w:r w:rsidR="006C7678">
        <w:rPr>
          <w:rFonts w:ascii="David" w:hAnsi="David" w:cs="David"/>
          <w:rtl/>
        </w:rPr>
        <w:br/>
      </w:r>
      <w:r w:rsidRPr="000D13B4">
        <w:rPr>
          <w:rFonts w:ascii="David" w:hAnsi="David" w:cs="David" w:hint="cs"/>
          <w:u w:val="single"/>
          <w:rtl/>
        </w:rPr>
        <w:t>פרקטיקה</w:t>
      </w:r>
      <w:r w:rsidRPr="000D13B4">
        <w:rPr>
          <w:rFonts w:ascii="David" w:hAnsi="David" w:cs="David" w:hint="cs"/>
          <w:rtl/>
        </w:rPr>
        <w:t xml:space="preserve"> </w:t>
      </w:r>
      <w:r w:rsidRPr="000D13B4">
        <w:rPr>
          <w:rFonts w:ascii="David" w:hAnsi="David" w:cs="David"/>
          <w:rtl/>
        </w:rPr>
        <w:t>–</w:t>
      </w:r>
      <w:r w:rsidRPr="000D13B4">
        <w:rPr>
          <w:rFonts w:ascii="David" w:hAnsi="David" w:cs="David" w:hint="cs"/>
          <w:rtl/>
        </w:rPr>
        <w:t xml:space="preserve"> </w:t>
      </w:r>
      <w:r w:rsidR="006C7678">
        <w:rPr>
          <w:rFonts w:ascii="David" w:hAnsi="David" w:cs="David"/>
          <w:rtl/>
        </w:rPr>
        <w:br/>
      </w:r>
      <w:r w:rsidR="006C7678">
        <w:rPr>
          <w:rFonts w:ascii="David" w:hAnsi="David" w:cs="David" w:hint="cs"/>
          <w:rtl/>
        </w:rPr>
        <w:t xml:space="preserve">א. הנחייה לפרקליטים ולתובעים לכלול בקשה לפיצוי תוך תיאור נזקי הנפגע (יוביל גם לחיבור אליו ולעירובו בהליך). </w:t>
      </w:r>
      <w:r w:rsidR="006C7678">
        <w:rPr>
          <w:rFonts w:ascii="David" w:hAnsi="David" w:cs="David"/>
          <w:rtl/>
        </w:rPr>
        <w:br/>
      </w:r>
      <w:r w:rsidR="006C7678">
        <w:rPr>
          <w:rFonts w:ascii="David" w:hAnsi="David" w:cs="David" w:hint="cs"/>
          <w:rtl/>
        </w:rPr>
        <w:t xml:space="preserve">ב. קביעה כי פיצוי הוא חלק בלתי נפרד למעט מקרים מיוחדים (במקרים אלו ישנה רגישות לנאשם ובאמצעות הפעלת לחץ ניתן להובילו לתשלום פיצויים עבור הנפגע). </w:t>
      </w:r>
    </w:p>
    <w:p w14:paraId="2A6483E6" w14:textId="22922116" w:rsidR="003656EE" w:rsidRPr="000D13B4" w:rsidRDefault="006C7678" w:rsidP="00CC7DF2">
      <w:pPr>
        <w:bidi/>
        <w:spacing w:before="240" w:line="276" w:lineRule="auto"/>
        <w:jc w:val="both"/>
        <w:rPr>
          <w:rFonts w:ascii="David" w:hAnsi="David" w:cs="David"/>
          <w:rtl/>
        </w:rPr>
      </w:pPr>
      <w:r>
        <w:rPr>
          <w:rFonts w:ascii="David" w:hAnsi="David" w:cs="David" w:hint="cs"/>
          <w:rtl/>
        </w:rPr>
        <w:t>ג. ביהמ"ש לא יאשר הסדר טיעון אם איננו כולל פיצוי ממש לנפגע העבירה (אלא במקרים מיוחדים שדור</w:t>
      </w:r>
      <w:r w:rsidR="008D43BD">
        <w:rPr>
          <w:rFonts w:ascii="David" w:hAnsi="David" w:cs="David" w:hint="cs"/>
          <w:rtl/>
        </w:rPr>
        <w:t>ש</w:t>
      </w:r>
      <w:r>
        <w:rPr>
          <w:rFonts w:ascii="David" w:hAnsi="David" w:cs="David" w:hint="cs"/>
          <w:rtl/>
        </w:rPr>
        <w:t>ים נימוק).</w:t>
      </w:r>
      <w:r w:rsidR="008D43BD">
        <w:rPr>
          <w:rFonts w:ascii="David" w:hAnsi="David" w:cs="David"/>
          <w:rtl/>
        </w:rPr>
        <w:br/>
      </w:r>
      <w:r w:rsidR="008D43BD">
        <w:rPr>
          <w:rFonts w:ascii="David" w:hAnsi="David" w:cs="David" w:hint="cs"/>
          <w:rtl/>
        </w:rPr>
        <w:t xml:space="preserve">ד. חקיקת חובת </w:t>
      </w:r>
      <w:r w:rsidR="003656EE" w:rsidRPr="000D13B4">
        <w:rPr>
          <w:rFonts w:ascii="David" w:hAnsi="David" w:cs="David" w:hint="cs"/>
          <w:rtl/>
        </w:rPr>
        <w:t>הפקדת הפיצוי בקופה בטרם החתימה על הסדר הטיעון</w:t>
      </w:r>
      <w:r w:rsidR="008D43BD">
        <w:rPr>
          <w:rFonts w:ascii="David" w:hAnsi="David" w:cs="David" w:hint="cs"/>
          <w:rtl/>
        </w:rPr>
        <w:t xml:space="preserve"> </w:t>
      </w:r>
      <w:r w:rsidR="003656EE" w:rsidRPr="000D13B4">
        <w:rPr>
          <w:rFonts w:ascii="David" w:hAnsi="David" w:cs="David" w:hint="cs"/>
          <w:rtl/>
        </w:rPr>
        <w:t xml:space="preserve">(לפחות </w:t>
      </w:r>
      <w:r w:rsidR="008D43BD">
        <w:rPr>
          <w:rFonts w:ascii="David" w:hAnsi="David" w:cs="David" w:hint="cs"/>
          <w:rtl/>
        </w:rPr>
        <w:t>ת</w:t>
      </w:r>
      <w:r w:rsidR="003656EE" w:rsidRPr="000D13B4">
        <w:rPr>
          <w:rFonts w:ascii="David" w:hAnsi="David" w:cs="David" w:hint="cs"/>
          <w:rtl/>
        </w:rPr>
        <w:t>שלום ראשון).</w:t>
      </w:r>
      <w:r w:rsidR="003656EE" w:rsidRPr="000D13B4">
        <w:rPr>
          <w:rFonts w:ascii="David" w:hAnsi="David" w:cs="David"/>
          <w:rtl/>
        </w:rPr>
        <w:br/>
      </w:r>
      <w:r w:rsidR="003656EE" w:rsidRPr="000D13B4">
        <w:rPr>
          <w:rFonts w:ascii="David" w:hAnsi="David" w:cs="David" w:hint="cs"/>
          <w:u w:val="single"/>
          <w:rtl/>
        </w:rPr>
        <w:t xml:space="preserve">ביקורת </w:t>
      </w:r>
      <w:r w:rsidR="003656EE" w:rsidRPr="000D13B4">
        <w:rPr>
          <w:rFonts w:ascii="David" w:hAnsi="David" w:cs="David"/>
          <w:u w:val="single"/>
          <w:rtl/>
        </w:rPr>
        <w:t>–</w:t>
      </w:r>
      <w:r w:rsidR="003656EE" w:rsidRPr="000D13B4">
        <w:rPr>
          <w:rFonts w:ascii="David" w:hAnsi="David" w:cs="David" w:hint="cs"/>
          <w:rtl/>
        </w:rPr>
        <w:t xml:space="preserve"> הסדרי טיעון יכשלו עקב דרישת הפיצוי</w:t>
      </w:r>
      <w:r w:rsidR="008D43BD">
        <w:rPr>
          <w:rFonts w:ascii="David" w:hAnsi="David" w:cs="David" w:hint="cs"/>
          <w:rtl/>
        </w:rPr>
        <w:t xml:space="preserve"> (כאשר מדובר על עניים)</w:t>
      </w:r>
      <w:r w:rsidR="008D43BD">
        <w:rPr>
          <w:rFonts w:ascii="David" w:hAnsi="David" w:cs="David" w:hint="cs"/>
        </w:rPr>
        <w:t xml:space="preserve"> </w:t>
      </w:r>
      <w:r w:rsidR="008D43BD">
        <w:rPr>
          <w:rFonts w:ascii="David" w:hAnsi="David" w:cs="David" w:hint="cs"/>
          <w:rtl/>
        </w:rPr>
        <w:t>/</w:t>
      </w:r>
      <w:r w:rsidR="003656EE" w:rsidRPr="000D13B4">
        <w:rPr>
          <w:rFonts w:ascii="David" w:hAnsi="David" w:cs="David" w:hint="cs"/>
          <w:rtl/>
        </w:rPr>
        <w:t xml:space="preserve"> יוכלו לקנות ענישה פחותה</w:t>
      </w:r>
      <w:r w:rsidR="008D43BD">
        <w:rPr>
          <w:rFonts w:ascii="David" w:hAnsi="David" w:cs="David" w:hint="cs"/>
          <w:rtl/>
        </w:rPr>
        <w:t xml:space="preserve"> (עשירים)</w:t>
      </w:r>
      <w:r w:rsidR="003656EE" w:rsidRPr="000D13B4">
        <w:rPr>
          <w:rFonts w:ascii="David" w:hAnsi="David" w:cs="David" w:hint="cs"/>
          <w:rtl/>
        </w:rPr>
        <w:t xml:space="preserve">. </w:t>
      </w:r>
    </w:p>
    <w:p w14:paraId="0522E10A" w14:textId="77777777" w:rsidR="008D43BD" w:rsidRDefault="003656EE" w:rsidP="00CC7DF2">
      <w:pPr>
        <w:bidi/>
        <w:spacing w:before="240" w:line="276" w:lineRule="auto"/>
        <w:jc w:val="both"/>
        <w:rPr>
          <w:rFonts w:ascii="David" w:hAnsi="David" w:cs="David"/>
          <w:rtl/>
        </w:rPr>
      </w:pPr>
      <w:r w:rsidRPr="008D43BD">
        <w:rPr>
          <w:rFonts w:ascii="David" w:hAnsi="David" w:cs="David" w:hint="cs"/>
          <w:b/>
          <w:bCs/>
          <w:rtl/>
        </w:rPr>
        <w:t>הצעה 3:</w:t>
      </w:r>
      <w:r w:rsidRPr="008D43BD">
        <w:rPr>
          <w:rFonts w:ascii="David" w:hAnsi="David" w:cs="David" w:hint="cs"/>
          <w:b/>
          <w:bCs/>
        </w:rPr>
        <w:t xml:space="preserve"> </w:t>
      </w:r>
      <w:r w:rsidRPr="008D43BD">
        <w:rPr>
          <w:rFonts w:ascii="David" w:hAnsi="David" w:cs="David" w:hint="cs"/>
          <w:rtl/>
        </w:rPr>
        <w:t>פיצוי גם לעיזבון (רשות)</w:t>
      </w:r>
      <w:r w:rsidRPr="008D43BD">
        <w:rPr>
          <w:rFonts w:ascii="David" w:hAnsi="David" w:cs="David" w:hint="cs"/>
        </w:rPr>
        <w:t xml:space="preserve"> </w:t>
      </w:r>
    </w:p>
    <w:p w14:paraId="4C790B1F" w14:textId="77777777" w:rsidR="00C13C57" w:rsidRDefault="00C956F5" w:rsidP="00C13C57">
      <w:pPr>
        <w:bidi/>
        <w:spacing w:line="276" w:lineRule="auto"/>
        <w:jc w:val="both"/>
        <w:rPr>
          <w:rFonts w:ascii="David" w:hAnsi="David" w:cs="David"/>
          <w:rtl/>
        </w:rPr>
      </w:pPr>
      <w:r>
        <w:rPr>
          <w:rFonts w:ascii="David" w:hAnsi="David" w:cs="David" w:hint="cs"/>
          <w:b/>
          <w:bCs/>
          <w:noProof/>
          <w:rtl/>
          <w:lang w:val="he-IL"/>
        </w:rPr>
        <mc:AlternateContent>
          <mc:Choice Requires="wps">
            <w:drawing>
              <wp:anchor distT="0" distB="0" distL="114300" distR="114300" simplePos="0" relativeHeight="251675648" behindDoc="0" locked="0" layoutInCell="1" allowOverlap="1" wp14:anchorId="1A3BC0AD" wp14:editId="34F63B28">
                <wp:simplePos x="0" y="0"/>
                <wp:positionH relativeFrom="column">
                  <wp:posOffset>3049583</wp:posOffset>
                </wp:positionH>
                <wp:positionV relativeFrom="paragraph">
                  <wp:posOffset>229235</wp:posOffset>
                </wp:positionV>
                <wp:extent cx="1637030" cy="746567"/>
                <wp:effectExtent l="0" t="0" r="20320" b="15875"/>
                <wp:wrapNone/>
                <wp:docPr id="23" name="Rectangle 23"/>
                <wp:cNvGraphicFramePr/>
                <a:graphic xmlns:a="http://schemas.openxmlformats.org/drawingml/2006/main">
                  <a:graphicData uri="http://schemas.microsoft.com/office/word/2010/wordprocessingShape">
                    <wps:wsp>
                      <wps:cNvSpPr/>
                      <wps:spPr>
                        <a:xfrm>
                          <a:off x="0" y="0"/>
                          <a:ext cx="1637030" cy="7465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53689C" w14:textId="4E696482" w:rsidR="00E02273" w:rsidRPr="00C956F5" w:rsidRDefault="00E02273" w:rsidP="00C956F5">
                            <w:pPr>
                              <w:bidi/>
                              <w:rPr>
                                <w:rFonts w:ascii="David" w:hAnsi="David" w:cs="David"/>
                                <w:sz w:val="20"/>
                                <w:szCs w:val="20"/>
                                <w:rtl/>
                              </w:rPr>
                            </w:pPr>
                            <w:r w:rsidRPr="00C956F5">
                              <w:rPr>
                                <w:rFonts w:ascii="David" w:hAnsi="David" w:cs="David"/>
                                <w:sz w:val="20"/>
                                <w:szCs w:val="20"/>
                                <w:rtl/>
                              </w:rPr>
                              <w:t xml:space="preserve">ערעור נפרד </w:t>
                            </w:r>
                            <w:r w:rsidR="00C956F5" w:rsidRPr="00C956F5">
                              <w:rPr>
                                <w:rFonts w:ascii="David" w:hAnsi="David" w:cs="David"/>
                                <w:b/>
                                <w:bCs/>
                                <w:sz w:val="20"/>
                                <w:szCs w:val="20"/>
                                <w:rtl/>
                              </w:rPr>
                              <w:t>(אזרחי)</w:t>
                            </w:r>
                            <w:r w:rsidR="00C956F5" w:rsidRPr="00C956F5">
                              <w:rPr>
                                <w:rFonts w:ascii="David" w:hAnsi="David" w:cs="David"/>
                                <w:sz w:val="20"/>
                                <w:szCs w:val="20"/>
                                <w:rtl/>
                              </w:rPr>
                              <w:t xml:space="preserve"> </w:t>
                            </w:r>
                            <w:r w:rsidR="00C956F5">
                              <w:rPr>
                                <w:rFonts w:ascii="David" w:hAnsi="David" w:cs="David" w:hint="cs"/>
                                <w:sz w:val="20"/>
                                <w:szCs w:val="20"/>
                                <w:rtl/>
                              </w:rPr>
                              <w:t>על רכיב הפיצוי (תביעה/ נאשם)</w:t>
                            </w:r>
                          </w:p>
                          <w:p w14:paraId="550316FC" w14:textId="424BB963" w:rsidR="00C956F5" w:rsidRPr="00C956F5" w:rsidRDefault="00C956F5" w:rsidP="00C956F5">
                            <w:pPr>
                              <w:bidi/>
                              <w:rPr>
                                <w:rFonts w:ascii="David" w:hAnsi="David" w:cs="David"/>
                                <w:sz w:val="20"/>
                                <w:szCs w:val="20"/>
                              </w:rPr>
                            </w:pPr>
                            <w:r w:rsidRPr="00C956F5">
                              <w:rPr>
                                <w:rFonts w:ascii="David" w:hAnsi="David" w:cs="David" w:hint="cs"/>
                                <w:sz w:val="20"/>
                                <w:szCs w:val="20"/>
                                <w:rtl/>
                              </w:rPr>
                              <w:t xml:space="preserve">יש </w:t>
                            </w:r>
                            <w:r w:rsidRPr="00C956F5">
                              <w:rPr>
                                <w:rFonts w:ascii="David" w:hAnsi="David" w:cs="David" w:hint="cs"/>
                                <w:sz w:val="20"/>
                                <w:szCs w:val="20"/>
                                <w:u w:val="single"/>
                                <w:rtl/>
                              </w:rPr>
                              <w:t>חובה</w:t>
                            </w:r>
                            <w:r w:rsidRPr="00C956F5">
                              <w:rPr>
                                <w:rFonts w:ascii="David" w:hAnsi="David" w:cs="David" w:hint="cs"/>
                                <w:sz w:val="20"/>
                                <w:szCs w:val="20"/>
                                <w:rtl/>
                              </w:rPr>
                              <w:t xml:space="preserve"> לצרף את נפגע העבירה </w:t>
                            </w:r>
                            <w:r w:rsidRPr="00C956F5">
                              <w:rPr>
                                <w:rFonts w:ascii="David" w:hAnsi="David" w:cs="David" w:hint="cs"/>
                                <w:color w:val="FF0000"/>
                                <w:sz w:val="20"/>
                                <w:szCs w:val="20"/>
                                <w:rtl/>
                              </w:rPr>
                              <w:t>ורק אז הוא צד לתביעה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C0AD" id="Rectangle 23" o:spid="_x0000_s1037" style="position:absolute;left:0;text-align:left;margin-left:240.1pt;margin-top:18.05pt;width:128.9pt;height:5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" fillcolor="white [3201]" strokecolor="#a5c249 [3209]" strokeweight="1pt">
                <v:textbox>
                  <w:txbxContent>
                    <w:p w14:paraId="2753689C" w14:textId="4E696482" w:rsidR="00E02273" w:rsidRPr="00C956F5" w:rsidRDefault="00E02273" w:rsidP="00C956F5">
                      <w:pPr>
                        <w:bidi/>
                        <w:rPr>
                          <w:rFonts w:ascii="David" w:hAnsi="David" w:cs="David"/>
                          <w:sz w:val="20"/>
                          <w:szCs w:val="20"/>
                          <w:rtl/>
                        </w:rPr>
                      </w:pPr>
                      <w:r w:rsidRPr="00C956F5">
                        <w:rPr>
                          <w:rFonts w:ascii="David" w:hAnsi="David" w:cs="David"/>
                          <w:sz w:val="20"/>
                          <w:szCs w:val="20"/>
                          <w:rtl/>
                        </w:rPr>
                        <w:t xml:space="preserve">ערעור נפרד </w:t>
                      </w:r>
                      <w:r w:rsidR="00C956F5" w:rsidRPr="00C956F5">
                        <w:rPr>
                          <w:rFonts w:ascii="David" w:hAnsi="David" w:cs="David"/>
                          <w:b/>
                          <w:bCs/>
                          <w:sz w:val="20"/>
                          <w:szCs w:val="20"/>
                          <w:rtl/>
                        </w:rPr>
                        <w:t>(אזרחי)</w:t>
                      </w:r>
                      <w:r w:rsidR="00C956F5" w:rsidRPr="00C956F5">
                        <w:rPr>
                          <w:rFonts w:ascii="David" w:hAnsi="David" w:cs="David"/>
                          <w:sz w:val="20"/>
                          <w:szCs w:val="20"/>
                          <w:rtl/>
                        </w:rPr>
                        <w:t xml:space="preserve"> </w:t>
                      </w:r>
                      <w:r w:rsidR="00C956F5">
                        <w:rPr>
                          <w:rFonts w:ascii="David" w:hAnsi="David" w:cs="David" w:hint="cs"/>
                          <w:sz w:val="20"/>
                          <w:szCs w:val="20"/>
                          <w:rtl/>
                        </w:rPr>
                        <w:t>על רכיב הפיצוי (תביעה/ נאשם)</w:t>
                      </w:r>
                    </w:p>
                    <w:p w14:paraId="550316FC" w14:textId="424BB963" w:rsidR="00C956F5" w:rsidRPr="00C956F5" w:rsidRDefault="00C956F5" w:rsidP="00C956F5">
                      <w:pPr>
                        <w:bidi/>
                        <w:rPr>
                          <w:rFonts w:ascii="David" w:hAnsi="David" w:cs="David"/>
                          <w:sz w:val="20"/>
                          <w:szCs w:val="20"/>
                        </w:rPr>
                      </w:pPr>
                      <w:r w:rsidRPr="00C956F5">
                        <w:rPr>
                          <w:rFonts w:ascii="David" w:hAnsi="David" w:cs="David" w:hint="cs"/>
                          <w:sz w:val="20"/>
                          <w:szCs w:val="20"/>
                          <w:rtl/>
                        </w:rPr>
                        <w:t xml:space="preserve">יש </w:t>
                      </w:r>
                      <w:r w:rsidRPr="00C956F5">
                        <w:rPr>
                          <w:rFonts w:ascii="David" w:hAnsi="David" w:cs="David" w:hint="cs"/>
                          <w:sz w:val="20"/>
                          <w:szCs w:val="20"/>
                          <w:u w:val="single"/>
                          <w:rtl/>
                        </w:rPr>
                        <w:t>חובה</w:t>
                      </w:r>
                      <w:r w:rsidRPr="00C956F5">
                        <w:rPr>
                          <w:rFonts w:ascii="David" w:hAnsi="David" w:cs="David" w:hint="cs"/>
                          <w:sz w:val="20"/>
                          <w:szCs w:val="20"/>
                          <w:rtl/>
                        </w:rPr>
                        <w:t xml:space="preserve"> לצרף את נפגע העבירה </w:t>
                      </w:r>
                      <w:r w:rsidRPr="00C956F5">
                        <w:rPr>
                          <w:rFonts w:ascii="David" w:hAnsi="David" w:cs="David" w:hint="cs"/>
                          <w:color w:val="FF0000"/>
                          <w:sz w:val="20"/>
                          <w:szCs w:val="20"/>
                          <w:rtl/>
                        </w:rPr>
                        <w:t>ורק אז הוא צד לתביעה</w:t>
                      </w:r>
                    </w:p>
                  </w:txbxContent>
                </v:textbox>
              </v:rect>
            </w:pict>
          </mc:Fallback>
        </mc:AlternateContent>
      </w:r>
      <w:r>
        <w:rPr>
          <w:rFonts w:ascii="David" w:hAnsi="David" w:cs="David" w:hint="cs"/>
          <w:b/>
          <w:bCs/>
          <w:noProof/>
          <w:rtl/>
          <w:lang w:val="he-IL"/>
        </w:rPr>
        <mc:AlternateContent>
          <mc:Choice Requires="wps">
            <w:drawing>
              <wp:anchor distT="0" distB="0" distL="114300" distR="114300" simplePos="0" relativeHeight="251677696" behindDoc="0" locked="0" layoutInCell="1" allowOverlap="1" wp14:anchorId="22465C71" wp14:editId="06103A67">
                <wp:simplePos x="0" y="0"/>
                <wp:positionH relativeFrom="margin">
                  <wp:posOffset>57873</wp:posOffset>
                </wp:positionH>
                <wp:positionV relativeFrom="paragraph">
                  <wp:posOffset>229355</wp:posOffset>
                </wp:positionV>
                <wp:extent cx="2550795" cy="763929"/>
                <wp:effectExtent l="0" t="0" r="20955" b="17145"/>
                <wp:wrapNone/>
                <wp:docPr id="24" name="Rectangle 24"/>
                <wp:cNvGraphicFramePr/>
                <a:graphic xmlns:a="http://schemas.openxmlformats.org/drawingml/2006/main">
                  <a:graphicData uri="http://schemas.microsoft.com/office/word/2010/wordprocessingShape">
                    <wps:wsp>
                      <wps:cNvSpPr/>
                      <wps:spPr>
                        <a:xfrm>
                          <a:off x="0" y="0"/>
                          <a:ext cx="2550795" cy="763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DB469B" w14:textId="77777777" w:rsidR="00C956F5" w:rsidRPr="00C956F5" w:rsidRDefault="00C956F5" w:rsidP="00C956F5">
                            <w:pPr>
                              <w:bidi/>
                              <w:rPr>
                                <w:rFonts w:ascii="David" w:hAnsi="David" w:cs="David"/>
                                <w:sz w:val="20"/>
                                <w:szCs w:val="20"/>
                                <w:rtl/>
                              </w:rPr>
                            </w:pPr>
                            <w:r w:rsidRPr="00C956F5">
                              <w:rPr>
                                <w:rFonts w:ascii="David" w:hAnsi="David" w:cs="David" w:hint="cs"/>
                                <w:sz w:val="20"/>
                                <w:szCs w:val="20"/>
                                <w:rtl/>
                              </w:rPr>
                              <w:t xml:space="preserve">ערעור בהליך </w:t>
                            </w:r>
                            <w:r w:rsidRPr="00C956F5">
                              <w:rPr>
                                <w:rFonts w:ascii="David" w:hAnsi="David" w:cs="David" w:hint="cs"/>
                                <w:b/>
                                <w:bCs/>
                                <w:sz w:val="20"/>
                                <w:szCs w:val="20"/>
                                <w:rtl/>
                              </w:rPr>
                              <w:t xml:space="preserve">פלילי </w:t>
                            </w:r>
                            <w:r w:rsidRPr="00C956F5">
                              <w:rPr>
                                <w:rFonts w:ascii="David" w:hAnsi="David" w:cs="David" w:hint="cs"/>
                                <w:sz w:val="20"/>
                                <w:szCs w:val="20"/>
                                <w:rtl/>
                              </w:rPr>
                              <w:t xml:space="preserve">על הכרעת הדין/ גזר הדין כולו </w:t>
                            </w:r>
                          </w:p>
                          <w:p w14:paraId="50766DCC" w14:textId="47CD7426" w:rsidR="00C956F5" w:rsidRPr="00C956F5" w:rsidRDefault="00C956F5" w:rsidP="00C956F5">
                            <w:pPr>
                              <w:bidi/>
                              <w:rPr>
                                <w:rFonts w:ascii="David" w:hAnsi="David" w:cs="David"/>
                                <w:sz w:val="20"/>
                                <w:szCs w:val="20"/>
                              </w:rPr>
                            </w:pPr>
                            <w:r w:rsidRPr="00C956F5">
                              <w:rPr>
                                <w:rFonts w:ascii="David" w:hAnsi="David" w:cs="David" w:hint="cs"/>
                                <w:sz w:val="20"/>
                                <w:szCs w:val="20"/>
                                <w:rtl/>
                              </w:rPr>
                              <w:t xml:space="preserve">נפגע העבירה הוא </w:t>
                            </w:r>
                            <w:r w:rsidRPr="00C956F5">
                              <w:rPr>
                                <w:rFonts w:ascii="David" w:hAnsi="David" w:cs="David" w:hint="cs"/>
                                <w:sz w:val="20"/>
                                <w:szCs w:val="20"/>
                                <w:u w:val="single"/>
                                <w:rtl/>
                              </w:rPr>
                              <w:t>לא</w:t>
                            </w:r>
                            <w:r w:rsidRPr="00C956F5">
                              <w:rPr>
                                <w:rFonts w:ascii="David" w:hAnsi="David" w:cs="David" w:hint="cs"/>
                                <w:sz w:val="20"/>
                                <w:szCs w:val="20"/>
                                <w:rtl/>
                              </w:rPr>
                              <w:t xml:space="preserve"> צד ולא יכול לערער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65C71" id="Rectangle 24" o:spid="_x0000_s1038" style="position:absolute;left:0;text-align:left;margin-left:4.55pt;margin-top:18.05pt;width:200.85pt;height:60.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" fillcolor="white [3201]" strokecolor="#a5c249 [3209]" strokeweight="1pt">
                <v:textbox>
                  <w:txbxContent>
                    <w:p w14:paraId="4BDB469B" w14:textId="77777777" w:rsidR="00C956F5" w:rsidRPr="00C956F5" w:rsidRDefault="00C956F5" w:rsidP="00C956F5">
                      <w:pPr>
                        <w:bidi/>
                        <w:rPr>
                          <w:rFonts w:ascii="David" w:hAnsi="David" w:cs="David"/>
                          <w:sz w:val="20"/>
                          <w:szCs w:val="20"/>
                          <w:rtl/>
                        </w:rPr>
                      </w:pPr>
                      <w:r w:rsidRPr="00C956F5">
                        <w:rPr>
                          <w:rFonts w:ascii="David" w:hAnsi="David" w:cs="David" w:hint="cs"/>
                          <w:sz w:val="20"/>
                          <w:szCs w:val="20"/>
                          <w:rtl/>
                        </w:rPr>
                        <w:t xml:space="preserve">ערעור בהליך </w:t>
                      </w:r>
                      <w:r w:rsidRPr="00C956F5">
                        <w:rPr>
                          <w:rFonts w:ascii="David" w:hAnsi="David" w:cs="David" w:hint="cs"/>
                          <w:b/>
                          <w:bCs/>
                          <w:sz w:val="20"/>
                          <w:szCs w:val="20"/>
                          <w:rtl/>
                        </w:rPr>
                        <w:t xml:space="preserve">פלילי </w:t>
                      </w:r>
                      <w:r w:rsidRPr="00C956F5">
                        <w:rPr>
                          <w:rFonts w:ascii="David" w:hAnsi="David" w:cs="David" w:hint="cs"/>
                          <w:sz w:val="20"/>
                          <w:szCs w:val="20"/>
                          <w:rtl/>
                        </w:rPr>
                        <w:t xml:space="preserve">על הכרעת הדין/ גזר הדין כולו </w:t>
                      </w:r>
                    </w:p>
                    <w:p w14:paraId="50766DCC" w14:textId="47CD7426" w:rsidR="00C956F5" w:rsidRPr="00C956F5" w:rsidRDefault="00C956F5" w:rsidP="00C956F5">
                      <w:pPr>
                        <w:bidi/>
                        <w:rPr>
                          <w:rFonts w:ascii="David" w:hAnsi="David" w:cs="David"/>
                          <w:sz w:val="20"/>
                          <w:szCs w:val="20"/>
                        </w:rPr>
                      </w:pPr>
                      <w:r w:rsidRPr="00C956F5">
                        <w:rPr>
                          <w:rFonts w:ascii="David" w:hAnsi="David" w:cs="David" w:hint="cs"/>
                          <w:sz w:val="20"/>
                          <w:szCs w:val="20"/>
                          <w:rtl/>
                        </w:rPr>
                        <w:t xml:space="preserve">נפגע העבירה הוא </w:t>
                      </w:r>
                      <w:r w:rsidRPr="00C956F5">
                        <w:rPr>
                          <w:rFonts w:ascii="David" w:hAnsi="David" w:cs="David" w:hint="cs"/>
                          <w:sz w:val="20"/>
                          <w:szCs w:val="20"/>
                          <w:u w:val="single"/>
                          <w:rtl/>
                        </w:rPr>
                        <w:t>לא</w:t>
                      </w:r>
                      <w:r w:rsidRPr="00C956F5">
                        <w:rPr>
                          <w:rFonts w:ascii="David" w:hAnsi="David" w:cs="David" w:hint="cs"/>
                          <w:sz w:val="20"/>
                          <w:szCs w:val="20"/>
                          <w:rtl/>
                        </w:rPr>
                        <w:t xml:space="preserve"> צד ולא יכול לערער </w:t>
                      </w:r>
                    </w:p>
                  </w:txbxContent>
                </v:textbox>
                <w10:wrap anchorx="margin"/>
              </v:rect>
            </w:pict>
          </mc:Fallback>
        </mc:AlternateContent>
      </w:r>
      <w:r w:rsidR="003656EE" w:rsidRPr="008D43BD">
        <w:rPr>
          <w:rFonts w:ascii="David" w:hAnsi="David" w:cs="David" w:hint="cs"/>
          <w:b/>
          <w:bCs/>
          <w:rtl/>
        </w:rPr>
        <w:t>הצעה 4:</w:t>
      </w:r>
      <w:r w:rsidR="003656EE" w:rsidRPr="008D43BD">
        <w:rPr>
          <w:rFonts w:ascii="David" w:hAnsi="David" w:cs="David" w:hint="cs"/>
        </w:rPr>
        <w:t xml:space="preserve"> </w:t>
      </w:r>
      <w:r w:rsidR="003656EE" w:rsidRPr="008D43BD">
        <w:rPr>
          <w:rFonts w:ascii="David" w:hAnsi="David" w:cs="David" w:hint="cs"/>
          <w:rtl/>
        </w:rPr>
        <w:t>זכות ערעור ל</w:t>
      </w:r>
      <w:r w:rsidR="00B0370F" w:rsidRPr="008D43BD">
        <w:rPr>
          <w:rFonts w:ascii="David" w:hAnsi="David" w:cs="David" w:hint="cs"/>
          <w:rtl/>
        </w:rPr>
        <w:t>נ</w:t>
      </w:r>
      <w:r w:rsidR="003656EE" w:rsidRPr="008D43BD">
        <w:rPr>
          <w:rFonts w:ascii="David" w:hAnsi="David" w:cs="David" w:hint="cs"/>
          <w:rtl/>
        </w:rPr>
        <w:t>פגעים על שיעור הפיצוי או על אי פסיקת פיצוי כלל</w:t>
      </w:r>
      <w:r w:rsidR="00B0370F" w:rsidRPr="008D43BD">
        <w:rPr>
          <w:rFonts w:ascii="David" w:hAnsi="David" w:cs="David" w:hint="cs"/>
          <w:rtl/>
        </w:rPr>
        <w:t xml:space="preserve">. </w:t>
      </w:r>
    </w:p>
    <w:p w14:paraId="7E253596" w14:textId="3EDED714" w:rsidR="00E02273" w:rsidRDefault="00E02273" w:rsidP="00C13C57">
      <w:pPr>
        <w:bidi/>
        <w:spacing w:line="276" w:lineRule="auto"/>
        <w:jc w:val="both"/>
        <w:rPr>
          <w:rFonts w:ascii="David" w:hAnsi="David" w:cs="David"/>
          <w:rtl/>
        </w:rPr>
      </w:pPr>
      <w:r>
        <w:rPr>
          <w:rFonts w:ascii="David" w:hAnsi="David" w:cs="David" w:hint="cs"/>
          <w:rtl/>
        </w:rPr>
        <w:t xml:space="preserve">זכות הערעור כיום: </w:t>
      </w:r>
      <w:r w:rsidR="00C13C57">
        <w:rPr>
          <w:rFonts w:ascii="David" w:hAnsi="David" w:cs="David" w:hint="cs"/>
          <w:rtl/>
        </w:rPr>
        <w:t xml:space="preserve">                                                                  או</w:t>
      </w:r>
    </w:p>
    <w:p w14:paraId="3F96291C" w14:textId="053886F9" w:rsidR="00572E3D" w:rsidRDefault="00185608" w:rsidP="00C13C57">
      <w:pPr>
        <w:bidi/>
        <w:spacing w:line="276" w:lineRule="auto"/>
        <w:jc w:val="both"/>
        <w:rPr>
          <w:rFonts w:ascii="David" w:hAnsi="David" w:cs="David"/>
          <w:rtl/>
        </w:rPr>
      </w:pPr>
      <w:r>
        <w:rPr>
          <w:rFonts w:ascii="David" w:hAnsi="David" w:cs="David"/>
          <w:rtl/>
        </w:rPr>
        <w:br/>
      </w:r>
      <w:r w:rsidR="00572E3D">
        <w:rPr>
          <w:rFonts w:ascii="David" w:hAnsi="David" w:cs="David"/>
          <w:rtl/>
        </w:rPr>
        <w:br/>
      </w:r>
    </w:p>
    <w:p w14:paraId="04B71BF2" w14:textId="77777777" w:rsidR="00C13C57" w:rsidRDefault="00C956F5" w:rsidP="00C13C57">
      <w:pPr>
        <w:bidi/>
        <w:spacing w:line="240" w:lineRule="auto"/>
        <w:jc w:val="both"/>
        <w:rPr>
          <w:rFonts w:ascii="David" w:hAnsi="David" w:cs="David"/>
          <w:rtl/>
        </w:rPr>
      </w:pPr>
      <w:r w:rsidRPr="00C956F5">
        <w:rPr>
          <w:rFonts w:ascii="David" w:hAnsi="David" w:cs="David" w:hint="cs"/>
          <w:u w:val="single"/>
          <w:rtl/>
        </w:rPr>
        <w:t>בעיתיות במצב:</w:t>
      </w:r>
      <w:r>
        <w:rPr>
          <w:rFonts w:ascii="David" w:hAnsi="David" w:cs="David" w:hint="cs"/>
        </w:rPr>
        <w:t xml:space="preserve"> </w:t>
      </w:r>
      <w:r>
        <w:rPr>
          <w:rFonts w:ascii="David" w:hAnsi="David" w:cs="David" w:hint="cs"/>
          <w:rtl/>
        </w:rPr>
        <w:t>זכויות יתר לפוגע לאחר שהוכחה אשמתו מעל כל ספק סביר</w:t>
      </w:r>
    </w:p>
    <w:p w14:paraId="2BA39BFD" w14:textId="163A0E2A" w:rsidR="00C956F5" w:rsidRDefault="00C956F5" w:rsidP="00C13C57">
      <w:pPr>
        <w:bidi/>
        <w:spacing w:line="240" w:lineRule="auto"/>
        <w:jc w:val="both"/>
        <w:rPr>
          <w:rFonts w:ascii="David" w:hAnsi="David" w:cs="David"/>
          <w:rtl/>
        </w:rPr>
      </w:pPr>
      <w:r w:rsidRPr="00C956F5">
        <w:rPr>
          <w:rFonts w:ascii="David" w:hAnsi="David" w:cs="David" w:hint="cs"/>
          <w:u w:val="single"/>
          <w:rtl/>
        </w:rPr>
        <w:t>פרקטיקה:</w:t>
      </w:r>
      <w:r>
        <w:rPr>
          <w:rFonts w:ascii="David" w:hAnsi="David" w:cs="David" w:hint="cs"/>
        </w:rPr>
        <w:t xml:space="preserve"> </w:t>
      </w:r>
      <w:r>
        <w:rPr>
          <w:rFonts w:ascii="David" w:hAnsi="David" w:cs="David" w:hint="cs"/>
          <w:rtl/>
        </w:rPr>
        <w:t xml:space="preserve">ערעור אזרחי בזכות, במנותק מההליך הפלילי. </w:t>
      </w:r>
      <w:r w:rsidR="00C13C57">
        <w:rPr>
          <w:rFonts w:ascii="David" w:hAnsi="David" w:cs="David" w:hint="cs"/>
          <w:rtl/>
        </w:rPr>
        <w:t>י</w:t>
      </w:r>
      <w:r w:rsidRPr="00C956F5">
        <w:rPr>
          <w:rFonts w:ascii="David" w:hAnsi="David" w:cs="David" w:hint="cs"/>
          <w:u w:val="single"/>
          <w:rtl/>
        </w:rPr>
        <w:t xml:space="preserve">תרון </w:t>
      </w:r>
      <w:r>
        <w:rPr>
          <w:rFonts w:ascii="David" w:hAnsi="David" w:cs="David" w:hint="cs"/>
          <w:u w:val="single"/>
          <w:rtl/>
        </w:rPr>
        <w:t>ב</w:t>
      </w:r>
      <w:r w:rsidRPr="00C956F5">
        <w:rPr>
          <w:rFonts w:ascii="David" w:hAnsi="David" w:cs="David" w:hint="cs"/>
          <w:u w:val="single"/>
          <w:rtl/>
        </w:rPr>
        <w:t>הצעה:</w:t>
      </w:r>
      <w:r>
        <w:rPr>
          <w:rFonts w:ascii="David" w:hAnsi="David" w:cs="David" w:hint="cs"/>
        </w:rPr>
        <w:t xml:space="preserve"> </w:t>
      </w:r>
      <w:r>
        <w:rPr>
          <w:rFonts w:ascii="David" w:hAnsi="David" w:cs="David" w:hint="cs"/>
          <w:rtl/>
        </w:rPr>
        <w:t>אינטרס ציבורי ולא רק פרטי.</w:t>
      </w:r>
    </w:p>
    <w:p w14:paraId="25A48C93" w14:textId="77777777" w:rsidR="005B06CC" w:rsidRDefault="00B0370F" w:rsidP="005B06CC">
      <w:pPr>
        <w:bidi/>
        <w:spacing w:after="0" w:line="276" w:lineRule="auto"/>
        <w:jc w:val="both"/>
        <w:rPr>
          <w:rFonts w:ascii="David" w:hAnsi="David" w:cs="David"/>
          <w:rtl/>
        </w:rPr>
      </w:pPr>
      <w:r w:rsidRPr="00C956F5">
        <w:rPr>
          <w:rFonts w:ascii="David" w:hAnsi="David" w:cs="David" w:hint="cs"/>
          <w:b/>
          <w:bCs/>
          <w:rtl/>
        </w:rPr>
        <w:lastRenderedPageBreak/>
        <w:t>הצעה 5:</w:t>
      </w:r>
      <w:r w:rsidRPr="00C956F5">
        <w:rPr>
          <w:rFonts w:ascii="David" w:hAnsi="David" w:cs="David" w:hint="cs"/>
          <w:rtl/>
        </w:rPr>
        <w:t xml:space="preserve"> חובת יידוע בהליך הפלילי בדבר אפשרות הפיצוי ובדבר הזכות לערער </w:t>
      </w:r>
      <w:r w:rsidRPr="00C956F5">
        <w:rPr>
          <w:rFonts w:ascii="David" w:hAnsi="David" w:cs="David"/>
          <w:rtl/>
        </w:rPr>
        <w:t>–</w:t>
      </w:r>
      <w:r w:rsidRPr="00C956F5">
        <w:rPr>
          <w:rFonts w:ascii="David" w:hAnsi="David" w:cs="David" w:hint="cs"/>
          <w:rtl/>
        </w:rPr>
        <w:t xml:space="preserve"> להכניס </w:t>
      </w:r>
      <w:r w:rsidR="00A55B2F">
        <w:rPr>
          <w:rFonts w:ascii="David" w:hAnsi="David" w:cs="David" w:hint="cs"/>
          <w:rtl/>
        </w:rPr>
        <w:t>ל</w:t>
      </w:r>
      <w:r w:rsidRPr="00A55B2F">
        <w:rPr>
          <w:rStyle w:val="SubtleReference"/>
          <w:rFonts w:hint="cs"/>
          <w:rtl/>
        </w:rPr>
        <w:t>ס' 8 לחוק זכויות נפגעי עבירה</w:t>
      </w:r>
      <w:r w:rsidRPr="00C956F5">
        <w:rPr>
          <w:rFonts w:ascii="David" w:hAnsi="David" w:cs="David" w:hint="cs"/>
          <w:rtl/>
        </w:rPr>
        <w:t xml:space="preserve">. הטלת החובה על 3 גורמים: </w:t>
      </w:r>
    </w:p>
    <w:p w14:paraId="3664F96A" w14:textId="3EA6F227" w:rsidR="00B0370F" w:rsidRPr="00C956F5" w:rsidRDefault="00B0370F" w:rsidP="005B06CC">
      <w:pPr>
        <w:bidi/>
        <w:spacing w:after="0" w:line="276" w:lineRule="auto"/>
        <w:jc w:val="both"/>
        <w:rPr>
          <w:rFonts w:ascii="David" w:hAnsi="David" w:cs="David"/>
          <w:rtl/>
        </w:rPr>
      </w:pPr>
      <w:r w:rsidRPr="00C956F5">
        <w:rPr>
          <w:rFonts w:ascii="David" w:hAnsi="David" w:cs="David" w:hint="cs"/>
          <w:rtl/>
        </w:rPr>
        <w:t xml:space="preserve">(1) תובע </w:t>
      </w:r>
      <w:r w:rsidRPr="00C956F5">
        <w:rPr>
          <w:rFonts w:ascii="David" w:hAnsi="David" w:cs="David"/>
          <w:rtl/>
        </w:rPr>
        <w:t>–</w:t>
      </w:r>
      <w:r w:rsidRPr="00C956F5">
        <w:rPr>
          <w:rFonts w:ascii="David" w:hAnsi="David" w:cs="David" w:hint="cs"/>
          <w:rtl/>
        </w:rPr>
        <w:t xml:space="preserve"> הסבר על זכויות (2)</w:t>
      </w:r>
      <w:r w:rsidRPr="00C956F5">
        <w:rPr>
          <w:rFonts w:ascii="David" w:hAnsi="David" w:cs="David" w:hint="cs"/>
        </w:rPr>
        <w:t xml:space="preserve"> </w:t>
      </w:r>
      <w:r w:rsidRPr="00C956F5">
        <w:rPr>
          <w:rFonts w:ascii="David" w:hAnsi="David" w:cs="David" w:hint="cs"/>
          <w:rtl/>
        </w:rPr>
        <w:t xml:space="preserve">שופט </w:t>
      </w:r>
      <w:r w:rsidRPr="00C956F5">
        <w:rPr>
          <w:rFonts w:ascii="David" w:hAnsi="David" w:cs="David"/>
          <w:rtl/>
        </w:rPr>
        <w:t>–</w:t>
      </w:r>
      <w:r w:rsidRPr="00C956F5">
        <w:rPr>
          <w:rFonts w:ascii="David" w:hAnsi="David" w:cs="David" w:hint="cs"/>
          <w:rtl/>
        </w:rPr>
        <w:t xml:space="preserve"> וידוא וכתיבה בסוף פסק הדין</w:t>
      </w:r>
      <w:r w:rsidR="00A55B2F">
        <w:rPr>
          <w:rFonts w:ascii="David" w:hAnsi="David" w:cs="David" w:hint="cs"/>
          <w:rtl/>
        </w:rPr>
        <w:t xml:space="preserve"> החלוט</w:t>
      </w:r>
      <w:r w:rsidRPr="00C956F5">
        <w:rPr>
          <w:rFonts w:ascii="David" w:hAnsi="David" w:cs="David" w:hint="cs"/>
          <w:rtl/>
        </w:rPr>
        <w:t xml:space="preserve"> (3)</w:t>
      </w:r>
      <w:r w:rsidRPr="00C956F5">
        <w:rPr>
          <w:rFonts w:ascii="David" w:hAnsi="David" w:cs="David" w:hint="cs"/>
        </w:rPr>
        <w:t xml:space="preserve"> </w:t>
      </w:r>
      <w:r w:rsidRPr="00C956F5">
        <w:rPr>
          <w:rFonts w:ascii="David" w:hAnsi="David" w:cs="David" w:hint="cs"/>
          <w:rtl/>
        </w:rPr>
        <w:t xml:space="preserve">מזכירות </w:t>
      </w:r>
      <w:r w:rsidRPr="00C956F5">
        <w:rPr>
          <w:rFonts w:ascii="David" w:hAnsi="David" w:cs="David"/>
          <w:rtl/>
        </w:rPr>
        <w:t>–</w:t>
      </w:r>
      <w:r w:rsidRPr="00C956F5">
        <w:rPr>
          <w:rFonts w:ascii="David" w:hAnsi="David" w:cs="David" w:hint="cs"/>
          <w:rtl/>
        </w:rPr>
        <w:t xml:space="preserve"> צירוף דף לפסק הדין.</w:t>
      </w:r>
      <w:r w:rsidR="00A55B2F">
        <w:rPr>
          <w:rFonts w:ascii="David" w:hAnsi="David" w:cs="David" w:hint="cs"/>
          <w:rtl/>
        </w:rPr>
        <w:t>**זכות לפנות ולא זכות מהותית לפיצויים**</w:t>
      </w:r>
      <w:r w:rsidRPr="00C956F5">
        <w:rPr>
          <w:rFonts w:ascii="David" w:hAnsi="David" w:cs="David" w:hint="cs"/>
          <w:rtl/>
        </w:rPr>
        <w:t xml:space="preserve"> </w:t>
      </w:r>
    </w:p>
    <w:p w14:paraId="2A36BA33" w14:textId="7DA140B3" w:rsidR="00A43F5A" w:rsidRDefault="00B0370F" w:rsidP="00CC7DF2">
      <w:pPr>
        <w:bidi/>
        <w:spacing w:before="240" w:line="276" w:lineRule="auto"/>
        <w:jc w:val="both"/>
        <w:rPr>
          <w:rFonts w:ascii="David" w:hAnsi="David" w:cs="David"/>
          <w:rtl/>
        </w:rPr>
      </w:pPr>
      <w:r w:rsidRPr="00A55B2F">
        <w:rPr>
          <w:rFonts w:ascii="David" w:hAnsi="David" w:cs="David" w:hint="cs"/>
          <w:b/>
          <w:bCs/>
          <w:rtl/>
        </w:rPr>
        <w:t>הצעה 6:</w:t>
      </w:r>
      <w:r w:rsidRPr="00A55B2F">
        <w:rPr>
          <w:rFonts w:ascii="David" w:hAnsi="David" w:cs="David" w:hint="cs"/>
          <w:rtl/>
        </w:rPr>
        <w:t xml:space="preserve"> </w:t>
      </w:r>
      <w:r w:rsidR="00A55B2F">
        <w:rPr>
          <w:rFonts w:ascii="David" w:hAnsi="David" w:cs="David" w:hint="cs"/>
          <w:rtl/>
        </w:rPr>
        <w:t xml:space="preserve">הטלת </w:t>
      </w:r>
      <w:r w:rsidRPr="00A55B2F">
        <w:rPr>
          <w:rFonts w:ascii="David" w:hAnsi="David" w:cs="David" w:hint="cs"/>
          <w:rtl/>
        </w:rPr>
        <w:t xml:space="preserve">פיצויי גם </w:t>
      </w:r>
      <w:r w:rsidR="00A55B2F">
        <w:rPr>
          <w:rFonts w:ascii="David" w:hAnsi="David" w:cs="David" w:hint="cs"/>
          <w:rtl/>
        </w:rPr>
        <w:t>על מי</w:t>
      </w:r>
      <w:r w:rsidRPr="00A55B2F">
        <w:rPr>
          <w:rFonts w:ascii="David" w:hAnsi="David" w:cs="David" w:hint="cs"/>
          <w:rtl/>
        </w:rPr>
        <w:t xml:space="preserve"> שלא הורשע</w:t>
      </w:r>
      <w:r w:rsidR="00A55B2F">
        <w:rPr>
          <w:rFonts w:ascii="David" w:hAnsi="David" w:cs="David" w:hint="cs"/>
          <w:rtl/>
        </w:rPr>
        <w:t xml:space="preserve"> וקיבל צו שירות לתועלת הציבור, </w:t>
      </w:r>
      <w:r w:rsidR="00A55B2F" w:rsidRPr="00A43F5A">
        <w:rPr>
          <w:rStyle w:val="SubtleReference"/>
          <w:rFonts w:hint="cs"/>
          <w:rtl/>
        </w:rPr>
        <w:t>לפי ס' 71א(ב) לחוק העונשין.</w:t>
      </w:r>
      <w:r w:rsidR="00A55B2F">
        <w:rPr>
          <w:rFonts w:ascii="David" w:hAnsi="David" w:cs="David" w:hint="cs"/>
          <w:rtl/>
        </w:rPr>
        <w:t xml:space="preserve"> </w:t>
      </w:r>
      <w:r w:rsidR="00A55B2F">
        <w:rPr>
          <w:rFonts w:ascii="David" w:hAnsi="David" w:cs="David"/>
          <w:rtl/>
        </w:rPr>
        <w:br/>
      </w:r>
      <w:r w:rsidR="00A55B2F">
        <w:rPr>
          <w:rFonts w:ascii="David" w:hAnsi="David" w:cs="David" w:hint="cs"/>
          <w:rtl/>
        </w:rPr>
        <w:t>פרקטיקה:</w:t>
      </w:r>
      <w:r w:rsidR="00A55B2F">
        <w:rPr>
          <w:rFonts w:ascii="David" w:hAnsi="David" w:cs="David" w:hint="cs"/>
        </w:rPr>
        <w:t xml:space="preserve"> </w:t>
      </w:r>
      <w:r w:rsidR="00A55B2F">
        <w:rPr>
          <w:rFonts w:ascii="David" w:hAnsi="David" w:cs="David" w:hint="cs"/>
          <w:rtl/>
        </w:rPr>
        <w:t xml:space="preserve">צורך בהסדר חקיקתי, ולא רק בפרשנות כפי שהיה בפס"ד </w:t>
      </w:r>
      <w:r w:rsidRPr="00A43F5A">
        <w:rPr>
          <w:rStyle w:val="QuoteChar"/>
          <w:rFonts w:hint="cs"/>
          <w:rtl/>
        </w:rPr>
        <w:t>אסף נ' מדינת ישראל</w:t>
      </w:r>
      <w:r w:rsidR="00A43F5A">
        <w:rPr>
          <w:rStyle w:val="QuoteChar"/>
          <w:rFonts w:hint="cs"/>
          <w:rtl/>
        </w:rPr>
        <w:t xml:space="preserve">. </w:t>
      </w:r>
      <w:r w:rsidR="00A43F5A">
        <w:rPr>
          <w:rFonts w:ascii="David" w:hAnsi="David" w:cs="David" w:hint="cs"/>
          <w:rtl/>
        </w:rPr>
        <w:t xml:space="preserve">כלומר: "הורשע אדם" </w:t>
      </w:r>
      <w:r w:rsidR="00A43F5A" w:rsidRPr="00A43F5A">
        <w:rPr>
          <w:rFonts w:ascii="David" w:hAnsi="David" w:cs="David"/>
        </w:rPr>
        <w:sym w:font="Wingdings" w:char="F0DF"/>
      </w:r>
      <w:r w:rsidR="00A43F5A">
        <w:rPr>
          <w:rFonts w:ascii="David" w:hAnsi="David" w:cs="David" w:hint="cs"/>
          <w:rtl/>
        </w:rPr>
        <w:t xml:space="preserve"> "הורשע אדם ובחר ביהמ"ש ..</w:t>
      </w:r>
    </w:p>
    <w:p w14:paraId="50444B37" w14:textId="77777777" w:rsidR="006008BF" w:rsidRDefault="00B0370F" w:rsidP="00CC7DF2">
      <w:pPr>
        <w:bidi/>
        <w:spacing w:after="0" w:line="276" w:lineRule="auto"/>
        <w:jc w:val="both"/>
        <w:rPr>
          <w:rFonts w:ascii="David" w:hAnsi="David" w:cs="David"/>
        </w:rPr>
      </w:pPr>
      <w:r w:rsidRPr="00A55B2F">
        <w:rPr>
          <w:rFonts w:ascii="David" w:hAnsi="David" w:cs="David" w:hint="cs"/>
          <w:rtl/>
        </w:rPr>
        <w:t>הצעה 7 (רשות)</w:t>
      </w:r>
      <w:r w:rsidRPr="00A55B2F">
        <w:rPr>
          <w:rFonts w:ascii="David" w:hAnsi="David" w:cs="David" w:hint="cs"/>
        </w:rPr>
        <w:t xml:space="preserve"> </w:t>
      </w:r>
    </w:p>
    <w:p w14:paraId="2A051E36" w14:textId="1E236E1F" w:rsidR="00B0370F" w:rsidRPr="006008BF" w:rsidRDefault="00B0370F" w:rsidP="00CC7DF2">
      <w:pPr>
        <w:bidi/>
        <w:spacing w:after="0" w:line="276" w:lineRule="auto"/>
        <w:jc w:val="both"/>
        <w:rPr>
          <w:rFonts w:ascii="David" w:hAnsi="David" w:cs="David"/>
          <w:rtl/>
        </w:rPr>
      </w:pPr>
      <w:r w:rsidRPr="00A55B2F">
        <w:rPr>
          <w:rFonts w:ascii="David" w:hAnsi="David" w:cs="David"/>
          <w:rtl/>
        </w:rPr>
        <w:br/>
      </w:r>
      <w:r w:rsidRPr="00A55B2F">
        <w:rPr>
          <w:rFonts w:ascii="David" w:hAnsi="David" w:cs="David" w:hint="cs"/>
          <w:b/>
          <w:bCs/>
          <w:rtl/>
        </w:rPr>
        <w:t>הצעה 8:</w:t>
      </w:r>
      <w:r w:rsidRPr="00A55B2F">
        <w:rPr>
          <w:rFonts w:ascii="David" w:hAnsi="David" w:cs="David" w:hint="cs"/>
        </w:rPr>
        <w:t xml:space="preserve"> </w:t>
      </w:r>
      <w:r w:rsidRPr="00A55B2F">
        <w:rPr>
          <w:rFonts w:ascii="David" w:hAnsi="David" w:cs="David" w:hint="cs"/>
          <w:rtl/>
        </w:rPr>
        <w:t xml:space="preserve">מישור גבייה ואכיפה </w:t>
      </w:r>
      <w:r w:rsidRPr="00A55B2F">
        <w:rPr>
          <w:rFonts w:ascii="David" w:hAnsi="David" w:cs="David"/>
          <w:rtl/>
        </w:rPr>
        <w:t>–</w:t>
      </w:r>
      <w:r w:rsidRPr="00A55B2F">
        <w:rPr>
          <w:rFonts w:ascii="David" w:hAnsi="David" w:cs="David" w:hint="cs"/>
          <w:rtl/>
        </w:rPr>
        <w:t xml:space="preserve"> </w:t>
      </w:r>
    </w:p>
    <w:p w14:paraId="586E0244" w14:textId="0C83C49F" w:rsidR="00B0370F" w:rsidRPr="00B0370F" w:rsidRDefault="00B0370F" w:rsidP="00CC7DF2">
      <w:pPr>
        <w:pStyle w:val="ListParagraph"/>
        <w:numPr>
          <w:ilvl w:val="0"/>
          <w:numId w:val="2"/>
        </w:numPr>
        <w:bidi/>
        <w:spacing w:after="0" w:line="276" w:lineRule="auto"/>
        <w:jc w:val="both"/>
        <w:rPr>
          <w:rFonts w:ascii="David" w:hAnsi="David" w:cs="David"/>
        </w:rPr>
      </w:pPr>
      <w:r w:rsidRPr="00B0370F">
        <w:rPr>
          <w:rFonts w:ascii="David" w:hAnsi="David" w:cs="David" w:hint="cs"/>
          <w:rtl/>
        </w:rPr>
        <w:t xml:space="preserve">הגדלת הסכום מ-10,000 ולא רק לגבי קטינים. </w:t>
      </w:r>
    </w:p>
    <w:p w14:paraId="7296246A" w14:textId="77777777" w:rsidR="006008BF" w:rsidRDefault="006008BF" w:rsidP="00CC7DF2">
      <w:pPr>
        <w:pStyle w:val="ListParagraph"/>
        <w:numPr>
          <w:ilvl w:val="0"/>
          <w:numId w:val="2"/>
        </w:numPr>
        <w:bidi/>
        <w:spacing w:after="0" w:line="276" w:lineRule="auto"/>
        <w:jc w:val="both"/>
        <w:rPr>
          <w:rFonts w:ascii="David" w:hAnsi="David" w:cs="David"/>
        </w:rPr>
      </w:pPr>
      <w:r>
        <w:rPr>
          <w:rFonts w:ascii="David" w:hAnsi="David" w:cs="David" w:hint="cs"/>
          <w:rtl/>
        </w:rPr>
        <w:t>כאשר החייב אינו בר פירעון (לפי תקופת זמן מוגבלת וקצרה)</w:t>
      </w:r>
      <w:r>
        <w:rPr>
          <w:rFonts w:ascii="David" w:hAnsi="David" w:cs="David" w:hint="cs"/>
        </w:rPr>
        <w:t xml:space="preserve"> </w:t>
      </w:r>
      <w:r>
        <w:rPr>
          <w:rFonts w:ascii="David" w:hAnsi="David" w:cs="David"/>
          <w:rtl/>
        </w:rPr>
        <w:t>–</w:t>
      </w:r>
      <w:r>
        <w:rPr>
          <w:rFonts w:ascii="David" w:hAnsi="David" w:cs="David" w:hint="cs"/>
          <w:rtl/>
        </w:rPr>
        <w:t xml:space="preserve"> המדינה תישא בעול הפיצוי. ניתן לבצע באמצעות קרן (כמו קרנית)</w:t>
      </w:r>
      <w:r>
        <w:rPr>
          <w:rFonts w:ascii="David" w:hAnsi="David" w:cs="David" w:hint="cs"/>
        </w:rPr>
        <w:t xml:space="preserve"> </w:t>
      </w:r>
      <w:r>
        <w:rPr>
          <w:rFonts w:ascii="David" w:hAnsi="David" w:cs="David" w:hint="cs"/>
          <w:rtl/>
        </w:rPr>
        <w:t xml:space="preserve">. </w:t>
      </w:r>
    </w:p>
    <w:p w14:paraId="698BE297" w14:textId="77777777" w:rsidR="006008BF" w:rsidRDefault="006008BF" w:rsidP="00CC7DF2">
      <w:pPr>
        <w:pStyle w:val="ListParagraph"/>
        <w:bidi/>
        <w:spacing w:after="0" w:line="276" w:lineRule="auto"/>
        <w:ind w:left="630"/>
        <w:jc w:val="both"/>
        <w:rPr>
          <w:rFonts w:ascii="David" w:hAnsi="David" w:cs="David"/>
          <w:rtl/>
        </w:rPr>
      </w:pPr>
      <w:r w:rsidRPr="006008BF">
        <w:rPr>
          <w:rFonts w:ascii="David" w:hAnsi="David" w:cs="David" w:hint="cs"/>
          <w:u w:val="single"/>
          <w:rtl/>
        </w:rPr>
        <w:t>ביקורת</w:t>
      </w:r>
      <w:r>
        <w:rPr>
          <w:rFonts w:ascii="David" w:hAnsi="David" w:cs="David" w:hint="cs"/>
          <w:rtl/>
        </w:rPr>
        <w:t xml:space="preserve"> </w:t>
      </w:r>
      <w:r>
        <w:rPr>
          <w:rFonts w:ascii="David" w:hAnsi="David" w:cs="David"/>
          <w:rtl/>
        </w:rPr>
        <w:t>–</w:t>
      </w:r>
      <w:r>
        <w:rPr>
          <w:rFonts w:ascii="David" w:hAnsi="David" w:cs="David" w:hint="cs"/>
          <w:rtl/>
        </w:rPr>
        <w:t xml:space="preserve"> עליות גבוהות. </w:t>
      </w:r>
    </w:p>
    <w:p w14:paraId="0AC777D2" w14:textId="21428088" w:rsidR="00B0370F" w:rsidRDefault="006008BF" w:rsidP="00CC7DF2">
      <w:pPr>
        <w:pStyle w:val="ListParagraph"/>
        <w:bidi/>
        <w:spacing w:after="0" w:line="276" w:lineRule="auto"/>
        <w:ind w:left="630"/>
        <w:jc w:val="both"/>
        <w:rPr>
          <w:rFonts w:ascii="David" w:hAnsi="David" w:cs="David"/>
        </w:rPr>
      </w:pPr>
      <w:r w:rsidRPr="006008BF">
        <w:rPr>
          <w:rFonts w:ascii="David" w:hAnsi="David" w:cs="David" w:hint="cs"/>
          <w:u w:val="single"/>
          <w:rtl/>
        </w:rPr>
        <w:t xml:space="preserve">פתרון </w:t>
      </w:r>
      <w:r>
        <w:rPr>
          <w:rFonts w:ascii="David" w:hAnsi="David" w:cs="David"/>
          <w:rtl/>
        </w:rPr>
        <w:t>–</w:t>
      </w:r>
      <w:r>
        <w:rPr>
          <w:rFonts w:ascii="David" w:hAnsi="David" w:cs="David" w:hint="cs"/>
          <w:rtl/>
        </w:rPr>
        <w:t xml:space="preserve"> (א)</w:t>
      </w:r>
      <w:r>
        <w:rPr>
          <w:rFonts w:ascii="David" w:hAnsi="David" w:cs="David" w:hint="cs"/>
        </w:rPr>
        <w:t xml:space="preserve"> </w:t>
      </w:r>
      <w:r>
        <w:rPr>
          <w:rFonts w:ascii="David" w:hAnsi="David" w:cs="David" w:hint="cs"/>
          <w:rtl/>
        </w:rPr>
        <w:t>המדינה היא שחקן חוזר בעלת מנגנון ייעודי (ב)</w:t>
      </w:r>
      <w:r>
        <w:rPr>
          <w:rFonts w:ascii="David" w:hAnsi="David" w:cs="David" w:hint="cs"/>
        </w:rPr>
        <w:t xml:space="preserve"> </w:t>
      </w:r>
      <w:r>
        <w:rPr>
          <w:rFonts w:ascii="David" w:hAnsi="David" w:cs="David" w:hint="cs"/>
          <w:rtl/>
        </w:rPr>
        <w:t xml:space="preserve">צמצום ההצעה בשל בראשון לעבירות מין ועבירות חמורות, אולם להשאיר את ההסדר הקיים </w:t>
      </w:r>
    </w:p>
    <w:p w14:paraId="24A6AC1C" w14:textId="7DC9D32D" w:rsidR="006008BF" w:rsidRDefault="00B0370F" w:rsidP="00CC7DF2">
      <w:pPr>
        <w:pStyle w:val="ListParagraph"/>
        <w:numPr>
          <w:ilvl w:val="0"/>
          <w:numId w:val="2"/>
        </w:numPr>
        <w:bidi/>
        <w:spacing w:after="0" w:line="276" w:lineRule="auto"/>
        <w:jc w:val="both"/>
        <w:rPr>
          <w:rFonts w:ascii="David" w:hAnsi="David" w:cs="David"/>
        </w:rPr>
      </w:pPr>
      <w:r>
        <w:rPr>
          <w:rFonts w:ascii="David" w:hAnsi="David" w:cs="David" w:hint="cs"/>
          <w:rtl/>
        </w:rPr>
        <w:t>להצעה יש עלויות לכן בשלב ראשון רק לעבירות מין ועבירות חמורות</w:t>
      </w:r>
      <w:r w:rsidR="006008BF">
        <w:rPr>
          <w:rFonts w:ascii="David" w:hAnsi="David" w:cs="David" w:hint="cs"/>
          <w:rtl/>
        </w:rPr>
        <w:t xml:space="preserve"> כלפי בגירים</w:t>
      </w:r>
      <w:r>
        <w:rPr>
          <w:rFonts w:ascii="David" w:hAnsi="David" w:cs="David" w:hint="cs"/>
          <w:rtl/>
        </w:rPr>
        <w:t xml:space="preserve">, אולם לגבי קטינים </w:t>
      </w:r>
      <w:r>
        <w:rPr>
          <w:rFonts w:ascii="David" w:hAnsi="David" w:cs="David"/>
          <w:rtl/>
        </w:rPr>
        <w:t>–</w:t>
      </w:r>
      <w:r>
        <w:rPr>
          <w:rFonts w:ascii="David" w:hAnsi="David" w:cs="David" w:hint="cs"/>
          <w:rtl/>
        </w:rPr>
        <w:t xml:space="preserve"> להשאיר את ההסדר ולהרחיב גם לחסרי ישע</w:t>
      </w:r>
      <w:r w:rsidR="006008BF">
        <w:rPr>
          <w:rFonts w:ascii="David" w:hAnsi="David" w:cs="David" w:hint="cs"/>
          <w:rtl/>
        </w:rPr>
        <w:t xml:space="preserve"> + פסיקה מעל 10,000 ₪</w:t>
      </w:r>
    </w:p>
    <w:p w14:paraId="35CBA383" w14:textId="6DE2C3A8" w:rsidR="006008BF" w:rsidRDefault="006008BF" w:rsidP="00CC7DF2">
      <w:pPr>
        <w:bidi/>
        <w:spacing w:after="0" w:line="276" w:lineRule="auto"/>
        <w:ind w:left="270"/>
        <w:jc w:val="both"/>
        <w:rPr>
          <w:rFonts w:ascii="David" w:hAnsi="David" w:cs="David"/>
          <w:rtl/>
        </w:rPr>
      </w:pPr>
    </w:p>
    <w:p w14:paraId="0FDDA6D6" w14:textId="070A9744" w:rsidR="00DB1B7E" w:rsidRDefault="006008BF" w:rsidP="00CC7DF2">
      <w:pPr>
        <w:bidi/>
        <w:spacing w:after="0" w:line="276" w:lineRule="auto"/>
        <w:ind w:left="270"/>
        <w:jc w:val="both"/>
        <w:rPr>
          <w:rFonts w:ascii="David" w:hAnsi="David" w:cs="David"/>
          <w:rtl/>
        </w:rPr>
      </w:pPr>
      <w:r w:rsidRPr="003174CA">
        <w:rPr>
          <w:rFonts w:ascii="David" w:hAnsi="David" w:cs="David" w:hint="cs"/>
          <w:u w:val="single"/>
          <w:rtl/>
        </w:rPr>
        <w:t>סיכום הצעות- יתרונות:</w:t>
      </w:r>
      <w:r>
        <w:rPr>
          <w:rFonts w:ascii="David" w:hAnsi="David" w:cs="David" w:hint="cs"/>
        </w:rPr>
        <w:t xml:space="preserve"> </w:t>
      </w:r>
      <w:r>
        <w:rPr>
          <w:rFonts w:ascii="David" w:hAnsi="David" w:cs="David" w:hint="cs"/>
          <w:rtl/>
        </w:rPr>
        <w:t xml:space="preserve"> </w:t>
      </w:r>
      <w:r w:rsidR="003174CA">
        <w:rPr>
          <w:rFonts w:ascii="David" w:hAnsi="David" w:cs="David" w:hint="cs"/>
          <w:rtl/>
        </w:rPr>
        <w:t>(א)</w:t>
      </w:r>
      <w:r w:rsidR="003174CA">
        <w:rPr>
          <w:rFonts w:ascii="David" w:hAnsi="David" w:cs="David" w:hint="cs"/>
        </w:rPr>
        <w:t xml:space="preserve"> </w:t>
      </w:r>
      <w:r>
        <w:rPr>
          <w:rFonts w:ascii="David" w:hAnsi="David" w:cs="David" w:hint="cs"/>
          <w:rtl/>
        </w:rPr>
        <w:t xml:space="preserve">הרחבת תפקיד המשפט הפלילי </w:t>
      </w:r>
      <w:r>
        <w:rPr>
          <w:rFonts w:ascii="David" w:hAnsi="David" w:cs="David"/>
          <w:rtl/>
        </w:rPr>
        <w:t>–</w:t>
      </w:r>
      <w:r>
        <w:rPr>
          <w:rFonts w:ascii="David" w:hAnsi="David" w:cs="David" w:hint="cs"/>
          <w:rtl/>
        </w:rPr>
        <w:t xml:space="preserve"> </w:t>
      </w:r>
      <w:r w:rsidR="003174CA">
        <w:rPr>
          <w:rFonts w:ascii="David" w:hAnsi="David" w:cs="David" w:hint="cs"/>
          <w:rtl/>
        </w:rPr>
        <w:t>סיוע בדמות פיצוי לנפגע העבירה (ב)</w:t>
      </w:r>
      <w:r w:rsidR="003174CA">
        <w:rPr>
          <w:rFonts w:ascii="David" w:hAnsi="David" w:cs="David" w:hint="cs"/>
        </w:rPr>
        <w:t xml:space="preserve"> </w:t>
      </w:r>
      <w:r w:rsidR="003174CA">
        <w:rPr>
          <w:rFonts w:ascii="David" w:hAnsi="David" w:cs="David" w:hint="cs"/>
          <w:rtl/>
        </w:rPr>
        <w:t xml:space="preserve"> לרוב ההצעות אין צורך בתקציב רב (ג)</w:t>
      </w:r>
      <w:r w:rsidR="003174CA">
        <w:rPr>
          <w:rFonts w:ascii="David" w:hAnsi="David" w:cs="David" w:hint="cs"/>
        </w:rPr>
        <w:t xml:space="preserve"> </w:t>
      </w:r>
      <w:r w:rsidR="003174CA">
        <w:rPr>
          <w:rFonts w:ascii="David" w:hAnsi="David" w:cs="David" w:hint="cs"/>
          <w:rtl/>
        </w:rPr>
        <w:t xml:space="preserve"> יעודד את נפגע העבירה לדווח ולשתף פעולה משום שיקבל סיוע במסגרת ההליך.</w:t>
      </w:r>
    </w:p>
    <w:p w14:paraId="157C16DE" w14:textId="77777777" w:rsidR="00DB1B7E" w:rsidRPr="006008BF" w:rsidRDefault="00DB1B7E" w:rsidP="00CC7DF2">
      <w:pPr>
        <w:bidi/>
        <w:spacing w:after="0" w:line="276" w:lineRule="auto"/>
        <w:ind w:left="270"/>
        <w:jc w:val="both"/>
        <w:rPr>
          <w:rFonts w:ascii="David" w:hAnsi="David" w:cs="David"/>
        </w:rPr>
      </w:pPr>
    </w:p>
    <w:p w14:paraId="29442A51" w14:textId="1B4B030A" w:rsidR="003A06CC" w:rsidRPr="00B07883" w:rsidRDefault="00B07883" w:rsidP="00CC7DF2">
      <w:pPr>
        <w:pStyle w:val="IntenseQuote"/>
        <w:jc w:val="both"/>
        <w:rPr>
          <w:rtl/>
        </w:rPr>
      </w:pPr>
      <w:r>
        <w:rPr>
          <w:rFonts w:hint="cs"/>
          <w:rtl/>
        </w:rPr>
        <w:t xml:space="preserve">פיצוי לקורבן העבירה בתביעה נזיקית ואזרחית נגררת </w:t>
      </w:r>
    </w:p>
    <w:p w14:paraId="2B77CAFE" w14:textId="7A76E453" w:rsidR="001640CA" w:rsidRPr="001640CA" w:rsidRDefault="00D22FC4" w:rsidP="00CC7DF2">
      <w:pPr>
        <w:pStyle w:val="ListParagraph"/>
        <w:numPr>
          <w:ilvl w:val="0"/>
          <w:numId w:val="1"/>
        </w:numPr>
        <w:bidi/>
        <w:spacing w:before="240" w:line="276" w:lineRule="auto"/>
        <w:jc w:val="both"/>
        <w:rPr>
          <w:rStyle w:val="IntenseReference"/>
          <w:rFonts w:ascii="David" w:hAnsi="David" w:cs="David"/>
          <w:u w:val="single"/>
        </w:rPr>
      </w:pPr>
      <w:r w:rsidRPr="001640CA">
        <w:rPr>
          <w:rStyle w:val="IntenseReference"/>
          <w:rFonts w:ascii="David" w:hAnsi="David" w:cs="David"/>
          <w:color w:val="auto"/>
          <w:u w:val="single"/>
          <w:rtl/>
        </w:rPr>
        <w:t>הקלה ראייתית בתביעה נזיקית "רגילה"</w:t>
      </w:r>
    </w:p>
    <w:p w14:paraId="52B7BEC5" w14:textId="70BA4D72" w:rsidR="00B07883" w:rsidRPr="00B07883" w:rsidRDefault="00B07883" w:rsidP="00CC7DF2">
      <w:pPr>
        <w:pStyle w:val="ListParagraph"/>
        <w:bidi/>
        <w:spacing w:before="240" w:line="276" w:lineRule="auto"/>
        <w:ind w:left="450"/>
        <w:jc w:val="both"/>
        <w:rPr>
          <w:rFonts w:ascii="David" w:hAnsi="David" w:cs="David"/>
          <w:rtl/>
        </w:rPr>
      </w:pPr>
      <w:r w:rsidRPr="00B07883">
        <w:rPr>
          <w:rStyle w:val="SubtleReference"/>
          <w:rFonts w:hint="cs"/>
          <w:rtl/>
        </w:rPr>
        <w:t>ס' 42א(א)</w:t>
      </w:r>
      <w:r w:rsidRPr="00B07883">
        <w:rPr>
          <w:rFonts w:ascii="David" w:hAnsi="David" w:cs="David" w:hint="cs"/>
          <w:rtl/>
        </w:rPr>
        <w:t>= ביהמ"ש אזרחי יכול להשתמש בממצאים וראיות של פסק הדין הפלילי (הוכח מעל כל ספק סביר)</w:t>
      </w:r>
      <w:r w:rsidRPr="00B07883">
        <w:rPr>
          <w:rFonts w:ascii="David" w:hAnsi="David" w:cs="David" w:hint="cs"/>
        </w:rPr>
        <w:t xml:space="preserve"> </w:t>
      </w:r>
      <w:r w:rsidRPr="00B07883">
        <w:rPr>
          <w:rFonts w:ascii="David" w:hAnsi="David" w:cs="David" w:hint="cs"/>
          <w:rtl/>
        </w:rPr>
        <w:t>.</w:t>
      </w:r>
    </w:p>
    <w:p w14:paraId="4E1E43A3" w14:textId="626B8AC6" w:rsidR="00D22FC4" w:rsidRPr="00D22FC4" w:rsidRDefault="00D22FC4" w:rsidP="00CC7DF2">
      <w:pPr>
        <w:pStyle w:val="ListParagraph"/>
        <w:bidi/>
        <w:spacing w:before="240" w:line="276" w:lineRule="auto"/>
        <w:ind w:left="450"/>
        <w:jc w:val="both"/>
        <w:rPr>
          <w:rFonts w:ascii="David" w:hAnsi="David" w:cs="David"/>
          <w:u w:val="single"/>
          <w:rtl/>
        </w:rPr>
      </w:pPr>
      <w:r w:rsidRPr="00D22FC4">
        <w:rPr>
          <w:rFonts w:ascii="David" w:hAnsi="David" w:cs="David" w:hint="cs"/>
          <w:u w:val="single"/>
          <w:rtl/>
        </w:rPr>
        <w:t>קשיים:</w:t>
      </w:r>
    </w:p>
    <w:p w14:paraId="32AB0A6B" w14:textId="77777777" w:rsidR="00B62A3C" w:rsidRDefault="00D22FC4" w:rsidP="00CC7DF2">
      <w:pPr>
        <w:pStyle w:val="ListParagraph"/>
        <w:numPr>
          <w:ilvl w:val="0"/>
          <w:numId w:val="2"/>
        </w:numPr>
        <w:bidi/>
        <w:spacing w:before="240" w:line="276" w:lineRule="auto"/>
        <w:jc w:val="both"/>
        <w:rPr>
          <w:rFonts w:ascii="David" w:hAnsi="David" w:cs="David"/>
        </w:rPr>
      </w:pPr>
      <w:r w:rsidRPr="00B62A3C">
        <w:rPr>
          <w:rFonts w:ascii="David" w:hAnsi="David" w:cs="David" w:hint="cs"/>
          <w:b/>
          <w:bCs/>
          <w:rtl/>
        </w:rPr>
        <w:t>במקרים רבים תביעות לא מוגשות:</w:t>
      </w:r>
      <w:r>
        <w:rPr>
          <w:rFonts w:ascii="David" w:hAnsi="David" w:cs="David" w:hint="cs"/>
          <w:rtl/>
        </w:rPr>
        <w:t xml:space="preserve"> חוסר ידיעה, הוצאות</w:t>
      </w:r>
      <w:r w:rsidR="00B07883">
        <w:rPr>
          <w:rFonts w:ascii="David" w:hAnsi="David" w:cs="David" w:hint="cs"/>
          <w:rtl/>
        </w:rPr>
        <w:t xml:space="preserve"> גבוהות של </w:t>
      </w:r>
      <w:r w:rsidR="00B62A3C">
        <w:rPr>
          <w:rFonts w:ascii="David" w:hAnsi="David" w:cs="David" w:hint="cs"/>
          <w:rtl/>
        </w:rPr>
        <w:t>הנפגע</w:t>
      </w:r>
      <w:r>
        <w:rPr>
          <w:rFonts w:ascii="David" w:hAnsi="David" w:cs="David" w:hint="cs"/>
          <w:rtl/>
        </w:rPr>
        <w:t xml:space="preserve">, כסף מזוהם, חשש מעימות, חשש מנקמה, חוסר אמון ברשויות, מצב כלכלי של העבריין+ </w:t>
      </w:r>
      <w:r w:rsidR="00B62A3C">
        <w:rPr>
          <w:rFonts w:ascii="David" w:hAnsi="David" w:cs="David" w:hint="cs"/>
          <w:rtl/>
        </w:rPr>
        <w:t xml:space="preserve">נכנס לכלא לתקופה ארוכה, המדינה לא מתמרצת לאת הקורבן להגיש תביעה משום שנגמר בפשרה או בפיצוי נמוך, </w:t>
      </w:r>
      <w:r>
        <w:rPr>
          <w:rFonts w:ascii="David" w:hAnsi="David" w:cs="David" w:hint="cs"/>
          <w:rtl/>
        </w:rPr>
        <w:t>הפיצוי הפלילי מנוכה מה שהופל את הביעה לפחות כדאית.</w:t>
      </w:r>
    </w:p>
    <w:p w14:paraId="3A5D08AE" w14:textId="1E22C2EB" w:rsidR="00B62A3C" w:rsidRDefault="00D22FC4" w:rsidP="00CC7DF2">
      <w:pPr>
        <w:pStyle w:val="ListParagraph"/>
        <w:numPr>
          <w:ilvl w:val="0"/>
          <w:numId w:val="2"/>
        </w:numPr>
        <w:bidi/>
        <w:spacing w:line="276" w:lineRule="auto"/>
        <w:jc w:val="both"/>
        <w:rPr>
          <w:rFonts w:ascii="David" w:hAnsi="David" w:cs="David"/>
        </w:rPr>
      </w:pPr>
      <w:r w:rsidRPr="00B62A3C">
        <w:rPr>
          <w:rFonts w:ascii="David" w:hAnsi="David" w:cs="David" w:hint="cs"/>
          <w:rtl/>
        </w:rPr>
        <w:t xml:space="preserve">גם אם מוגשות תביעות, לפי </w:t>
      </w:r>
      <w:r w:rsidRPr="00B62A3C">
        <w:rPr>
          <w:rStyle w:val="SubtleReference"/>
          <w:rFonts w:hint="cs"/>
          <w:rtl/>
        </w:rPr>
        <w:t>ס' 42ג' לפק' הראיות</w:t>
      </w:r>
      <w:r w:rsidRPr="00B62A3C">
        <w:rPr>
          <w:rFonts w:ascii="David" w:hAnsi="David" w:cs="David" w:hint="cs"/>
          <w:rtl/>
        </w:rPr>
        <w:t xml:space="preserve"> ניתן להביא ראיות לסתור, מה שמ</w:t>
      </w:r>
      <w:r w:rsidR="00B62A3C" w:rsidRPr="00B62A3C">
        <w:rPr>
          <w:rFonts w:ascii="David" w:hAnsi="David" w:cs="David" w:hint="cs"/>
          <w:rtl/>
        </w:rPr>
        <w:t>ב</w:t>
      </w:r>
      <w:r w:rsidRPr="00B62A3C">
        <w:rPr>
          <w:rFonts w:ascii="David" w:hAnsi="David" w:cs="David" w:hint="cs"/>
          <w:rtl/>
        </w:rPr>
        <w:t>טל את פסק הדין כראיה.</w:t>
      </w:r>
    </w:p>
    <w:p w14:paraId="369C84B1" w14:textId="6B01DC50" w:rsidR="00B62A3C" w:rsidRDefault="00B62A3C" w:rsidP="00CC7DF2">
      <w:pPr>
        <w:pStyle w:val="ListParagraph"/>
        <w:numPr>
          <w:ilvl w:val="0"/>
          <w:numId w:val="2"/>
        </w:numPr>
        <w:bidi/>
        <w:spacing w:line="276" w:lineRule="auto"/>
        <w:jc w:val="both"/>
        <w:rPr>
          <w:rFonts w:ascii="David" w:hAnsi="David" w:cs="David"/>
        </w:rPr>
      </w:pPr>
      <w:r>
        <w:rPr>
          <w:rFonts w:ascii="David" w:hAnsi="David" w:cs="David" w:hint="cs"/>
          <w:rtl/>
        </w:rPr>
        <w:t xml:space="preserve">שימוש בפק' הראיות טעון אישור ביהמ"ש. </w:t>
      </w:r>
      <w:r w:rsidRPr="00B62A3C">
        <w:rPr>
          <w:rFonts w:ascii="David" w:hAnsi="David" w:cs="David" w:hint="cs"/>
          <w:u w:val="single"/>
          <w:rtl/>
        </w:rPr>
        <w:t>לא אושר = תביעה נזיקית רגילה.</w:t>
      </w:r>
      <w:r w:rsidRPr="00B62A3C">
        <w:rPr>
          <w:rFonts w:ascii="David" w:hAnsi="David" w:cs="David" w:hint="cs"/>
          <w:rtl/>
        </w:rPr>
        <w:t xml:space="preserve"> </w:t>
      </w:r>
    </w:p>
    <w:p w14:paraId="03630C03" w14:textId="77777777" w:rsidR="00B62A3C" w:rsidRDefault="00D22FC4" w:rsidP="00CC7DF2">
      <w:pPr>
        <w:pStyle w:val="ListParagraph"/>
        <w:numPr>
          <w:ilvl w:val="0"/>
          <w:numId w:val="2"/>
        </w:numPr>
        <w:bidi/>
        <w:spacing w:line="276" w:lineRule="auto"/>
        <w:jc w:val="both"/>
        <w:rPr>
          <w:rFonts w:ascii="David" w:hAnsi="David" w:cs="David"/>
        </w:rPr>
      </w:pPr>
      <w:r w:rsidRPr="00B62A3C">
        <w:rPr>
          <w:rFonts w:ascii="David" w:hAnsi="David" w:cs="David" w:hint="cs"/>
          <w:rtl/>
        </w:rPr>
        <w:t>הוכחת החבות לא פשוטה</w:t>
      </w:r>
      <w:r w:rsidR="00B62A3C">
        <w:rPr>
          <w:rFonts w:ascii="David" w:hAnsi="David" w:cs="David" w:hint="cs"/>
          <w:rtl/>
        </w:rPr>
        <w:t>:</w:t>
      </w:r>
      <w:r w:rsidRPr="00B62A3C">
        <w:rPr>
          <w:rFonts w:ascii="David" w:hAnsi="David" w:cs="David" w:hint="cs"/>
          <w:rtl/>
        </w:rPr>
        <w:t xml:space="preserve"> הוכחה על פי נוסחת הנזיקית</w:t>
      </w:r>
      <w:r w:rsidR="00B62A3C">
        <w:rPr>
          <w:rFonts w:ascii="David" w:hAnsi="David" w:cs="David" w:hint="cs"/>
          <w:rtl/>
        </w:rPr>
        <w:t>, קושי רגשי וכלכלי</w:t>
      </w:r>
    </w:p>
    <w:p w14:paraId="039C7999" w14:textId="1F22C5E9" w:rsidR="00D22FC4" w:rsidRDefault="00D22FC4" w:rsidP="00CC7DF2">
      <w:pPr>
        <w:pStyle w:val="ListParagraph"/>
        <w:numPr>
          <w:ilvl w:val="0"/>
          <w:numId w:val="2"/>
        </w:numPr>
        <w:bidi/>
        <w:spacing w:line="276" w:lineRule="auto"/>
        <w:jc w:val="both"/>
        <w:rPr>
          <w:rFonts w:ascii="David" w:hAnsi="David" w:cs="David"/>
        </w:rPr>
      </w:pPr>
      <w:r w:rsidRPr="00B62A3C">
        <w:rPr>
          <w:rFonts w:ascii="David" w:hAnsi="David" w:cs="David" w:hint="cs"/>
          <w:rtl/>
        </w:rPr>
        <w:t xml:space="preserve">נדרשת חוות דעת </w:t>
      </w:r>
      <w:r w:rsidR="00B62A3C">
        <w:rPr>
          <w:rFonts w:ascii="David" w:hAnsi="David" w:cs="David" w:hint="cs"/>
          <w:rtl/>
        </w:rPr>
        <w:t xml:space="preserve">רפואית </w:t>
      </w:r>
    </w:p>
    <w:p w14:paraId="140F4A19" w14:textId="7FEB884C" w:rsidR="00B62A3C" w:rsidRPr="00B62A3C" w:rsidRDefault="00B62A3C" w:rsidP="00CC7DF2">
      <w:pPr>
        <w:pStyle w:val="ListParagraph"/>
        <w:numPr>
          <w:ilvl w:val="0"/>
          <w:numId w:val="2"/>
        </w:numPr>
        <w:bidi/>
        <w:spacing w:line="276" w:lineRule="auto"/>
        <w:jc w:val="both"/>
        <w:rPr>
          <w:rFonts w:ascii="David" w:hAnsi="David" w:cs="David"/>
          <w:rtl/>
        </w:rPr>
      </w:pPr>
      <w:r>
        <w:rPr>
          <w:rFonts w:ascii="David" w:hAnsi="David" w:cs="David" w:hint="cs"/>
          <w:rtl/>
        </w:rPr>
        <w:t xml:space="preserve">במקרים רבים הפיצוי שנפסק בהליך הפלילי מנוכה מהפיצוי בהליך הנזיקי </w:t>
      </w:r>
      <w:r w:rsidRPr="00B62A3C">
        <w:rPr>
          <w:rFonts w:ascii="David" w:hAnsi="David" w:cs="David"/>
        </w:rPr>
        <w:sym w:font="Wingdings" w:char="F0DF"/>
      </w:r>
      <w:r>
        <w:rPr>
          <w:rFonts w:ascii="David" w:hAnsi="David" w:cs="David" w:hint="cs"/>
          <w:rtl/>
        </w:rPr>
        <w:t xml:space="preserve"> לא שווה להגיש תביעה. </w:t>
      </w:r>
    </w:p>
    <w:p w14:paraId="418B7454" w14:textId="47599245" w:rsidR="00D22FC4" w:rsidRDefault="008806AD" w:rsidP="00CC7DF2">
      <w:pPr>
        <w:pStyle w:val="ListParagraph"/>
        <w:bidi/>
        <w:spacing w:line="276" w:lineRule="auto"/>
        <w:ind w:left="450"/>
        <w:jc w:val="both"/>
        <w:rPr>
          <w:rFonts w:ascii="David" w:hAnsi="David" w:cs="David"/>
        </w:rPr>
      </w:pPr>
      <w:r>
        <w:rPr>
          <w:rFonts w:ascii="David" w:hAnsi="David" w:cs="David"/>
          <w:noProof/>
        </w:rPr>
        <mc:AlternateContent>
          <mc:Choice Requires="wps">
            <w:drawing>
              <wp:anchor distT="0" distB="0" distL="114300" distR="114300" simplePos="0" relativeHeight="251679744" behindDoc="0" locked="0" layoutInCell="1" allowOverlap="1" wp14:anchorId="524D368F" wp14:editId="755873FF">
                <wp:simplePos x="0" y="0"/>
                <wp:positionH relativeFrom="column">
                  <wp:posOffset>-121568</wp:posOffset>
                </wp:positionH>
                <wp:positionV relativeFrom="paragraph">
                  <wp:posOffset>45636</wp:posOffset>
                </wp:positionV>
                <wp:extent cx="6020241" cy="1220961"/>
                <wp:effectExtent l="0" t="0" r="19050" b="17780"/>
                <wp:wrapNone/>
                <wp:docPr id="26" name="Rectangle: Rounded Corners 26"/>
                <wp:cNvGraphicFramePr/>
                <a:graphic xmlns:a="http://schemas.openxmlformats.org/drawingml/2006/main">
                  <a:graphicData uri="http://schemas.microsoft.com/office/word/2010/wordprocessingShape">
                    <wps:wsp>
                      <wps:cNvSpPr/>
                      <wps:spPr>
                        <a:xfrm>
                          <a:off x="0" y="0"/>
                          <a:ext cx="6020241" cy="122096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8C8906" id="Rectangle: Rounded Corners 26" o:spid="_x0000_s1026" style="position:absolute;margin-left:-9.55pt;margin-top:3.6pt;width:474.05pt;height:96.1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" filled="f" strokecolor="black [3213]" strokeweight="1pt">
                <v:stroke joinstyle="miter"/>
              </v:roundrect>
            </w:pict>
          </mc:Fallback>
        </mc:AlternateContent>
      </w:r>
    </w:p>
    <w:p w14:paraId="6E3B3FC0" w14:textId="77777777" w:rsidR="00015EEF" w:rsidRDefault="008806AD" w:rsidP="00CC7DF2">
      <w:pPr>
        <w:pStyle w:val="ListParagraph"/>
        <w:bidi/>
        <w:spacing w:line="276" w:lineRule="auto"/>
        <w:ind w:left="450"/>
        <w:jc w:val="both"/>
        <w:rPr>
          <w:rFonts w:ascii="David" w:hAnsi="David" w:cs="David"/>
          <w:rtl/>
        </w:rPr>
      </w:pPr>
      <w:r w:rsidRPr="008806AD">
        <w:rPr>
          <w:rStyle w:val="QuoteChar"/>
          <w:rFonts w:hint="cs"/>
          <w:rtl/>
        </w:rPr>
        <w:t>שלג נ' כלפה –</w:t>
      </w:r>
      <w:r>
        <w:rPr>
          <w:rFonts w:ascii="David" w:hAnsi="David" w:cs="David" w:hint="cs"/>
          <w:rtl/>
        </w:rPr>
        <w:t xml:space="preserve"> </w:t>
      </w:r>
      <w:r w:rsidRPr="008806AD">
        <w:rPr>
          <w:rFonts w:ascii="David" w:hAnsi="David" w:cs="David"/>
          <w:rtl/>
        </w:rPr>
        <w:t xml:space="preserve">המערער תבע מהמשיב 1 (שהיה קטין) ומהוריו פיצוי בגין הרעלת עיזיו וגדייו. בית-המשפט המחוזי דחה את התביעה </w:t>
      </w:r>
      <w:r>
        <w:rPr>
          <w:rFonts w:ascii="David" w:hAnsi="David" w:cs="David" w:hint="cs"/>
          <w:rtl/>
        </w:rPr>
        <w:t xml:space="preserve">בטענה שפס"ד מבית המשפט לנוער אינו פס"ד מרשיע כאמור </w:t>
      </w:r>
      <w:r w:rsidRPr="008806AD">
        <w:rPr>
          <w:rStyle w:val="SubtleReference"/>
          <w:rFonts w:hint="cs"/>
          <w:rtl/>
        </w:rPr>
        <w:t>בסעיף 42א(א)</w:t>
      </w:r>
      <w:r w:rsidRPr="008806AD">
        <w:rPr>
          <w:rStyle w:val="SubtleReference"/>
          <w:rFonts w:hint="cs"/>
        </w:rPr>
        <w:t xml:space="preserve"> </w:t>
      </w:r>
      <w:r w:rsidRPr="008806AD">
        <w:rPr>
          <w:rStyle w:val="SubtleReference"/>
          <w:rFonts w:hint="cs"/>
          <w:rtl/>
        </w:rPr>
        <w:t>לפקודת הראיות</w:t>
      </w:r>
      <w:r>
        <w:rPr>
          <w:rFonts w:ascii="David" w:hAnsi="David" w:cs="David" w:hint="cs"/>
          <w:rtl/>
        </w:rPr>
        <w:t xml:space="preserve">, זאת משום שלא הורשע הנער, אלא אביו שילם פיצויים. </w:t>
      </w:r>
      <w:r w:rsidRPr="008806AD">
        <w:rPr>
          <w:rFonts w:ascii="David" w:hAnsi="David" w:cs="David"/>
          <w:rtl/>
        </w:rPr>
        <w:t>בית-המשפט העליון קיבל את הערעור בחלקו וקבע</w:t>
      </w:r>
      <w:r>
        <w:rPr>
          <w:rFonts w:ascii="David" w:hAnsi="David" w:cs="David" w:hint="cs"/>
          <w:rtl/>
        </w:rPr>
        <w:t xml:space="preserve"> </w:t>
      </w:r>
      <w:r w:rsidRPr="008806AD">
        <w:rPr>
          <w:rFonts w:ascii="David" w:hAnsi="David" w:cs="David"/>
          <w:rtl/>
        </w:rPr>
        <w:t xml:space="preserve">לעניין </w:t>
      </w:r>
      <w:r w:rsidRPr="008806AD">
        <w:rPr>
          <w:rStyle w:val="SubtleReference"/>
          <w:rtl/>
        </w:rPr>
        <w:t>סעיף 42א(א) לפקודת הראיות</w:t>
      </w:r>
      <w:r w:rsidRPr="008806AD">
        <w:rPr>
          <w:rFonts w:ascii="David" w:hAnsi="David" w:cs="David"/>
          <w:rtl/>
        </w:rPr>
        <w:t>, אין הבדל בין פסק-דין מרשיע ממש לבין פסק-דין שבו נקבעו ממצאים ומסקנות מרשיעים אך מנימוקים טיפוליים הוא לא נסתיים בהרשעה.</w:t>
      </w:r>
      <w:r>
        <w:rPr>
          <w:rFonts w:ascii="David" w:hAnsi="David" w:cs="David" w:hint="cs"/>
          <w:rtl/>
        </w:rPr>
        <w:t xml:space="preserve"> במקרה זה לא הוטלה חבות בשל חוסר הממצאים.</w:t>
      </w:r>
    </w:p>
    <w:p w14:paraId="365FBA02" w14:textId="593C0290" w:rsidR="008806AD" w:rsidRPr="00485D07" w:rsidRDefault="008806AD" w:rsidP="00CC7DF2">
      <w:pPr>
        <w:pStyle w:val="ListParagraph"/>
        <w:bidi/>
        <w:spacing w:line="276" w:lineRule="auto"/>
        <w:ind w:left="450"/>
        <w:jc w:val="both"/>
        <w:rPr>
          <w:rFonts w:ascii="David" w:hAnsi="David" w:cs="David"/>
          <w:color w:val="FF0000"/>
          <w:rtl/>
        </w:rPr>
      </w:pPr>
      <w:r w:rsidRPr="008806AD">
        <w:rPr>
          <w:rFonts w:ascii="David" w:hAnsi="David" w:cs="David" w:hint="cs"/>
          <w:b/>
          <w:bCs/>
          <w:rtl/>
        </w:rPr>
        <w:t>הלכה</w:t>
      </w:r>
      <w:r w:rsidRPr="00485D07">
        <w:rPr>
          <w:rFonts w:ascii="David" w:hAnsi="David" w:cs="David" w:hint="cs"/>
          <w:b/>
          <w:bCs/>
          <w:color w:val="000000" w:themeColor="text1"/>
          <w:rtl/>
        </w:rPr>
        <w:t>:</w:t>
      </w:r>
      <w:r w:rsidRPr="00485D07">
        <w:rPr>
          <w:rFonts w:ascii="David" w:hAnsi="David" w:cs="David" w:hint="cs"/>
          <w:b/>
          <w:bCs/>
          <w:color w:val="000000" w:themeColor="text1"/>
        </w:rPr>
        <w:t xml:space="preserve"> </w:t>
      </w:r>
      <w:r w:rsidRPr="00485D07">
        <w:rPr>
          <w:rFonts w:ascii="David" w:hAnsi="David" w:cs="David"/>
          <w:b/>
          <w:bCs/>
          <w:color w:val="000000" w:themeColor="text1"/>
          <w:rtl/>
        </w:rPr>
        <w:t>ניתן לקבל פסק-דין פלילי כראיה לכאורה במשפט אזרחי אם נקבעו בו ממצאים ומסקנות מרשיעים גם אם מנימוקים טיפוליים הוא לא נסתיים בהרשעה</w:t>
      </w:r>
      <w:r w:rsidRPr="00485D07">
        <w:rPr>
          <w:rFonts w:ascii="David" w:hAnsi="David" w:cs="David" w:hint="cs"/>
          <w:b/>
          <w:bCs/>
          <w:color w:val="000000" w:themeColor="text1"/>
          <w:rtl/>
        </w:rPr>
        <w:t>.</w:t>
      </w:r>
    </w:p>
    <w:p w14:paraId="24EDE831" w14:textId="2FC20C2E" w:rsidR="00960770" w:rsidRDefault="00960770" w:rsidP="00CC7DF2">
      <w:pPr>
        <w:pStyle w:val="ListParagraph"/>
        <w:bidi/>
        <w:spacing w:line="276" w:lineRule="auto"/>
        <w:ind w:left="450"/>
        <w:jc w:val="both"/>
        <w:rPr>
          <w:rFonts w:ascii="David" w:hAnsi="David" w:cs="David"/>
          <w:color w:val="FF0000"/>
          <w:rtl/>
        </w:rPr>
      </w:pPr>
    </w:p>
    <w:p w14:paraId="425A129C" w14:textId="77777777" w:rsidR="00015EEF" w:rsidRDefault="00015EEF" w:rsidP="00CC7DF2">
      <w:pPr>
        <w:pStyle w:val="ListParagraph"/>
        <w:bidi/>
        <w:spacing w:line="276" w:lineRule="auto"/>
        <w:ind w:left="450"/>
        <w:jc w:val="both"/>
        <w:rPr>
          <w:rFonts w:ascii="David" w:hAnsi="David" w:cs="David"/>
          <w:color w:val="FF0000"/>
          <w:rtl/>
        </w:rPr>
      </w:pPr>
    </w:p>
    <w:p w14:paraId="4F4F28E1" w14:textId="77777777" w:rsidR="001006A2" w:rsidRPr="00960770" w:rsidRDefault="001006A2" w:rsidP="00CC7DF2">
      <w:pPr>
        <w:pStyle w:val="ListParagraph"/>
        <w:bidi/>
        <w:spacing w:line="276" w:lineRule="auto"/>
        <w:ind w:left="450"/>
        <w:jc w:val="both"/>
        <w:rPr>
          <w:rFonts w:ascii="David" w:hAnsi="David" w:cs="David"/>
          <w:color w:val="FF0000"/>
          <w:rtl/>
        </w:rPr>
      </w:pPr>
    </w:p>
    <w:p w14:paraId="59D14CA1" w14:textId="3E050A5F" w:rsidR="00D22FC4" w:rsidRPr="001640CA" w:rsidRDefault="00D22FC4" w:rsidP="00CC7DF2">
      <w:pPr>
        <w:pStyle w:val="ListParagraph"/>
        <w:numPr>
          <w:ilvl w:val="0"/>
          <w:numId w:val="1"/>
        </w:numPr>
        <w:bidi/>
        <w:spacing w:line="276" w:lineRule="auto"/>
        <w:jc w:val="both"/>
        <w:rPr>
          <w:rStyle w:val="IntenseReference"/>
          <w:rFonts w:ascii="David" w:hAnsi="David" w:cs="David"/>
          <w:color w:val="auto"/>
          <w:u w:val="single"/>
        </w:rPr>
      </w:pPr>
      <w:r w:rsidRPr="001640CA">
        <w:rPr>
          <w:rStyle w:val="IntenseReference"/>
          <w:rFonts w:ascii="David" w:hAnsi="David" w:cs="David"/>
          <w:color w:val="auto"/>
          <w:u w:val="single"/>
          <w:rtl/>
        </w:rPr>
        <w:lastRenderedPageBreak/>
        <w:t>תביעה נגררת להרשעה בפלילים והקשיים</w:t>
      </w:r>
    </w:p>
    <w:p w14:paraId="5D8B56D2" w14:textId="5100A04B" w:rsidR="00B62A3C" w:rsidRDefault="00B62A3C" w:rsidP="00CC7DF2">
      <w:pPr>
        <w:pStyle w:val="ListParagraph"/>
        <w:bidi/>
        <w:spacing w:line="276" w:lineRule="auto"/>
        <w:ind w:left="450"/>
        <w:jc w:val="both"/>
        <w:rPr>
          <w:rFonts w:ascii="David" w:hAnsi="David" w:cs="David"/>
          <w:rtl/>
        </w:rPr>
      </w:pPr>
      <w:r w:rsidRPr="00B62A3C">
        <w:rPr>
          <w:rStyle w:val="SubtleReference"/>
          <w:rFonts w:hint="cs"/>
          <w:rtl/>
        </w:rPr>
        <w:t>ס' 77 לחוק בתי המשפט-</w:t>
      </w:r>
      <w:r>
        <w:rPr>
          <w:rFonts w:ascii="David" w:hAnsi="David" w:cs="David" w:hint="cs"/>
          <w:rtl/>
        </w:rPr>
        <w:t xml:space="preserve"> מתוך דברי ההסבר:</w:t>
      </w:r>
      <w:r>
        <w:rPr>
          <w:rFonts w:ascii="David" w:hAnsi="David" w:cs="David" w:hint="cs"/>
        </w:rPr>
        <w:t xml:space="preserve"> </w:t>
      </w:r>
      <w:r>
        <w:rPr>
          <w:rFonts w:ascii="David" w:hAnsi="David" w:cs="David" w:hint="cs"/>
          <w:rtl/>
        </w:rPr>
        <w:t>מניעת כפילות הליכים, חסכון בזמן, שופט שמכיר את הצדדים (גם אם הדיון לא בסמכות הערכאה בה הוא יושב), התובע האזרחי אינו צד להליך הפלילי.</w:t>
      </w:r>
    </w:p>
    <w:p w14:paraId="626BA637" w14:textId="09D8CF0A" w:rsidR="00D22FC4" w:rsidRDefault="00D22FC4" w:rsidP="00CC7DF2">
      <w:pPr>
        <w:pStyle w:val="ListParagraph"/>
        <w:bidi/>
        <w:spacing w:line="276" w:lineRule="auto"/>
        <w:ind w:left="450"/>
        <w:jc w:val="both"/>
        <w:rPr>
          <w:rFonts w:ascii="David" w:hAnsi="David" w:cs="David"/>
          <w:rtl/>
        </w:rPr>
      </w:pPr>
      <w:r w:rsidRPr="00B62A3C">
        <w:rPr>
          <w:rFonts w:ascii="David" w:hAnsi="David" w:cs="David" w:hint="cs"/>
          <w:u w:val="single"/>
          <w:rtl/>
        </w:rPr>
        <w:t>יתרון:</w:t>
      </w:r>
      <w:r>
        <w:rPr>
          <w:rFonts w:ascii="David" w:hAnsi="David" w:cs="David" w:hint="cs"/>
          <w:rtl/>
        </w:rPr>
        <w:t xml:space="preserve"> פסק הדין מהווה ראיה חלוטה</w:t>
      </w:r>
      <w:r w:rsidR="000E58FE">
        <w:rPr>
          <w:rFonts w:ascii="David" w:hAnsi="David" w:cs="David" w:hint="cs"/>
          <w:rtl/>
        </w:rPr>
        <w:t xml:space="preserve"> (לא ניתן לדון שוב בראיות)</w:t>
      </w:r>
    </w:p>
    <w:p w14:paraId="01E081D7" w14:textId="611D9191" w:rsidR="00A114E6" w:rsidRPr="001006A2" w:rsidRDefault="000E58FE" w:rsidP="00CC7DF2">
      <w:pPr>
        <w:pStyle w:val="ListParagraph"/>
        <w:bidi/>
        <w:spacing w:line="276" w:lineRule="auto"/>
        <w:ind w:left="450"/>
        <w:jc w:val="both"/>
        <w:rPr>
          <w:rFonts w:ascii="David" w:hAnsi="David" w:cs="David"/>
          <w:rtl/>
        </w:rPr>
      </w:pPr>
      <w:r w:rsidRPr="00B62A3C">
        <w:rPr>
          <w:rFonts w:ascii="David" w:hAnsi="David" w:cs="David" w:hint="cs"/>
          <w:u w:val="single"/>
          <w:rtl/>
        </w:rPr>
        <w:t>חסרון:</w:t>
      </w:r>
      <w:r>
        <w:rPr>
          <w:rFonts w:ascii="David" w:hAnsi="David" w:cs="David" w:hint="cs"/>
          <w:rtl/>
        </w:rPr>
        <w:t xml:space="preserve"> ניתן להגיש עד 90 יום, אגרה, בקשה לתביעה מהשופט, מקרים בהם הותרה הודאת הנאשם בתנאי שלא תהווה ראיה בתביעה נגררת</w:t>
      </w:r>
      <w:r w:rsidR="001640CA">
        <w:rPr>
          <w:rFonts w:ascii="David" w:hAnsi="David" w:cs="David" w:hint="cs"/>
          <w:rtl/>
        </w:rPr>
        <w:t xml:space="preserve"> </w:t>
      </w:r>
      <w:r w:rsidR="001640CA" w:rsidRPr="001640CA">
        <w:rPr>
          <w:rStyle w:val="QuoteChar"/>
          <w:rFonts w:hint="cs"/>
          <w:rtl/>
        </w:rPr>
        <w:t>(מדינת ישראל נ' אבו חיאל)</w:t>
      </w:r>
      <w:r w:rsidR="001640CA">
        <w:rPr>
          <w:rStyle w:val="QuoteChar"/>
          <w:rFonts w:hint="cs"/>
          <w:rtl/>
        </w:rPr>
        <w:t xml:space="preserve">, </w:t>
      </w:r>
      <w:r w:rsidR="001640CA" w:rsidRPr="001640CA">
        <w:rPr>
          <w:rFonts w:ascii="David" w:hAnsi="David" w:cs="David"/>
          <w:rtl/>
        </w:rPr>
        <w:t>מעין חוזה לרעת צד ג'.</w:t>
      </w:r>
      <w:r w:rsidR="001640CA">
        <w:rPr>
          <w:rStyle w:val="QuoteChar"/>
          <w:rFonts w:hint="cs"/>
          <w:rtl/>
        </w:rPr>
        <w:t xml:space="preserve"> </w:t>
      </w:r>
      <w:r>
        <w:rPr>
          <w:rFonts w:ascii="David" w:hAnsi="David" w:cs="David" w:hint="cs"/>
          <w:rtl/>
        </w:rPr>
        <w:t xml:space="preserve"> </w:t>
      </w:r>
    </w:p>
    <w:p w14:paraId="7D539565" w14:textId="77777777" w:rsidR="001006A2" w:rsidRDefault="001006A2" w:rsidP="00CC7DF2">
      <w:pPr>
        <w:bidi/>
        <w:spacing w:line="276" w:lineRule="auto"/>
        <w:jc w:val="both"/>
        <w:rPr>
          <w:rFonts w:ascii="David" w:hAnsi="David" w:cs="David"/>
          <w:b/>
          <w:bCs/>
          <w:u w:val="single"/>
          <w:rtl/>
        </w:rPr>
      </w:pPr>
      <w:r w:rsidRPr="001B169E">
        <w:rPr>
          <w:rFonts w:ascii="David" w:hAnsi="David" w:cs="David" w:hint="cs"/>
          <w:b/>
          <w:bCs/>
          <w:u w:val="single"/>
          <w:rtl/>
        </w:rPr>
        <w:t>הצעות משותפות לשני המנגנוני</w:t>
      </w:r>
      <w:r w:rsidRPr="001B169E">
        <w:rPr>
          <w:rFonts w:ascii="David" w:hAnsi="David" w:cs="David" w:hint="eastAsia"/>
          <w:b/>
          <w:bCs/>
          <w:u w:val="single"/>
          <w:rtl/>
        </w:rPr>
        <w:t>ם</w:t>
      </w:r>
      <w:r w:rsidRPr="001B169E">
        <w:rPr>
          <w:rFonts w:ascii="David" w:hAnsi="David" w:cs="David" w:hint="cs"/>
          <w:b/>
          <w:bCs/>
          <w:u w:val="single"/>
          <w:rtl/>
        </w:rPr>
        <w:t xml:space="preserve"> (הקלה ראייתית +</w:t>
      </w:r>
      <w:r w:rsidRPr="001B169E">
        <w:rPr>
          <w:rFonts w:ascii="David" w:hAnsi="David" w:cs="David" w:hint="cs"/>
          <w:b/>
          <w:bCs/>
          <w:u w:val="single"/>
        </w:rPr>
        <w:t xml:space="preserve"> </w:t>
      </w:r>
      <w:r w:rsidRPr="001B169E">
        <w:rPr>
          <w:rFonts w:ascii="David" w:hAnsi="David" w:cs="David" w:hint="cs"/>
          <w:b/>
          <w:bCs/>
          <w:u w:val="single"/>
          <w:rtl/>
        </w:rPr>
        <w:t>תביעה נגררת):</w:t>
      </w:r>
    </w:p>
    <w:tbl>
      <w:tblPr>
        <w:tblStyle w:val="TableGrid"/>
        <w:tblpPr w:leftFromText="180" w:rightFromText="180" w:vertAnchor="page" w:horzAnchor="margin" w:tblpY="3701"/>
        <w:tblW w:w="0" w:type="auto"/>
        <w:tblLook w:val="04A0" w:firstRow="1" w:lastRow="0" w:firstColumn="1" w:lastColumn="0" w:noHBand="0" w:noVBand="1"/>
      </w:tblPr>
      <w:tblGrid>
        <w:gridCol w:w="4667"/>
        <w:gridCol w:w="4683"/>
      </w:tblGrid>
      <w:tr w:rsidR="00015EEF" w:rsidRPr="00A56C47" w14:paraId="0B5F7A1F" w14:textId="77777777" w:rsidTr="00015EEF">
        <w:tc>
          <w:tcPr>
            <w:tcW w:w="4667" w:type="dxa"/>
          </w:tcPr>
          <w:p w14:paraId="4772A125" w14:textId="77777777" w:rsidR="00015EEF" w:rsidRPr="00A56C47" w:rsidRDefault="00015EEF" w:rsidP="002F20E6">
            <w:pPr>
              <w:bidi/>
              <w:spacing w:line="276" w:lineRule="auto"/>
              <w:rPr>
                <w:rFonts w:ascii="David" w:hAnsi="David" w:cs="David"/>
                <w:b/>
                <w:bCs/>
                <w:rtl/>
              </w:rPr>
            </w:pPr>
            <w:r w:rsidRPr="00A56C47">
              <w:rPr>
                <w:rFonts w:ascii="David" w:hAnsi="David" w:cs="David"/>
                <w:b/>
                <w:bCs/>
                <w:rtl/>
              </w:rPr>
              <w:t>הקלה ראייתית</w:t>
            </w:r>
            <w:r w:rsidRPr="00A56C47">
              <w:rPr>
                <w:rFonts w:ascii="David" w:hAnsi="David" w:cs="David"/>
                <w:b/>
                <w:bCs/>
                <w:u w:val="single"/>
                <w:rtl/>
              </w:rPr>
              <w:t xml:space="preserve"> בתביעה נזיקית רגילה</w:t>
            </w:r>
          </w:p>
          <w:p w14:paraId="139CF23E" w14:textId="77777777" w:rsidR="00015EEF" w:rsidRPr="00A56C47" w:rsidRDefault="00015EEF" w:rsidP="002F20E6">
            <w:pPr>
              <w:bidi/>
              <w:spacing w:line="276" w:lineRule="auto"/>
              <w:rPr>
                <w:rFonts w:ascii="David" w:hAnsi="David" w:cs="David"/>
                <w:b/>
                <w:bCs/>
              </w:rPr>
            </w:pPr>
          </w:p>
        </w:tc>
        <w:tc>
          <w:tcPr>
            <w:tcW w:w="4683" w:type="dxa"/>
          </w:tcPr>
          <w:p w14:paraId="0705FA49" w14:textId="77777777" w:rsidR="00015EEF" w:rsidRPr="00A56C47" w:rsidRDefault="00015EEF" w:rsidP="002F20E6">
            <w:pPr>
              <w:bidi/>
              <w:spacing w:line="276" w:lineRule="auto"/>
              <w:jc w:val="both"/>
              <w:rPr>
                <w:rFonts w:ascii="David" w:hAnsi="David" w:cs="David"/>
                <w:b/>
                <w:bCs/>
              </w:rPr>
            </w:pPr>
            <w:r w:rsidRPr="00A56C47">
              <w:rPr>
                <w:rFonts w:ascii="David" w:hAnsi="David" w:cs="David"/>
                <w:b/>
                <w:bCs/>
                <w:rtl/>
              </w:rPr>
              <w:t xml:space="preserve">תביעה </w:t>
            </w:r>
            <w:r w:rsidRPr="00A56C47">
              <w:rPr>
                <w:rFonts w:ascii="David" w:hAnsi="David" w:cs="David"/>
                <w:b/>
                <w:bCs/>
                <w:u w:val="single"/>
                <w:rtl/>
              </w:rPr>
              <w:t xml:space="preserve">נגררת </w:t>
            </w:r>
            <w:r w:rsidRPr="00A56C47">
              <w:rPr>
                <w:rFonts w:ascii="David" w:hAnsi="David" w:cs="David" w:hint="cs"/>
                <w:b/>
                <w:bCs/>
                <w:u w:val="single"/>
                <w:rtl/>
              </w:rPr>
              <w:t>להרשעה בפלילים</w:t>
            </w:r>
            <w:r w:rsidRPr="00A56C47">
              <w:rPr>
                <w:rFonts w:ascii="David" w:hAnsi="David" w:cs="David" w:hint="cs"/>
                <w:b/>
                <w:bCs/>
                <w:rtl/>
              </w:rPr>
              <w:t xml:space="preserve"> </w:t>
            </w:r>
            <w:r w:rsidRPr="00A56C47">
              <w:rPr>
                <w:rFonts w:ascii="David" w:hAnsi="David" w:cs="David"/>
                <w:b/>
                <w:bCs/>
                <w:rtl/>
              </w:rPr>
              <w:t xml:space="preserve"> </w:t>
            </w:r>
          </w:p>
        </w:tc>
      </w:tr>
      <w:tr w:rsidR="00015EEF" w:rsidRPr="00A56C47" w14:paraId="65AB8240" w14:textId="77777777" w:rsidTr="00015EEF">
        <w:tc>
          <w:tcPr>
            <w:tcW w:w="4667" w:type="dxa"/>
            <w:shd w:val="clear" w:color="auto" w:fill="FDF1DB"/>
          </w:tcPr>
          <w:p w14:paraId="68DCA232" w14:textId="77777777" w:rsidR="00015EEF" w:rsidRPr="00A56C47" w:rsidRDefault="00015EEF" w:rsidP="002F20E6">
            <w:pPr>
              <w:bidi/>
              <w:spacing w:line="276" w:lineRule="auto"/>
              <w:rPr>
                <w:rFonts w:ascii="David" w:hAnsi="David" w:cs="David"/>
                <w:rtl/>
              </w:rPr>
            </w:pPr>
            <w:r w:rsidRPr="00A56C47">
              <w:rPr>
                <w:rFonts w:ascii="David" w:hAnsi="David" w:cs="David" w:hint="cs"/>
                <w:rtl/>
              </w:rPr>
              <w:t xml:space="preserve">הקלה ראייתית כאשר הנאשם ביצע ולא </w:t>
            </w:r>
            <w:r w:rsidRPr="00F84112">
              <w:rPr>
                <w:rFonts w:ascii="David" w:hAnsi="David" w:cs="David" w:hint="cs"/>
                <w:rtl/>
              </w:rPr>
              <w:t>הורשע (</w:t>
            </w:r>
            <w:r w:rsidRPr="00F84112">
              <w:rPr>
                <w:rStyle w:val="QuoteChar"/>
                <w:rFonts w:hint="cs"/>
                <w:rtl/>
              </w:rPr>
              <w:t>שלג נ' כלפה)</w:t>
            </w:r>
          </w:p>
          <w:p w14:paraId="73473513" w14:textId="77777777" w:rsidR="00015EEF" w:rsidRPr="00A56C47" w:rsidRDefault="00015EEF" w:rsidP="002F20E6">
            <w:pPr>
              <w:bidi/>
              <w:spacing w:line="276" w:lineRule="auto"/>
              <w:rPr>
                <w:rFonts w:ascii="David" w:hAnsi="David" w:cs="David"/>
              </w:rPr>
            </w:pPr>
          </w:p>
        </w:tc>
        <w:tc>
          <w:tcPr>
            <w:tcW w:w="4683" w:type="dxa"/>
            <w:shd w:val="clear" w:color="auto" w:fill="FDF1DB"/>
          </w:tcPr>
          <w:p w14:paraId="0DCBFCBC" w14:textId="77777777" w:rsidR="00015EEF" w:rsidRPr="00A56C47" w:rsidRDefault="00015EEF" w:rsidP="002F20E6">
            <w:pPr>
              <w:bidi/>
              <w:spacing w:line="276" w:lineRule="auto"/>
              <w:jc w:val="both"/>
              <w:rPr>
                <w:rFonts w:ascii="David" w:hAnsi="David" w:cs="David"/>
              </w:rPr>
            </w:pPr>
            <w:r w:rsidRPr="00A56C47">
              <w:rPr>
                <w:rFonts w:ascii="David" w:hAnsi="David" w:cs="David" w:hint="cs"/>
                <w:rtl/>
              </w:rPr>
              <w:t>לאפשר הקלה ראייתית כאשר הנאשם ביצע ולא הורשע (</w:t>
            </w:r>
            <w:r w:rsidRPr="00A56C47">
              <w:rPr>
                <w:rFonts w:ascii="David" w:hAnsi="David" w:cs="David" w:hint="cs"/>
                <w:u w:val="single"/>
                <w:rtl/>
              </w:rPr>
              <w:t xml:space="preserve">אין הלכה ואין פסיקה </w:t>
            </w:r>
            <w:r w:rsidRPr="00A56C47">
              <w:rPr>
                <w:rFonts w:ascii="David" w:hAnsi="David" w:cs="David" w:hint="cs"/>
                <w:rtl/>
              </w:rPr>
              <w:t xml:space="preserve">ולכן יש לחוקק תיקון לסעיף או לפחות להקיש מהמנגנונים האחרים). </w:t>
            </w:r>
          </w:p>
        </w:tc>
      </w:tr>
      <w:tr w:rsidR="00015EEF" w:rsidRPr="00A56C47" w14:paraId="49E337EA" w14:textId="77777777" w:rsidTr="00015EEF">
        <w:trPr>
          <w:trHeight w:val="658"/>
        </w:trPr>
        <w:tc>
          <w:tcPr>
            <w:tcW w:w="4667" w:type="dxa"/>
            <w:shd w:val="clear" w:color="auto" w:fill="FDF1DB"/>
          </w:tcPr>
          <w:p w14:paraId="7FB0B5CD" w14:textId="77777777" w:rsidR="00015EEF" w:rsidRPr="00A56C47" w:rsidRDefault="00015EEF" w:rsidP="002F20E6">
            <w:pPr>
              <w:bidi/>
              <w:spacing w:line="276" w:lineRule="auto"/>
              <w:rPr>
                <w:rFonts w:ascii="David" w:hAnsi="David" w:cs="David"/>
                <w:rtl/>
              </w:rPr>
            </w:pPr>
            <w:r w:rsidRPr="00A56C47">
              <w:rPr>
                <w:rFonts w:ascii="David" w:hAnsi="David" w:cs="David" w:hint="cs"/>
                <w:rtl/>
              </w:rPr>
              <w:t xml:space="preserve">חובת </w:t>
            </w:r>
            <w:r w:rsidRPr="00CE0FF5">
              <w:rPr>
                <w:rFonts w:ascii="David" w:hAnsi="David" w:cs="David" w:hint="cs"/>
                <w:rtl/>
              </w:rPr>
              <w:t xml:space="preserve">יידוע </w:t>
            </w:r>
            <w:r w:rsidRPr="00CE0FF5">
              <w:rPr>
                <w:rStyle w:val="SubtleReference"/>
                <w:rFonts w:hint="cs"/>
                <w:rtl/>
              </w:rPr>
              <w:t>(ס' 8 לחוק זכויות לנפגעי עבירה)</w:t>
            </w:r>
            <w:r w:rsidRPr="00CE0FF5">
              <w:rPr>
                <w:rFonts w:ascii="David" w:hAnsi="David" w:cs="David" w:hint="cs"/>
                <w:rtl/>
              </w:rPr>
              <w:t xml:space="preserve">  לגבי</w:t>
            </w:r>
            <w:r w:rsidRPr="00A56C47">
              <w:rPr>
                <w:rFonts w:ascii="David" w:hAnsi="David" w:cs="David" w:hint="cs"/>
                <w:rtl/>
              </w:rPr>
              <w:t xml:space="preserve"> הזכאות לקבל </w:t>
            </w:r>
            <w:r w:rsidRPr="00A56C47">
              <w:rPr>
                <w:rFonts w:ascii="David" w:hAnsi="David" w:cs="David" w:hint="cs"/>
                <w:u w:val="single"/>
                <w:rtl/>
              </w:rPr>
              <w:t xml:space="preserve">פיצוי בתביעה נזיקית </w:t>
            </w:r>
          </w:p>
          <w:p w14:paraId="393B7089" w14:textId="77777777" w:rsidR="00015EEF" w:rsidRPr="00A56C47" w:rsidRDefault="00015EEF" w:rsidP="002F20E6">
            <w:pPr>
              <w:bidi/>
              <w:spacing w:line="276" w:lineRule="auto"/>
              <w:rPr>
                <w:rFonts w:ascii="David" w:hAnsi="David" w:cs="David"/>
              </w:rPr>
            </w:pPr>
          </w:p>
        </w:tc>
        <w:tc>
          <w:tcPr>
            <w:tcW w:w="4683" w:type="dxa"/>
            <w:shd w:val="clear" w:color="auto" w:fill="FDF1DB"/>
          </w:tcPr>
          <w:p w14:paraId="3859035F" w14:textId="77777777" w:rsidR="00015EEF" w:rsidRPr="00A56C47" w:rsidRDefault="00015EEF" w:rsidP="002F20E6">
            <w:pPr>
              <w:bidi/>
              <w:spacing w:line="276" w:lineRule="auto"/>
              <w:jc w:val="both"/>
              <w:rPr>
                <w:rFonts w:ascii="David" w:hAnsi="David" w:cs="David"/>
              </w:rPr>
            </w:pPr>
            <w:r w:rsidRPr="00A56C47">
              <w:rPr>
                <w:rFonts w:ascii="David" w:hAnsi="David" w:cs="David" w:hint="cs"/>
                <w:rtl/>
              </w:rPr>
              <w:t xml:space="preserve">חובת יידוע </w:t>
            </w:r>
            <w:r w:rsidRPr="00CE0FF5">
              <w:rPr>
                <w:rStyle w:val="SubtleReference"/>
                <w:rFonts w:hint="cs"/>
                <w:rtl/>
              </w:rPr>
              <w:t>(ס' 8 לחוק זכויות לנפגעי עבירה</w:t>
            </w:r>
            <w:r w:rsidRPr="00CE0FF5">
              <w:rPr>
                <w:rFonts w:ascii="David" w:hAnsi="David" w:cs="David" w:hint="cs"/>
                <w:rtl/>
              </w:rPr>
              <w:t>) לגבי</w:t>
            </w:r>
            <w:r w:rsidRPr="00A56C47">
              <w:rPr>
                <w:rFonts w:ascii="David" w:hAnsi="David" w:cs="David" w:hint="cs"/>
                <w:rtl/>
              </w:rPr>
              <w:t xml:space="preserve"> הזכאות לקבל פיצוי </w:t>
            </w:r>
            <w:r w:rsidRPr="00A56C47">
              <w:rPr>
                <w:rFonts w:ascii="David" w:hAnsi="David" w:cs="David" w:hint="cs"/>
                <w:u w:val="single"/>
                <w:rtl/>
              </w:rPr>
              <w:t>בתביעה נגררת</w:t>
            </w:r>
          </w:p>
        </w:tc>
      </w:tr>
      <w:tr w:rsidR="00015EEF" w:rsidRPr="00A56C47" w14:paraId="29A2CB85" w14:textId="77777777" w:rsidTr="00015EEF">
        <w:tc>
          <w:tcPr>
            <w:tcW w:w="4667" w:type="dxa"/>
            <w:shd w:val="clear" w:color="auto" w:fill="FDF1DB"/>
          </w:tcPr>
          <w:p w14:paraId="2CE4F522" w14:textId="77777777" w:rsidR="00015EEF" w:rsidRPr="00A56C47" w:rsidRDefault="00015EEF" w:rsidP="002F20E6">
            <w:pPr>
              <w:bidi/>
              <w:spacing w:line="276" w:lineRule="auto"/>
              <w:rPr>
                <w:rFonts w:ascii="David" w:hAnsi="David" w:cs="David"/>
                <w:u w:val="single"/>
                <w:rtl/>
              </w:rPr>
            </w:pPr>
            <w:r w:rsidRPr="00A56C47">
              <w:rPr>
                <w:rFonts w:ascii="David" w:hAnsi="David" w:cs="David" w:hint="cs"/>
                <w:u w:val="single"/>
                <w:rtl/>
              </w:rPr>
              <w:t>מנגנון אכיפה וגבייה:</w:t>
            </w:r>
          </w:p>
          <w:p w14:paraId="669CED1F" w14:textId="77777777" w:rsidR="00015EEF" w:rsidRPr="00A56C47" w:rsidRDefault="00015EEF" w:rsidP="002F20E6">
            <w:pPr>
              <w:bidi/>
              <w:spacing w:line="276" w:lineRule="auto"/>
              <w:rPr>
                <w:rFonts w:ascii="David" w:hAnsi="David" w:cs="David"/>
                <w:b/>
                <w:bCs/>
                <w:rtl/>
              </w:rPr>
            </w:pPr>
            <w:r w:rsidRPr="00A56C47">
              <w:rPr>
                <w:rFonts w:ascii="David" w:hAnsi="David" w:cs="David" w:hint="cs"/>
                <w:rtl/>
              </w:rPr>
              <w:t xml:space="preserve">גבייה ישירה באמצעות המדינה (כמו פיצויים לפי </w:t>
            </w:r>
            <w:r w:rsidRPr="00CE0FF5">
              <w:rPr>
                <w:rStyle w:val="SubtleReference"/>
                <w:rFonts w:hint="cs"/>
                <w:rtl/>
              </w:rPr>
              <w:t>ס' 77</w:t>
            </w:r>
            <w:r w:rsidRPr="00A56C47">
              <w:rPr>
                <w:rFonts w:ascii="David" w:hAnsi="David" w:cs="David" w:hint="cs"/>
                <w:rtl/>
              </w:rPr>
              <w:t>), כך הנפגע לא יצטרך לפתוח תיק הוצאה לפועל ולהתעמת מול העבריין אם לא שילם</w:t>
            </w:r>
            <w:r w:rsidRPr="00A56C47">
              <w:rPr>
                <w:rFonts w:ascii="David" w:hAnsi="David" w:cs="David"/>
                <w:rtl/>
              </w:rPr>
              <w:br/>
            </w:r>
            <w:r w:rsidRPr="00A56C47">
              <w:rPr>
                <w:rFonts w:ascii="David" w:hAnsi="David" w:cs="David" w:hint="cs"/>
                <w:b/>
                <w:bCs/>
                <w:rtl/>
              </w:rPr>
              <w:t xml:space="preserve"> לחלופין</w:t>
            </w:r>
          </w:p>
          <w:p w14:paraId="2D419AF3" w14:textId="77777777" w:rsidR="00015EEF" w:rsidRPr="00A56C47" w:rsidRDefault="00015EEF" w:rsidP="002F20E6">
            <w:pPr>
              <w:bidi/>
              <w:spacing w:line="276" w:lineRule="auto"/>
              <w:rPr>
                <w:rFonts w:ascii="David" w:hAnsi="David" w:cs="David"/>
              </w:rPr>
            </w:pPr>
            <w:r w:rsidRPr="00A56C47">
              <w:rPr>
                <w:rFonts w:ascii="David" w:hAnsi="David" w:cs="David" w:hint="cs"/>
                <w:rtl/>
              </w:rPr>
              <w:t>תשלום מקרן (כפי שקורה בעבירות של סחר בבני אדם) במצב בו לא ניתן לממש את הפיצוי שניתן בפסק הדין</w:t>
            </w:r>
          </w:p>
        </w:tc>
        <w:tc>
          <w:tcPr>
            <w:tcW w:w="4683" w:type="dxa"/>
            <w:shd w:val="clear" w:color="auto" w:fill="FDF1DB"/>
          </w:tcPr>
          <w:p w14:paraId="48E22A34" w14:textId="77777777" w:rsidR="00015EEF" w:rsidRPr="00A56C47" w:rsidRDefault="00015EEF" w:rsidP="002F20E6">
            <w:pPr>
              <w:bidi/>
              <w:spacing w:line="276" w:lineRule="auto"/>
              <w:rPr>
                <w:rFonts w:ascii="David" w:hAnsi="David" w:cs="David"/>
                <w:u w:val="single"/>
                <w:rtl/>
              </w:rPr>
            </w:pPr>
            <w:r w:rsidRPr="00A56C47">
              <w:rPr>
                <w:rFonts w:ascii="David" w:hAnsi="David" w:cs="David" w:hint="cs"/>
                <w:u w:val="single"/>
                <w:rtl/>
              </w:rPr>
              <w:t>מנגנון אכיפה וגבייה:</w:t>
            </w:r>
          </w:p>
          <w:p w14:paraId="2779E323" w14:textId="77777777" w:rsidR="00015EEF" w:rsidRPr="00A56C47" w:rsidRDefault="00015EEF" w:rsidP="002F20E6">
            <w:pPr>
              <w:bidi/>
              <w:spacing w:line="276" w:lineRule="auto"/>
              <w:rPr>
                <w:rFonts w:ascii="David" w:hAnsi="David" w:cs="David"/>
                <w:rtl/>
              </w:rPr>
            </w:pPr>
            <w:r w:rsidRPr="00A56C47">
              <w:rPr>
                <w:rFonts w:ascii="David" w:hAnsi="David" w:cs="David" w:hint="cs"/>
                <w:rtl/>
              </w:rPr>
              <w:t>גבייה ישירה באמצעות המדינה (כמו פיצויים</w:t>
            </w:r>
            <w:r w:rsidRPr="007A7364">
              <w:rPr>
                <w:rFonts w:ascii="David" w:hAnsi="David" w:cs="David"/>
                <w:rtl/>
              </w:rPr>
              <w:t xml:space="preserve"> </w:t>
            </w:r>
            <w:r w:rsidRPr="007A7364">
              <w:rPr>
                <w:rFonts w:ascii="David" w:hAnsi="David" w:cs="David"/>
                <w:smallCaps/>
                <w:rtl/>
              </w:rPr>
              <w:t>לפי</w:t>
            </w:r>
            <w:r w:rsidRPr="007A7364">
              <w:rPr>
                <w:rStyle w:val="SubtleReference"/>
                <w:rtl/>
              </w:rPr>
              <w:t xml:space="preserve"> </w:t>
            </w:r>
            <w:r w:rsidRPr="00CE0FF5">
              <w:rPr>
                <w:rStyle w:val="SubtleReference"/>
                <w:rFonts w:hint="cs"/>
                <w:rtl/>
              </w:rPr>
              <w:t>ס' 77</w:t>
            </w:r>
            <w:r w:rsidRPr="00A56C47">
              <w:rPr>
                <w:rFonts w:ascii="David" w:hAnsi="David" w:cs="David" w:hint="cs"/>
                <w:rtl/>
              </w:rPr>
              <w:t>), כך הנפגע לא יצטרך לפתוח תיק הוצאה לפועל ולהתעמת מול העבריין אם לא שילם</w:t>
            </w:r>
          </w:p>
          <w:p w14:paraId="0A0B6BD1" w14:textId="77777777" w:rsidR="00015EEF" w:rsidRPr="00A56C47" w:rsidRDefault="00015EEF" w:rsidP="002F20E6">
            <w:pPr>
              <w:bidi/>
              <w:spacing w:line="276" w:lineRule="auto"/>
              <w:rPr>
                <w:rFonts w:ascii="David" w:hAnsi="David" w:cs="David"/>
                <w:b/>
                <w:bCs/>
                <w:rtl/>
              </w:rPr>
            </w:pPr>
            <w:r w:rsidRPr="00A56C47">
              <w:rPr>
                <w:rFonts w:ascii="David" w:hAnsi="David" w:cs="David" w:hint="cs"/>
                <w:b/>
                <w:bCs/>
                <w:rtl/>
              </w:rPr>
              <w:t>לחלופין</w:t>
            </w:r>
          </w:p>
          <w:p w14:paraId="7333E9F2" w14:textId="77777777" w:rsidR="00015EEF" w:rsidRPr="00A56C47" w:rsidRDefault="00015EEF" w:rsidP="002F20E6">
            <w:pPr>
              <w:bidi/>
              <w:spacing w:line="276" w:lineRule="auto"/>
              <w:rPr>
                <w:rFonts w:ascii="David" w:hAnsi="David" w:cs="David"/>
              </w:rPr>
            </w:pPr>
            <w:r w:rsidRPr="00A56C47">
              <w:rPr>
                <w:rFonts w:ascii="David" w:hAnsi="David" w:cs="David" w:hint="cs"/>
                <w:rtl/>
              </w:rPr>
              <w:t xml:space="preserve">תשלום מקרן (כפי שקורה בעבירות של סחר בבני אדם) במצב בו לא ניתן לממש את הפיצוי שניתן בפסק הדין </w:t>
            </w:r>
          </w:p>
        </w:tc>
      </w:tr>
      <w:tr w:rsidR="00015EEF" w:rsidRPr="00A56C47" w14:paraId="16109E1D" w14:textId="77777777" w:rsidTr="00015EEF">
        <w:tc>
          <w:tcPr>
            <w:tcW w:w="4667" w:type="dxa"/>
            <w:shd w:val="clear" w:color="auto" w:fill="FDF1DB"/>
          </w:tcPr>
          <w:p w14:paraId="656688A7" w14:textId="77777777" w:rsidR="00015EEF" w:rsidRPr="00D13A9F" w:rsidRDefault="00015EEF" w:rsidP="002F20E6">
            <w:pPr>
              <w:bidi/>
              <w:spacing w:line="276" w:lineRule="auto"/>
              <w:rPr>
                <w:rFonts w:ascii="David" w:hAnsi="David" w:cs="David"/>
                <w:u w:val="single"/>
                <w:rtl/>
              </w:rPr>
            </w:pPr>
            <w:r w:rsidRPr="00D13A9F">
              <w:rPr>
                <w:rFonts w:ascii="David" w:hAnsi="David" w:cs="David" w:hint="cs"/>
                <w:u w:val="single"/>
                <w:rtl/>
              </w:rPr>
              <w:t>ויתור על אגרה</w:t>
            </w:r>
          </w:p>
          <w:p w14:paraId="2995589E" w14:textId="77777777" w:rsidR="00015EEF" w:rsidRPr="00A56C47" w:rsidRDefault="00015EEF" w:rsidP="002F20E6">
            <w:pPr>
              <w:pStyle w:val="ListParagraph"/>
              <w:numPr>
                <w:ilvl w:val="0"/>
                <w:numId w:val="25"/>
              </w:numPr>
              <w:bidi/>
              <w:spacing w:line="276" w:lineRule="auto"/>
              <w:rPr>
                <w:rFonts w:ascii="David" w:hAnsi="David" w:cs="David"/>
              </w:rPr>
            </w:pPr>
            <w:r w:rsidRPr="00A56C47">
              <w:rPr>
                <w:rFonts w:ascii="David" w:hAnsi="David" w:cs="David" w:hint="cs"/>
                <w:rtl/>
              </w:rPr>
              <w:t xml:space="preserve">תשולם ע"י הנתבע בסוף ההליך, אך גם אם לא </w:t>
            </w:r>
            <w:r w:rsidRPr="00A56C47">
              <w:rPr>
                <w:rFonts w:ascii="David" w:hAnsi="David" w:cs="David"/>
                <w:rtl/>
              </w:rPr>
              <w:t>–</w:t>
            </w:r>
            <w:r w:rsidRPr="00A56C47">
              <w:rPr>
                <w:rFonts w:ascii="David" w:hAnsi="David" w:cs="David" w:hint="cs"/>
                <w:rtl/>
              </w:rPr>
              <w:t xml:space="preserve"> לא מדובר בהכבדה מסיבית (מקרים מועטים)</w:t>
            </w:r>
            <w:r w:rsidRPr="00A56C47">
              <w:rPr>
                <w:rFonts w:ascii="David" w:hAnsi="David" w:cs="David" w:hint="cs"/>
              </w:rPr>
              <w:t xml:space="preserve"> </w:t>
            </w:r>
          </w:p>
          <w:p w14:paraId="61757917" w14:textId="77777777" w:rsidR="00015EEF" w:rsidRPr="00A56C47" w:rsidRDefault="00015EEF" w:rsidP="002F20E6">
            <w:pPr>
              <w:pStyle w:val="ListParagraph"/>
              <w:numPr>
                <w:ilvl w:val="0"/>
                <w:numId w:val="25"/>
              </w:numPr>
              <w:bidi/>
              <w:spacing w:line="276" w:lineRule="auto"/>
              <w:rPr>
                <w:rFonts w:ascii="David" w:hAnsi="David" w:cs="David"/>
              </w:rPr>
            </w:pPr>
            <w:r w:rsidRPr="00A56C47">
              <w:rPr>
                <w:rFonts w:ascii="David" w:hAnsi="David" w:cs="David" w:hint="cs"/>
                <w:rtl/>
              </w:rPr>
              <w:t>יש להחיל לכל הפחות בעבירות פשע או עבירות אלימות ומין</w:t>
            </w:r>
            <w:r w:rsidRPr="00A56C47">
              <w:rPr>
                <w:rFonts w:ascii="David" w:hAnsi="David" w:cs="David"/>
                <w:rtl/>
              </w:rPr>
              <w:t xml:space="preserve"> </w:t>
            </w:r>
            <w:r w:rsidRPr="00A56C47">
              <w:rPr>
                <w:rFonts w:ascii="David" w:hAnsi="David" w:cs="David"/>
                <w:rtl/>
              </w:rPr>
              <w:br/>
            </w:r>
          </w:p>
        </w:tc>
        <w:tc>
          <w:tcPr>
            <w:tcW w:w="4683" w:type="dxa"/>
            <w:shd w:val="clear" w:color="auto" w:fill="FDF1DB"/>
          </w:tcPr>
          <w:p w14:paraId="72B3636F" w14:textId="77777777" w:rsidR="00015EEF" w:rsidRPr="00D13A9F" w:rsidRDefault="00015EEF" w:rsidP="002F20E6">
            <w:pPr>
              <w:bidi/>
              <w:spacing w:line="276" w:lineRule="auto"/>
              <w:rPr>
                <w:rFonts w:ascii="David" w:hAnsi="David" w:cs="David"/>
                <w:u w:val="single"/>
                <w:rtl/>
              </w:rPr>
            </w:pPr>
            <w:r w:rsidRPr="00D13A9F">
              <w:rPr>
                <w:rFonts w:ascii="David" w:hAnsi="David" w:cs="David" w:hint="cs"/>
                <w:u w:val="single"/>
                <w:rtl/>
              </w:rPr>
              <w:t>ויתור על אגרה</w:t>
            </w:r>
          </w:p>
          <w:p w14:paraId="66FA91BB" w14:textId="77777777" w:rsidR="00015EEF" w:rsidRPr="00A56C47" w:rsidRDefault="00015EEF" w:rsidP="002F20E6">
            <w:pPr>
              <w:pStyle w:val="ListParagraph"/>
              <w:numPr>
                <w:ilvl w:val="0"/>
                <w:numId w:val="25"/>
              </w:numPr>
              <w:bidi/>
              <w:spacing w:line="276" w:lineRule="auto"/>
              <w:rPr>
                <w:rFonts w:ascii="David" w:hAnsi="David" w:cs="David"/>
              </w:rPr>
            </w:pPr>
            <w:r w:rsidRPr="00A56C47">
              <w:rPr>
                <w:rFonts w:ascii="David" w:hAnsi="David" w:cs="David" w:hint="cs"/>
                <w:rtl/>
              </w:rPr>
              <w:t xml:space="preserve">תשולם ע"י הנתבע בסוף ההליך, אך גם אם לא </w:t>
            </w:r>
            <w:r w:rsidRPr="00A56C47">
              <w:rPr>
                <w:rFonts w:ascii="David" w:hAnsi="David" w:cs="David"/>
                <w:rtl/>
              </w:rPr>
              <w:t>–</w:t>
            </w:r>
            <w:r w:rsidRPr="00A56C47">
              <w:rPr>
                <w:rFonts w:ascii="David" w:hAnsi="David" w:cs="David" w:hint="cs"/>
                <w:rtl/>
              </w:rPr>
              <w:t xml:space="preserve"> לא מדובר בהכבדה מסיבית (מקרים מועטים)</w:t>
            </w:r>
            <w:r w:rsidRPr="00A56C47">
              <w:rPr>
                <w:rFonts w:ascii="David" w:hAnsi="David" w:cs="David" w:hint="cs"/>
              </w:rPr>
              <w:t xml:space="preserve"> </w:t>
            </w:r>
          </w:p>
          <w:p w14:paraId="35B5AF3E" w14:textId="77777777" w:rsidR="00015EEF" w:rsidRPr="00A56C47" w:rsidRDefault="00015EEF" w:rsidP="002F20E6">
            <w:pPr>
              <w:pStyle w:val="ListParagraph"/>
              <w:numPr>
                <w:ilvl w:val="0"/>
                <w:numId w:val="25"/>
              </w:numPr>
              <w:bidi/>
              <w:spacing w:line="276" w:lineRule="auto"/>
              <w:rPr>
                <w:rFonts w:ascii="David" w:hAnsi="David" w:cs="David"/>
              </w:rPr>
            </w:pPr>
            <w:r w:rsidRPr="00A56C47">
              <w:rPr>
                <w:rFonts w:ascii="David" w:hAnsi="David" w:cs="David" w:hint="cs"/>
                <w:rtl/>
              </w:rPr>
              <w:t>יש להחיל לכל הפחות בעבירות פשע או עבירות אלימות ומין</w:t>
            </w:r>
          </w:p>
        </w:tc>
      </w:tr>
      <w:tr w:rsidR="00015EEF" w:rsidRPr="00A56C47" w14:paraId="79F2E415" w14:textId="77777777" w:rsidTr="00015EEF">
        <w:tc>
          <w:tcPr>
            <w:tcW w:w="4667" w:type="dxa"/>
            <w:vMerge w:val="restart"/>
            <w:shd w:val="clear" w:color="auto" w:fill="auto"/>
          </w:tcPr>
          <w:p w14:paraId="168E880B" w14:textId="77777777" w:rsidR="00015EEF" w:rsidRPr="00A56C47" w:rsidRDefault="00015EEF" w:rsidP="002F20E6">
            <w:pPr>
              <w:bidi/>
              <w:spacing w:line="276" w:lineRule="auto"/>
              <w:rPr>
                <w:rFonts w:ascii="David" w:hAnsi="David" w:cs="David"/>
                <w:rtl/>
              </w:rPr>
            </w:pPr>
          </w:p>
        </w:tc>
        <w:tc>
          <w:tcPr>
            <w:tcW w:w="4683" w:type="dxa"/>
            <w:shd w:val="clear" w:color="auto" w:fill="FFCC99"/>
          </w:tcPr>
          <w:p w14:paraId="7505C8BD" w14:textId="77777777" w:rsidR="00015EEF" w:rsidRPr="00A56C47" w:rsidRDefault="00015EEF" w:rsidP="002F20E6">
            <w:pPr>
              <w:bidi/>
              <w:spacing w:line="276" w:lineRule="auto"/>
              <w:rPr>
                <w:rFonts w:ascii="David" w:hAnsi="David" w:cs="David"/>
                <w:rtl/>
              </w:rPr>
            </w:pPr>
            <w:r w:rsidRPr="00A56C47">
              <w:rPr>
                <w:rFonts w:ascii="David" w:hAnsi="David" w:cs="David" w:hint="cs"/>
                <w:rtl/>
              </w:rPr>
              <w:t xml:space="preserve">ויתור על דרישת הגשה מקדמית לתביעה נזיקית </w:t>
            </w:r>
            <w:r w:rsidRPr="00A56C47">
              <w:rPr>
                <w:rFonts w:ascii="David" w:hAnsi="David" w:cs="David"/>
                <w:rtl/>
              </w:rPr>
              <w:t>–</w:t>
            </w:r>
            <w:r w:rsidRPr="00A56C47">
              <w:rPr>
                <w:rFonts w:ascii="David" w:hAnsi="David" w:cs="David" w:hint="cs"/>
                <w:rtl/>
              </w:rPr>
              <w:t xml:space="preserve"> זכות מוקנית לחלוטין</w:t>
            </w:r>
          </w:p>
        </w:tc>
      </w:tr>
      <w:tr w:rsidR="00015EEF" w:rsidRPr="00A56C47" w14:paraId="2FB9D61D" w14:textId="77777777" w:rsidTr="00015EEF">
        <w:tc>
          <w:tcPr>
            <w:tcW w:w="4667" w:type="dxa"/>
            <w:vMerge/>
            <w:shd w:val="clear" w:color="auto" w:fill="auto"/>
          </w:tcPr>
          <w:p w14:paraId="7624E958" w14:textId="77777777" w:rsidR="00015EEF" w:rsidRPr="00A56C47" w:rsidRDefault="00015EEF" w:rsidP="002F20E6">
            <w:pPr>
              <w:bidi/>
              <w:spacing w:line="276" w:lineRule="auto"/>
              <w:rPr>
                <w:rFonts w:ascii="David" w:hAnsi="David" w:cs="David"/>
                <w:rtl/>
              </w:rPr>
            </w:pPr>
          </w:p>
        </w:tc>
        <w:tc>
          <w:tcPr>
            <w:tcW w:w="4683" w:type="dxa"/>
            <w:shd w:val="clear" w:color="auto" w:fill="FFCC99"/>
          </w:tcPr>
          <w:p w14:paraId="0118CE95" w14:textId="77777777" w:rsidR="00015EEF" w:rsidRPr="00A56C47" w:rsidRDefault="00015EEF" w:rsidP="002F20E6">
            <w:pPr>
              <w:bidi/>
              <w:spacing w:line="276" w:lineRule="auto"/>
              <w:rPr>
                <w:rFonts w:ascii="David" w:hAnsi="David" w:cs="David"/>
                <w:rtl/>
              </w:rPr>
            </w:pPr>
            <w:r w:rsidRPr="00A56C47">
              <w:rPr>
                <w:rFonts w:ascii="David" w:hAnsi="David" w:cs="David" w:hint="cs"/>
                <w:rtl/>
              </w:rPr>
              <w:t xml:space="preserve">איסור על הסכמי טיעון בתנאי שלא יעשה שימוש בהודאה בתביעה </w:t>
            </w:r>
            <w:r w:rsidRPr="00D655F2">
              <w:rPr>
                <w:rFonts w:ascii="David" w:hAnsi="David" w:cs="David" w:hint="cs"/>
                <w:rtl/>
              </w:rPr>
              <w:t>נגררת (</w:t>
            </w:r>
            <w:r w:rsidRPr="00D655F2">
              <w:rPr>
                <w:rStyle w:val="QuoteChar"/>
                <w:rFonts w:hint="cs"/>
                <w:rtl/>
              </w:rPr>
              <w:t>אבו חיאל</w:t>
            </w:r>
            <w:r w:rsidRPr="00D655F2">
              <w:rPr>
                <w:rFonts w:ascii="David" w:hAnsi="David" w:cs="David" w:hint="cs"/>
                <w:rtl/>
              </w:rPr>
              <w:t>)</w:t>
            </w:r>
            <w:r w:rsidRPr="00A56C47">
              <w:rPr>
                <w:rFonts w:ascii="David" w:hAnsi="David" w:cs="David" w:hint="cs"/>
                <w:rtl/>
              </w:rPr>
              <w:t xml:space="preserve"> </w:t>
            </w:r>
          </w:p>
        </w:tc>
      </w:tr>
      <w:tr w:rsidR="00015EEF" w:rsidRPr="00A56C47" w14:paraId="15A079CC" w14:textId="77777777" w:rsidTr="00015EEF">
        <w:tc>
          <w:tcPr>
            <w:tcW w:w="4667" w:type="dxa"/>
            <w:vMerge/>
            <w:shd w:val="clear" w:color="auto" w:fill="auto"/>
          </w:tcPr>
          <w:p w14:paraId="0757E1EB" w14:textId="77777777" w:rsidR="00015EEF" w:rsidRPr="00A56C47" w:rsidRDefault="00015EEF" w:rsidP="002F20E6">
            <w:pPr>
              <w:bidi/>
              <w:spacing w:line="276" w:lineRule="auto"/>
              <w:rPr>
                <w:rFonts w:ascii="David" w:hAnsi="David" w:cs="David"/>
                <w:rtl/>
              </w:rPr>
            </w:pPr>
          </w:p>
        </w:tc>
        <w:tc>
          <w:tcPr>
            <w:tcW w:w="4683" w:type="dxa"/>
            <w:shd w:val="clear" w:color="auto" w:fill="FFCC99"/>
          </w:tcPr>
          <w:p w14:paraId="5182A902" w14:textId="77777777" w:rsidR="00015EEF" w:rsidRPr="00A56C47" w:rsidRDefault="00015EEF" w:rsidP="002F20E6">
            <w:pPr>
              <w:bidi/>
              <w:spacing w:line="276" w:lineRule="auto"/>
              <w:jc w:val="right"/>
              <w:rPr>
                <w:rFonts w:ascii="David" w:hAnsi="David" w:cs="David"/>
                <w:rtl/>
              </w:rPr>
            </w:pPr>
            <w:r w:rsidRPr="00A56C47">
              <w:rPr>
                <w:rFonts w:ascii="David" w:hAnsi="David" w:cs="David" w:hint="cs"/>
                <w:rtl/>
              </w:rPr>
              <w:t>התמודדות עם פרק הזמן של 90 יום באמצעות:</w:t>
            </w:r>
            <w:r w:rsidRPr="00A56C47">
              <w:rPr>
                <w:rFonts w:ascii="David" w:hAnsi="David" w:cs="David" w:hint="cs"/>
              </w:rPr>
              <w:t xml:space="preserve"> </w:t>
            </w:r>
            <w:r w:rsidRPr="00A56C47">
              <w:rPr>
                <w:rFonts w:ascii="David" w:hAnsi="David" w:cs="David" w:hint="cs"/>
                <w:rtl/>
              </w:rPr>
              <w:t xml:space="preserve"> </w:t>
            </w:r>
          </w:p>
          <w:p w14:paraId="1C9A8F80" w14:textId="77777777" w:rsidR="00015EEF" w:rsidRPr="00A56C47" w:rsidRDefault="00015EEF" w:rsidP="002F20E6">
            <w:pPr>
              <w:pStyle w:val="ListParagraph"/>
              <w:numPr>
                <w:ilvl w:val="0"/>
                <w:numId w:val="24"/>
              </w:numPr>
              <w:bidi/>
              <w:spacing w:line="276" w:lineRule="auto"/>
              <w:jc w:val="right"/>
              <w:rPr>
                <w:rFonts w:ascii="David" w:hAnsi="David" w:cs="David"/>
              </w:rPr>
            </w:pPr>
            <w:r w:rsidRPr="00A56C47">
              <w:rPr>
                <w:rFonts w:ascii="David" w:hAnsi="David" w:cs="David" w:hint="cs"/>
                <w:rtl/>
              </w:rPr>
              <w:t xml:space="preserve">הארכת פרק הזמן ל6/9 חודשים </w:t>
            </w:r>
          </w:p>
          <w:p w14:paraId="707FF485" w14:textId="77777777" w:rsidR="00015EEF" w:rsidRPr="00A56C47" w:rsidRDefault="00015EEF" w:rsidP="002F20E6">
            <w:pPr>
              <w:pStyle w:val="ListParagraph"/>
              <w:numPr>
                <w:ilvl w:val="0"/>
                <w:numId w:val="24"/>
              </w:numPr>
              <w:bidi/>
              <w:spacing w:line="276" w:lineRule="auto"/>
              <w:jc w:val="right"/>
              <w:rPr>
                <w:rFonts w:ascii="David" w:hAnsi="David" w:cs="David"/>
              </w:rPr>
            </w:pPr>
            <w:r w:rsidRPr="00A56C47">
              <w:rPr>
                <w:rFonts w:ascii="David" w:hAnsi="David" w:cs="David" w:hint="cs"/>
                <w:rtl/>
              </w:rPr>
              <w:t xml:space="preserve"> מתן שק"ד רחב לשופט במקרים בהם הוגש תוך פרק זמן קצר לאחר 90 הימים</w:t>
            </w:r>
          </w:p>
          <w:p w14:paraId="77D4760B" w14:textId="77777777" w:rsidR="00015EEF" w:rsidRPr="00A56C47" w:rsidRDefault="00015EEF" w:rsidP="002F20E6">
            <w:pPr>
              <w:pStyle w:val="ListParagraph"/>
              <w:numPr>
                <w:ilvl w:val="0"/>
                <w:numId w:val="24"/>
              </w:numPr>
              <w:bidi/>
              <w:spacing w:line="276" w:lineRule="auto"/>
              <w:jc w:val="right"/>
              <w:rPr>
                <w:rFonts w:ascii="David" w:hAnsi="David" w:cs="David"/>
              </w:rPr>
            </w:pPr>
            <w:r w:rsidRPr="00A56C47">
              <w:rPr>
                <w:rFonts w:ascii="David" w:hAnsi="David" w:cs="David" w:hint="cs"/>
                <w:rtl/>
              </w:rPr>
              <w:t xml:space="preserve">הגשת תביעה תוך 90 יום אך חו"ד רפואי מאוחר יותר </w:t>
            </w:r>
          </w:p>
          <w:p w14:paraId="2CC17B35" w14:textId="77777777" w:rsidR="00015EEF" w:rsidRPr="00A56C47" w:rsidRDefault="00015EEF" w:rsidP="002F20E6">
            <w:pPr>
              <w:pStyle w:val="ListParagraph"/>
              <w:numPr>
                <w:ilvl w:val="0"/>
                <w:numId w:val="24"/>
              </w:numPr>
              <w:bidi/>
              <w:spacing w:line="276" w:lineRule="auto"/>
              <w:jc w:val="right"/>
              <w:rPr>
                <w:rFonts w:ascii="David" w:hAnsi="David" w:cs="David"/>
                <w:rtl/>
              </w:rPr>
            </w:pPr>
            <w:r w:rsidRPr="00A56C47">
              <w:rPr>
                <w:rFonts w:ascii="David" w:hAnsi="David" w:cs="David" w:hint="cs"/>
                <w:rtl/>
              </w:rPr>
              <w:t>הסתמכות על תסקיר נפגע העבירה בכדי להעריך פיצויים בגין הנזק</w:t>
            </w:r>
          </w:p>
        </w:tc>
      </w:tr>
    </w:tbl>
    <w:p w14:paraId="087A4133" w14:textId="77777777" w:rsidR="00A114E6" w:rsidRPr="00015EEF" w:rsidRDefault="00A114E6" w:rsidP="00CC7DF2">
      <w:pPr>
        <w:bidi/>
        <w:spacing w:line="276" w:lineRule="auto"/>
        <w:jc w:val="both"/>
        <w:rPr>
          <w:rFonts w:ascii="David" w:hAnsi="David" w:cs="David"/>
          <w:rtl/>
        </w:rPr>
      </w:pPr>
    </w:p>
    <w:p w14:paraId="2CBF2BDC" w14:textId="77777777" w:rsidR="00A114E6" w:rsidRDefault="002E13A6" w:rsidP="00CC7DF2">
      <w:pPr>
        <w:bidi/>
        <w:spacing w:line="276" w:lineRule="auto"/>
        <w:jc w:val="both"/>
        <w:rPr>
          <w:rFonts w:ascii="David" w:hAnsi="David" w:cs="David"/>
          <w:rtl/>
        </w:rPr>
      </w:pPr>
      <w:r w:rsidRPr="001B169E">
        <w:rPr>
          <w:rFonts w:ascii="David" w:hAnsi="David" w:cs="David" w:hint="cs"/>
          <w:u w:val="single"/>
          <w:rtl/>
        </w:rPr>
        <w:t>ביקורת-</w:t>
      </w:r>
      <w:r>
        <w:rPr>
          <w:rFonts w:ascii="David" w:hAnsi="David" w:cs="David" w:hint="cs"/>
          <w:rtl/>
        </w:rPr>
        <w:t xml:space="preserve"> השפעות על תקציב</w:t>
      </w:r>
    </w:p>
    <w:p w14:paraId="02F3EBB1" w14:textId="59EAF15A" w:rsidR="00A114E6" w:rsidRDefault="002E13A6" w:rsidP="00CC7DF2">
      <w:pPr>
        <w:bidi/>
        <w:spacing w:line="276" w:lineRule="auto"/>
        <w:jc w:val="both"/>
        <w:rPr>
          <w:rFonts w:ascii="David" w:hAnsi="David" w:cs="David"/>
          <w:rtl/>
        </w:rPr>
      </w:pPr>
      <w:r w:rsidRPr="001B169E">
        <w:rPr>
          <w:rFonts w:ascii="David" w:hAnsi="David" w:cs="David" w:hint="cs"/>
          <w:u w:val="single"/>
          <w:rtl/>
        </w:rPr>
        <w:t>מענה-</w:t>
      </w:r>
      <w:r>
        <w:rPr>
          <w:rFonts w:ascii="David" w:hAnsi="David" w:cs="David" w:hint="cs"/>
          <w:rtl/>
        </w:rPr>
        <w:t xml:space="preserve"> רוב ההוצאות לא משמעויות. גם אלו שכן </w:t>
      </w:r>
      <w:r>
        <w:rPr>
          <w:rFonts w:ascii="David" w:hAnsi="David" w:cs="David"/>
          <w:rtl/>
        </w:rPr>
        <w:t>–</w:t>
      </w:r>
      <w:r>
        <w:rPr>
          <w:rFonts w:ascii="David" w:hAnsi="David" w:cs="David" w:hint="cs"/>
          <w:rtl/>
        </w:rPr>
        <w:t xml:space="preserve"> ביחס למדינות אחרות בעולם זה מזערי כי בהן יש פיצוי מאת המדינה. יש לזכור שבישראל יש כבר פיצויים ללא הוכחת אשם (פלת"ד)</w:t>
      </w:r>
      <w:r>
        <w:rPr>
          <w:rFonts w:ascii="David" w:hAnsi="David" w:cs="David" w:hint="cs"/>
        </w:rPr>
        <w:t xml:space="preserve"> </w:t>
      </w:r>
      <w:r>
        <w:rPr>
          <w:rFonts w:ascii="David" w:hAnsi="David" w:cs="David" w:hint="cs"/>
          <w:rtl/>
        </w:rPr>
        <w:t xml:space="preserve"> לכן ניתן להחיל את ההסדר הנ"ל גם על פיצויים אלו</w:t>
      </w:r>
      <w:r w:rsidR="001006A2">
        <w:rPr>
          <w:rFonts w:ascii="David" w:hAnsi="David" w:cs="David" w:hint="cs"/>
          <w:rtl/>
        </w:rPr>
        <w:t>.</w:t>
      </w:r>
    </w:p>
    <w:p w14:paraId="2539F8AB" w14:textId="77777777" w:rsidR="00015EEF" w:rsidRDefault="00015EEF" w:rsidP="00CC7DF2">
      <w:pPr>
        <w:bidi/>
        <w:spacing w:line="276" w:lineRule="auto"/>
        <w:jc w:val="both"/>
        <w:rPr>
          <w:rFonts w:ascii="David" w:hAnsi="David" w:cs="David"/>
          <w:rtl/>
        </w:rPr>
      </w:pPr>
    </w:p>
    <w:p w14:paraId="777AA7E6" w14:textId="77777777" w:rsidR="00CC7DF2" w:rsidRDefault="00CC7DF2" w:rsidP="00CC7DF2">
      <w:pPr>
        <w:bidi/>
        <w:spacing w:line="276" w:lineRule="auto"/>
        <w:jc w:val="both"/>
        <w:rPr>
          <w:rFonts w:ascii="David" w:hAnsi="David" w:cs="David"/>
          <w:rtl/>
        </w:rPr>
      </w:pPr>
    </w:p>
    <w:p w14:paraId="352870C8" w14:textId="77777777" w:rsidR="00DF69B2" w:rsidRDefault="00DF69B2" w:rsidP="00DF69B2">
      <w:pPr>
        <w:bidi/>
        <w:spacing w:line="276" w:lineRule="auto"/>
        <w:jc w:val="both"/>
        <w:rPr>
          <w:rFonts w:ascii="David" w:hAnsi="David" w:cs="David"/>
          <w:rtl/>
        </w:rPr>
      </w:pPr>
    </w:p>
    <w:p w14:paraId="3F576019" w14:textId="77777777" w:rsidR="00CC7DF2" w:rsidRPr="009670E7" w:rsidRDefault="00CC7DF2" w:rsidP="00CC7DF2">
      <w:pPr>
        <w:pStyle w:val="IntenseQuote"/>
        <w:jc w:val="both"/>
      </w:pPr>
      <w:r>
        <w:rPr>
          <w:rFonts w:hint="cs"/>
          <w:rtl/>
        </w:rPr>
        <w:t>פיצויים עונשיים</w:t>
      </w:r>
    </w:p>
    <w:p w14:paraId="5974E174" w14:textId="77777777" w:rsidR="00030547" w:rsidRDefault="00CC7DF2" w:rsidP="00030547">
      <w:pPr>
        <w:bidi/>
        <w:spacing w:after="0"/>
        <w:jc w:val="both"/>
        <w:rPr>
          <w:rFonts w:ascii="David" w:hAnsi="David" w:cs="David"/>
          <w:rtl/>
        </w:rPr>
      </w:pPr>
      <w:r>
        <w:rPr>
          <w:rFonts w:ascii="David" w:hAnsi="David" w:cs="David" w:hint="cs"/>
          <w:rtl/>
        </w:rPr>
        <w:t xml:space="preserve">יש הרואים בפיצויים עונשיים מעין 'אי' של המשפט הפלילי (שאולי ממנו צמחו דיני נזיקין), ולכן דורשים יס"נ כלשהו במתן פיצויים עונשיים. יש הרואים זאת כדרך ביטוי של נקמה, ועל כן הפוקוס שלהם הוא </w:t>
      </w:r>
      <w:r w:rsidRPr="00A90429">
        <w:rPr>
          <w:rFonts w:ascii="David" w:hAnsi="David" w:cs="David" w:hint="cs"/>
          <w:b/>
          <w:bCs/>
          <w:rtl/>
        </w:rPr>
        <w:t>בשני הצדדים לעוולה.</w:t>
      </w:r>
      <w:r>
        <w:rPr>
          <w:rFonts w:ascii="David" w:hAnsi="David" w:cs="David" w:hint="cs"/>
          <w:rtl/>
        </w:rPr>
        <w:t xml:space="preserve"> </w:t>
      </w:r>
    </w:p>
    <w:p w14:paraId="575FFBFE" w14:textId="77777777" w:rsidR="00030547" w:rsidRDefault="00030547" w:rsidP="00030547">
      <w:pPr>
        <w:bidi/>
        <w:spacing w:after="0"/>
        <w:jc w:val="both"/>
        <w:rPr>
          <w:rFonts w:ascii="David" w:hAnsi="David" w:cs="David"/>
          <w:rtl/>
        </w:rPr>
      </w:pPr>
    </w:p>
    <w:p w14:paraId="160E7554" w14:textId="25A1916C" w:rsidR="00CC7DF2" w:rsidRDefault="00CC7DF2" w:rsidP="00030547">
      <w:pPr>
        <w:bidi/>
        <w:spacing w:after="0"/>
        <w:jc w:val="both"/>
        <w:rPr>
          <w:rFonts w:ascii="David" w:hAnsi="David" w:cs="David"/>
          <w:u w:val="single"/>
          <w:rtl/>
        </w:rPr>
      </w:pPr>
      <w:r w:rsidRPr="00030547">
        <w:rPr>
          <w:rFonts w:ascii="David" w:hAnsi="David" w:cs="David" w:hint="cs"/>
          <w:u w:val="single"/>
          <w:rtl/>
        </w:rPr>
        <w:t>ישנם מספר הסברים/צידוקים לפיצויים עונשיים:</w:t>
      </w:r>
    </w:p>
    <w:p w14:paraId="01F3C9E9" w14:textId="3A58E973" w:rsidR="00BA2B7B" w:rsidRDefault="00BA2B7B" w:rsidP="00BA2B7B">
      <w:pPr>
        <w:bidi/>
        <w:spacing w:after="0"/>
        <w:jc w:val="both"/>
        <w:rPr>
          <w:rFonts w:ascii="David" w:hAnsi="David" w:cs="David"/>
          <w:u w:val="single"/>
          <w:rtl/>
        </w:rPr>
      </w:pPr>
      <w:r>
        <w:rPr>
          <w:rFonts w:ascii="David" w:hAnsi="David" w:cs="David" w:hint="cs"/>
          <w:b/>
          <w:bCs/>
          <w:noProof/>
          <w:rtl/>
          <w:lang w:val="he-IL"/>
        </w:rPr>
        <mc:AlternateContent>
          <mc:Choice Requires="wps">
            <w:drawing>
              <wp:anchor distT="0" distB="0" distL="114300" distR="114300" simplePos="0" relativeHeight="251727872" behindDoc="0" locked="0" layoutInCell="1" allowOverlap="1" wp14:anchorId="0D2448EF" wp14:editId="66EF4085">
                <wp:simplePos x="0" y="0"/>
                <wp:positionH relativeFrom="column">
                  <wp:posOffset>488983</wp:posOffset>
                </wp:positionH>
                <wp:positionV relativeFrom="paragraph">
                  <wp:posOffset>66947</wp:posOffset>
                </wp:positionV>
                <wp:extent cx="5466841" cy="1388110"/>
                <wp:effectExtent l="0" t="0" r="635" b="2540"/>
                <wp:wrapNone/>
                <wp:docPr id="43" name="Text Box 43"/>
                <wp:cNvGraphicFramePr/>
                <a:graphic xmlns:a="http://schemas.openxmlformats.org/drawingml/2006/main">
                  <a:graphicData uri="http://schemas.microsoft.com/office/word/2010/wordprocessingShape">
                    <wps:wsp>
                      <wps:cNvSpPr txBox="1"/>
                      <wps:spPr>
                        <a:xfrm>
                          <a:off x="0" y="0"/>
                          <a:ext cx="5466841" cy="138811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DFA283" w14:textId="77777777" w:rsidR="00BA2B7B" w:rsidRPr="00BA2B7B" w:rsidRDefault="00BA2B7B" w:rsidP="00BA2B7B">
                            <w:pPr>
                              <w:bidi/>
                              <w:spacing w:after="0"/>
                              <w:jc w:val="both"/>
                              <w:rPr>
                                <w:rFonts w:ascii="David" w:hAnsi="David" w:cs="David"/>
                              </w:rPr>
                            </w:pPr>
                            <w:r w:rsidRPr="00BA2B7B">
                              <w:rPr>
                                <w:rFonts w:ascii="David" w:hAnsi="David" w:cs="David" w:hint="cs"/>
                                <w:b/>
                                <w:bCs/>
                                <w:color w:val="17406D" w:themeColor="text2"/>
                                <w:rtl/>
                              </w:rPr>
                              <w:t xml:space="preserve">מולטיפלייר </w:t>
                            </w:r>
                            <w:r w:rsidRPr="00BA2B7B">
                              <w:rPr>
                                <w:rFonts w:ascii="David" w:hAnsi="David" w:cs="David"/>
                                <w:b/>
                                <w:bCs/>
                                <w:color w:val="17406D" w:themeColor="text2"/>
                                <w:rtl/>
                              </w:rPr>
                              <w:t>–</w:t>
                            </w:r>
                            <w:r w:rsidRPr="00BA2B7B">
                              <w:rPr>
                                <w:rFonts w:ascii="David" w:hAnsi="David" w:cs="David" w:hint="cs"/>
                                <w:b/>
                                <w:bCs/>
                                <w:color w:val="17406D" w:themeColor="text2"/>
                                <w:rtl/>
                              </w:rPr>
                              <w:t xml:space="preserve"> </w:t>
                            </w:r>
                            <w:r w:rsidRPr="00BA2B7B">
                              <w:rPr>
                                <w:rStyle w:val="Strong"/>
                                <w:rFonts w:hint="cs"/>
                                <w:rtl/>
                              </w:rPr>
                              <w:t>שאוול ופולינסקי.</w:t>
                            </w:r>
                            <w:r w:rsidRPr="00BA2B7B">
                              <w:rPr>
                                <w:rFonts w:ascii="David" w:hAnsi="David" w:cs="David" w:hint="cs"/>
                                <w:rtl/>
                              </w:rPr>
                              <w:t xml:space="preserve"> מקרים של מעוולים סדרתיים והמוניים, שלרוב לא משלמים את כל הנזק שגרמו. לכן בבואם לבימ"ש יש להטיל פיצוי עונשי בכדי לפצות על הרתעת החסר במצב הנתון. הגישה מתמקדמת בתמריצים למזיק ולא מתעסקת בשאלת פיצוי יתר של הניזוק</w:t>
                            </w:r>
                            <w:r w:rsidRPr="00E85A30">
                              <w:sym w:font="Wingdings" w:char="F0DF"/>
                            </w:r>
                            <w:r w:rsidRPr="00BA2B7B">
                              <w:rPr>
                                <w:rFonts w:ascii="David" w:hAnsi="David" w:cs="David" w:hint="cs"/>
                                <w:rtl/>
                              </w:rPr>
                              <w:t xml:space="preserve"> הפנמה מלאה (מתמקדת בהתרעה </w:t>
                            </w:r>
                            <w:r w:rsidRPr="00BA2B7B">
                              <w:rPr>
                                <w:rFonts w:ascii="David" w:hAnsi="David" w:cs="David"/>
                                <w:rtl/>
                              </w:rPr>
                              <w:t>–</w:t>
                            </w:r>
                            <w:r w:rsidRPr="00BA2B7B">
                              <w:rPr>
                                <w:rFonts w:ascii="David" w:hAnsi="David" w:cs="David" w:hint="cs"/>
                                <w:rtl/>
                              </w:rPr>
                              <w:t xml:space="preserve"> שיקולים כלכליים). </w:t>
                            </w:r>
                          </w:p>
                          <w:p w14:paraId="707DE02A" w14:textId="280D9835" w:rsidR="00BA2B7B" w:rsidRPr="00BA2B7B" w:rsidRDefault="00BA2B7B" w:rsidP="00BA2B7B">
                            <w:pPr>
                              <w:bidi/>
                              <w:spacing w:after="0"/>
                              <w:jc w:val="both"/>
                              <w:rPr>
                                <w:rFonts w:ascii="David" w:hAnsi="David" w:cs="David"/>
                              </w:rPr>
                            </w:pPr>
                            <w:r w:rsidRPr="00BA2B7B">
                              <w:rPr>
                                <w:rFonts w:ascii="David" w:hAnsi="David" w:cs="David" w:hint="cs"/>
                                <w:rtl/>
                              </w:rPr>
                              <w:t>גישת המולטיפלייר נפסלה בשל ה</w:t>
                            </w:r>
                            <w:r w:rsidRPr="00BA2B7B">
                              <w:rPr>
                                <w:rFonts w:ascii="David" w:hAnsi="David" w:cs="David"/>
                              </w:rPr>
                              <w:t>Due Process</w:t>
                            </w:r>
                            <w:r w:rsidRPr="00BA2B7B">
                              <w:rPr>
                                <w:rFonts w:ascii="David" w:hAnsi="David" w:cs="David" w:hint="cs"/>
                                <w:rtl/>
                              </w:rPr>
                              <w:t xml:space="preserve"> </w:t>
                            </w:r>
                            <w:r w:rsidRPr="00BA2B7B">
                              <w:rPr>
                                <w:rFonts w:ascii="David" w:hAnsi="David" w:cs="David"/>
                                <w:rtl/>
                              </w:rPr>
                              <w:t>–</w:t>
                            </w:r>
                            <w:r w:rsidRPr="00BA2B7B">
                              <w:rPr>
                                <w:rFonts w:ascii="David" w:hAnsi="David" w:cs="David" w:hint="cs"/>
                                <w:rtl/>
                              </w:rPr>
                              <w:t xml:space="preserve"> הזכות להליך הוגן/תקין. הנאשם לא יכול להתגונן מכל העוולות ה'נוספות' שאנו מייחסים לו. בנוסף, גובה הפיצוי גבוה בהרבה מהמהקובל בנזיקין. אחת הסיבות לכך שהיא בבפיצוי עונשי לא נבחנת התנהגותו של ה</w:t>
                            </w:r>
                            <w:r w:rsidRPr="00BA2B7B">
                              <w:rPr>
                                <w:rFonts w:ascii="David" w:hAnsi="David" w:cs="David" w:hint="cs"/>
                                <w:u w:val="single"/>
                                <w:rtl/>
                              </w:rPr>
                              <w:t>ניזוק</w:t>
                            </w:r>
                            <w:r w:rsidRPr="00BA2B7B">
                              <w:rPr>
                                <w:rFonts w:ascii="David" w:hAnsi="David" w:cs="David" w:hint="cs"/>
                                <w:rtl/>
                              </w:rPr>
                              <w:t>, כפי שנעשה שפיצויים רגילים. כלומר, היעדר חישוב של אשם תורם בפיצויים עונשיים, מוביל לחישוב סכומים מופרזים יחסית לנזיקין.</w:t>
                            </w:r>
                          </w:p>
                          <w:p w14:paraId="331FB430" w14:textId="77777777" w:rsidR="00BA2B7B" w:rsidRPr="00BA2B7B" w:rsidRDefault="00BA2B7B" w:rsidP="00BA2B7B">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48EF" id="Text Box 43" o:spid="_x0000_s1039" type="#_x0000_t202" style="position:absolute;left:0;text-align:left;margin-left:38.5pt;margin-top:5.25pt;width:430.45pt;height:10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" fillcolor="#0f6fc6 [3204]" stroked="f">
                <v:fill opacity="32896f"/>
                <v:textbox>
                  <w:txbxContent>
                    <w:p w14:paraId="3ADFA283" w14:textId="77777777" w:rsidR="00BA2B7B" w:rsidRPr="00BA2B7B" w:rsidRDefault="00BA2B7B" w:rsidP="00BA2B7B">
                      <w:pPr>
                        <w:bidi/>
                        <w:spacing w:after="0"/>
                        <w:jc w:val="both"/>
                        <w:rPr>
                          <w:rFonts w:ascii="David" w:hAnsi="David" w:cs="David"/>
                        </w:rPr>
                      </w:pPr>
                      <w:r w:rsidRPr="00BA2B7B">
                        <w:rPr>
                          <w:rFonts w:ascii="David" w:hAnsi="David" w:cs="David" w:hint="cs"/>
                          <w:b/>
                          <w:bCs/>
                          <w:color w:val="17406D" w:themeColor="text2"/>
                          <w:rtl/>
                        </w:rPr>
                        <w:t xml:space="preserve">מולטיפלייר </w:t>
                      </w:r>
                      <w:r w:rsidRPr="00BA2B7B">
                        <w:rPr>
                          <w:rFonts w:ascii="David" w:hAnsi="David" w:cs="David"/>
                          <w:b/>
                          <w:bCs/>
                          <w:color w:val="17406D" w:themeColor="text2"/>
                          <w:rtl/>
                        </w:rPr>
                        <w:t>–</w:t>
                      </w:r>
                      <w:r w:rsidRPr="00BA2B7B">
                        <w:rPr>
                          <w:rFonts w:ascii="David" w:hAnsi="David" w:cs="David" w:hint="cs"/>
                          <w:b/>
                          <w:bCs/>
                          <w:color w:val="17406D" w:themeColor="text2"/>
                          <w:rtl/>
                        </w:rPr>
                        <w:t xml:space="preserve"> </w:t>
                      </w:r>
                      <w:r w:rsidRPr="00BA2B7B">
                        <w:rPr>
                          <w:rStyle w:val="Strong"/>
                          <w:rFonts w:hint="cs"/>
                          <w:rtl/>
                        </w:rPr>
                        <w:t>שאוול ופולינסקי.</w:t>
                      </w:r>
                      <w:r w:rsidRPr="00BA2B7B">
                        <w:rPr>
                          <w:rFonts w:ascii="David" w:hAnsi="David" w:cs="David" w:hint="cs"/>
                          <w:rtl/>
                        </w:rPr>
                        <w:t xml:space="preserve"> מקרים של מעוולים סדרתיים והמוניים, שלרוב לא משלמים את כל הנזק שגרמו. לכן בבואם לבימ"ש יש להטיל פיצוי עונשי בכדי לפצות על הרתעת החסר במצב הנתון. הגישה מתמקדמת בתמריצים למזיק ולא מתעסקת בשאלת פיצוי יתר של הניזוק</w:t>
                      </w:r>
                      <w:r w:rsidRPr="00E85A30">
                        <w:sym w:font="Wingdings" w:char="F0DF"/>
                      </w:r>
                      <w:r w:rsidRPr="00BA2B7B">
                        <w:rPr>
                          <w:rFonts w:ascii="David" w:hAnsi="David" w:cs="David" w:hint="cs"/>
                          <w:rtl/>
                        </w:rPr>
                        <w:t xml:space="preserve"> הפנמה מלאה (מתמקדת בהתרעה </w:t>
                      </w:r>
                      <w:r w:rsidRPr="00BA2B7B">
                        <w:rPr>
                          <w:rFonts w:ascii="David" w:hAnsi="David" w:cs="David"/>
                          <w:rtl/>
                        </w:rPr>
                        <w:t>–</w:t>
                      </w:r>
                      <w:r w:rsidRPr="00BA2B7B">
                        <w:rPr>
                          <w:rFonts w:ascii="David" w:hAnsi="David" w:cs="David" w:hint="cs"/>
                          <w:rtl/>
                        </w:rPr>
                        <w:t xml:space="preserve"> שיקולים כלכליים). </w:t>
                      </w:r>
                    </w:p>
                    <w:p w14:paraId="707DE02A" w14:textId="280D9835" w:rsidR="00BA2B7B" w:rsidRPr="00BA2B7B" w:rsidRDefault="00BA2B7B" w:rsidP="00BA2B7B">
                      <w:pPr>
                        <w:bidi/>
                        <w:spacing w:after="0"/>
                        <w:jc w:val="both"/>
                        <w:rPr>
                          <w:rFonts w:ascii="David" w:hAnsi="David" w:cs="David"/>
                        </w:rPr>
                      </w:pPr>
                      <w:r w:rsidRPr="00BA2B7B">
                        <w:rPr>
                          <w:rFonts w:ascii="David" w:hAnsi="David" w:cs="David" w:hint="cs"/>
                          <w:rtl/>
                        </w:rPr>
                        <w:t>גישת המולטיפלייר נפסלה בשל ה</w:t>
                      </w:r>
                      <w:r w:rsidRPr="00BA2B7B">
                        <w:rPr>
                          <w:rFonts w:ascii="David" w:hAnsi="David" w:cs="David"/>
                        </w:rPr>
                        <w:t>Due Process</w:t>
                      </w:r>
                      <w:r w:rsidRPr="00BA2B7B">
                        <w:rPr>
                          <w:rFonts w:ascii="David" w:hAnsi="David" w:cs="David" w:hint="cs"/>
                          <w:rtl/>
                        </w:rPr>
                        <w:t xml:space="preserve"> </w:t>
                      </w:r>
                      <w:r w:rsidRPr="00BA2B7B">
                        <w:rPr>
                          <w:rFonts w:ascii="David" w:hAnsi="David" w:cs="David"/>
                          <w:rtl/>
                        </w:rPr>
                        <w:t>–</w:t>
                      </w:r>
                      <w:r w:rsidRPr="00BA2B7B">
                        <w:rPr>
                          <w:rFonts w:ascii="David" w:hAnsi="David" w:cs="David" w:hint="cs"/>
                          <w:rtl/>
                        </w:rPr>
                        <w:t xml:space="preserve"> הזכות להליך הוגן/תקין. הנאשם לא יכול להתגונן מכל העוולות ה'נוספות' שאנו מייחסים לו. בנוסף, גובה הפיצוי גבוה בהרבה מהמהקובל בנזיקין. אחת הסיבות לכך שהיא בבפיצוי עונשי לא נבחנת התנהגותו של ה</w:t>
                      </w:r>
                      <w:r w:rsidRPr="00BA2B7B">
                        <w:rPr>
                          <w:rFonts w:ascii="David" w:hAnsi="David" w:cs="David" w:hint="cs"/>
                          <w:u w:val="single"/>
                          <w:rtl/>
                        </w:rPr>
                        <w:t>ניזוק</w:t>
                      </w:r>
                      <w:r w:rsidRPr="00BA2B7B">
                        <w:rPr>
                          <w:rFonts w:ascii="David" w:hAnsi="David" w:cs="David" w:hint="cs"/>
                          <w:rtl/>
                        </w:rPr>
                        <w:t>, כפי שנעשה שפיצויים רגילים. כלומר, היעדר חישוב של אשם תורם בפיצויים עונשיים, מוביל לחישוב סכומים מופרזים יחסית לנזיקין.</w:t>
                      </w:r>
                    </w:p>
                    <w:p w14:paraId="331FB430" w14:textId="77777777" w:rsidR="00BA2B7B" w:rsidRPr="00BA2B7B" w:rsidRDefault="00BA2B7B" w:rsidP="00BA2B7B">
                      <w:pPr>
                        <w:bidi/>
                      </w:pPr>
                    </w:p>
                  </w:txbxContent>
                </v:textbox>
              </v:shape>
            </w:pict>
          </mc:Fallback>
        </mc:AlternateContent>
      </w:r>
    </w:p>
    <w:p w14:paraId="07D92B5A" w14:textId="4D80EC4F" w:rsidR="00BA2B7B" w:rsidRDefault="00BA2B7B" w:rsidP="00BA2B7B">
      <w:pPr>
        <w:bidi/>
        <w:spacing w:after="0"/>
        <w:jc w:val="both"/>
        <w:rPr>
          <w:rFonts w:ascii="David" w:hAnsi="David" w:cs="David"/>
          <w:u w:val="single"/>
          <w:rtl/>
        </w:rPr>
      </w:pPr>
    </w:p>
    <w:p w14:paraId="6C7F2611" w14:textId="3EB9ED7F" w:rsidR="00BA2B7B" w:rsidRDefault="00BA2B7B" w:rsidP="00BA2B7B">
      <w:pPr>
        <w:bidi/>
        <w:spacing w:after="0"/>
        <w:jc w:val="both"/>
        <w:rPr>
          <w:rFonts w:ascii="David" w:hAnsi="David" w:cs="David"/>
          <w:u w:val="single"/>
          <w:rtl/>
        </w:rPr>
      </w:pPr>
    </w:p>
    <w:p w14:paraId="25BA0071" w14:textId="7FBF75BF" w:rsidR="00BA2B7B" w:rsidRDefault="00BA2B7B" w:rsidP="00BA2B7B">
      <w:pPr>
        <w:bidi/>
        <w:spacing w:after="0"/>
        <w:jc w:val="both"/>
        <w:rPr>
          <w:rFonts w:ascii="David" w:hAnsi="David" w:cs="David"/>
          <w:u w:val="single"/>
          <w:rtl/>
        </w:rPr>
      </w:pPr>
    </w:p>
    <w:p w14:paraId="4D2E78E0" w14:textId="77777777" w:rsidR="00BA2B7B" w:rsidRDefault="00BA2B7B" w:rsidP="00BA2B7B">
      <w:pPr>
        <w:bidi/>
        <w:spacing w:after="0"/>
        <w:jc w:val="both"/>
        <w:rPr>
          <w:rFonts w:ascii="David" w:hAnsi="David" w:cs="David"/>
          <w:u w:val="single"/>
          <w:rtl/>
        </w:rPr>
      </w:pPr>
    </w:p>
    <w:p w14:paraId="51C245CE" w14:textId="33FE2B83" w:rsidR="00BA2B7B" w:rsidRDefault="00BA2B7B" w:rsidP="00BA2B7B">
      <w:pPr>
        <w:bidi/>
        <w:spacing w:after="0"/>
        <w:jc w:val="both"/>
        <w:rPr>
          <w:rFonts w:ascii="David" w:hAnsi="David" w:cs="David"/>
          <w:u w:val="single"/>
          <w:rtl/>
        </w:rPr>
      </w:pPr>
    </w:p>
    <w:p w14:paraId="0F1CD72E" w14:textId="77777777" w:rsidR="00BA2B7B" w:rsidRDefault="00BA2B7B" w:rsidP="00BA2B7B">
      <w:pPr>
        <w:bidi/>
        <w:spacing w:after="0"/>
        <w:jc w:val="both"/>
        <w:rPr>
          <w:rFonts w:ascii="David" w:hAnsi="David" w:cs="David"/>
          <w:u w:val="single"/>
          <w:rtl/>
        </w:rPr>
      </w:pPr>
    </w:p>
    <w:p w14:paraId="6CF3B528" w14:textId="77777777" w:rsidR="00BA2B7B" w:rsidRDefault="00BA2B7B" w:rsidP="00BA2B7B">
      <w:pPr>
        <w:bidi/>
        <w:spacing w:after="0"/>
        <w:jc w:val="both"/>
        <w:rPr>
          <w:rFonts w:ascii="David" w:hAnsi="David" w:cs="David"/>
          <w:u w:val="single"/>
          <w:rtl/>
        </w:rPr>
      </w:pPr>
    </w:p>
    <w:p w14:paraId="33BF96B5" w14:textId="77777777" w:rsidR="00BA2B7B" w:rsidRDefault="00BA2B7B" w:rsidP="00BA2B7B">
      <w:pPr>
        <w:bidi/>
        <w:spacing w:after="0"/>
        <w:jc w:val="both"/>
        <w:rPr>
          <w:rFonts w:ascii="David" w:hAnsi="David" w:cs="David"/>
          <w:u w:val="single"/>
          <w:rtl/>
        </w:rPr>
      </w:pPr>
    </w:p>
    <w:p w14:paraId="15DEDA0A" w14:textId="77777777" w:rsidR="00BA2B7B" w:rsidRDefault="00BA2B7B" w:rsidP="00BA2B7B">
      <w:pPr>
        <w:bidi/>
        <w:spacing w:after="0"/>
        <w:jc w:val="both"/>
        <w:rPr>
          <w:rFonts w:ascii="David" w:hAnsi="David" w:cs="David"/>
          <w:u w:val="single"/>
          <w:rtl/>
        </w:rPr>
      </w:pPr>
    </w:p>
    <w:p w14:paraId="66CA5168" w14:textId="77777777" w:rsidR="00BA2B7B" w:rsidRPr="00030547" w:rsidRDefault="00BA2B7B" w:rsidP="00BA2B7B">
      <w:pPr>
        <w:bidi/>
        <w:spacing w:after="0"/>
        <w:jc w:val="both"/>
        <w:rPr>
          <w:rFonts w:ascii="David" w:hAnsi="David" w:cs="David"/>
          <w:u w:val="single"/>
          <w:rtl/>
        </w:rPr>
      </w:pPr>
    </w:p>
    <w:p w14:paraId="60E5E204" w14:textId="64E5F60E" w:rsidR="00BA2B7B" w:rsidRDefault="00BA2B7B" w:rsidP="00BA2B7B">
      <w:pPr>
        <w:bidi/>
        <w:spacing w:after="0"/>
        <w:ind w:left="360"/>
        <w:jc w:val="both"/>
        <w:rPr>
          <w:rFonts w:ascii="David" w:hAnsi="David" w:cs="David"/>
          <w:rtl/>
        </w:rPr>
      </w:pPr>
      <w:r>
        <w:rPr>
          <w:rFonts w:ascii="David" w:hAnsi="David" w:cs="David" w:hint="cs"/>
          <w:b/>
          <w:bCs/>
          <w:noProof/>
          <w:rtl/>
          <w:lang w:val="he-IL"/>
        </w:rPr>
        <mc:AlternateContent>
          <mc:Choice Requires="wps">
            <w:drawing>
              <wp:anchor distT="0" distB="0" distL="114300" distR="114300" simplePos="0" relativeHeight="251729920" behindDoc="0" locked="0" layoutInCell="1" allowOverlap="1" wp14:anchorId="69F3A9D2" wp14:editId="5031CF66">
                <wp:simplePos x="0" y="0"/>
                <wp:positionH relativeFrom="margin">
                  <wp:align>right</wp:align>
                </wp:positionH>
                <wp:positionV relativeFrom="paragraph">
                  <wp:posOffset>4496</wp:posOffset>
                </wp:positionV>
                <wp:extent cx="5486400" cy="440086"/>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486400" cy="44008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0992615" w14:textId="47E52F1F" w:rsidR="00BA2B7B" w:rsidRPr="00BA2B7B" w:rsidRDefault="00BA2B7B" w:rsidP="00BA2B7B">
                            <w:pPr>
                              <w:bidi/>
                              <w:spacing w:after="0"/>
                              <w:jc w:val="both"/>
                              <w:rPr>
                                <w:rFonts w:ascii="David" w:hAnsi="David" w:cs="David"/>
                              </w:rPr>
                            </w:pPr>
                            <w:r w:rsidRPr="00BA2B7B">
                              <w:rPr>
                                <w:rFonts w:ascii="David" w:hAnsi="David" w:cs="David" w:hint="cs"/>
                                <w:b/>
                                <w:bCs/>
                                <w:color w:val="17406D" w:themeColor="text2"/>
                                <w:rtl/>
                              </w:rPr>
                              <w:t xml:space="preserve">הגישה החברתית </w:t>
                            </w:r>
                            <w:r w:rsidRPr="00BA2B7B">
                              <w:rPr>
                                <w:rFonts w:ascii="David" w:hAnsi="David" w:cs="David"/>
                                <w:b/>
                                <w:bCs/>
                                <w:color w:val="17406D" w:themeColor="text2"/>
                                <w:rtl/>
                              </w:rPr>
                              <w:t>–</w:t>
                            </w:r>
                            <w:r w:rsidRPr="00BA2B7B">
                              <w:rPr>
                                <w:rFonts w:ascii="David" w:hAnsi="David" w:cs="David" w:hint="cs"/>
                                <w:rtl/>
                              </w:rPr>
                              <w:t xml:space="preserve"> </w:t>
                            </w:r>
                            <w:r w:rsidRPr="00BA2B7B">
                              <w:rPr>
                                <w:rStyle w:val="Strong"/>
                                <w:rFonts w:hint="cs"/>
                                <w:rtl/>
                              </w:rPr>
                              <w:t>קתרין שרקי.</w:t>
                            </w:r>
                            <w:r w:rsidRPr="00BA2B7B">
                              <w:rPr>
                                <w:rFonts w:ascii="David" w:hAnsi="David" w:cs="David" w:hint="cs"/>
                                <w:rtl/>
                              </w:rPr>
                              <w:t xml:space="preserve"> עיקר הפיצוי ילך לניזוק, והשאר לחברה, כסוג של 'פיצוי חברתי נוסף'. מעין שדרוג של המכפיל כיוון שמערבת גם שיקולים חברתיים.</w:t>
                            </w:r>
                          </w:p>
                          <w:p w14:paraId="6F2FA3E7" w14:textId="77777777" w:rsidR="00BA2B7B" w:rsidRPr="00BA2B7B" w:rsidRDefault="00BA2B7B" w:rsidP="00BA2B7B">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A9D2" id="Text Box 44" o:spid="_x0000_s1040" type="#_x0000_t202" style="position:absolute;left:0;text-align:left;margin-left:380.8pt;margin-top:.35pt;width:6in;height:34.6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" fillcolor="#009dd9 [3205]" stroked="f">
                <v:fill opacity="32896f"/>
                <v:textbox>
                  <w:txbxContent>
                    <w:p w14:paraId="60992615" w14:textId="47E52F1F" w:rsidR="00BA2B7B" w:rsidRPr="00BA2B7B" w:rsidRDefault="00BA2B7B" w:rsidP="00BA2B7B">
                      <w:pPr>
                        <w:bidi/>
                        <w:spacing w:after="0"/>
                        <w:jc w:val="both"/>
                        <w:rPr>
                          <w:rFonts w:ascii="David" w:hAnsi="David" w:cs="David"/>
                        </w:rPr>
                      </w:pPr>
                      <w:r w:rsidRPr="00BA2B7B">
                        <w:rPr>
                          <w:rFonts w:ascii="David" w:hAnsi="David" w:cs="David" w:hint="cs"/>
                          <w:b/>
                          <w:bCs/>
                          <w:color w:val="17406D" w:themeColor="text2"/>
                          <w:rtl/>
                        </w:rPr>
                        <w:t xml:space="preserve">הגישה החברתית </w:t>
                      </w:r>
                      <w:r w:rsidRPr="00BA2B7B">
                        <w:rPr>
                          <w:rFonts w:ascii="David" w:hAnsi="David" w:cs="David"/>
                          <w:b/>
                          <w:bCs/>
                          <w:color w:val="17406D" w:themeColor="text2"/>
                          <w:rtl/>
                        </w:rPr>
                        <w:t>–</w:t>
                      </w:r>
                      <w:r w:rsidRPr="00BA2B7B">
                        <w:rPr>
                          <w:rFonts w:ascii="David" w:hAnsi="David" w:cs="David" w:hint="cs"/>
                          <w:rtl/>
                        </w:rPr>
                        <w:t xml:space="preserve"> </w:t>
                      </w:r>
                      <w:r w:rsidRPr="00BA2B7B">
                        <w:rPr>
                          <w:rStyle w:val="Strong"/>
                          <w:rFonts w:hint="cs"/>
                          <w:rtl/>
                        </w:rPr>
                        <w:t>קתרין שרקי.</w:t>
                      </w:r>
                      <w:r w:rsidRPr="00BA2B7B">
                        <w:rPr>
                          <w:rFonts w:ascii="David" w:hAnsi="David" w:cs="David" w:hint="cs"/>
                          <w:rtl/>
                        </w:rPr>
                        <w:t xml:space="preserve"> עיקר הפיצוי ילך לניזוק, והשאר לחברה, כסוג של 'פיצוי חברתי נוסף'. מעין שדרוג של המכפיל כיוון שמערבת גם שיקולים חברתיים.</w:t>
                      </w:r>
                    </w:p>
                    <w:p w14:paraId="6F2FA3E7" w14:textId="77777777" w:rsidR="00BA2B7B" w:rsidRPr="00BA2B7B" w:rsidRDefault="00BA2B7B" w:rsidP="00BA2B7B">
                      <w:pPr>
                        <w:bidi/>
                      </w:pPr>
                    </w:p>
                  </w:txbxContent>
                </v:textbox>
                <w10:wrap anchorx="margin"/>
              </v:shape>
            </w:pict>
          </mc:Fallback>
        </mc:AlternateContent>
      </w:r>
    </w:p>
    <w:p w14:paraId="1FAE063F" w14:textId="11D0A6D6" w:rsidR="00BA2B7B" w:rsidRPr="00BA2B7B" w:rsidRDefault="00BA2B7B" w:rsidP="00BA2B7B">
      <w:pPr>
        <w:bidi/>
        <w:spacing w:after="0"/>
        <w:ind w:left="360"/>
        <w:jc w:val="both"/>
        <w:rPr>
          <w:rFonts w:ascii="David" w:hAnsi="David" w:cs="David"/>
        </w:rPr>
      </w:pPr>
    </w:p>
    <w:p w14:paraId="6291796C" w14:textId="21702124" w:rsidR="00BA2B7B" w:rsidRDefault="00BA2B7B" w:rsidP="00030547">
      <w:pPr>
        <w:bidi/>
        <w:spacing w:after="0"/>
        <w:jc w:val="both"/>
        <w:rPr>
          <w:rFonts w:ascii="David" w:hAnsi="David" w:cs="David"/>
          <w:rtl/>
        </w:rPr>
      </w:pPr>
    </w:p>
    <w:p w14:paraId="572E1D2D" w14:textId="25389B1A" w:rsidR="00BA2B7B" w:rsidRDefault="00BA2B7B" w:rsidP="00BA2B7B">
      <w:pPr>
        <w:bidi/>
        <w:spacing w:after="0"/>
        <w:jc w:val="both"/>
        <w:rPr>
          <w:rFonts w:ascii="David" w:hAnsi="David" w:cs="David"/>
          <w:rtl/>
        </w:rPr>
      </w:pPr>
    </w:p>
    <w:p w14:paraId="7AA81F63" w14:textId="65B4388B" w:rsidR="00BA2B7B" w:rsidRDefault="00BA2B7B" w:rsidP="00BA2B7B">
      <w:pPr>
        <w:bidi/>
        <w:spacing w:after="0"/>
        <w:jc w:val="both"/>
        <w:rPr>
          <w:rFonts w:ascii="David" w:hAnsi="David" w:cs="David"/>
          <w:rtl/>
        </w:rPr>
      </w:pPr>
      <w:r>
        <w:rPr>
          <w:rFonts w:ascii="David" w:hAnsi="David" w:cs="David" w:hint="cs"/>
          <w:b/>
          <w:bCs/>
          <w:noProof/>
          <w:rtl/>
          <w:lang w:val="he-IL"/>
        </w:rPr>
        <mc:AlternateContent>
          <mc:Choice Requires="wps">
            <w:drawing>
              <wp:anchor distT="0" distB="0" distL="114300" distR="114300" simplePos="0" relativeHeight="251731968" behindDoc="0" locked="0" layoutInCell="1" allowOverlap="1" wp14:anchorId="35A294FB" wp14:editId="4DEA1DDD">
                <wp:simplePos x="0" y="0"/>
                <wp:positionH relativeFrom="margin">
                  <wp:align>right</wp:align>
                </wp:positionH>
                <wp:positionV relativeFrom="paragraph">
                  <wp:posOffset>3060</wp:posOffset>
                </wp:positionV>
                <wp:extent cx="5486400" cy="361848"/>
                <wp:effectExtent l="0" t="0" r="0" b="635"/>
                <wp:wrapNone/>
                <wp:docPr id="49" name="Text Box 49"/>
                <wp:cNvGraphicFramePr/>
                <a:graphic xmlns:a="http://schemas.openxmlformats.org/drawingml/2006/main">
                  <a:graphicData uri="http://schemas.microsoft.com/office/word/2010/wordprocessingShape">
                    <wps:wsp>
                      <wps:cNvSpPr txBox="1"/>
                      <wps:spPr>
                        <a:xfrm>
                          <a:off x="0" y="0"/>
                          <a:ext cx="5486400" cy="361848"/>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F85E25" w14:textId="424804BE" w:rsidR="00BA2B7B" w:rsidRPr="00BA2B7B" w:rsidRDefault="00BA2B7B" w:rsidP="00BA2B7B">
                            <w:pPr>
                              <w:bidi/>
                            </w:pPr>
                            <w:r w:rsidRPr="00BA2B7B">
                              <w:rPr>
                                <w:rFonts w:ascii="David" w:hAnsi="David" w:cs="David" w:hint="cs"/>
                                <w:b/>
                                <w:bCs/>
                                <w:color w:val="17406D" w:themeColor="text2"/>
                                <w:rtl/>
                              </w:rPr>
                              <w:t>הגישה המעין פלילית מסורתית</w:t>
                            </w:r>
                            <w:r>
                              <w:rPr>
                                <w:rFonts w:ascii="David" w:hAnsi="David" w:cs="David" w:hint="cs"/>
                                <w:color w:val="17406D" w:themeColor="text2"/>
                                <w:rtl/>
                              </w:rPr>
                              <w:t xml:space="preserve">- </w:t>
                            </w:r>
                            <w:r w:rsidRPr="00BA2B7B">
                              <w:rPr>
                                <w:rFonts w:ascii="David" w:hAnsi="David" w:cs="David" w:hint="cs"/>
                                <w:rtl/>
                              </w:rPr>
                              <w:t>ייתנו פיצויים במקרים נדירים, רק כאשר המעשים זדונים ומכוונים.</w:t>
                            </w:r>
                            <w:r w:rsidR="0053245B">
                              <w:rPr>
                                <w:rFonts w:ascii="David" w:hAnsi="David" w:cs="David" w:hint="cs"/>
                                <w:rtl/>
                              </w:rPr>
                              <w:t xml:space="preserve"> כלומר, היעדר חישוב של אשם תורם בפיצויים עונשיים, מוביל לחישוב סכומים מופרזים יחסית לנזיקין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94FB" id="Text Box 49" o:spid="_x0000_s1041" type="#_x0000_t202" style="position:absolute;left:0;text-align:left;margin-left:380.8pt;margin-top:.25pt;width:6in;height:28.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" fillcolor="#0bd0d9 [3206]" stroked="f">
                <v:fill opacity="32896f"/>
                <v:textbox>
                  <w:txbxContent>
                    <w:p w14:paraId="00F85E25" w14:textId="424804BE" w:rsidR="00BA2B7B" w:rsidRPr="00BA2B7B" w:rsidRDefault="00BA2B7B" w:rsidP="00BA2B7B">
                      <w:pPr>
                        <w:bidi/>
                      </w:pPr>
                      <w:r w:rsidRPr="00BA2B7B">
                        <w:rPr>
                          <w:rFonts w:ascii="David" w:hAnsi="David" w:cs="David" w:hint="cs"/>
                          <w:b/>
                          <w:bCs/>
                          <w:color w:val="17406D" w:themeColor="text2"/>
                          <w:rtl/>
                        </w:rPr>
                        <w:t>הגישה המעין פלילית מסורתית</w:t>
                      </w:r>
                      <w:r>
                        <w:rPr>
                          <w:rFonts w:ascii="David" w:hAnsi="David" w:cs="David" w:hint="cs"/>
                          <w:color w:val="17406D" w:themeColor="text2"/>
                          <w:rtl/>
                        </w:rPr>
                        <w:t xml:space="preserve">- </w:t>
                      </w:r>
                      <w:r w:rsidRPr="00BA2B7B">
                        <w:rPr>
                          <w:rFonts w:ascii="David" w:hAnsi="David" w:cs="David" w:hint="cs"/>
                          <w:rtl/>
                        </w:rPr>
                        <w:t>ייתנו פיצויים במקרים נדירים, רק כאשר המעשים זדונים ומכוונים.</w:t>
                      </w:r>
                      <w:r w:rsidR="0053245B">
                        <w:rPr>
                          <w:rFonts w:ascii="David" w:hAnsi="David" w:cs="David" w:hint="cs"/>
                          <w:rtl/>
                        </w:rPr>
                        <w:t xml:space="preserve"> כלומר, היעדר חישוב של אשם תורם בפיצויים עונשיים, מוביל לחישוב סכומים מופרזים יחסית לנזיקין</w:t>
                      </w:r>
                    </w:p>
                  </w:txbxContent>
                </v:textbox>
                <w10:wrap anchorx="margin"/>
              </v:shape>
            </w:pict>
          </mc:Fallback>
        </mc:AlternateContent>
      </w:r>
    </w:p>
    <w:p w14:paraId="7A50515D" w14:textId="77777777" w:rsidR="00BA2B7B" w:rsidRDefault="00BA2B7B" w:rsidP="00BA2B7B">
      <w:pPr>
        <w:bidi/>
        <w:spacing w:after="0"/>
        <w:jc w:val="both"/>
        <w:rPr>
          <w:rFonts w:ascii="David" w:hAnsi="David" w:cs="David"/>
          <w:rtl/>
        </w:rPr>
      </w:pPr>
    </w:p>
    <w:p w14:paraId="7F16BD5A" w14:textId="527EED17" w:rsidR="00BA2B7B" w:rsidRPr="00BA2B7B" w:rsidRDefault="001D44B1" w:rsidP="00BA2B7B">
      <w:pPr>
        <w:bidi/>
        <w:spacing w:after="0"/>
        <w:jc w:val="both"/>
        <w:rPr>
          <w:rFonts w:ascii="David" w:hAnsi="David" w:cs="David"/>
        </w:rPr>
      </w:pPr>
      <w:r>
        <w:rPr>
          <w:rFonts w:ascii="David" w:hAnsi="David" w:cs="David"/>
          <w:noProof/>
        </w:rPr>
        <mc:AlternateContent>
          <mc:Choice Requires="wps">
            <w:drawing>
              <wp:anchor distT="0" distB="0" distL="114300" distR="114300" simplePos="0" relativeHeight="251732992" behindDoc="0" locked="0" layoutInCell="1" allowOverlap="1" wp14:anchorId="6A5A7EBE" wp14:editId="369FC81F">
                <wp:simplePos x="0" y="0"/>
                <wp:positionH relativeFrom="column">
                  <wp:posOffset>3114430</wp:posOffset>
                </wp:positionH>
                <wp:positionV relativeFrom="paragraph">
                  <wp:posOffset>127000</wp:posOffset>
                </wp:positionV>
                <wp:extent cx="312950" cy="239602"/>
                <wp:effectExtent l="19050" t="0" r="11430" b="46355"/>
                <wp:wrapNone/>
                <wp:docPr id="50" name="Arrow: Down 50"/>
                <wp:cNvGraphicFramePr/>
                <a:graphic xmlns:a="http://schemas.openxmlformats.org/drawingml/2006/main">
                  <a:graphicData uri="http://schemas.microsoft.com/office/word/2010/wordprocessingShape">
                    <wps:wsp>
                      <wps:cNvSpPr/>
                      <wps:spPr>
                        <a:xfrm>
                          <a:off x="0" y="0"/>
                          <a:ext cx="312950" cy="239602"/>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4E2B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26" type="#_x0000_t67" style="position:absolute;margin-left:245.25pt;margin-top:10pt;width:24.65pt;height:18.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" adj="10800" fillcolor="#3bc8ff [2165]" strokecolor="#009dd9 [3205]" strokeweight=".5pt">
                <v:fill color2="#12bdff [2613]" rotate="t" colors="0 #9bcef8;.5 #8ec4ee;1 #79bef1" focus="100%" type="gradient">
                  <o:fill v:ext="view" type="gradientUnscaled"/>
                </v:fill>
              </v:shape>
            </w:pict>
          </mc:Fallback>
        </mc:AlternateContent>
      </w:r>
    </w:p>
    <w:p w14:paraId="0E0C0B36" w14:textId="77777777" w:rsidR="00BA2B7B" w:rsidRDefault="00BA2B7B" w:rsidP="00BA2B7B">
      <w:pPr>
        <w:bidi/>
        <w:spacing w:after="0"/>
        <w:jc w:val="both"/>
        <w:rPr>
          <w:rFonts w:ascii="David" w:hAnsi="David" w:cs="David"/>
          <w:rtl/>
        </w:rPr>
      </w:pPr>
    </w:p>
    <w:p w14:paraId="6A2399A8" w14:textId="5877FC04" w:rsidR="00CC7DF2" w:rsidRDefault="00CC7DF2" w:rsidP="00840AFD">
      <w:pPr>
        <w:bidi/>
        <w:spacing w:after="0" w:line="276" w:lineRule="auto"/>
        <w:jc w:val="both"/>
        <w:rPr>
          <w:rFonts w:ascii="David" w:hAnsi="David" w:cs="David"/>
          <w:rtl/>
        </w:rPr>
      </w:pPr>
      <w:r>
        <w:rPr>
          <w:rFonts w:ascii="David" w:hAnsi="David" w:cs="David" w:hint="cs"/>
          <w:rtl/>
        </w:rPr>
        <w:t>בעקבות כך:</w:t>
      </w:r>
    </w:p>
    <w:p w14:paraId="72CAABFA" w14:textId="361E3BCF" w:rsidR="00CC7DF2" w:rsidRDefault="00CC7DF2" w:rsidP="00840AFD">
      <w:pPr>
        <w:bidi/>
        <w:spacing w:after="0" w:line="276" w:lineRule="auto"/>
        <w:jc w:val="both"/>
        <w:rPr>
          <w:rFonts w:ascii="David" w:hAnsi="David" w:cs="David"/>
          <w:rtl/>
        </w:rPr>
      </w:pPr>
      <w:r w:rsidRPr="001D44B1">
        <w:rPr>
          <w:rFonts w:ascii="David" w:hAnsi="David" w:cs="David" w:hint="cs"/>
          <w:b/>
          <w:bCs/>
          <w:rtl/>
        </w:rPr>
        <w:t>תזה של שמואלי:</w:t>
      </w:r>
      <w:r>
        <w:rPr>
          <w:rFonts w:ascii="David" w:hAnsi="David" w:cs="David" w:hint="cs"/>
          <w:rtl/>
        </w:rPr>
        <w:t xml:space="preserve"> להחיל על פיצויים עונשיים קריטריונים דומים ככל האפשר לאלו החלים על פיצויים רגילים (במידת הצורך להתאים למטרה הייחודית של הפיצוי העונשי). המשמעות היא </w:t>
      </w:r>
      <w:r w:rsidR="00A90429">
        <w:rPr>
          <w:rFonts w:ascii="David" w:hAnsi="David" w:cs="David" w:hint="cs"/>
          <w:rtl/>
        </w:rPr>
        <w:t>שה</w:t>
      </w:r>
      <w:r>
        <w:rPr>
          <w:rFonts w:ascii="David" w:hAnsi="David" w:cs="David" w:hint="cs"/>
          <w:rtl/>
        </w:rPr>
        <w:t>מתח בין שני סוגי הפיצויים יצומצם, והפיצויים העונשיים יהוו חלק אינטגרלי מהדין הנזיקי ולא כשריד או אי של פלילי.</w:t>
      </w:r>
    </w:p>
    <w:p w14:paraId="68E130F1" w14:textId="77777777" w:rsidR="00840AFD" w:rsidRDefault="00CC7DF2" w:rsidP="00840AFD">
      <w:pPr>
        <w:bidi/>
        <w:spacing w:after="0" w:line="276" w:lineRule="auto"/>
        <w:jc w:val="both"/>
        <w:rPr>
          <w:rFonts w:ascii="David" w:hAnsi="David" w:cs="David"/>
          <w:rtl/>
        </w:rPr>
      </w:pPr>
      <w:r>
        <w:rPr>
          <w:rFonts w:ascii="David" w:hAnsi="David" w:cs="David" w:hint="cs"/>
          <w:rtl/>
        </w:rPr>
        <w:t>התזה מתאימה יותר לגישות כלכליות. ההצעה היא לבחון את אשמתו של הניזוק</w:t>
      </w:r>
      <w:r w:rsidR="00840AFD">
        <w:rPr>
          <w:rFonts w:ascii="David" w:hAnsi="David" w:cs="David" w:hint="cs"/>
          <w:rtl/>
        </w:rPr>
        <w:t>,</w:t>
      </w:r>
      <w:r>
        <w:rPr>
          <w:rFonts w:ascii="David" w:hAnsi="David" w:cs="David" w:hint="cs"/>
          <w:rtl/>
        </w:rPr>
        <w:t xml:space="preserve"> בנוסף למזיק</w:t>
      </w:r>
      <w:r w:rsidR="00840AFD">
        <w:rPr>
          <w:rFonts w:ascii="David" w:hAnsi="David" w:cs="David" w:hint="cs"/>
          <w:rtl/>
        </w:rPr>
        <w:t>,</w:t>
      </w:r>
      <w:r>
        <w:rPr>
          <w:rFonts w:ascii="David" w:hAnsi="David" w:cs="David" w:hint="cs"/>
          <w:rtl/>
        </w:rPr>
        <w:t xml:space="preserve"> בהתאם לאמצעי המניעה שנקט. </w:t>
      </w:r>
      <w:r w:rsidRPr="00E85A30">
        <w:rPr>
          <w:rFonts w:ascii="David" w:hAnsi="David" w:cs="David" w:hint="cs"/>
          <w:u w:val="single"/>
          <w:rtl/>
        </w:rPr>
        <w:t>מעין מולטיפלייר 'הפוך'.</w:t>
      </w:r>
      <w:r>
        <w:rPr>
          <w:rFonts w:ascii="David" w:hAnsi="David" w:cs="David" w:hint="cs"/>
          <w:rtl/>
        </w:rPr>
        <w:t xml:space="preserve"> אם גם הניזוק התרשל, יופחתו לו הפיצויים העונשיים. </w:t>
      </w:r>
    </w:p>
    <w:p w14:paraId="2E68C3FA" w14:textId="77777777" w:rsidR="00840AFD" w:rsidRDefault="00840AFD" w:rsidP="00840AFD">
      <w:pPr>
        <w:bidi/>
        <w:spacing w:after="0" w:line="276" w:lineRule="auto"/>
        <w:jc w:val="both"/>
        <w:rPr>
          <w:rFonts w:ascii="David" w:hAnsi="David" w:cs="David"/>
          <w:rtl/>
        </w:rPr>
      </w:pPr>
    </w:p>
    <w:p w14:paraId="64348FE0" w14:textId="114A4261" w:rsidR="00CC7DF2" w:rsidRPr="00535DF3" w:rsidRDefault="00CC7DF2" w:rsidP="00840AFD">
      <w:pPr>
        <w:bidi/>
        <w:spacing w:after="0" w:line="276" w:lineRule="auto"/>
        <w:jc w:val="both"/>
        <w:rPr>
          <w:rFonts w:ascii="David" w:hAnsi="David" w:cs="David"/>
          <w:u w:val="single"/>
          <w:rtl/>
        </w:rPr>
      </w:pPr>
      <w:r w:rsidRPr="00535DF3">
        <w:rPr>
          <w:rFonts w:ascii="David" w:hAnsi="David" w:cs="David" w:hint="cs"/>
          <w:u w:val="single"/>
          <w:rtl/>
        </w:rPr>
        <w:t>התזה מעלה מספר נקודות:</w:t>
      </w:r>
    </w:p>
    <w:p w14:paraId="4F808088" w14:textId="77777777"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סוגי נזקים שונים</w:t>
      </w:r>
      <w:r>
        <w:rPr>
          <w:rFonts w:ascii="David" w:hAnsi="David" w:cs="David" w:hint="cs"/>
          <w:rtl/>
        </w:rPr>
        <w:t xml:space="preserve"> </w:t>
      </w:r>
      <w:r>
        <w:rPr>
          <w:rFonts w:ascii="David" w:hAnsi="David" w:cs="David"/>
          <w:rtl/>
        </w:rPr>
        <w:t>–</w:t>
      </w:r>
      <w:r>
        <w:rPr>
          <w:rFonts w:ascii="David" w:hAnsi="David" w:cs="David" w:hint="cs"/>
          <w:rtl/>
        </w:rPr>
        <w:t xml:space="preserve"> הבחנה בין נזקים 'מועילים' לכאלה שלא, ולהתחשב בכך בקביעת אשם תורם.</w:t>
      </w:r>
    </w:p>
    <w:p w14:paraId="0FCFBA6D" w14:textId="7DFE9F6D"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סיכון עצמי מול סיכון הזולת</w:t>
      </w:r>
      <w:r>
        <w:rPr>
          <w:rFonts w:ascii="David" w:hAnsi="David" w:cs="David" w:hint="cs"/>
          <w:rtl/>
        </w:rPr>
        <w:t xml:space="preserve"> </w:t>
      </w:r>
      <w:r>
        <w:rPr>
          <w:rFonts w:ascii="David" w:hAnsi="David" w:cs="David"/>
          <w:rtl/>
        </w:rPr>
        <w:t>–</w:t>
      </w:r>
      <w:r>
        <w:rPr>
          <w:rFonts w:ascii="David" w:hAnsi="David" w:cs="David" w:hint="cs"/>
          <w:rtl/>
        </w:rPr>
        <w:t xml:space="preserve"> טרם נכנסה סוגיה זו כשיקול לאשם תורם</w:t>
      </w:r>
      <w:r w:rsidR="003E12E1">
        <w:rPr>
          <w:rFonts w:ascii="David" w:hAnsi="David" w:cs="David" w:hint="cs"/>
          <w:rtl/>
        </w:rPr>
        <w:t>,</w:t>
      </w:r>
      <w:r>
        <w:rPr>
          <w:rFonts w:ascii="David" w:hAnsi="David" w:cs="David" w:hint="cs"/>
          <w:rtl/>
        </w:rPr>
        <w:t xml:space="preserve"> על אף היותה נפוצה בספרות.</w:t>
      </w:r>
    </w:p>
    <w:p w14:paraId="2F2F92FC" w14:textId="77777777"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ניזוק חד"פ או סדרתי</w:t>
      </w:r>
      <w:r>
        <w:rPr>
          <w:rFonts w:ascii="David" w:hAnsi="David" w:cs="David" w:hint="cs"/>
          <w:rtl/>
        </w:rPr>
        <w:t xml:space="preserve"> </w:t>
      </w:r>
      <w:r>
        <w:rPr>
          <w:rFonts w:ascii="David" w:hAnsi="David" w:cs="David"/>
          <w:rtl/>
        </w:rPr>
        <w:t>–</w:t>
      </w:r>
      <w:r>
        <w:rPr>
          <w:rFonts w:ascii="David" w:hAnsi="David" w:cs="David" w:hint="cs"/>
          <w:rtl/>
        </w:rPr>
        <w:t xml:space="preserve"> ניזוק סדרתי יקבל יחס מחמיר והפחתה. מה לגבי ניזוק חד פעמי? האם גם הוא צריך לקבל יחס כאל אחד שפגע בחברה?</w:t>
      </w:r>
    </w:p>
    <w:p w14:paraId="4F26878A" w14:textId="77777777"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 xml:space="preserve">אי מניעת פשעים </w:t>
      </w:r>
      <w:r>
        <w:rPr>
          <w:rFonts w:ascii="David" w:hAnsi="David" w:cs="David"/>
          <w:rtl/>
        </w:rPr>
        <w:t>–</w:t>
      </w:r>
      <w:r>
        <w:rPr>
          <w:rFonts w:ascii="David" w:hAnsi="David" w:cs="David" w:hint="cs"/>
          <w:rtl/>
        </w:rPr>
        <w:t xml:space="preserve"> האם לגבי מצבים של אי מניעת פשע יש מקום להטיל פיצויים עונשיים?</w:t>
      </w:r>
    </w:p>
    <w:p w14:paraId="142AA99A" w14:textId="214A77E9"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 xml:space="preserve">הפחתה </w:t>
      </w:r>
      <w:r w:rsidR="000F5BC1">
        <w:rPr>
          <w:rFonts w:ascii="David" w:hAnsi="David" w:cs="David" w:hint="cs"/>
          <w:b/>
          <w:bCs/>
          <w:rtl/>
        </w:rPr>
        <w:t>מ</w:t>
      </w:r>
      <w:r>
        <w:rPr>
          <w:rFonts w:ascii="David" w:hAnsi="David" w:cs="David" w:hint="cs"/>
          <w:b/>
          <w:bCs/>
          <w:rtl/>
        </w:rPr>
        <w:t xml:space="preserve">100% </w:t>
      </w:r>
      <w:r>
        <w:rPr>
          <w:rFonts w:ascii="David" w:hAnsi="David" w:cs="David" w:hint="cs"/>
          <w:rtl/>
        </w:rPr>
        <w:t xml:space="preserve">במקרים </w:t>
      </w:r>
      <w:r w:rsidR="003E12E1">
        <w:rPr>
          <w:rFonts w:ascii="David" w:hAnsi="David" w:cs="David" w:hint="cs"/>
          <w:rtl/>
        </w:rPr>
        <w:t>ההתנהגות</w:t>
      </w:r>
      <w:r>
        <w:rPr>
          <w:rFonts w:ascii="David" w:hAnsi="David" w:cs="David" w:hint="cs"/>
          <w:rtl/>
        </w:rPr>
        <w:t xml:space="preserve"> קיצונית, והאפשרות להעביר את כלל הפיצוי העונשי לארגון חברתי.</w:t>
      </w:r>
    </w:p>
    <w:p w14:paraId="43B94513" w14:textId="77777777" w:rsidR="00CC7DF2" w:rsidRDefault="00CC7DF2" w:rsidP="00DF69B2">
      <w:pPr>
        <w:pStyle w:val="ListParagraph"/>
        <w:numPr>
          <w:ilvl w:val="0"/>
          <w:numId w:val="31"/>
        </w:numPr>
        <w:bidi/>
        <w:spacing w:after="0" w:line="276" w:lineRule="auto"/>
        <w:jc w:val="both"/>
        <w:rPr>
          <w:rFonts w:ascii="David" w:hAnsi="David" w:cs="David"/>
        </w:rPr>
      </w:pPr>
      <w:r>
        <w:rPr>
          <w:rFonts w:ascii="David" w:hAnsi="David" w:cs="David" w:hint="cs"/>
          <w:b/>
          <w:bCs/>
          <w:rtl/>
        </w:rPr>
        <w:t>ספק סביר או מאזן הסתברויות</w:t>
      </w:r>
      <w:r>
        <w:rPr>
          <w:rFonts w:ascii="David" w:hAnsi="David" w:cs="David" w:hint="cs"/>
          <w:rtl/>
        </w:rPr>
        <w:t xml:space="preserve"> </w:t>
      </w:r>
      <w:r>
        <w:rPr>
          <w:rFonts w:ascii="David" w:hAnsi="David" w:cs="David"/>
          <w:rtl/>
        </w:rPr>
        <w:t>–</w:t>
      </w:r>
      <w:r>
        <w:rPr>
          <w:rFonts w:ascii="David" w:hAnsi="David" w:cs="David" w:hint="cs"/>
          <w:rtl/>
        </w:rPr>
        <w:t xml:space="preserve"> לאלה הרואים בפיצוי 'אי' בפלילים, האם יש לדרוש הוכחה מעבר לכל ספק סביר, בשונה מדיני הנזיקין הרגילים (של מאזן הסתברויות).</w:t>
      </w:r>
    </w:p>
    <w:p w14:paraId="2F51D093" w14:textId="77777777" w:rsidR="00535DF3" w:rsidRDefault="00535DF3" w:rsidP="00535DF3">
      <w:pPr>
        <w:pStyle w:val="ListParagraph"/>
        <w:bidi/>
        <w:spacing w:after="0" w:line="276" w:lineRule="auto"/>
        <w:jc w:val="both"/>
        <w:rPr>
          <w:rFonts w:ascii="David" w:hAnsi="David" w:cs="David"/>
        </w:rPr>
      </w:pPr>
    </w:p>
    <w:p w14:paraId="359BB25C" w14:textId="77777777" w:rsidR="00CC7DF2" w:rsidRPr="00535DF3" w:rsidRDefault="00CC7DF2" w:rsidP="00840AFD">
      <w:pPr>
        <w:bidi/>
        <w:spacing w:after="0" w:line="276" w:lineRule="auto"/>
        <w:jc w:val="both"/>
        <w:rPr>
          <w:rFonts w:ascii="David" w:hAnsi="David" w:cs="David"/>
          <w:u w:val="single"/>
          <w:rtl/>
        </w:rPr>
      </w:pPr>
      <w:r w:rsidRPr="00535DF3">
        <w:rPr>
          <w:rFonts w:ascii="David" w:hAnsi="David" w:cs="David" w:hint="cs"/>
          <w:u w:val="single"/>
          <w:rtl/>
        </w:rPr>
        <w:t>נקודות נוספות:</w:t>
      </w:r>
    </w:p>
    <w:p w14:paraId="31163FB3" w14:textId="77777777" w:rsidR="00CC7DF2" w:rsidRPr="00D66B26" w:rsidRDefault="00CC7DF2" w:rsidP="00DF69B2">
      <w:pPr>
        <w:pStyle w:val="ListParagraph"/>
        <w:numPr>
          <w:ilvl w:val="0"/>
          <w:numId w:val="32"/>
        </w:numPr>
        <w:bidi/>
        <w:spacing w:after="0" w:line="276" w:lineRule="auto"/>
        <w:jc w:val="both"/>
        <w:rPr>
          <w:rFonts w:ascii="David" w:hAnsi="David" w:cs="David"/>
        </w:rPr>
      </w:pPr>
      <w:r>
        <w:rPr>
          <w:rFonts w:ascii="David" w:hAnsi="David" w:cs="David" w:hint="cs"/>
          <w:b/>
          <w:bCs/>
          <w:rtl/>
        </w:rPr>
        <w:t>חומרת ההתנהגות כשיקול בהפחתה</w:t>
      </w:r>
      <w:r>
        <w:rPr>
          <w:rFonts w:ascii="David" w:hAnsi="David" w:cs="David" w:hint="cs"/>
          <w:rtl/>
        </w:rPr>
        <w:t>. ישנה ביקורת על פיצויים 'רגילים' שניתנים ע"פ גובה הנזק וללא התחשבות בחומרת ההתנהגות. בפיצוי עונשי הביקורת מוקהית כיוון שלפי גישת ה'זדוני ומכוון' יש התייחסות להתנהגות.</w:t>
      </w:r>
    </w:p>
    <w:p w14:paraId="07179209" w14:textId="77777777" w:rsidR="00467906" w:rsidRDefault="00CC7DF2" w:rsidP="00DF69B2">
      <w:pPr>
        <w:pStyle w:val="ListParagraph"/>
        <w:numPr>
          <w:ilvl w:val="0"/>
          <w:numId w:val="32"/>
        </w:numPr>
        <w:bidi/>
        <w:spacing w:after="0" w:line="276" w:lineRule="auto"/>
        <w:jc w:val="both"/>
        <w:rPr>
          <w:rFonts w:ascii="David" w:hAnsi="David" w:cs="David"/>
        </w:rPr>
      </w:pPr>
      <w:r>
        <w:rPr>
          <w:rFonts w:ascii="David" w:hAnsi="David" w:cs="David" w:hint="cs"/>
          <w:b/>
          <w:bCs/>
          <w:rtl/>
        </w:rPr>
        <w:t>הבנייה של מדר</w:t>
      </w:r>
      <w:r w:rsidR="00467906">
        <w:rPr>
          <w:rFonts w:ascii="David" w:hAnsi="David" w:cs="David" w:hint="cs"/>
          <w:b/>
          <w:bCs/>
          <w:rtl/>
        </w:rPr>
        <w:t>ג</w:t>
      </w:r>
      <w:r>
        <w:rPr>
          <w:rFonts w:ascii="David" w:hAnsi="David" w:cs="David" w:hint="cs"/>
          <w:b/>
          <w:bCs/>
          <w:rtl/>
        </w:rPr>
        <w:t xml:space="preserve"> לפסיקת פיצויים עונשיים</w:t>
      </w:r>
      <w:r>
        <w:rPr>
          <w:rFonts w:ascii="David" w:hAnsi="David" w:cs="David" w:hint="cs"/>
          <w:rtl/>
        </w:rPr>
        <w:t xml:space="preserve">. הצעה חלופית לתזה, שתכלול מדרג סדור לפיצוי עונשי. </w:t>
      </w:r>
      <w:r w:rsidRPr="00467906">
        <w:rPr>
          <w:rStyle w:val="Strong"/>
          <w:rFonts w:hint="cs"/>
          <w:rtl/>
        </w:rPr>
        <w:t>פרופ' פישר</w:t>
      </w:r>
      <w:r>
        <w:rPr>
          <w:rFonts w:ascii="David" w:hAnsi="David" w:cs="David" w:hint="cs"/>
          <w:rtl/>
        </w:rPr>
        <w:t xml:space="preserve"> מציעה (בעונשין) ענישה הסתברותית </w:t>
      </w:r>
      <w:r>
        <w:rPr>
          <w:rFonts w:ascii="David" w:hAnsi="David" w:cs="David"/>
          <w:rtl/>
        </w:rPr>
        <w:t>–</w:t>
      </w:r>
      <w:r>
        <w:rPr>
          <w:rFonts w:ascii="David" w:hAnsi="David" w:cs="David" w:hint="cs"/>
          <w:rtl/>
        </w:rPr>
        <w:t xml:space="preserve"> ככל שנטל הראיה גבוה יותר (נקבע ע"פ ההסתברות לקרותה), העונש יהיה בהתאם. ניתן להחיל מודל זה כחלופה להצעה. </w:t>
      </w:r>
    </w:p>
    <w:p w14:paraId="3D968C6C" w14:textId="3682DB9F" w:rsidR="00CC7DF2" w:rsidRPr="00363F42" w:rsidRDefault="00CC7DF2" w:rsidP="00467906">
      <w:pPr>
        <w:pStyle w:val="ListParagraph"/>
        <w:bidi/>
        <w:spacing w:after="0" w:line="276" w:lineRule="auto"/>
        <w:jc w:val="both"/>
        <w:rPr>
          <w:rFonts w:ascii="David" w:hAnsi="David" w:cs="David"/>
        </w:rPr>
      </w:pPr>
      <w:r>
        <w:rPr>
          <w:rFonts w:ascii="David" w:hAnsi="David" w:cs="David" w:hint="cs"/>
          <w:rtl/>
        </w:rPr>
        <w:t xml:space="preserve">התוצאה תהיה דומה בשני המקרים: השתה של סנקציה חלקית. </w:t>
      </w:r>
      <w:r>
        <w:rPr>
          <w:rFonts w:ascii="David" w:hAnsi="David" w:cs="David" w:hint="cs"/>
          <w:u w:val="single"/>
          <w:rtl/>
        </w:rPr>
        <w:t>ההבדל</w:t>
      </w:r>
      <w:r>
        <w:rPr>
          <w:rFonts w:ascii="David" w:hAnsi="David" w:cs="David" w:hint="cs"/>
          <w:rtl/>
        </w:rPr>
        <w:t xml:space="preserve"> יהיה ב</w:t>
      </w:r>
      <w:r>
        <w:rPr>
          <w:rFonts w:ascii="David" w:hAnsi="David" w:cs="David" w:hint="cs"/>
          <w:u w:val="single"/>
          <w:rtl/>
        </w:rPr>
        <w:t>נקודת המוצא</w:t>
      </w:r>
      <w:r>
        <w:rPr>
          <w:rFonts w:ascii="David" w:hAnsi="David" w:cs="David" w:hint="cs"/>
          <w:rtl/>
        </w:rPr>
        <w:t xml:space="preserve">: במודל המוצע </w:t>
      </w:r>
      <w:r w:rsidR="00461A3C">
        <w:rPr>
          <w:rFonts w:ascii="David" w:hAnsi="David" w:cs="David" w:hint="cs"/>
          <w:rtl/>
        </w:rPr>
        <w:t xml:space="preserve">ע"י </w:t>
      </w:r>
      <w:r w:rsidR="00461A3C" w:rsidRPr="00461A3C">
        <w:rPr>
          <w:rStyle w:val="Strong"/>
          <w:rFonts w:hint="cs"/>
          <w:rtl/>
        </w:rPr>
        <w:t>פרופסור שמואלי</w:t>
      </w:r>
      <w:r w:rsidR="00461A3C">
        <w:rPr>
          <w:rFonts w:ascii="David" w:hAnsi="David" w:cs="David" w:hint="cs"/>
          <w:rtl/>
        </w:rPr>
        <w:t xml:space="preserve">, </w:t>
      </w:r>
      <w:r>
        <w:rPr>
          <w:rFonts w:ascii="David" w:hAnsi="David" w:cs="David" w:hint="cs"/>
          <w:rtl/>
        </w:rPr>
        <w:t>נקודת המוצא היא שיש לפצות, וצריך לבדוק אם להפחית. במודל החלופי</w:t>
      </w:r>
      <w:r w:rsidR="00461A3C">
        <w:rPr>
          <w:rFonts w:ascii="David" w:hAnsi="David" w:cs="David" w:hint="cs"/>
          <w:rtl/>
        </w:rPr>
        <w:t xml:space="preserve"> של </w:t>
      </w:r>
      <w:r w:rsidR="00461A3C" w:rsidRPr="00461A3C">
        <w:rPr>
          <w:rStyle w:val="Strong"/>
          <w:rFonts w:hint="cs"/>
          <w:rtl/>
        </w:rPr>
        <w:t>פישר</w:t>
      </w:r>
      <w:r w:rsidR="0035421B">
        <w:rPr>
          <w:rFonts w:ascii="David" w:hAnsi="David" w:cs="David" w:hint="cs"/>
          <w:rtl/>
        </w:rPr>
        <w:t>,</w:t>
      </w:r>
      <w:r>
        <w:rPr>
          <w:rFonts w:ascii="David" w:hAnsi="David" w:cs="David" w:hint="cs"/>
          <w:rtl/>
        </w:rPr>
        <w:t xml:space="preserve"> </w:t>
      </w:r>
      <w:r w:rsidR="0035421B">
        <w:rPr>
          <w:rFonts w:ascii="David" w:hAnsi="David" w:cs="David" w:hint="cs"/>
          <w:rtl/>
        </w:rPr>
        <w:t>נקודת המוצא</w:t>
      </w:r>
      <w:r>
        <w:rPr>
          <w:rFonts w:ascii="David" w:hAnsi="David" w:cs="David" w:hint="cs"/>
          <w:rtl/>
        </w:rPr>
        <w:t xml:space="preserve"> היא שיש לתת בהסתברות כלשהי והתאמה להבניה.</w:t>
      </w:r>
    </w:p>
    <w:p w14:paraId="5395CF45" w14:textId="437161CB" w:rsidR="00CC7DF2" w:rsidRPr="00D66B26" w:rsidRDefault="00CC7DF2" w:rsidP="00DF69B2">
      <w:pPr>
        <w:pStyle w:val="ListParagraph"/>
        <w:numPr>
          <w:ilvl w:val="0"/>
          <w:numId w:val="32"/>
        </w:numPr>
        <w:bidi/>
        <w:spacing w:after="0" w:line="276" w:lineRule="auto"/>
        <w:jc w:val="both"/>
        <w:rPr>
          <w:rFonts w:ascii="David" w:hAnsi="David" w:cs="David"/>
        </w:rPr>
      </w:pPr>
      <w:r>
        <w:rPr>
          <w:rFonts w:ascii="David" w:hAnsi="David" w:cs="David" w:hint="cs"/>
          <w:b/>
          <w:bCs/>
          <w:rtl/>
        </w:rPr>
        <w:lastRenderedPageBreak/>
        <w:t>השוואת התנהגות ניזוק למזיק הספציפי או ממוצע</w:t>
      </w:r>
      <w:r>
        <w:rPr>
          <w:rFonts w:ascii="David" w:hAnsi="David" w:cs="David" w:hint="cs"/>
          <w:rtl/>
        </w:rPr>
        <w:t xml:space="preserve">. לפי גישתה של </w:t>
      </w:r>
      <w:r w:rsidRPr="00461A3C">
        <w:rPr>
          <w:rStyle w:val="Strong"/>
          <w:rFonts w:hint="cs"/>
          <w:rtl/>
        </w:rPr>
        <w:t>שרקי</w:t>
      </w:r>
      <w:r w:rsidR="00970CBC">
        <w:rPr>
          <w:rFonts w:ascii="David" w:hAnsi="David" w:cs="David" w:hint="cs"/>
          <w:rtl/>
        </w:rPr>
        <w:t xml:space="preserve"> שטוענת כי </w:t>
      </w:r>
      <w:r>
        <w:rPr>
          <w:rFonts w:ascii="David" w:hAnsi="David" w:cs="David" w:hint="cs"/>
          <w:rtl/>
        </w:rPr>
        <w:t>הפיצוי צריך להיות חברתי, אולי יש לבחון אם הניזוק התרשל ביחס למזיק הממוצע, ולא זה שבמקרה</w:t>
      </w:r>
      <w:r w:rsidR="00AF3529">
        <w:rPr>
          <w:rFonts w:ascii="David" w:hAnsi="David" w:cs="David" w:hint="cs"/>
          <w:rtl/>
        </w:rPr>
        <w:t xml:space="preserve"> הספציפי</w:t>
      </w:r>
      <w:r>
        <w:rPr>
          <w:rFonts w:ascii="David" w:hAnsi="David" w:cs="David" w:hint="cs"/>
          <w:rtl/>
        </w:rPr>
        <w:t>. גם לפי המכפיל ההצעה אפשרית.</w:t>
      </w:r>
    </w:p>
    <w:p w14:paraId="353D6136" w14:textId="77777777" w:rsidR="00CC7DF2" w:rsidRPr="00D66B26" w:rsidRDefault="00CC7DF2" w:rsidP="00DF69B2">
      <w:pPr>
        <w:pStyle w:val="ListParagraph"/>
        <w:numPr>
          <w:ilvl w:val="0"/>
          <w:numId w:val="32"/>
        </w:numPr>
        <w:bidi/>
        <w:spacing w:after="0" w:line="276" w:lineRule="auto"/>
        <w:jc w:val="both"/>
        <w:rPr>
          <w:rFonts w:ascii="David" w:hAnsi="David" w:cs="David"/>
        </w:rPr>
      </w:pPr>
      <w:r>
        <w:rPr>
          <w:rFonts w:ascii="David" w:hAnsi="David" w:cs="David" w:hint="cs"/>
          <w:b/>
          <w:bCs/>
          <w:rtl/>
        </w:rPr>
        <w:t>כפל הפחתה</w:t>
      </w:r>
      <w:r>
        <w:rPr>
          <w:rFonts w:ascii="David" w:hAnsi="David" w:cs="David" w:hint="cs"/>
          <w:rtl/>
        </w:rPr>
        <w:t xml:space="preserve">. במידה וכבר פוסקים אשם תורם, האם הכנסת אשם תורם לפיצויים העונשיים מהווה כפל הפחתה? ניתן להשיב שאין הדבר כן, כשם שפיצוי עונשי אינו נתפס כפיצוי יתר כיוון שניתן על גבי קרן הנזק עצמה, כך גם לגבי הפחתה מסוימת באותו רכיב. </w:t>
      </w:r>
    </w:p>
    <w:p w14:paraId="3CB81957" w14:textId="77777777" w:rsidR="00931AA0" w:rsidRDefault="00CC7DF2" w:rsidP="00DF69B2">
      <w:pPr>
        <w:pStyle w:val="ListParagraph"/>
        <w:numPr>
          <w:ilvl w:val="0"/>
          <w:numId w:val="32"/>
        </w:numPr>
        <w:bidi/>
        <w:spacing w:after="0" w:line="276" w:lineRule="auto"/>
        <w:jc w:val="both"/>
        <w:rPr>
          <w:rFonts w:ascii="David" w:hAnsi="David" w:cs="David"/>
        </w:rPr>
      </w:pPr>
      <w:r>
        <w:rPr>
          <w:rFonts w:ascii="David" w:hAnsi="David" w:cs="David" w:hint="cs"/>
          <w:b/>
          <w:bCs/>
          <w:rtl/>
        </w:rPr>
        <w:t>ניגוד למטרת המכפיל, כגורם הרתעה אופטימלי</w:t>
      </w:r>
      <w:r>
        <w:rPr>
          <w:rFonts w:ascii="David" w:hAnsi="David" w:cs="David" w:hint="cs"/>
          <w:rtl/>
        </w:rPr>
        <w:t xml:space="preserve">. כלומר, ניתן להתנגד עקרונית להצעה כיוון שמוציאה את העוקץ מכל המהות של פיצוי עונשי </w:t>
      </w:r>
      <w:r>
        <w:rPr>
          <w:rFonts w:ascii="David" w:hAnsi="David" w:cs="David"/>
          <w:rtl/>
        </w:rPr>
        <w:t>–</w:t>
      </w:r>
      <w:r>
        <w:rPr>
          <w:rFonts w:ascii="David" w:hAnsi="David" w:cs="David" w:hint="cs"/>
          <w:rtl/>
        </w:rPr>
        <w:t xml:space="preserve"> הטלת הרתעה על </w:t>
      </w:r>
      <w:r w:rsidRPr="00A57B6A">
        <w:rPr>
          <w:rFonts w:ascii="David" w:hAnsi="David" w:cs="David" w:hint="cs"/>
          <w:u w:val="single"/>
          <w:rtl/>
        </w:rPr>
        <w:t>המזיק</w:t>
      </w:r>
      <w:r>
        <w:rPr>
          <w:rFonts w:ascii="David" w:hAnsi="David" w:cs="David" w:hint="cs"/>
          <w:rtl/>
        </w:rPr>
        <w:t xml:space="preserve">. </w:t>
      </w:r>
    </w:p>
    <w:p w14:paraId="0EC7119D" w14:textId="25E426FA" w:rsidR="00CC7DF2" w:rsidRDefault="00CC7DF2" w:rsidP="00931AA0">
      <w:pPr>
        <w:pStyle w:val="ListParagraph"/>
        <w:bidi/>
        <w:spacing w:after="0" w:line="276" w:lineRule="auto"/>
        <w:jc w:val="both"/>
        <w:rPr>
          <w:rFonts w:ascii="David" w:hAnsi="David" w:cs="David"/>
        </w:rPr>
      </w:pPr>
      <w:r>
        <w:rPr>
          <w:rFonts w:ascii="David" w:hAnsi="David" w:cs="David" w:hint="cs"/>
          <w:rtl/>
        </w:rPr>
        <w:t>ניתן להתמודד בשלושה כיוונים:</w:t>
      </w:r>
    </w:p>
    <w:p w14:paraId="05FB61F8" w14:textId="77777777" w:rsidR="00CC7DF2" w:rsidRDefault="00CC7DF2" w:rsidP="00DF69B2">
      <w:pPr>
        <w:pStyle w:val="ListParagraph"/>
        <w:numPr>
          <w:ilvl w:val="0"/>
          <w:numId w:val="33"/>
        </w:numPr>
        <w:bidi/>
        <w:spacing w:after="0" w:line="276" w:lineRule="auto"/>
        <w:jc w:val="both"/>
        <w:rPr>
          <w:rFonts w:ascii="David" w:hAnsi="David" w:cs="David"/>
        </w:rPr>
      </w:pPr>
      <w:r>
        <w:rPr>
          <w:rFonts w:ascii="David" w:hAnsi="David" w:cs="David" w:hint="cs"/>
          <w:rtl/>
        </w:rPr>
        <w:t xml:space="preserve">אכן, התיזה </w:t>
      </w:r>
      <w:r w:rsidRPr="00E0759C">
        <w:rPr>
          <w:rFonts w:ascii="David" w:hAnsi="David" w:cs="David" w:hint="cs"/>
          <w:u w:val="single"/>
          <w:rtl/>
        </w:rPr>
        <w:t xml:space="preserve">לא עולה בקנה אחד </w:t>
      </w:r>
      <w:r>
        <w:rPr>
          <w:rFonts w:ascii="David" w:hAnsi="David" w:cs="David" w:hint="cs"/>
          <w:rtl/>
        </w:rPr>
        <w:t>עם גישת המכפיל. היא אמנם דומה מבחינה תבניתית ומהווה מעין מכפיל הפוך, אך מבחינה מהותית היא אכן מבטא עקרונות שונים מאלו שמולטיפלייר מנסה ליישם.</w:t>
      </w:r>
    </w:p>
    <w:p w14:paraId="17EA27D6" w14:textId="77777777" w:rsidR="00CC7DF2" w:rsidRDefault="00CC7DF2" w:rsidP="00DF69B2">
      <w:pPr>
        <w:pStyle w:val="ListParagraph"/>
        <w:numPr>
          <w:ilvl w:val="0"/>
          <w:numId w:val="33"/>
        </w:numPr>
        <w:bidi/>
        <w:spacing w:after="0" w:line="276" w:lineRule="auto"/>
        <w:jc w:val="both"/>
        <w:rPr>
          <w:rFonts w:ascii="David" w:hAnsi="David" w:cs="David"/>
        </w:rPr>
      </w:pPr>
      <w:r>
        <w:rPr>
          <w:rFonts w:ascii="David" w:hAnsi="David" w:cs="David" w:hint="cs"/>
          <w:rtl/>
        </w:rPr>
        <w:t xml:space="preserve">התיזה </w:t>
      </w:r>
      <w:r>
        <w:rPr>
          <w:rFonts w:ascii="David" w:hAnsi="David" w:cs="David" w:hint="cs"/>
          <w:u w:val="single"/>
          <w:rtl/>
        </w:rPr>
        <w:t>עולה בקנה אחד</w:t>
      </w:r>
      <w:r>
        <w:rPr>
          <w:rFonts w:ascii="David" w:hAnsi="David" w:cs="David" w:hint="cs"/>
          <w:rtl/>
        </w:rPr>
        <w:t xml:space="preserve"> עם עקרון ההרתעה, כיוון שהרתעה כלכלית אופטימלית צריכה להתסכל על תמונה רחבה יותר, שכוללת גם את הניזוק. לכן הפחתת פיצוי עונשי מגלמת הרתעה אופטימלית.</w:t>
      </w:r>
    </w:p>
    <w:p w14:paraId="0D06EDD3" w14:textId="77777777" w:rsidR="00CC7DF2" w:rsidRPr="007D3DDB" w:rsidRDefault="00CC7DF2" w:rsidP="00DF69B2">
      <w:pPr>
        <w:pStyle w:val="ListParagraph"/>
        <w:numPr>
          <w:ilvl w:val="0"/>
          <w:numId w:val="33"/>
        </w:numPr>
        <w:bidi/>
        <w:spacing w:after="0" w:line="276" w:lineRule="auto"/>
        <w:jc w:val="both"/>
        <w:rPr>
          <w:rFonts w:ascii="David" w:hAnsi="David" w:cs="David"/>
          <w:rtl/>
        </w:rPr>
      </w:pPr>
      <w:r w:rsidRPr="007D3DDB">
        <w:rPr>
          <w:rFonts w:ascii="David" w:hAnsi="David" w:cs="David" w:hint="cs"/>
          <w:u w:val="single"/>
          <w:rtl/>
        </w:rPr>
        <w:t>אפשרות גישור</w:t>
      </w:r>
      <w:r w:rsidRPr="007D3DDB">
        <w:rPr>
          <w:rFonts w:ascii="David" w:hAnsi="David" w:cs="David" w:hint="cs"/>
          <w:rtl/>
        </w:rPr>
        <w:t xml:space="preserve"> בהצעה שמופיעה בגישתה של שרקי. הפיצוי העונשי יוטל על המזיק במלואו, ובמידה ויש אשם תורם יופחת חלק מהסכום שיקבל הניזוק, והשארית תלך כפיצוי חברתי לארגון כלשהו. כך מחד תהיה הרתעה אופטימלית כמו בגישה המקורית, וגם יהיה תמרוץ לניזוק להיזהר מלהפוך לסדרתי, ושני העקרונות יתממשו.</w:t>
      </w:r>
    </w:p>
    <w:p w14:paraId="01C6CCB9" w14:textId="77777777" w:rsidR="00CC7DF2" w:rsidRDefault="00CC7DF2" w:rsidP="00CC7DF2">
      <w:pPr>
        <w:bidi/>
        <w:spacing w:line="276" w:lineRule="auto"/>
        <w:jc w:val="both"/>
        <w:rPr>
          <w:rFonts w:ascii="David" w:hAnsi="David" w:cs="David"/>
          <w:rtl/>
        </w:rPr>
      </w:pPr>
    </w:p>
    <w:p w14:paraId="7EEECA8B" w14:textId="77777777" w:rsidR="00931AA0" w:rsidRDefault="00931AA0" w:rsidP="00931AA0">
      <w:pPr>
        <w:bidi/>
        <w:spacing w:line="276" w:lineRule="auto"/>
        <w:jc w:val="both"/>
        <w:rPr>
          <w:rFonts w:ascii="David" w:hAnsi="David" w:cs="David"/>
          <w:rtl/>
        </w:rPr>
      </w:pPr>
    </w:p>
    <w:p w14:paraId="2845CECE" w14:textId="77777777" w:rsidR="00931AA0" w:rsidRDefault="00931AA0" w:rsidP="00931AA0">
      <w:pPr>
        <w:bidi/>
        <w:spacing w:line="276" w:lineRule="auto"/>
        <w:jc w:val="both"/>
        <w:rPr>
          <w:rFonts w:ascii="David" w:hAnsi="David" w:cs="David"/>
          <w:rtl/>
        </w:rPr>
      </w:pPr>
    </w:p>
    <w:p w14:paraId="74650DBD" w14:textId="7D7D582F" w:rsidR="00610043" w:rsidRPr="00960770" w:rsidRDefault="003C1402" w:rsidP="00CC7DF2">
      <w:pPr>
        <w:pStyle w:val="IntenseQuote"/>
        <w:jc w:val="both"/>
      </w:pPr>
      <w:r w:rsidRPr="00960770">
        <w:rPr>
          <w:rFonts w:hint="cs"/>
          <w:rtl/>
        </w:rPr>
        <w:t>חובת הדיווח על אלימות כלפי ילדים והזנחתם</w:t>
      </w:r>
    </w:p>
    <w:p w14:paraId="4AFB08E6" w14:textId="531801A3" w:rsidR="00954F5A" w:rsidRPr="00954F5A" w:rsidRDefault="00F3702F" w:rsidP="00CC7DF2">
      <w:pPr>
        <w:bidi/>
        <w:spacing w:line="276" w:lineRule="auto"/>
        <w:jc w:val="both"/>
        <w:rPr>
          <w:rFonts w:ascii="David" w:hAnsi="David" w:cs="David"/>
        </w:rPr>
      </w:pPr>
      <w:r>
        <w:rPr>
          <w:rFonts w:ascii="David" w:hAnsi="David" w:cs="David"/>
          <w:noProof/>
        </w:rPr>
        <mc:AlternateContent>
          <mc:Choice Requires="wps">
            <w:drawing>
              <wp:anchor distT="0" distB="0" distL="114300" distR="114300" simplePos="0" relativeHeight="251703296" behindDoc="0" locked="0" layoutInCell="1" allowOverlap="1" wp14:anchorId="3171BD43" wp14:editId="5B03BCEE">
                <wp:simplePos x="0" y="0"/>
                <wp:positionH relativeFrom="column">
                  <wp:posOffset>3887226</wp:posOffset>
                </wp:positionH>
                <wp:positionV relativeFrom="paragraph">
                  <wp:posOffset>6592814</wp:posOffset>
                </wp:positionV>
                <wp:extent cx="0" cy="225083"/>
                <wp:effectExtent l="0" t="0" r="38100" b="22860"/>
                <wp:wrapNone/>
                <wp:docPr id="34" name="Straight Connector 34"/>
                <wp:cNvGraphicFramePr/>
                <a:graphic xmlns:a="http://schemas.openxmlformats.org/drawingml/2006/main">
                  <a:graphicData uri="http://schemas.microsoft.com/office/word/2010/wordprocessingShape">
                    <wps:wsp>
                      <wps:cNvCnPr/>
                      <wps:spPr>
                        <a:xfrm>
                          <a:off x="0" y="0"/>
                          <a:ext cx="0" cy="225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A86C2" id="Straight Connector 3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06.1pt,519.1pt" to="306.1pt,5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" strokecolor="#0f6fc6 [3204]" strokeweight=".5pt">
                <v:stroke joinstyle="miter"/>
              </v:line>
            </w:pict>
          </mc:Fallback>
        </mc:AlternateContent>
      </w:r>
      <w:r>
        <w:rPr>
          <w:rFonts w:ascii="David" w:hAnsi="David" w:cs="David"/>
          <w:noProof/>
        </w:rPr>
        <mc:AlternateContent>
          <mc:Choice Requires="wps">
            <w:drawing>
              <wp:anchor distT="0" distB="0" distL="114300" distR="114300" simplePos="0" relativeHeight="251701248" behindDoc="0" locked="0" layoutInCell="1" allowOverlap="1" wp14:anchorId="5AD26118" wp14:editId="06D96907">
                <wp:simplePos x="0" y="0"/>
                <wp:positionH relativeFrom="column">
                  <wp:posOffset>1642989</wp:posOffset>
                </wp:positionH>
                <wp:positionV relativeFrom="paragraph">
                  <wp:posOffset>6586025</wp:posOffset>
                </wp:positionV>
                <wp:extent cx="0" cy="225083"/>
                <wp:effectExtent l="0" t="0" r="38100" b="22860"/>
                <wp:wrapNone/>
                <wp:docPr id="33" name="Straight Connector 33"/>
                <wp:cNvGraphicFramePr/>
                <a:graphic xmlns:a="http://schemas.openxmlformats.org/drawingml/2006/main">
                  <a:graphicData uri="http://schemas.microsoft.com/office/word/2010/wordprocessingShape">
                    <wps:wsp>
                      <wps:cNvCnPr/>
                      <wps:spPr>
                        <a:xfrm>
                          <a:off x="0" y="0"/>
                          <a:ext cx="0" cy="225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977D9" id="Straight Connector 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9.35pt,518.6pt" to="129.35pt,5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" strokecolor="#0f6fc6 [3204]" strokeweight=".5pt">
                <v:stroke joinstyle="miter"/>
              </v:line>
            </w:pict>
          </mc:Fallback>
        </mc:AlternateContent>
      </w:r>
      <w:r>
        <w:rPr>
          <w:rFonts w:ascii="David" w:hAnsi="David" w:cs="David"/>
          <w:noProof/>
        </w:rPr>
        <mc:AlternateContent>
          <mc:Choice Requires="wps">
            <w:drawing>
              <wp:anchor distT="0" distB="0" distL="114300" distR="114300" simplePos="0" relativeHeight="251699200" behindDoc="0" locked="0" layoutInCell="1" allowOverlap="1" wp14:anchorId="6BA13F64" wp14:editId="699915BA">
                <wp:simplePos x="0" y="0"/>
                <wp:positionH relativeFrom="column">
                  <wp:posOffset>457199</wp:posOffset>
                </wp:positionH>
                <wp:positionV relativeFrom="paragraph">
                  <wp:posOffset>6588223</wp:posOffset>
                </wp:positionV>
                <wp:extent cx="4895557" cy="7034"/>
                <wp:effectExtent l="0" t="0" r="19685" b="31115"/>
                <wp:wrapNone/>
                <wp:docPr id="31" name="Straight Connector 31"/>
                <wp:cNvGraphicFramePr/>
                <a:graphic xmlns:a="http://schemas.openxmlformats.org/drawingml/2006/main">
                  <a:graphicData uri="http://schemas.microsoft.com/office/word/2010/wordprocessingShape">
                    <wps:wsp>
                      <wps:cNvCnPr/>
                      <wps:spPr>
                        <a:xfrm flipV="1">
                          <a:off x="0" y="0"/>
                          <a:ext cx="4895557"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12312" id="Straight Connector 3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6pt,518.75pt" to="421.5pt,5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" strokecolor="#0f6fc6 [3204]" strokeweight=".5pt">
                <v:stroke joinstyle="miter"/>
              </v:line>
            </w:pict>
          </mc:Fallback>
        </mc:AlternateContent>
      </w:r>
      <w:r w:rsidR="00005273">
        <w:rPr>
          <w:rFonts w:ascii="David" w:hAnsi="David" w:cs="David"/>
          <w:noProof/>
        </w:rPr>
        <mc:AlternateContent>
          <mc:Choice Requires="wps">
            <w:drawing>
              <wp:anchor distT="0" distB="0" distL="114300" distR="114300" simplePos="0" relativeHeight="251698176" behindDoc="0" locked="0" layoutInCell="1" allowOverlap="1" wp14:anchorId="6251F83B" wp14:editId="4F9C744F">
                <wp:simplePos x="0" y="0"/>
                <wp:positionH relativeFrom="column">
                  <wp:posOffset>2902047</wp:posOffset>
                </wp:positionH>
                <wp:positionV relativeFrom="paragraph">
                  <wp:posOffset>6360941</wp:posOffset>
                </wp:positionV>
                <wp:extent cx="0" cy="225083"/>
                <wp:effectExtent l="0" t="0" r="38100" b="22860"/>
                <wp:wrapNone/>
                <wp:docPr id="22" name="Straight Connector 22"/>
                <wp:cNvGraphicFramePr/>
                <a:graphic xmlns:a="http://schemas.openxmlformats.org/drawingml/2006/main">
                  <a:graphicData uri="http://schemas.microsoft.com/office/word/2010/wordprocessingShape">
                    <wps:wsp>
                      <wps:cNvCnPr/>
                      <wps:spPr>
                        <a:xfrm>
                          <a:off x="0" y="0"/>
                          <a:ext cx="0" cy="225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C867C"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8.5pt,500.85pt" to="228.5pt,5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" strokecolor="#0f6fc6 [3204]" strokeweight=".5pt">
                <v:stroke joinstyle="miter"/>
              </v:line>
            </w:pict>
          </mc:Fallback>
        </mc:AlternateContent>
      </w:r>
      <w:r w:rsidR="00005273">
        <w:rPr>
          <w:rFonts w:ascii="David" w:hAnsi="David" w:cs="David"/>
          <w:noProof/>
        </w:rPr>
        <mc:AlternateContent>
          <mc:Choice Requires="wps">
            <w:drawing>
              <wp:anchor distT="0" distB="0" distL="114300" distR="114300" simplePos="0" relativeHeight="251696128" behindDoc="0" locked="0" layoutInCell="1" allowOverlap="1" wp14:anchorId="2CF8EFC5" wp14:editId="1C6CE58F">
                <wp:simplePos x="0" y="0"/>
                <wp:positionH relativeFrom="column">
                  <wp:posOffset>5335758</wp:posOffset>
                </wp:positionH>
                <wp:positionV relativeFrom="paragraph">
                  <wp:posOffset>6346874</wp:posOffset>
                </wp:positionV>
                <wp:extent cx="0" cy="225083"/>
                <wp:effectExtent l="0" t="0" r="38100" b="22860"/>
                <wp:wrapNone/>
                <wp:docPr id="19" name="Straight Connector 19"/>
                <wp:cNvGraphicFramePr/>
                <a:graphic xmlns:a="http://schemas.openxmlformats.org/drawingml/2006/main">
                  <a:graphicData uri="http://schemas.microsoft.com/office/word/2010/wordprocessingShape">
                    <wps:wsp>
                      <wps:cNvCnPr/>
                      <wps:spPr>
                        <a:xfrm>
                          <a:off x="0" y="0"/>
                          <a:ext cx="0" cy="225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770C8" id="Straight Connector 1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20.15pt,499.75pt" to="420.15pt,5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" strokecolor="#0f6fc6 [3204]" strokeweight=".5pt">
                <v:stroke joinstyle="miter"/>
              </v:line>
            </w:pict>
          </mc:Fallback>
        </mc:AlternateContent>
      </w:r>
      <w:r w:rsidR="00005273">
        <w:rPr>
          <w:rFonts w:ascii="David" w:hAnsi="David" w:cs="David"/>
          <w:noProof/>
        </w:rPr>
        <mc:AlternateContent>
          <mc:Choice Requires="wps">
            <w:drawing>
              <wp:anchor distT="0" distB="0" distL="114300" distR="114300" simplePos="0" relativeHeight="251694080" behindDoc="0" locked="0" layoutInCell="1" allowOverlap="1" wp14:anchorId="653BC64E" wp14:editId="3E47C906">
                <wp:simplePos x="0" y="0"/>
                <wp:positionH relativeFrom="column">
                  <wp:posOffset>450166</wp:posOffset>
                </wp:positionH>
                <wp:positionV relativeFrom="paragraph">
                  <wp:posOffset>6370467</wp:posOffset>
                </wp:positionV>
                <wp:extent cx="0" cy="225083"/>
                <wp:effectExtent l="0" t="0" r="38100" b="22860"/>
                <wp:wrapNone/>
                <wp:docPr id="15" name="Straight Connector 15"/>
                <wp:cNvGraphicFramePr/>
                <a:graphic xmlns:a="http://schemas.openxmlformats.org/drawingml/2006/main">
                  <a:graphicData uri="http://schemas.microsoft.com/office/word/2010/wordprocessingShape">
                    <wps:wsp>
                      <wps:cNvCnPr/>
                      <wps:spPr>
                        <a:xfrm>
                          <a:off x="0" y="0"/>
                          <a:ext cx="0" cy="225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7E39C" id="Straight Connector 1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45pt,501.6pt" to="35.45pt,5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" strokecolor="#0f6fc6 [3204]" strokeweight=".5pt">
                <v:stroke joinstyle="miter"/>
              </v:line>
            </w:pict>
          </mc:Fallback>
        </mc:AlternateContent>
      </w:r>
      <w:r w:rsidR="00E55D18">
        <w:rPr>
          <w:rFonts w:ascii="David" w:hAnsi="David" w:cs="David"/>
          <w:noProof/>
          <w:rtl/>
          <w:lang w:val="he-IL"/>
        </w:rPr>
        <w:drawing>
          <wp:anchor distT="0" distB="0" distL="114300" distR="114300" simplePos="0" relativeHeight="251687936" behindDoc="0" locked="0" layoutInCell="1" allowOverlap="1" wp14:anchorId="7E4607EA" wp14:editId="5CDA6E2E">
            <wp:simplePos x="0" y="0"/>
            <wp:positionH relativeFrom="margin">
              <wp:posOffset>-641350</wp:posOffset>
            </wp:positionH>
            <wp:positionV relativeFrom="paragraph">
              <wp:posOffset>287020</wp:posOffset>
            </wp:positionV>
            <wp:extent cx="7283450" cy="3175000"/>
            <wp:effectExtent l="0" t="19050" r="0" b="8255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9E0715" w:rsidRPr="009E0715">
        <w:rPr>
          <w:rFonts w:ascii="David" w:hAnsi="David" w:cs="David"/>
          <w:u w:val="single"/>
          <w:rtl/>
        </w:rPr>
        <w:t>חובת הדיווח – מאפיינים מרכזיים:</w:t>
      </w:r>
      <w:r w:rsidR="009E0715" w:rsidRPr="009E0715">
        <w:rPr>
          <w:rFonts w:ascii="David" w:hAnsi="David" w:cs="David"/>
          <w:noProof/>
          <w:rtl/>
          <w:lang w:val="he-IL"/>
        </w:rPr>
        <w:t xml:space="preserve"> </w:t>
      </w:r>
      <w:r w:rsidR="009E0715" w:rsidRPr="009E0715">
        <w:rPr>
          <w:rFonts w:ascii="David" w:hAnsi="David" w:cs="David"/>
          <w:rtl/>
        </w:rPr>
        <w:t xml:space="preserve"> </w:t>
      </w:r>
    </w:p>
    <w:p w14:paraId="39F573AE" w14:textId="75487C65" w:rsidR="00AF1906" w:rsidRPr="00C302AD" w:rsidRDefault="00AF1906" w:rsidP="00CC7DF2">
      <w:pPr>
        <w:bidi/>
        <w:spacing w:line="276" w:lineRule="auto"/>
        <w:jc w:val="both"/>
        <w:rPr>
          <w:rFonts w:ascii="David" w:hAnsi="David" w:cs="David"/>
          <w:u w:val="single"/>
          <w:rtl/>
        </w:rPr>
      </w:pPr>
    </w:p>
    <w:p w14:paraId="51B2844E" w14:textId="2E79BF45" w:rsidR="00D352B5" w:rsidRDefault="00D352B5" w:rsidP="00CC7DF2">
      <w:pPr>
        <w:bidi/>
        <w:spacing w:line="276" w:lineRule="auto"/>
        <w:jc w:val="both"/>
        <w:rPr>
          <w:rFonts w:ascii="David" w:hAnsi="David" w:cs="David"/>
          <w:rtl/>
        </w:rPr>
      </w:pPr>
    </w:p>
    <w:p w14:paraId="055C20AA" w14:textId="77777777" w:rsidR="00D352B5" w:rsidRDefault="00D352B5" w:rsidP="00CC7DF2">
      <w:pPr>
        <w:bidi/>
        <w:spacing w:line="276" w:lineRule="auto"/>
        <w:jc w:val="both"/>
        <w:rPr>
          <w:rFonts w:ascii="David" w:hAnsi="David" w:cs="David"/>
          <w:rtl/>
        </w:rPr>
      </w:pPr>
    </w:p>
    <w:p w14:paraId="3C3B2119" w14:textId="77777777" w:rsidR="00D352B5" w:rsidRDefault="00D352B5" w:rsidP="00CC7DF2">
      <w:pPr>
        <w:bidi/>
        <w:spacing w:line="276" w:lineRule="auto"/>
        <w:jc w:val="both"/>
        <w:rPr>
          <w:rFonts w:ascii="David" w:hAnsi="David" w:cs="David"/>
          <w:rtl/>
        </w:rPr>
      </w:pPr>
    </w:p>
    <w:p w14:paraId="76CAF954" w14:textId="77777777" w:rsidR="00D352B5" w:rsidRDefault="00D352B5" w:rsidP="00CC7DF2">
      <w:pPr>
        <w:bidi/>
        <w:spacing w:line="276" w:lineRule="auto"/>
        <w:jc w:val="both"/>
        <w:rPr>
          <w:rFonts w:ascii="David" w:hAnsi="David" w:cs="David"/>
          <w:rtl/>
        </w:rPr>
      </w:pPr>
    </w:p>
    <w:p w14:paraId="2277EB39" w14:textId="77777777" w:rsidR="00D352B5" w:rsidRDefault="00D352B5" w:rsidP="00CC7DF2">
      <w:pPr>
        <w:bidi/>
        <w:spacing w:line="276" w:lineRule="auto"/>
        <w:jc w:val="both"/>
        <w:rPr>
          <w:rFonts w:ascii="David" w:hAnsi="David" w:cs="David"/>
          <w:rtl/>
        </w:rPr>
      </w:pPr>
    </w:p>
    <w:p w14:paraId="4015C2CC" w14:textId="4D0D4B6E" w:rsidR="00931AA0" w:rsidRDefault="00107DCF" w:rsidP="00CC7DF2">
      <w:pPr>
        <w:bidi/>
        <w:spacing w:after="0" w:line="276" w:lineRule="auto"/>
        <w:jc w:val="both"/>
        <w:rPr>
          <w:rFonts w:ascii="David" w:hAnsi="David" w:cs="David"/>
          <w:u w:val="single"/>
          <w:rtl/>
        </w:rPr>
      </w:pPr>
      <w:r>
        <w:rPr>
          <w:rFonts w:ascii="David" w:hAnsi="David" w:cs="David"/>
          <w:noProof/>
          <w:u w:val="single"/>
          <w:rtl/>
          <w:lang w:val="he-IL"/>
        </w:rPr>
        <w:drawing>
          <wp:anchor distT="0" distB="0" distL="114300" distR="114300" simplePos="0" relativeHeight="251735040" behindDoc="0" locked="0" layoutInCell="1" allowOverlap="1" wp14:anchorId="0B520355" wp14:editId="26980948">
            <wp:simplePos x="0" y="0"/>
            <wp:positionH relativeFrom="column">
              <wp:posOffset>-298131</wp:posOffset>
            </wp:positionH>
            <wp:positionV relativeFrom="paragraph">
              <wp:posOffset>309</wp:posOffset>
            </wp:positionV>
            <wp:extent cx="6530532" cy="3200400"/>
            <wp:effectExtent l="38100" t="0" r="381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931AA0" w:rsidRPr="00D352B5">
        <w:rPr>
          <w:rFonts w:ascii="David" w:hAnsi="David" w:cs="David"/>
          <w:noProof/>
        </w:rPr>
        <mc:AlternateContent>
          <mc:Choice Requires="wps">
            <w:drawing>
              <wp:anchor distT="45720" distB="45720" distL="114300" distR="114300" simplePos="0" relativeHeight="251737088" behindDoc="0" locked="0" layoutInCell="1" allowOverlap="1" wp14:anchorId="3215A92A" wp14:editId="5A0809C8">
                <wp:simplePos x="0" y="0"/>
                <wp:positionH relativeFrom="column">
                  <wp:posOffset>3188250</wp:posOffset>
                </wp:positionH>
                <wp:positionV relativeFrom="paragraph">
                  <wp:posOffset>3235662</wp:posOffset>
                </wp:positionV>
                <wp:extent cx="1532890" cy="1404620"/>
                <wp:effectExtent l="0" t="0" r="10160"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51BA2D4" w14:textId="77777777" w:rsidR="00931AA0" w:rsidRPr="00ED2C1F" w:rsidRDefault="00931AA0" w:rsidP="00931AA0">
                            <w:pPr>
                              <w:bidi/>
                              <w:spacing w:line="276" w:lineRule="auto"/>
                              <w:rPr>
                                <w:rFonts w:ascii="David" w:hAnsi="David" w:cs="David"/>
                                <w:sz w:val="20"/>
                                <w:szCs w:val="20"/>
                                <w:rtl/>
                              </w:rPr>
                            </w:pPr>
                            <w:r w:rsidRPr="00ED2C1F">
                              <w:rPr>
                                <w:rFonts w:ascii="David" w:hAnsi="David" w:cs="David" w:hint="cs"/>
                                <w:sz w:val="20"/>
                                <w:szCs w:val="20"/>
                                <w:rtl/>
                              </w:rPr>
                              <w:t>עיקרון ה"</w:t>
                            </w:r>
                            <w:r w:rsidRPr="00ED2C1F">
                              <w:rPr>
                                <w:rFonts w:ascii="David" w:hAnsi="David" w:cs="David"/>
                                <w:sz w:val="20"/>
                                <w:szCs w:val="20"/>
                              </w:rPr>
                              <w:t>lex specialis</w:t>
                            </w:r>
                            <w:r w:rsidRPr="00ED2C1F">
                              <w:rPr>
                                <w:rFonts w:ascii="David" w:hAnsi="David" w:cs="David" w:hint="cs"/>
                                <w:sz w:val="20"/>
                                <w:szCs w:val="20"/>
                                <w:rtl/>
                              </w:rPr>
                              <w:t xml:space="preserve">" </w:t>
                            </w:r>
                            <w:r w:rsidRPr="00ED2C1F">
                              <w:rPr>
                                <w:rFonts w:ascii="David" w:hAnsi="David" w:cs="David"/>
                                <w:sz w:val="20"/>
                                <w:szCs w:val="20"/>
                                <w:rtl/>
                              </w:rPr>
                              <w:t>–</w:t>
                            </w:r>
                            <w:r w:rsidRPr="00ED2C1F">
                              <w:rPr>
                                <w:rFonts w:ascii="David" w:hAnsi="David" w:cs="David" w:hint="cs"/>
                                <w:sz w:val="20"/>
                                <w:szCs w:val="20"/>
                                <w:rtl/>
                              </w:rPr>
                              <w:t xml:space="preserve"> חיקוק ספציפי עדיף על חיקוק כללי. </w:t>
                            </w:r>
                          </w:p>
                          <w:p w14:paraId="30426FB7" w14:textId="77777777" w:rsidR="00931AA0" w:rsidRDefault="00931AA0" w:rsidP="00931A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5A92A" id="Text Box 2" o:spid="_x0000_s1042" type="#_x0000_t202" style="position:absolute;left:0;text-align:left;margin-left:251.05pt;margin-top:254.8pt;width:120.7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" fillcolor="white [3201]" strokecolor="#009dd9 [3205]" strokeweight="1pt">
                <v:textbox style="mso-fit-shape-to-text:t">
                  <w:txbxContent>
                    <w:p w14:paraId="251BA2D4" w14:textId="77777777" w:rsidR="00931AA0" w:rsidRPr="00ED2C1F" w:rsidRDefault="00931AA0" w:rsidP="00931AA0">
                      <w:pPr>
                        <w:bidi/>
                        <w:spacing w:line="276" w:lineRule="auto"/>
                        <w:rPr>
                          <w:rFonts w:ascii="David" w:hAnsi="David" w:cs="David"/>
                          <w:sz w:val="20"/>
                          <w:szCs w:val="20"/>
                          <w:rtl/>
                        </w:rPr>
                      </w:pPr>
                      <w:r w:rsidRPr="00ED2C1F">
                        <w:rPr>
                          <w:rFonts w:ascii="David" w:hAnsi="David" w:cs="David" w:hint="cs"/>
                          <w:sz w:val="20"/>
                          <w:szCs w:val="20"/>
                          <w:rtl/>
                        </w:rPr>
                        <w:t>עיקרון ה"</w:t>
                      </w:r>
                      <w:r w:rsidRPr="00ED2C1F">
                        <w:rPr>
                          <w:rFonts w:ascii="David" w:hAnsi="David" w:cs="David"/>
                          <w:sz w:val="20"/>
                          <w:szCs w:val="20"/>
                        </w:rPr>
                        <w:t>lex specialis</w:t>
                      </w:r>
                      <w:r w:rsidRPr="00ED2C1F">
                        <w:rPr>
                          <w:rFonts w:ascii="David" w:hAnsi="David" w:cs="David" w:hint="cs"/>
                          <w:sz w:val="20"/>
                          <w:szCs w:val="20"/>
                          <w:rtl/>
                        </w:rPr>
                        <w:t xml:space="preserve">" </w:t>
                      </w:r>
                      <w:r w:rsidRPr="00ED2C1F">
                        <w:rPr>
                          <w:rFonts w:ascii="David" w:hAnsi="David" w:cs="David"/>
                          <w:sz w:val="20"/>
                          <w:szCs w:val="20"/>
                          <w:rtl/>
                        </w:rPr>
                        <w:t>–</w:t>
                      </w:r>
                      <w:r w:rsidRPr="00ED2C1F">
                        <w:rPr>
                          <w:rFonts w:ascii="David" w:hAnsi="David" w:cs="David" w:hint="cs"/>
                          <w:sz w:val="20"/>
                          <w:szCs w:val="20"/>
                          <w:rtl/>
                        </w:rPr>
                        <w:t xml:space="preserve"> חיקוק ספציפי עדיף על חיקוק כללי. </w:t>
                      </w:r>
                    </w:p>
                    <w:p w14:paraId="30426FB7" w14:textId="77777777" w:rsidR="00931AA0" w:rsidRDefault="00931AA0" w:rsidP="00931AA0"/>
                  </w:txbxContent>
                </v:textbox>
                <w10:wrap type="square"/>
              </v:shape>
            </w:pict>
          </mc:Fallback>
        </mc:AlternateContent>
      </w:r>
      <w:r w:rsidR="00931AA0" w:rsidRPr="00D352B5">
        <w:rPr>
          <w:rFonts w:ascii="David" w:hAnsi="David" w:cs="David"/>
          <w:noProof/>
        </w:rPr>
        <mc:AlternateContent>
          <mc:Choice Requires="wps">
            <w:drawing>
              <wp:anchor distT="45720" distB="45720" distL="114300" distR="114300" simplePos="0" relativeHeight="251739136" behindDoc="0" locked="0" layoutInCell="1" allowOverlap="1" wp14:anchorId="4BE481EF" wp14:editId="7B401C09">
                <wp:simplePos x="0" y="0"/>
                <wp:positionH relativeFrom="column">
                  <wp:posOffset>431060</wp:posOffset>
                </wp:positionH>
                <wp:positionV relativeFrom="paragraph">
                  <wp:posOffset>3206302</wp:posOffset>
                </wp:positionV>
                <wp:extent cx="2152015" cy="977265"/>
                <wp:effectExtent l="0" t="0" r="1968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9772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8D926CC" w14:textId="77777777" w:rsidR="00931AA0" w:rsidRPr="00ED2C1F" w:rsidRDefault="00931AA0" w:rsidP="00931AA0">
                            <w:pPr>
                              <w:bidi/>
                              <w:spacing w:line="276" w:lineRule="auto"/>
                              <w:rPr>
                                <w:rFonts w:ascii="David" w:hAnsi="David" w:cs="David"/>
                                <w:sz w:val="20"/>
                                <w:szCs w:val="20"/>
                                <w:rtl/>
                              </w:rPr>
                            </w:pPr>
                            <w:r w:rsidRPr="00ED2C1F">
                              <w:rPr>
                                <w:rFonts w:ascii="David" w:hAnsi="David" w:cs="David" w:hint="cs"/>
                                <w:sz w:val="20"/>
                                <w:szCs w:val="20"/>
                                <w:rtl/>
                              </w:rPr>
                              <w:t>האם אי דיווח דומה לסיוע לפשע? נראה שלא. יש יותר דמיון לא מניעת התעללות או התעללות במחדל, כיוון שבסיוע אם יש מודעות לפשע, נדרשת פעולת מניעה (יותר מאשר לא לדווח).</w:t>
                            </w:r>
                          </w:p>
                          <w:p w14:paraId="3DB266E8" w14:textId="77777777" w:rsidR="00931AA0" w:rsidRDefault="00931AA0" w:rsidP="00931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481EF" id="_x0000_s1043" type="#_x0000_t202" style="position:absolute;left:0;text-align:left;margin-left:33.95pt;margin-top:252.45pt;width:169.45pt;height:76.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" fillcolor="white [3201]" strokecolor="#009dd9 [3205]" strokeweight="1pt">
                <v:textbox>
                  <w:txbxContent>
                    <w:p w14:paraId="78D926CC" w14:textId="77777777" w:rsidR="00931AA0" w:rsidRPr="00ED2C1F" w:rsidRDefault="00931AA0" w:rsidP="00931AA0">
                      <w:pPr>
                        <w:bidi/>
                        <w:spacing w:line="276" w:lineRule="auto"/>
                        <w:rPr>
                          <w:rFonts w:ascii="David" w:hAnsi="David" w:cs="David"/>
                          <w:sz w:val="20"/>
                          <w:szCs w:val="20"/>
                          <w:rtl/>
                        </w:rPr>
                      </w:pPr>
                      <w:r w:rsidRPr="00ED2C1F">
                        <w:rPr>
                          <w:rFonts w:ascii="David" w:hAnsi="David" w:cs="David" w:hint="cs"/>
                          <w:sz w:val="20"/>
                          <w:szCs w:val="20"/>
                          <w:rtl/>
                        </w:rPr>
                        <w:t>האם אי דיווח דומה לסיוע לפשע? נראה שלא. יש יותר דמיון לא מניעת התעללות או התעללות במחדל, כיוון שבסיוע אם יש מודעות לפשע, נדרשת פעולת מניעה (יותר מאשר לא לדווח).</w:t>
                      </w:r>
                    </w:p>
                    <w:p w14:paraId="3DB266E8" w14:textId="77777777" w:rsidR="00931AA0" w:rsidRDefault="00931AA0" w:rsidP="00931AA0"/>
                  </w:txbxContent>
                </v:textbox>
                <w10:wrap type="square"/>
              </v:shape>
            </w:pict>
          </mc:Fallback>
        </mc:AlternateContent>
      </w:r>
    </w:p>
    <w:p w14:paraId="6C04E0B8" w14:textId="53FE81A8" w:rsidR="00931AA0" w:rsidRDefault="00931AA0" w:rsidP="00931AA0">
      <w:pPr>
        <w:bidi/>
        <w:spacing w:after="0" w:line="276" w:lineRule="auto"/>
        <w:jc w:val="both"/>
        <w:rPr>
          <w:rFonts w:ascii="David" w:hAnsi="David" w:cs="David"/>
          <w:u w:val="single"/>
          <w:rtl/>
        </w:rPr>
      </w:pPr>
    </w:p>
    <w:p w14:paraId="02FDDCB8" w14:textId="01542701" w:rsidR="00931AA0" w:rsidRDefault="00931AA0" w:rsidP="00931AA0">
      <w:pPr>
        <w:bidi/>
        <w:spacing w:after="0" w:line="276" w:lineRule="auto"/>
        <w:jc w:val="both"/>
        <w:rPr>
          <w:rFonts w:ascii="David" w:hAnsi="David" w:cs="David"/>
          <w:u w:val="single"/>
          <w:rtl/>
        </w:rPr>
      </w:pPr>
    </w:p>
    <w:p w14:paraId="5DF00D89" w14:textId="2C86DD43" w:rsidR="00931AA0" w:rsidRDefault="00931AA0" w:rsidP="00931AA0">
      <w:pPr>
        <w:bidi/>
        <w:spacing w:after="0" w:line="276" w:lineRule="auto"/>
        <w:jc w:val="both"/>
        <w:rPr>
          <w:rFonts w:ascii="David" w:hAnsi="David" w:cs="David"/>
          <w:u w:val="single"/>
          <w:rtl/>
        </w:rPr>
      </w:pPr>
      <w:r w:rsidRPr="00D352B5">
        <w:rPr>
          <w:rFonts w:ascii="David" w:hAnsi="David" w:cs="David"/>
          <w:noProof/>
        </w:rPr>
        <w:t xml:space="preserve"> </w:t>
      </w:r>
    </w:p>
    <w:p w14:paraId="1CD9B503" w14:textId="77777777" w:rsidR="00931AA0" w:rsidRDefault="00931AA0" w:rsidP="00931AA0">
      <w:pPr>
        <w:bidi/>
        <w:spacing w:after="0" w:line="276" w:lineRule="auto"/>
        <w:jc w:val="both"/>
        <w:rPr>
          <w:rFonts w:ascii="David" w:hAnsi="David" w:cs="David"/>
          <w:u w:val="single"/>
          <w:rtl/>
        </w:rPr>
      </w:pPr>
    </w:p>
    <w:p w14:paraId="52FA4ADC" w14:textId="14C4A8E8" w:rsidR="00931AA0" w:rsidRDefault="00931AA0" w:rsidP="00931AA0">
      <w:pPr>
        <w:bidi/>
        <w:spacing w:after="0" w:line="276" w:lineRule="auto"/>
        <w:jc w:val="both"/>
        <w:rPr>
          <w:rFonts w:ascii="David" w:hAnsi="David" w:cs="David"/>
          <w:u w:val="single"/>
          <w:rtl/>
        </w:rPr>
      </w:pPr>
    </w:p>
    <w:p w14:paraId="29D44436" w14:textId="77777777" w:rsidR="00931AA0" w:rsidRDefault="00931AA0" w:rsidP="00931AA0">
      <w:pPr>
        <w:bidi/>
        <w:spacing w:after="0" w:line="276" w:lineRule="auto"/>
        <w:jc w:val="both"/>
        <w:rPr>
          <w:rFonts w:ascii="David" w:hAnsi="David" w:cs="David"/>
          <w:u w:val="single"/>
          <w:rtl/>
        </w:rPr>
      </w:pPr>
    </w:p>
    <w:p w14:paraId="56B9728C" w14:textId="77777777" w:rsidR="00931AA0" w:rsidRDefault="00931AA0" w:rsidP="00931AA0">
      <w:pPr>
        <w:bidi/>
        <w:spacing w:after="0" w:line="276" w:lineRule="auto"/>
        <w:jc w:val="both"/>
        <w:rPr>
          <w:rFonts w:ascii="David" w:hAnsi="David" w:cs="David"/>
          <w:u w:val="single"/>
          <w:rtl/>
        </w:rPr>
      </w:pPr>
    </w:p>
    <w:p w14:paraId="6A2FCC2A" w14:textId="4F49A12F" w:rsidR="00512C5E" w:rsidRDefault="00121B22" w:rsidP="00931AA0">
      <w:pPr>
        <w:bidi/>
        <w:spacing w:after="0" w:line="276" w:lineRule="auto"/>
        <w:jc w:val="both"/>
        <w:rPr>
          <w:rFonts w:ascii="David" w:hAnsi="David" w:cs="David"/>
          <w:u w:val="single"/>
          <w:rtl/>
        </w:rPr>
      </w:pPr>
      <w:r>
        <w:rPr>
          <w:rFonts w:ascii="David" w:hAnsi="David" w:cs="David" w:hint="cs"/>
          <w:u w:val="single"/>
          <w:rtl/>
        </w:rPr>
        <w:t>הצעותיו של שמואלי:</w:t>
      </w:r>
    </w:p>
    <w:p w14:paraId="4AC18696" w14:textId="323435DB" w:rsidR="002A788E" w:rsidRDefault="00121B22" w:rsidP="00CC7DF2">
      <w:pPr>
        <w:bidi/>
        <w:spacing w:after="0" w:line="276" w:lineRule="auto"/>
        <w:jc w:val="both"/>
        <w:rPr>
          <w:rFonts w:ascii="David" w:hAnsi="David" w:cs="David"/>
          <w:rtl/>
        </w:rPr>
      </w:pPr>
      <w:r w:rsidRPr="00AD406C">
        <w:rPr>
          <w:rFonts w:ascii="David" w:hAnsi="David" w:cs="David" w:hint="cs"/>
          <w:b/>
          <w:bCs/>
          <w:rtl/>
        </w:rPr>
        <w:t>הצעה 1:</w:t>
      </w:r>
      <w:r w:rsidRPr="00AD406C">
        <w:rPr>
          <w:rFonts w:ascii="David" w:hAnsi="David" w:cs="David" w:hint="cs"/>
          <w:b/>
          <w:bCs/>
        </w:rPr>
        <w:t xml:space="preserve"> </w:t>
      </w:r>
      <w:r w:rsidRPr="00AD406C">
        <w:rPr>
          <w:rFonts w:ascii="David" w:hAnsi="David" w:cs="David" w:hint="cs"/>
          <w:b/>
          <w:bCs/>
          <w:rtl/>
        </w:rPr>
        <w:t>עידוד דיווח</w:t>
      </w:r>
      <w:r w:rsidR="002A788E">
        <w:rPr>
          <w:rFonts w:ascii="David" w:hAnsi="David" w:cs="David" w:hint="cs"/>
          <w:rtl/>
        </w:rPr>
        <w:t xml:space="preserve"> - </w:t>
      </w:r>
      <w:r w:rsidR="00C84F6F">
        <w:rPr>
          <w:rFonts w:ascii="David" w:hAnsi="David" w:cs="David" w:hint="cs"/>
          <w:rtl/>
        </w:rPr>
        <w:t xml:space="preserve"> </w:t>
      </w:r>
      <w:r w:rsidR="000801D7" w:rsidRPr="00C84F6F">
        <w:rPr>
          <w:rFonts w:ascii="David" w:hAnsi="David" w:cs="David" w:hint="cs"/>
          <w:rtl/>
        </w:rPr>
        <w:t>ניתן לעודד</w:t>
      </w:r>
      <w:r w:rsidR="00512C5E" w:rsidRPr="00C84F6F">
        <w:rPr>
          <w:rFonts w:ascii="David" w:hAnsi="David" w:cs="David" w:hint="cs"/>
          <w:rtl/>
        </w:rPr>
        <w:t xml:space="preserve"> דיווח </w:t>
      </w:r>
      <w:r w:rsidR="00512C5E" w:rsidRPr="004511ED">
        <w:rPr>
          <w:rFonts w:ascii="David" w:hAnsi="David" w:cs="David" w:hint="cs"/>
          <w:b/>
          <w:bCs/>
          <w:rtl/>
        </w:rPr>
        <w:t>דרך הטלת חיסיון של שם המדווח</w:t>
      </w:r>
      <w:r w:rsidR="00512C5E" w:rsidRPr="00C84F6F">
        <w:rPr>
          <w:rFonts w:ascii="David" w:hAnsi="David" w:cs="David" w:hint="cs"/>
          <w:rtl/>
        </w:rPr>
        <w:t>. חסימה מוחלטת בעייתית כיוון ש: (1) מונעת גישה לערכאות מצידו של זה שדיווחו אודותיו, (2) זכות תביעה בנזיקין</w:t>
      </w:r>
      <w:r w:rsidR="004F506E" w:rsidRPr="00C84F6F">
        <w:rPr>
          <w:rFonts w:ascii="David" w:hAnsi="David" w:cs="David" w:hint="cs"/>
          <w:rtl/>
        </w:rPr>
        <w:t xml:space="preserve"> עקב פגיעה </w:t>
      </w:r>
      <w:r w:rsidR="00257747" w:rsidRPr="00C84F6F">
        <w:rPr>
          <w:rFonts w:ascii="David" w:hAnsi="David" w:cs="David" w:hint="cs"/>
          <w:rtl/>
        </w:rPr>
        <w:t xml:space="preserve">בכוש או סגוף, </w:t>
      </w:r>
      <w:r w:rsidR="00512C5E" w:rsidRPr="00C84F6F">
        <w:rPr>
          <w:rFonts w:ascii="David" w:hAnsi="David" w:cs="David" w:hint="cs"/>
          <w:rtl/>
        </w:rPr>
        <w:t xml:space="preserve"> היא חוקתית-קניינית</w:t>
      </w:r>
      <w:r w:rsidR="00112890" w:rsidRPr="00C84F6F">
        <w:rPr>
          <w:rFonts w:ascii="David" w:hAnsi="David" w:cs="David" w:hint="cs"/>
          <w:rtl/>
        </w:rPr>
        <w:t xml:space="preserve"> ולכן תאלץ לעבור פסקת הגבלה.</w:t>
      </w:r>
      <w:r w:rsidR="00512C5E" w:rsidRPr="00C84F6F">
        <w:rPr>
          <w:rFonts w:ascii="David" w:hAnsi="David" w:cs="David" w:hint="cs"/>
          <w:rtl/>
        </w:rPr>
        <w:t xml:space="preserve"> בשביל לאזן, במידה ויש חשד לדיווח זדוני, יוסר החיסיון, </w:t>
      </w:r>
      <w:r w:rsidR="002D41BF" w:rsidRPr="00C84F6F">
        <w:rPr>
          <w:rFonts w:ascii="David" w:hAnsi="David" w:cs="David" w:hint="cs"/>
          <w:rtl/>
        </w:rPr>
        <w:t>מה שעשוי לסייע</w:t>
      </w:r>
      <w:r w:rsidR="00512C5E" w:rsidRPr="00C84F6F">
        <w:rPr>
          <w:rFonts w:ascii="David" w:hAnsi="David" w:cs="David" w:hint="cs"/>
          <w:rtl/>
        </w:rPr>
        <w:t xml:space="preserve"> לעבור את תנאי פסקת ההגבלה.</w:t>
      </w:r>
    </w:p>
    <w:p w14:paraId="51D5EAA7" w14:textId="20510CB1" w:rsidR="002D41BF" w:rsidRPr="002A788E" w:rsidRDefault="00512C5E" w:rsidP="00DF69B2">
      <w:pPr>
        <w:pStyle w:val="ListParagraph"/>
        <w:numPr>
          <w:ilvl w:val="0"/>
          <w:numId w:val="25"/>
        </w:numPr>
        <w:bidi/>
        <w:spacing w:after="0" w:line="276" w:lineRule="auto"/>
        <w:jc w:val="both"/>
        <w:rPr>
          <w:rFonts w:ascii="David" w:hAnsi="David" w:cs="David"/>
          <w:rtl/>
        </w:rPr>
      </w:pPr>
      <w:r w:rsidRPr="002A788E">
        <w:rPr>
          <w:rFonts w:ascii="David" w:hAnsi="David" w:cs="David" w:hint="cs"/>
          <w:rtl/>
        </w:rPr>
        <w:t>יש לאיין תמריצים שליליים שלא לדווח עקב פחד מהתוקף, ובד בבד להפליל דיווח כוזב לשירותי הרווחה (היום העבירה היא רק בדיווח למשטרה)</w:t>
      </w:r>
      <w:r w:rsidR="00951CCB" w:rsidRPr="002A788E">
        <w:rPr>
          <w:rFonts w:ascii="David" w:hAnsi="David" w:cs="David" w:hint="cs"/>
          <w:rtl/>
        </w:rPr>
        <w:t>.</w:t>
      </w:r>
    </w:p>
    <w:p w14:paraId="07D36FE6" w14:textId="354355A5" w:rsidR="00121B22" w:rsidRDefault="00951CCB" w:rsidP="00DF69B2">
      <w:pPr>
        <w:pStyle w:val="ListParagraph"/>
        <w:numPr>
          <w:ilvl w:val="0"/>
          <w:numId w:val="25"/>
        </w:numPr>
        <w:bidi/>
        <w:spacing w:after="0" w:line="276" w:lineRule="auto"/>
        <w:jc w:val="both"/>
        <w:rPr>
          <w:rFonts w:ascii="David" w:hAnsi="David" w:cs="David"/>
        </w:rPr>
      </w:pPr>
      <w:r w:rsidRPr="002D41BF">
        <w:rPr>
          <w:rFonts w:ascii="David" w:hAnsi="David" w:cs="David" w:hint="cs"/>
          <w:rtl/>
        </w:rPr>
        <w:t>יש להגביר את המודעות לקיום החובה ולתוכניות מסודרות בקרב אנשי המקצוע.</w:t>
      </w:r>
    </w:p>
    <w:p w14:paraId="7B1D1289" w14:textId="77777777" w:rsidR="00931AA0" w:rsidRPr="007713A0" w:rsidRDefault="00931AA0" w:rsidP="00931AA0">
      <w:pPr>
        <w:pStyle w:val="ListParagraph"/>
        <w:bidi/>
        <w:spacing w:after="0" w:line="276" w:lineRule="auto"/>
        <w:ind w:left="630"/>
        <w:jc w:val="both"/>
        <w:rPr>
          <w:rFonts w:ascii="David" w:hAnsi="David" w:cs="David"/>
        </w:rPr>
      </w:pPr>
    </w:p>
    <w:p w14:paraId="0BD86D3D" w14:textId="77777777" w:rsidR="001E105C" w:rsidRDefault="002A788E" w:rsidP="001E105C">
      <w:pPr>
        <w:bidi/>
        <w:spacing w:after="0" w:line="276" w:lineRule="auto"/>
        <w:jc w:val="both"/>
        <w:rPr>
          <w:rFonts w:ascii="David" w:hAnsi="David" w:cs="David"/>
          <w:rtl/>
        </w:rPr>
      </w:pPr>
      <w:r w:rsidRPr="00AD406C">
        <w:rPr>
          <w:rFonts w:ascii="David" w:hAnsi="David" w:cs="David" w:hint="cs"/>
          <w:b/>
          <w:bCs/>
          <w:rtl/>
        </w:rPr>
        <w:t>הצעה 2:</w:t>
      </w:r>
      <w:r w:rsidRPr="00AD406C">
        <w:rPr>
          <w:rFonts w:ascii="David" w:hAnsi="David" w:cs="David" w:hint="cs"/>
          <w:b/>
          <w:bCs/>
        </w:rPr>
        <w:t xml:space="preserve"> </w:t>
      </w:r>
      <w:r w:rsidRPr="00AD406C">
        <w:rPr>
          <w:rFonts w:ascii="David" w:hAnsi="David" w:cs="David" w:hint="cs"/>
          <w:b/>
          <w:bCs/>
          <w:rtl/>
        </w:rPr>
        <w:t xml:space="preserve">בחינת מסלולי הדיווח </w:t>
      </w:r>
      <w:r w:rsidR="000801D7" w:rsidRPr="00AD406C">
        <w:rPr>
          <w:rFonts w:ascii="David" w:hAnsi="David" w:cs="David" w:hint="cs"/>
          <w:b/>
          <w:bCs/>
          <w:rtl/>
        </w:rPr>
        <w:t>מסלולי הדיווח</w:t>
      </w:r>
      <w:r w:rsidR="00DD5E67" w:rsidRPr="00AD406C">
        <w:rPr>
          <w:rFonts w:ascii="David" w:hAnsi="David" w:cs="David" w:hint="cs"/>
          <w:b/>
          <w:bCs/>
          <w:rtl/>
        </w:rPr>
        <w:t>-</w:t>
      </w:r>
      <w:r w:rsidR="00DD5E67">
        <w:rPr>
          <w:rFonts w:ascii="David" w:hAnsi="David" w:cs="David" w:hint="cs"/>
          <w:b/>
          <w:bCs/>
          <w:rtl/>
        </w:rPr>
        <w:t xml:space="preserve"> </w:t>
      </w:r>
      <w:r w:rsidR="000801D7" w:rsidRPr="002A788E">
        <w:rPr>
          <w:rFonts w:ascii="David" w:hAnsi="David" w:cs="David" w:hint="cs"/>
          <w:rtl/>
        </w:rPr>
        <w:t xml:space="preserve">משטרה ורווחה. המסלולים שונים: למשטרה יש חובת חקירה, ולרווחה אפשרות לקבל פטור מדיווח וכך לא תהיה חקירה. </w:t>
      </w:r>
    </w:p>
    <w:p w14:paraId="0A19B814" w14:textId="6DDE445D" w:rsidR="00107DCF" w:rsidRDefault="000801D7" w:rsidP="00107DCF">
      <w:pPr>
        <w:bidi/>
        <w:spacing w:after="0" w:line="276" w:lineRule="auto"/>
        <w:jc w:val="both"/>
        <w:rPr>
          <w:rFonts w:ascii="David" w:hAnsi="David" w:cs="David"/>
          <w:rtl/>
        </w:rPr>
      </w:pPr>
      <w:r w:rsidRPr="00DD5E67">
        <w:rPr>
          <w:rFonts w:ascii="David" w:hAnsi="David" w:cs="David" w:hint="cs"/>
          <w:u w:val="single"/>
          <w:rtl/>
        </w:rPr>
        <w:t>פתרון:</w:t>
      </w:r>
      <w:r w:rsidRPr="002A788E">
        <w:rPr>
          <w:rFonts w:ascii="David" w:hAnsi="David" w:cs="David" w:hint="cs"/>
          <w:rtl/>
        </w:rPr>
        <w:t xml:space="preserve"> פטור זמני בחקיקה (במקום בקשת פטור במקרים קלים), והכנסת מקצועות נוספים למסגרת הפטור, פרשנות שעו"ס יזכה להגנה אם לא דיווח אך פעל בתו"ל.</w:t>
      </w:r>
    </w:p>
    <w:p w14:paraId="5C9237DA" w14:textId="3E702528" w:rsidR="00DC184D" w:rsidRDefault="00A92AF7" w:rsidP="00DC184D">
      <w:pPr>
        <w:bidi/>
        <w:spacing w:after="0" w:line="276" w:lineRule="auto"/>
        <w:jc w:val="both"/>
        <w:rPr>
          <w:rFonts w:ascii="David" w:hAnsi="David" w:cs="David"/>
          <w:rtl/>
        </w:rPr>
      </w:pPr>
      <w:r>
        <w:rPr>
          <w:rFonts w:ascii="David" w:hAnsi="David" w:cs="David" w:hint="cs"/>
          <w:noProof/>
          <w:u w:val="single"/>
          <w:rtl/>
          <w:lang w:val="he-IL"/>
        </w:rPr>
        <mc:AlternateContent>
          <mc:Choice Requires="wps">
            <w:drawing>
              <wp:anchor distT="0" distB="0" distL="114300" distR="114300" simplePos="0" relativeHeight="251740160" behindDoc="1" locked="0" layoutInCell="1" allowOverlap="1" wp14:anchorId="24827504" wp14:editId="6F4E4493">
                <wp:simplePos x="0" y="0"/>
                <wp:positionH relativeFrom="margin">
                  <wp:align>center</wp:align>
                </wp:positionH>
                <wp:positionV relativeFrom="paragraph">
                  <wp:posOffset>45044</wp:posOffset>
                </wp:positionV>
                <wp:extent cx="6263708" cy="1510961"/>
                <wp:effectExtent l="0" t="0" r="22860" b="13335"/>
                <wp:wrapNone/>
                <wp:docPr id="51" name="Text Box 51"/>
                <wp:cNvGraphicFramePr/>
                <a:graphic xmlns:a="http://schemas.openxmlformats.org/drawingml/2006/main">
                  <a:graphicData uri="http://schemas.microsoft.com/office/word/2010/wordprocessingShape">
                    <wps:wsp>
                      <wps:cNvSpPr txBox="1"/>
                      <wps:spPr>
                        <a:xfrm>
                          <a:off x="0" y="0"/>
                          <a:ext cx="6263708" cy="15109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A6AF37" w14:textId="77777777" w:rsidR="00107DCF" w:rsidRDefault="00107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27504" id="Text Box 51" o:spid="_x0000_s1044" type="#_x0000_t202" style="position:absolute;left:0;text-align:left;margin-left:0;margin-top:3.55pt;width:493.2pt;height:118.95pt;z-index:-25157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" fillcolor="white [3201]" strokecolor="#0f6fc6 [3204]" strokeweight="1pt">
                <v:textbox>
                  <w:txbxContent>
                    <w:p w14:paraId="2CA6AF37" w14:textId="77777777" w:rsidR="00107DCF" w:rsidRDefault="00107DCF"/>
                  </w:txbxContent>
                </v:textbox>
                <w10:wrap anchorx="margin"/>
              </v:shape>
            </w:pict>
          </mc:Fallback>
        </mc:AlternateContent>
      </w:r>
    </w:p>
    <w:p w14:paraId="44100713" w14:textId="28A99B76" w:rsidR="00107DCF" w:rsidRPr="00DC184D" w:rsidRDefault="00107DCF" w:rsidP="00107DCF">
      <w:pPr>
        <w:bidi/>
        <w:spacing w:after="0" w:line="276" w:lineRule="auto"/>
        <w:jc w:val="both"/>
        <w:rPr>
          <w:rFonts w:ascii="David" w:hAnsi="David" w:cs="David"/>
          <w:sz w:val="20"/>
          <w:szCs w:val="20"/>
          <w:rtl/>
        </w:rPr>
      </w:pPr>
      <w:r w:rsidRPr="00DC184D">
        <w:rPr>
          <w:rFonts w:ascii="David" w:hAnsi="David" w:cs="David" w:hint="cs"/>
          <w:sz w:val="18"/>
          <w:szCs w:val="18"/>
          <w:u w:val="single"/>
          <w:rtl/>
        </w:rPr>
        <w:t xml:space="preserve">תביעות נזיקין בגין אי דיווח- </w:t>
      </w:r>
      <w:r w:rsidRPr="00DC184D">
        <w:rPr>
          <w:rFonts w:ascii="David" w:hAnsi="David" w:cs="David" w:hint="cs"/>
          <w:sz w:val="18"/>
          <w:szCs w:val="18"/>
          <w:rtl/>
        </w:rPr>
        <w:t>האם להטיל אחריות רק על מי שיכול היה למנוע?</w:t>
      </w:r>
      <w:r w:rsidRPr="00DC184D">
        <w:rPr>
          <w:rFonts w:ascii="David" w:hAnsi="David" w:cs="David" w:hint="cs"/>
          <w:sz w:val="18"/>
          <w:szCs w:val="18"/>
        </w:rPr>
        <w:t xml:space="preserve"> </w:t>
      </w:r>
    </w:p>
    <w:p w14:paraId="655D43AE" w14:textId="77777777" w:rsidR="00DC184D" w:rsidRDefault="00107DCF" w:rsidP="00107DCF">
      <w:pPr>
        <w:bidi/>
        <w:spacing w:after="0" w:line="276" w:lineRule="auto"/>
        <w:jc w:val="both"/>
        <w:rPr>
          <w:rFonts w:ascii="David" w:hAnsi="David" w:cs="David"/>
          <w:sz w:val="18"/>
          <w:szCs w:val="18"/>
          <w:rtl/>
        </w:rPr>
      </w:pPr>
      <w:r w:rsidRPr="00DC184D">
        <w:rPr>
          <w:rStyle w:val="QuoteChar"/>
          <w:rFonts w:hint="cs"/>
          <w:sz w:val="18"/>
          <w:szCs w:val="18"/>
          <w:rtl/>
        </w:rPr>
        <w:t xml:space="preserve">21950/97 </w:t>
      </w:r>
      <w:r w:rsidRPr="00DC184D">
        <w:rPr>
          <w:rStyle w:val="QuoteChar"/>
          <w:sz w:val="18"/>
          <w:szCs w:val="18"/>
          <w:rtl/>
        </w:rPr>
        <w:t>–</w:t>
      </w:r>
      <w:r w:rsidRPr="00DC184D">
        <w:rPr>
          <w:rStyle w:val="QuoteChar"/>
          <w:rFonts w:hint="cs"/>
          <w:sz w:val="18"/>
          <w:szCs w:val="18"/>
          <w:rtl/>
        </w:rPr>
        <w:t xml:space="preserve"> מ.ט נ' ז.ד. </w:t>
      </w:r>
      <w:r w:rsidRPr="00DC184D">
        <w:rPr>
          <w:rFonts w:ascii="David" w:hAnsi="David" w:cs="David" w:hint="cs"/>
          <w:sz w:val="18"/>
          <w:szCs w:val="18"/>
          <w:rtl/>
        </w:rPr>
        <w:t xml:space="preserve">התובעת טוענת לניצול מיני ע"י אחיה בילדותה. התביעה נגד האח והאמא, ששולחים הודעת צד ג' לאבא. </w:t>
      </w:r>
    </w:p>
    <w:p w14:paraId="35EC3CD8" w14:textId="7096D459" w:rsidR="00107DCF" w:rsidRPr="00DC184D" w:rsidRDefault="00107DCF" w:rsidP="00DC184D">
      <w:pPr>
        <w:bidi/>
        <w:spacing w:after="0" w:line="276" w:lineRule="auto"/>
        <w:jc w:val="both"/>
        <w:rPr>
          <w:rFonts w:ascii="David" w:hAnsi="David" w:cs="David"/>
          <w:sz w:val="18"/>
          <w:szCs w:val="18"/>
          <w:rtl/>
        </w:rPr>
      </w:pPr>
      <w:r w:rsidRPr="00DC184D">
        <w:rPr>
          <w:rFonts w:ascii="David" w:hAnsi="David" w:cs="David" w:hint="cs"/>
          <w:b/>
          <w:bCs/>
          <w:sz w:val="18"/>
          <w:szCs w:val="18"/>
          <w:rtl/>
        </w:rPr>
        <w:t>תוצאה:</w:t>
      </w:r>
      <w:r w:rsidRPr="00DC184D">
        <w:rPr>
          <w:rFonts w:ascii="David" w:hAnsi="David" w:cs="David" w:hint="cs"/>
          <w:sz w:val="18"/>
          <w:szCs w:val="18"/>
          <w:rtl/>
        </w:rPr>
        <w:t xml:space="preserve"> התביעה לא נדונה לגופה משום שנדחתה עקב התיישנות. </w:t>
      </w:r>
    </w:p>
    <w:p w14:paraId="42E6F53F" w14:textId="77777777" w:rsidR="00107DCF" w:rsidRPr="00DC184D" w:rsidRDefault="00107DCF" w:rsidP="00107DCF">
      <w:pPr>
        <w:bidi/>
        <w:spacing w:after="0" w:line="276" w:lineRule="auto"/>
        <w:jc w:val="both"/>
        <w:rPr>
          <w:rFonts w:ascii="David" w:hAnsi="David" w:cs="David"/>
          <w:sz w:val="18"/>
          <w:szCs w:val="18"/>
          <w:rtl/>
        </w:rPr>
      </w:pPr>
      <w:r w:rsidRPr="00DC184D">
        <w:rPr>
          <w:rFonts w:ascii="David" w:hAnsi="David" w:cs="David" w:hint="cs"/>
          <w:b/>
          <w:bCs/>
          <w:sz w:val="18"/>
          <w:szCs w:val="18"/>
          <w:rtl/>
        </w:rPr>
        <w:t>האם התביעה אפשרית?</w:t>
      </w:r>
      <w:r w:rsidRPr="00DC184D">
        <w:rPr>
          <w:rFonts w:ascii="David" w:hAnsi="David" w:cs="David" w:hint="cs"/>
          <w:sz w:val="18"/>
          <w:szCs w:val="18"/>
          <w:rtl/>
        </w:rPr>
        <w:t xml:space="preserve"> לא הועלתה בפס"ד התנגדות עקרונית (הדחייה כאמור עקב התיישנות). ניתן לומר שאפשר לתבוע ברשלנות (גם במעשה מכוון, </w:t>
      </w:r>
      <w:r w:rsidRPr="00DC184D">
        <w:rPr>
          <w:rStyle w:val="QuoteChar"/>
          <w:rFonts w:hint="cs"/>
          <w:sz w:val="18"/>
          <w:szCs w:val="18"/>
          <w:rtl/>
        </w:rPr>
        <w:t>פס"ד אמין</w:t>
      </w:r>
      <w:r w:rsidRPr="00DC184D">
        <w:rPr>
          <w:rFonts w:ascii="David" w:hAnsi="David" w:cs="David" w:hint="cs"/>
          <w:sz w:val="18"/>
          <w:szCs w:val="18"/>
          <w:rtl/>
        </w:rPr>
        <w:t xml:space="preserve">) ובתנאים הנדרשים להפח"ח לסעיף פלילי. המשמעות היא שהתביעה תדרוש הוכחת נזק, ותהיה נתונה לשיקולי מדיניות משפטית. </w:t>
      </w:r>
    </w:p>
    <w:p w14:paraId="315B565E" w14:textId="77777777" w:rsidR="00107DCF" w:rsidRPr="00DC184D" w:rsidRDefault="00107DCF" w:rsidP="00DF69B2">
      <w:pPr>
        <w:pStyle w:val="ListParagraph"/>
        <w:numPr>
          <w:ilvl w:val="0"/>
          <w:numId w:val="25"/>
        </w:numPr>
        <w:bidi/>
        <w:spacing w:after="0" w:line="276" w:lineRule="auto"/>
        <w:jc w:val="both"/>
        <w:rPr>
          <w:rFonts w:ascii="David" w:hAnsi="David" w:cs="David"/>
          <w:sz w:val="18"/>
          <w:szCs w:val="18"/>
        </w:rPr>
      </w:pPr>
      <w:r w:rsidRPr="00DC184D">
        <w:rPr>
          <w:rFonts w:ascii="David" w:hAnsi="David" w:cs="David" w:hint="cs"/>
          <w:sz w:val="18"/>
          <w:szCs w:val="18"/>
          <w:rtl/>
        </w:rPr>
        <w:t xml:space="preserve">ייתכן שמשיקולי מדיניות לא תוטל חובה מושגית על אמא לדווח על מעשי האבא אם הייתה נתונה לטרור בעצמה. גישה זו יכולה להוות טענת הגנה, גם אם יוכרע שהייתה עוולה. </w:t>
      </w:r>
    </w:p>
    <w:p w14:paraId="180D1DE1" w14:textId="77777777" w:rsidR="00107DCF" w:rsidRPr="00DC184D" w:rsidRDefault="00107DCF" w:rsidP="00DF69B2">
      <w:pPr>
        <w:pStyle w:val="ListParagraph"/>
        <w:numPr>
          <w:ilvl w:val="0"/>
          <w:numId w:val="25"/>
        </w:numPr>
        <w:bidi/>
        <w:spacing w:after="0" w:line="276" w:lineRule="auto"/>
        <w:jc w:val="both"/>
        <w:rPr>
          <w:rFonts w:ascii="David" w:hAnsi="David" w:cs="David"/>
          <w:sz w:val="18"/>
          <w:szCs w:val="18"/>
        </w:rPr>
      </w:pPr>
      <w:r w:rsidRPr="00DC184D">
        <w:rPr>
          <w:rFonts w:ascii="David" w:hAnsi="David" w:cs="David"/>
          <w:sz w:val="18"/>
          <w:szCs w:val="18"/>
          <w:rtl/>
        </w:rPr>
        <w:lastRenderedPageBreak/>
        <w:t xml:space="preserve">ייתכן שתיקון החוק הפלילי שמטיל חובת דיווח במקרים של עבירות מין במשפחה מרמז שלא יינתן פטור כזה. </w:t>
      </w:r>
    </w:p>
    <w:p w14:paraId="1E50BA7D" w14:textId="1C839EF2" w:rsidR="003C36AD" w:rsidRPr="00DC184D" w:rsidRDefault="00107DCF" w:rsidP="00DF69B2">
      <w:pPr>
        <w:pStyle w:val="ListParagraph"/>
        <w:numPr>
          <w:ilvl w:val="0"/>
          <w:numId w:val="25"/>
        </w:numPr>
        <w:bidi/>
        <w:spacing w:after="0" w:line="276" w:lineRule="auto"/>
        <w:jc w:val="both"/>
        <w:rPr>
          <w:rStyle w:val="IntenseEmphasis"/>
          <w:rFonts w:ascii="David" w:hAnsi="David" w:cs="David"/>
          <w:i w:val="0"/>
          <w:iCs w:val="0"/>
          <w:color w:val="auto"/>
          <w:sz w:val="18"/>
          <w:szCs w:val="18"/>
          <w:rtl/>
        </w:rPr>
      </w:pPr>
      <w:r w:rsidRPr="00DC184D">
        <w:rPr>
          <w:rFonts w:ascii="David" w:hAnsi="David" w:cs="David"/>
          <w:sz w:val="18"/>
          <w:szCs w:val="18"/>
          <w:rtl/>
        </w:rPr>
        <w:t xml:space="preserve">במקרה זה, עצם הפסקת הטיפול יכולה להוות שיקול מדינית (מעין אשם תורם) לדחיית התביעה. </w:t>
      </w:r>
    </w:p>
    <w:p w14:paraId="3DEE91B1" w14:textId="75BE3DAB" w:rsidR="00821331" w:rsidRPr="00CA047E" w:rsidRDefault="00821331" w:rsidP="00107DCF">
      <w:pPr>
        <w:jc w:val="center"/>
        <w:rPr>
          <w:rFonts w:ascii="David" w:hAnsi="David" w:cs="David"/>
          <w:b/>
          <w:bCs/>
          <w:sz w:val="40"/>
          <w:szCs w:val="40"/>
          <w:rtl/>
        </w:rPr>
      </w:pPr>
      <w:r w:rsidRPr="00CA047E">
        <w:rPr>
          <w:rFonts w:ascii="David" w:hAnsi="David" w:cs="David"/>
          <w:b/>
          <w:bCs/>
          <w:sz w:val="40"/>
          <w:szCs w:val="40"/>
          <w:rtl/>
        </w:rPr>
        <w:t>נזיקין וחוקתי</w:t>
      </w:r>
    </w:p>
    <w:p w14:paraId="026D80B0" w14:textId="3AEDB8B4" w:rsidR="00821331" w:rsidRPr="005D3E1D" w:rsidRDefault="00944443" w:rsidP="00CC7DF2">
      <w:pPr>
        <w:pStyle w:val="IntenseQuote"/>
        <w:jc w:val="both"/>
      </w:pPr>
      <w:r w:rsidRPr="005D3E1D">
        <w:rPr>
          <w:rFonts w:hint="cs"/>
          <w:rtl/>
        </w:rPr>
        <w:t xml:space="preserve">השימוש </w:t>
      </w:r>
      <w:r w:rsidRPr="005D3E1D">
        <w:rPr>
          <w:rStyle w:val="IntenseQuoteChar"/>
          <w:rFonts w:hint="cs"/>
          <w:b/>
          <w:bCs/>
          <w:rtl/>
        </w:rPr>
        <w:t>במונח "נאצי" כעילת תביעה בלשון הרע</w:t>
      </w:r>
    </w:p>
    <w:p w14:paraId="61192D5F" w14:textId="4CD3AE3A" w:rsidR="00D93D72" w:rsidRDefault="005D3E1D" w:rsidP="00CC7DF2">
      <w:pPr>
        <w:bidi/>
        <w:spacing w:line="276" w:lineRule="auto"/>
        <w:jc w:val="both"/>
        <w:rPr>
          <w:rFonts w:ascii="David" w:hAnsi="David" w:cs="David"/>
          <w:rtl/>
        </w:rPr>
      </w:pPr>
      <w:r w:rsidRPr="005D3E1D">
        <w:rPr>
          <w:rFonts w:hint="cs"/>
          <w:b/>
          <w:bCs/>
          <w:noProof/>
          <w:rtl/>
          <w:lang w:val="he-IL"/>
        </w:rPr>
        <mc:AlternateContent>
          <mc:Choice Requires="wps">
            <w:drawing>
              <wp:anchor distT="0" distB="0" distL="114300" distR="114300" simplePos="0" relativeHeight="251707392" behindDoc="1" locked="0" layoutInCell="1" allowOverlap="1" wp14:anchorId="6EF48F27" wp14:editId="6FCFC2EE">
                <wp:simplePos x="0" y="0"/>
                <wp:positionH relativeFrom="page">
                  <wp:align>center</wp:align>
                </wp:positionH>
                <wp:positionV relativeFrom="paragraph">
                  <wp:posOffset>109220</wp:posOffset>
                </wp:positionV>
                <wp:extent cx="6132977" cy="682283"/>
                <wp:effectExtent l="0" t="0" r="20320" b="22860"/>
                <wp:wrapNone/>
                <wp:docPr id="39" name="Rectangle: Rounded Corners 39"/>
                <wp:cNvGraphicFramePr/>
                <a:graphic xmlns:a="http://schemas.openxmlformats.org/drawingml/2006/main">
                  <a:graphicData uri="http://schemas.microsoft.com/office/word/2010/wordprocessingShape">
                    <wps:wsp>
                      <wps:cNvSpPr/>
                      <wps:spPr>
                        <a:xfrm>
                          <a:off x="0" y="0"/>
                          <a:ext cx="6132977" cy="682283"/>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A2915" id="Rectangle: Rounded Corners 39" o:spid="_x0000_s1026" style="position:absolute;margin-left:0;margin-top:8.6pt;width:482.9pt;height:53.7pt;z-index:-251609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" fillcolor="white [3201]" strokecolor="#0f6fc6 [3204]" strokeweight="1pt">
                <v:stroke joinstyle="miter"/>
                <w10:wrap anchorx="page"/>
              </v:roundrect>
            </w:pict>
          </mc:Fallback>
        </mc:AlternateContent>
      </w:r>
      <w:r>
        <w:rPr>
          <w:rFonts w:ascii="David" w:hAnsi="David" w:cs="David"/>
          <w:b/>
          <w:bCs/>
          <w:rtl/>
        </w:rPr>
        <w:br/>
      </w:r>
      <w:r w:rsidR="00821331" w:rsidRPr="00821331">
        <w:rPr>
          <w:rFonts w:ascii="David" w:hAnsi="David" w:cs="David" w:hint="cs"/>
          <w:b/>
          <w:bCs/>
          <w:rtl/>
        </w:rPr>
        <w:t>הגדרה</w:t>
      </w:r>
      <w:r w:rsidR="00821331">
        <w:rPr>
          <w:rFonts w:ascii="David" w:hAnsi="David" w:cs="David" w:hint="cs"/>
          <w:rtl/>
        </w:rPr>
        <w:t>: לשון הרע הוא פרסום שעלול: להשפיל ולבזות, בין בכתב בין בע"פ, בתקשורות השונות (ב</w:t>
      </w:r>
      <w:r w:rsidR="00821331">
        <w:rPr>
          <w:rFonts w:ascii="David" w:hAnsi="David" w:cs="David"/>
        </w:rPr>
        <w:t>Share</w:t>
      </w:r>
      <w:r w:rsidR="00821331">
        <w:rPr>
          <w:rFonts w:ascii="David" w:hAnsi="David" w:cs="David" w:hint="cs"/>
          <w:rtl/>
        </w:rPr>
        <w:t xml:space="preserve"> אך לא ב</w:t>
      </w:r>
      <w:r w:rsidR="00821331">
        <w:rPr>
          <w:rFonts w:ascii="David" w:hAnsi="David" w:cs="David"/>
        </w:rPr>
        <w:t>Like</w:t>
      </w:r>
      <w:r w:rsidR="00821331">
        <w:rPr>
          <w:rFonts w:ascii="David" w:hAnsi="David" w:cs="David" w:hint="cs"/>
          <w:rtl/>
        </w:rPr>
        <w:t>).</w:t>
      </w:r>
      <w:r w:rsidR="000C4DF8">
        <w:rPr>
          <w:rFonts w:ascii="David" w:hAnsi="David" w:cs="David" w:hint="cs"/>
          <w:rtl/>
        </w:rPr>
        <w:t xml:space="preserve"> הזכויות שמתנגשות ב</w:t>
      </w:r>
      <w:r w:rsidR="007D6838">
        <w:rPr>
          <w:rFonts w:ascii="David" w:hAnsi="David" w:cs="David" w:hint="cs"/>
          <w:rtl/>
        </w:rPr>
        <w:t xml:space="preserve">לשון הרע הן </w:t>
      </w:r>
      <w:r w:rsidR="007D6838" w:rsidRPr="007D6838">
        <w:rPr>
          <w:rFonts w:ascii="David" w:hAnsi="David" w:cs="David" w:hint="cs"/>
          <w:u w:val="single"/>
          <w:rtl/>
        </w:rPr>
        <w:t>הזכות לכבוד ולשם טוב</w:t>
      </w:r>
      <w:r w:rsidR="007D6838">
        <w:rPr>
          <w:rFonts w:ascii="David" w:hAnsi="David" w:cs="David" w:hint="cs"/>
          <w:rtl/>
        </w:rPr>
        <w:t xml:space="preserve"> </w:t>
      </w:r>
      <w:r w:rsidR="007D6838" w:rsidRPr="007D6838">
        <w:rPr>
          <w:rFonts w:ascii="David" w:hAnsi="David" w:cs="David" w:hint="cs"/>
          <w:b/>
          <w:bCs/>
          <w:rtl/>
        </w:rPr>
        <w:t xml:space="preserve">מול </w:t>
      </w:r>
      <w:r w:rsidR="007D6838" w:rsidRPr="007D6838">
        <w:rPr>
          <w:rFonts w:ascii="David" w:hAnsi="David" w:cs="David" w:hint="cs"/>
          <w:u w:val="single"/>
          <w:rtl/>
        </w:rPr>
        <w:t>חופש הביטוי</w:t>
      </w:r>
      <w:r w:rsidR="007D6838">
        <w:rPr>
          <w:rFonts w:ascii="David" w:hAnsi="David" w:cs="David" w:hint="cs"/>
          <w:rtl/>
        </w:rPr>
        <w:t xml:space="preserve">. </w:t>
      </w:r>
    </w:p>
    <w:p w14:paraId="11DEA30D" w14:textId="2895E1DB" w:rsidR="00821331" w:rsidRDefault="00821331" w:rsidP="00CC7DF2">
      <w:pPr>
        <w:bidi/>
        <w:spacing w:line="276" w:lineRule="auto"/>
        <w:jc w:val="both"/>
        <w:rPr>
          <w:rFonts w:ascii="David" w:hAnsi="David" w:cs="David"/>
          <w:rtl/>
        </w:rPr>
      </w:pPr>
      <w:r w:rsidRPr="00821331">
        <w:rPr>
          <w:rFonts w:ascii="David" w:hAnsi="David" w:cs="David" w:hint="cs"/>
          <w:b/>
          <w:bCs/>
          <w:rtl/>
        </w:rPr>
        <w:t>הגנות</w:t>
      </w:r>
      <w:r>
        <w:rPr>
          <w:rFonts w:ascii="David" w:hAnsi="David" w:cs="David" w:hint="cs"/>
          <w:rtl/>
        </w:rPr>
        <w:t xml:space="preserve"> בלשון הרע: </w:t>
      </w:r>
      <w:r w:rsidR="00D93D72">
        <w:rPr>
          <w:rFonts w:ascii="David" w:hAnsi="David" w:cs="David" w:hint="cs"/>
          <w:rtl/>
        </w:rPr>
        <w:t xml:space="preserve">פרסומים מותרים/ אמת הפרסום/ תו"ל. </w:t>
      </w:r>
    </w:p>
    <w:p w14:paraId="1FADB6A7" w14:textId="190667CD" w:rsidR="00C27CC2" w:rsidRDefault="009849B6" w:rsidP="00CC7DF2">
      <w:pPr>
        <w:bidi/>
        <w:spacing w:line="276" w:lineRule="auto"/>
        <w:jc w:val="both"/>
        <w:rPr>
          <w:rFonts w:ascii="David" w:hAnsi="David" w:cs="David"/>
          <w:rtl/>
        </w:rPr>
      </w:pPr>
      <w:r>
        <w:rPr>
          <w:rFonts w:ascii="David" w:hAnsi="David" w:cs="David" w:hint="cs"/>
          <w:b/>
          <w:bCs/>
          <w:noProof/>
          <w:rtl/>
          <w:lang w:val="he-IL"/>
        </w:rPr>
        <mc:AlternateContent>
          <mc:Choice Requires="wps">
            <w:drawing>
              <wp:anchor distT="0" distB="0" distL="114300" distR="114300" simplePos="0" relativeHeight="251708416" behindDoc="0" locked="0" layoutInCell="1" allowOverlap="1" wp14:anchorId="0297B6D8" wp14:editId="1CE39D0B">
                <wp:simplePos x="0" y="0"/>
                <wp:positionH relativeFrom="column">
                  <wp:posOffset>2842260</wp:posOffset>
                </wp:positionH>
                <wp:positionV relativeFrom="paragraph">
                  <wp:posOffset>33020</wp:posOffset>
                </wp:positionV>
                <wp:extent cx="485336" cy="386861"/>
                <wp:effectExtent l="19050" t="0" r="10160" b="32385"/>
                <wp:wrapNone/>
                <wp:docPr id="41" name="Arrow: Down 41"/>
                <wp:cNvGraphicFramePr/>
                <a:graphic xmlns:a="http://schemas.openxmlformats.org/drawingml/2006/main">
                  <a:graphicData uri="http://schemas.microsoft.com/office/word/2010/wordprocessingShape">
                    <wps:wsp>
                      <wps:cNvSpPr/>
                      <wps:spPr>
                        <a:xfrm>
                          <a:off x="0" y="0"/>
                          <a:ext cx="485336" cy="386861"/>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090D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26" type="#_x0000_t67" style="position:absolute;margin-left:223.8pt;margin-top:2.6pt;width:38.2pt;height:30.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" adj="10800" fillcolor="white [3201]" strokecolor="#009dd9 [3205]" strokeweight="1pt"/>
            </w:pict>
          </mc:Fallback>
        </mc:AlternateContent>
      </w:r>
    </w:p>
    <w:p w14:paraId="27465DC4" w14:textId="77777777" w:rsidR="00D05007" w:rsidRDefault="00D05007" w:rsidP="00CC7DF2">
      <w:pPr>
        <w:bidi/>
        <w:spacing w:after="0" w:line="276" w:lineRule="auto"/>
        <w:jc w:val="both"/>
        <w:rPr>
          <w:rFonts w:ascii="David" w:hAnsi="David" w:cs="David"/>
          <w:rtl/>
        </w:rPr>
      </w:pPr>
    </w:p>
    <w:p w14:paraId="0943655D" w14:textId="3A241B09" w:rsidR="00D05007" w:rsidRPr="00676233" w:rsidRDefault="00821331" w:rsidP="00CC7DF2">
      <w:pPr>
        <w:bidi/>
        <w:spacing w:after="0"/>
        <w:jc w:val="both"/>
        <w:rPr>
          <w:rFonts w:ascii="David" w:hAnsi="David" w:cs="David"/>
          <w:b/>
          <w:bCs/>
          <w:rtl/>
        </w:rPr>
      </w:pPr>
      <w:r w:rsidRPr="00676233">
        <w:rPr>
          <w:rFonts w:ascii="David" w:hAnsi="David" w:cs="David" w:hint="cs"/>
          <w:b/>
          <w:bCs/>
          <w:u w:val="single"/>
          <w:rtl/>
        </w:rPr>
        <w:t>התיזה</w:t>
      </w:r>
      <w:r w:rsidRPr="00676233">
        <w:rPr>
          <w:rFonts w:ascii="David" w:hAnsi="David" w:cs="David" w:hint="cs"/>
          <w:u w:val="single"/>
          <w:rtl/>
        </w:rPr>
        <w:t>:</w:t>
      </w:r>
      <w:r>
        <w:rPr>
          <w:rFonts w:ascii="David" w:hAnsi="David" w:cs="David" w:hint="cs"/>
          <w:rtl/>
        </w:rPr>
        <w:t xml:space="preserve"> </w:t>
      </w:r>
      <w:r w:rsidR="00D05007">
        <w:rPr>
          <w:rFonts w:ascii="David" w:hAnsi="David" w:cs="David" w:hint="cs"/>
          <w:rtl/>
        </w:rPr>
        <w:t xml:space="preserve">שמואלי מציע ניתוח מחודש לתביעות לשון הרע בנושא נאצים ושואה. תחת התמקדות ספציפית בצדדים של זכות לשם וטוב וכבוד מול חופש הביטוי, הוא מציע </w:t>
      </w:r>
      <w:r w:rsidR="00837BBA">
        <w:rPr>
          <w:rFonts w:ascii="David" w:hAnsi="David" w:cs="David" w:hint="cs"/>
          <w:rtl/>
        </w:rPr>
        <w:t xml:space="preserve">הסתכלות רחבה יותר, על </w:t>
      </w:r>
      <w:r w:rsidR="00D05007" w:rsidRPr="00676233">
        <w:rPr>
          <w:rFonts w:ascii="David" w:hAnsi="David" w:cs="David" w:hint="cs"/>
          <w:u w:val="single"/>
          <w:rtl/>
        </w:rPr>
        <w:t>אינטרסים חברתיים רחבים</w:t>
      </w:r>
      <w:r w:rsidR="00676233" w:rsidRPr="00676233">
        <w:rPr>
          <w:rFonts w:ascii="David" w:hAnsi="David" w:cs="David" w:hint="cs"/>
          <w:u w:val="single"/>
          <w:rtl/>
        </w:rPr>
        <w:t>, מעבר לצדדים הספציפיים</w:t>
      </w:r>
      <w:r w:rsidR="00D05007">
        <w:rPr>
          <w:rFonts w:ascii="David" w:hAnsi="David" w:cs="David" w:hint="cs"/>
          <w:rtl/>
        </w:rPr>
        <w:t xml:space="preserve">: </w:t>
      </w:r>
      <w:r w:rsidR="00D05007" w:rsidRPr="00676233">
        <w:rPr>
          <w:rFonts w:ascii="David" w:hAnsi="David" w:cs="David" w:hint="cs"/>
          <w:b/>
          <w:bCs/>
          <w:rtl/>
        </w:rPr>
        <w:t xml:space="preserve">רגישות למונח נאצי מול מלחמה בתופעות דחויות. </w:t>
      </w:r>
      <w:r w:rsidR="00D05007" w:rsidRPr="00EA3124">
        <w:rPr>
          <w:rFonts w:ascii="David" w:hAnsi="David" w:cs="David" w:hint="cs"/>
          <w:rtl/>
        </w:rPr>
        <w:t xml:space="preserve">ניתן לראות דרך שיקולי </w:t>
      </w:r>
      <w:r w:rsidR="00EA3124" w:rsidRPr="00EA3124">
        <w:rPr>
          <w:rFonts w:ascii="David" w:hAnsi="David" w:cs="David" w:hint="cs"/>
          <w:rtl/>
        </w:rPr>
        <w:t>השונים שעולים בפסיקה</w:t>
      </w:r>
      <w:r w:rsidR="00EA3124">
        <w:rPr>
          <w:rFonts w:ascii="David" w:hAnsi="David" w:cs="David" w:hint="cs"/>
          <w:rtl/>
        </w:rPr>
        <w:t>:</w:t>
      </w:r>
    </w:p>
    <w:p w14:paraId="79944712" w14:textId="77777777" w:rsidR="00D05007" w:rsidRDefault="00D05007" w:rsidP="00DF69B2">
      <w:pPr>
        <w:pStyle w:val="ListParagraph"/>
        <w:numPr>
          <w:ilvl w:val="0"/>
          <w:numId w:val="26"/>
        </w:numPr>
        <w:bidi/>
        <w:spacing w:after="0"/>
        <w:jc w:val="both"/>
        <w:rPr>
          <w:rFonts w:ascii="David" w:hAnsi="David" w:cs="David"/>
        </w:rPr>
      </w:pPr>
      <w:r>
        <w:rPr>
          <w:rFonts w:ascii="David" w:hAnsi="David" w:cs="David" w:hint="cs"/>
          <w:rtl/>
        </w:rPr>
        <w:t>משמעות פרסום בעיניים אובייקטיביות</w:t>
      </w:r>
    </w:p>
    <w:p w14:paraId="487776C6" w14:textId="77777777" w:rsidR="00D05007" w:rsidRDefault="00D05007" w:rsidP="00DF69B2">
      <w:pPr>
        <w:pStyle w:val="ListParagraph"/>
        <w:numPr>
          <w:ilvl w:val="0"/>
          <w:numId w:val="26"/>
        </w:numPr>
        <w:bidi/>
        <w:spacing w:after="0"/>
        <w:jc w:val="both"/>
        <w:rPr>
          <w:rFonts w:ascii="David" w:hAnsi="David" w:cs="David"/>
        </w:rPr>
      </w:pPr>
      <w:r>
        <w:rPr>
          <w:rFonts w:ascii="David" w:hAnsi="David" w:cs="David" w:hint="cs"/>
          <w:rtl/>
        </w:rPr>
        <w:t>נוקט ראשון</w:t>
      </w:r>
    </w:p>
    <w:p w14:paraId="2A145FE0" w14:textId="77777777" w:rsidR="00D05007" w:rsidRDefault="00D05007" w:rsidP="00DF69B2">
      <w:pPr>
        <w:pStyle w:val="ListParagraph"/>
        <w:numPr>
          <w:ilvl w:val="0"/>
          <w:numId w:val="26"/>
        </w:numPr>
        <w:bidi/>
        <w:spacing w:after="0"/>
        <w:jc w:val="both"/>
        <w:rPr>
          <w:rFonts w:ascii="David" w:hAnsi="David" w:cs="David"/>
        </w:rPr>
      </w:pPr>
      <w:r>
        <w:rPr>
          <w:rFonts w:ascii="David" w:hAnsi="David" w:cs="David" w:hint="cs"/>
          <w:rtl/>
        </w:rPr>
        <w:t>קרבה לניצול שואה</w:t>
      </w:r>
    </w:p>
    <w:p w14:paraId="6AAED4F6" w14:textId="77777777" w:rsidR="00D05007" w:rsidRDefault="00D05007" w:rsidP="00DF69B2">
      <w:pPr>
        <w:pStyle w:val="ListParagraph"/>
        <w:numPr>
          <w:ilvl w:val="0"/>
          <w:numId w:val="26"/>
        </w:numPr>
        <w:bidi/>
        <w:spacing w:after="0"/>
        <w:jc w:val="both"/>
        <w:rPr>
          <w:rFonts w:ascii="David" w:hAnsi="David" w:cs="David"/>
        </w:rPr>
      </w:pPr>
      <w:r>
        <w:rPr>
          <w:rFonts w:ascii="David" w:hAnsi="David" w:cs="David" w:hint="cs"/>
          <w:rtl/>
        </w:rPr>
        <w:t>עובדי ציבור</w:t>
      </w:r>
    </w:p>
    <w:p w14:paraId="786657CE" w14:textId="502CD13C" w:rsidR="00D05007" w:rsidRDefault="00D05007" w:rsidP="00CC7DF2">
      <w:pPr>
        <w:bidi/>
        <w:spacing w:line="276" w:lineRule="auto"/>
        <w:jc w:val="both"/>
        <w:rPr>
          <w:rFonts w:ascii="David" w:hAnsi="David" w:cs="David"/>
          <w:rtl/>
        </w:rPr>
      </w:pPr>
    </w:p>
    <w:p w14:paraId="60100F64" w14:textId="5245BCE4" w:rsidR="00821331" w:rsidRDefault="006B40A0" w:rsidP="00DF69B2">
      <w:pPr>
        <w:pStyle w:val="ListParagraph"/>
        <w:numPr>
          <w:ilvl w:val="0"/>
          <w:numId w:val="27"/>
        </w:numPr>
        <w:bidi/>
        <w:spacing w:line="276" w:lineRule="auto"/>
        <w:jc w:val="both"/>
        <w:rPr>
          <w:rFonts w:ascii="David" w:hAnsi="David" w:cs="David"/>
        </w:rPr>
      </w:pPr>
      <w:r w:rsidRPr="006E5F86">
        <w:rPr>
          <w:rFonts w:ascii="David" w:hAnsi="David" w:cs="David" w:hint="cs"/>
          <w:b/>
          <w:bCs/>
          <w:rtl/>
        </w:rPr>
        <w:t>משמעות הפרסום בעיניים אובייקטיביות</w:t>
      </w:r>
      <w:r w:rsidR="009159C2">
        <w:rPr>
          <w:rFonts w:ascii="David" w:hAnsi="David" w:cs="David" w:hint="cs"/>
          <w:b/>
          <w:bCs/>
          <w:rtl/>
        </w:rPr>
        <w:t xml:space="preserve"> </w:t>
      </w:r>
      <w:r w:rsidRPr="009159C2">
        <w:rPr>
          <w:rStyle w:val="QuoteChar"/>
          <w:rFonts w:hint="cs"/>
          <w:color w:val="000000" w:themeColor="text1"/>
          <w:rtl/>
        </w:rPr>
        <w:t>-</w:t>
      </w:r>
      <w:r>
        <w:rPr>
          <w:rStyle w:val="QuoteChar"/>
          <w:rFonts w:hint="cs"/>
          <w:rtl/>
        </w:rPr>
        <w:t xml:space="preserve"> </w:t>
      </w:r>
      <w:r w:rsidR="00821331" w:rsidRPr="00DF373D">
        <w:rPr>
          <w:rStyle w:val="QuoteChar"/>
          <w:rFonts w:hint="cs"/>
          <w:rtl/>
        </w:rPr>
        <w:t xml:space="preserve">תומרקין נ' העצני </w:t>
      </w:r>
      <w:r w:rsidR="00821331" w:rsidRPr="006E5F86">
        <w:rPr>
          <w:rFonts w:ascii="David" w:hAnsi="David" w:cs="David" w:hint="cs"/>
          <w:rtl/>
        </w:rPr>
        <w:t xml:space="preserve">(1989) </w:t>
      </w:r>
      <w:r w:rsidR="00821331" w:rsidRPr="006E5F86">
        <w:rPr>
          <w:rFonts w:ascii="David" w:hAnsi="David" w:cs="David"/>
          <w:rtl/>
        </w:rPr>
        <w:t>–</w:t>
      </w:r>
      <w:r>
        <w:rPr>
          <w:rFonts w:ascii="David" w:hAnsi="David" w:cs="David" w:hint="cs"/>
          <w:rtl/>
        </w:rPr>
        <w:t xml:space="preserve"> </w:t>
      </w:r>
      <w:r w:rsidR="00821331" w:rsidRPr="006E5F86">
        <w:rPr>
          <w:rFonts w:ascii="David" w:hAnsi="David" w:cs="David" w:hint="cs"/>
          <w:rtl/>
        </w:rPr>
        <w:t xml:space="preserve">נקבע כי אין מדובר בלשון הרע כי הקורא הסביר </w:t>
      </w:r>
      <w:r w:rsidR="00DF373D" w:rsidRPr="006E5F86">
        <w:rPr>
          <w:rFonts w:ascii="David" w:hAnsi="David" w:cs="David" w:hint="cs"/>
          <w:rtl/>
        </w:rPr>
        <w:t>יכול היה</w:t>
      </w:r>
      <w:r w:rsidR="00821331" w:rsidRPr="006E5F86">
        <w:rPr>
          <w:rFonts w:ascii="David" w:hAnsi="David" w:cs="David" w:hint="cs"/>
          <w:rtl/>
        </w:rPr>
        <w:t xml:space="preserve"> להבין </w:t>
      </w:r>
      <w:r w:rsidR="00404FB4" w:rsidRPr="006E5F86">
        <w:rPr>
          <w:rFonts w:ascii="David" w:hAnsi="David" w:cs="David" w:hint="cs"/>
          <w:rtl/>
        </w:rPr>
        <w:t>שהתובע נמנה עם מנהיגי הכלואים ולא הכולאים.</w:t>
      </w:r>
    </w:p>
    <w:p w14:paraId="4DE1077C" w14:textId="77777777" w:rsidR="009159C2" w:rsidRPr="006E5F86" w:rsidRDefault="009159C2" w:rsidP="00CC7DF2">
      <w:pPr>
        <w:pStyle w:val="ListParagraph"/>
        <w:bidi/>
        <w:spacing w:line="276" w:lineRule="auto"/>
        <w:jc w:val="both"/>
        <w:rPr>
          <w:rFonts w:ascii="David" w:hAnsi="David" w:cs="David"/>
          <w:rtl/>
        </w:rPr>
      </w:pPr>
    </w:p>
    <w:p w14:paraId="111E4797" w14:textId="5C1D382C" w:rsidR="004F7E93" w:rsidRPr="004F7E93" w:rsidRDefault="002252E5" w:rsidP="00DF69B2">
      <w:pPr>
        <w:pStyle w:val="ListParagraph"/>
        <w:numPr>
          <w:ilvl w:val="0"/>
          <w:numId w:val="27"/>
        </w:numPr>
        <w:bidi/>
        <w:spacing w:after="0" w:line="276" w:lineRule="auto"/>
        <w:jc w:val="both"/>
        <w:rPr>
          <w:rFonts w:ascii="David" w:hAnsi="David" w:cs="David"/>
          <w:rtl/>
        </w:rPr>
      </w:pPr>
      <w:r w:rsidRPr="009159C2">
        <w:rPr>
          <w:rStyle w:val="QuoteChar"/>
          <w:rFonts w:hint="cs"/>
          <w:color w:val="000000" w:themeColor="text1"/>
          <w:rtl/>
        </w:rPr>
        <w:t xml:space="preserve">נוקט ראשון </w:t>
      </w:r>
      <w:r w:rsidR="009159C2" w:rsidRPr="009159C2">
        <w:rPr>
          <w:rStyle w:val="QuoteChar"/>
          <w:rFonts w:hint="cs"/>
          <w:color w:val="000000" w:themeColor="text1"/>
          <w:rtl/>
        </w:rPr>
        <w:t>-</w:t>
      </w:r>
      <w:r w:rsidR="009159C2">
        <w:rPr>
          <w:rStyle w:val="QuoteChar"/>
          <w:rFonts w:hint="cs"/>
          <w:rtl/>
        </w:rPr>
        <w:t xml:space="preserve"> </w:t>
      </w:r>
      <w:r w:rsidR="00404FB4" w:rsidRPr="00DF373D">
        <w:rPr>
          <w:rStyle w:val="QuoteChar"/>
          <w:rFonts w:hint="cs"/>
          <w:rtl/>
        </w:rPr>
        <w:t>בן גביר נ' דנקנר</w:t>
      </w:r>
      <w:r w:rsidR="00404FB4" w:rsidRPr="002252E5">
        <w:rPr>
          <w:rFonts w:ascii="David" w:hAnsi="David" w:cs="David" w:hint="cs"/>
          <w:rtl/>
        </w:rPr>
        <w:t xml:space="preserve"> (2006) </w:t>
      </w:r>
      <w:r w:rsidR="00404FB4" w:rsidRPr="002252E5">
        <w:rPr>
          <w:rFonts w:ascii="David" w:hAnsi="David" w:cs="David"/>
          <w:rtl/>
        </w:rPr>
        <w:t>–</w:t>
      </w:r>
      <w:r w:rsidR="00404FB4" w:rsidRPr="002252E5">
        <w:rPr>
          <w:rFonts w:ascii="David" w:hAnsi="David" w:cs="David" w:hint="cs"/>
          <w:rtl/>
        </w:rPr>
        <w:t xml:space="preserve"> "נאצי" = לשון הרע, ואינה חוסה תחת ההגנות הקבועות בחוק (בניגוד למחוזי). אולם, נפסק פיצוי זעום בסך ש"ח אחד בלבד, כיוון שבן גביר </w:t>
      </w:r>
      <w:r w:rsidR="00404FB4" w:rsidRPr="002252E5">
        <w:rPr>
          <w:rFonts w:ascii="David" w:hAnsi="David" w:cs="David" w:hint="cs"/>
          <w:b/>
          <w:bCs/>
          <w:rtl/>
        </w:rPr>
        <w:t>נוקט ראשון</w:t>
      </w:r>
      <w:r w:rsidR="00916F43" w:rsidRPr="002252E5">
        <w:rPr>
          <w:rFonts w:ascii="David" w:hAnsi="David" w:cs="David" w:hint="cs"/>
          <w:rtl/>
        </w:rPr>
        <w:t xml:space="preserve">. </w:t>
      </w:r>
      <w:r w:rsidR="00916F43" w:rsidRPr="005F3749">
        <w:rPr>
          <w:rStyle w:val="Strong"/>
          <w:rFonts w:hint="cs"/>
          <w:rtl/>
        </w:rPr>
        <w:t>ארבל</w:t>
      </w:r>
      <w:r w:rsidR="00916F43" w:rsidRPr="002252E5">
        <w:rPr>
          <w:rFonts w:ascii="David" w:hAnsi="David" w:cs="David" w:hint="cs"/>
          <w:rtl/>
        </w:rPr>
        <w:t xml:space="preserve"> </w:t>
      </w:r>
      <w:r w:rsidR="00F05E85" w:rsidRPr="002252E5">
        <w:rPr>
          <w:rFonts w:ascii="David" w:hAnsi="David" w:cs="David"/>
          <w:rtl/>
        </w:rPr>
        <w:t>–</w:t>
      </w:r>
      <w:r w:rsidR="00916F43" w:rsidRPr="002252E5">
        <w:rPr>
          <w:rFonts w:ascii="David" w:hAnsi="David" w:cs="David" w:hint="cs"/>
          <w:rtl/>
        </w:rPr>
        <w:t xml:space="preserve"> </w:t>
      </w:r>
      <w:r w:rsidR="00F05E85" w:rsidRPr="002252E5">
        <w:rPr>
          <w:rFonts w:ascii="David" w:hAnsi="David" w:cs="David" w:hint="cs"/>
          <w:rtl/>
        </w:rPr>
        <w:t xml:space="preserve">יש לפסוק 15,000 ₪, </w:t>
      </w:r>
      <w:r w:rsidR="00F05E85" w:rsidRPr="005F3749">
        <w:rPr>
          <w:rStyle w:val="Strong"/>
          <w:rFonts w:hint="cs"/>
          <w:rtl/>
        </w:rPr>
        <w:t>ריבלין</w:t>
      </w:r>
      <w:r w:rsidR="00F05E85" w:rsidRPr="002252E5">
        <w:rPr>
          <w:rFonts w:ascii="David" w:hAnsi="David" w:cs="David" w:hint="cs"/>
          <w:rtl/>
        </w:rPr>
        <w:t xml:space="preserve"> במיעוט </w:t>
      </w:r>
      <w:r w:rsidR="00F05E85" w:rsidRPr="002252E5">
        <w:rPr>
          <w:rFonts w:ascii="David" w:hAnsi="David" w:cs="David"/>
          <w:rtl/>
        </w:rPr>
        <w:t>–</w:t>
      </w:r>
      <w:r w:rsidR="00F05E85" w:rsidRPr="002252E5">
        <w:rPr>
          <w:rFonts w:ascii="David" w:hAnsi="David" w:cs="David" w:hint="cs"/>
          <w:rtl/>
        </w:rPr>
        <w:t xml:space="preserve"> דחייה, </w:t>
      </w:r>
      <w:r w:rsidR="00F05E85" w:rsidRPr="005F3749">
        <w:rPr>
          <w:rStyle w:val="Strong"/>
          <w:rFonts w:hint="cs"/>
          <w:rtl/>
        </w:rPr>
        <w:t>ארבל</w:t>
      </w:r>
      <w:r w:rsidR="00F05E85" w:rsidRPr="002252E5">
        <w:rPr>
          <w:rFonts w:ascii="David" w:hAnsi="David" w:cs="David" w:hint="cs"/>
          <w:rtl/>
        </w:rPr>
        <w:t xml:space="preserve"> </w:t>
      </w:r>
      <w:r w:rsidR="00F05E85" w:rsidRPr="002252E5">
        <w:rPr>
          <w:rFonts w:ascii="David" w:hAnsi="David" w:cs="David"/>
          <w:rtl/>
        </w:rPr>
        <w:t>–</w:t>
      </w:r>
      <w:r w:rsidR="00F05E85" w:rsidRPr="002252E5">
        <w:rPr>
          <w:rFonts w:ascii="David" w:hAnsi="David" w:cs="David" w:hint="cs"/>
          <w:rtl/>
        </w:rPr>
        <w:t xml:space="preserve"> פיצוי של 1 ₪ לבוז. </w:t>
      </w:r>
      <w:r w:rsidR="00F05E85" w:rsidRPr="002252E5">
        <w:rPr>
          <w:rFonts w:ascii="David" w:hAnsi="David" w:cs="David" w:hint="cs"/>
          <w:u w:val="single"/>
          <w:rtl/>
        </w:rPr>
        <w:t xml:space="preserve">נפסק </w:t>
      </w:r>
      <w:r w:rsidR="005F3749" w:rsidRPr="002252E5">
        <w:rPr>
          <w:rFonts w:ascii="David" w:hAnsi="David" w:cs="David" w:hint="cs"/>
          <w:u w:val="single"/>
          <w:rtl/>
        </w:rPr>
        <w:t>כדעת השופט ארבל.</w:t>
      </w:r>
      <w:r w:rsidR="005F3749" w:rsidRPr="002252E5">
        <w:rPr>
          <w:rFonts w:ascii="David" w:hAnsi="David" w:cs="David" w:hint="cs"/>
          <w:rtl/>
        </w:rPr>
        <w:t xml:space="preserve"> </w:t>
      </w:r>
    </w:p>
    <w:p w14:paraId="601C9767" w14:textId="620D0AC4" w:rsidR="009159C2" w:rsidRDefault="004F7E93" w:rsidP="00DF69B2">
      <w:pPr>
        <w:pStyle w:val="ListParagraph"/>
        <w:numPr>
          <w:ilvl w:val="0"/>
          <w:numId w:val="25"/>
        </w:numPr>
        <w:bidi/>
        <w:spacing w:after="0" w:line="276" w:lineRule="auto"/>
        <w:jc w:val="both"/>
        <w:rPr>
          <w:rFonts w:ascii="David" w:hAnsi="David" w:cs="David"/>
        </w:rPr>
      </w:pPr>
      <w:r w:rsidRPr="004F7E93">
        <w:rPr>
          <w:rFonts w:ascii="David" w:hAnsi="David" w:cs="David" w:hint="cs"/>
          <w:rtl/>
        </w:rPr>
        <w:t>העקרון שייך גם לפס"דים שלא נוגעים לשואה (</w:t>
      </w:r>
      <w:r w:rsidRPr="00D17CEF">
        <w:rPr>
          <w:rStyle w:val="QuoteChar"/>
          <w:rFonts w:hint="cs"/>
          <w:rtl/>
        </w:rPr>
        <w:t>נתניהו נ' אולמרט</w:t>
      </w:r>
      <w:r w:rsidRPr="004F7E93">
        <w:rPr>
          <w:rFonts w:ascii="David" w:hAnsi="David" w:cs="David" w:hint="cs"/>
          <w:rtl/>
        </w:rPr>
        <w:t>).</w:t>
      </w:r>
    </w:p>
    <w:p w14:paraId="54E3B3D8" w14:textId="77777777" w:rsidR="004F7E93" w:rsidRPr="004F7E93" w:rsidRDefault="004F7E93" w:rsidP="00CC7DF2">
      <w:pPr>
        <w:pStyle w:val="ListParagraph"/>
        <w:bidi/>
        <w:spacing w:after="0" w:line="276" w:lineRule="auto"/>
        <w:ind w:left="1260"/>
        <w:jc w:val="both"/>
        <w:rPr>
          <w:rFonts w:ascii="David" w:hAnsi="David" w:cs="David"/>
          <w:rtl/>
        </w:rPr>
      </w:pPr>
    </w:p>
    <w:p w14:paraId="3ABDA0BA" w14:textId="2D04843D" w:rsidR="009C1FAE" w:rsidRPr="004F7E93" w:rsidRDefault="00BE76AB" w:rsidP="00CC7DF2">
      <w:pPr>
        <w:pStyle w:val="ListParagraph"/>
        <w:bidi/>
        <w:spacing w:after="0" w:line="276" w:lineRule="auto"/>
        <w:jc w:val="both"/>
        <w:rPr>
          <w:rFonts w:ascii="David" w:hAnsi="David" w:cs="David"/>
          <w:u w:val="single"/>
          <w:rtl/>
        </w:rPr>
      </w:pPr>
      <w:r w:rsidRPr="004F7E93">
        <w:rPr>
          <w:noProof/>
          <w:u w:val="single"/>
          <w:rtl/>
          <w:lang w:val="he-IL"/>
        </w:rPr>
        <mc:AlternateContent>
          <mc:Choice Requires="wps">
            <w:drawing>
              <wp:anchor distT="0" distB="0" distL="114300" distR="114300" simplePos="0" relativeHeight="251715584" behindDoc="0" locked="0" layoutInCell="1" allowOverlap="1" wp14:anchorId="2D3FC445" wp14:editId="0E4CEA43">
                <wp:simplePos x="0" y="0"/>
                <wp:positionH relativeFrom="margin">
                  <wp:posOffset>-464234</wp:posOffset>
                </wp:positionH>
                <wp:positionV relativeFrom="paragraph">
                  <wp:posOffset>235048</wp:posOffset>
                </wp:positionV>
                <wp:extent cx="1539094" cy="738554"/>
                <wp:effectExtent l="0" t="0" r="4445" b="4445"/>
                <wp:wrapNone/>
                <wp:docPr id="48" name="Text Box 48"/>
                <wp:cNvGraphicFramePr/>
                <a:graphic xmlns:a="http://schemas.openxmlformats.org/drawingml/2006/main">
                  <a:graphicData uri="http://schemas.microsoft.com/office/word/2010/wordprocessingShape">
                    <wps:wsp>
                      <wps:cNvSpPr txBox="1"/>
                      <wps:spPr>
                        <a:xfrm>
                          <a:off x="0" y="0"/>
                          <a:ext cx="1539094" cy="738554"/>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0F5E496" w14:textId="21719442" w:rsidR="00BE76AB" w:rsidRPr="00185DC8" w:rsidRDefault="004A1381" w:rsidP="00BE76AB">
                            <w:pPr>
                              <w:bidi/>
                              <w:spacing w:after="0" w:line="276" w:lineRule="auto"/>
                              <w:rPr>
                                <w:rFonts w:ascii="David" w:hAnsi="David" w:cs="David"/>
                                <w:sz w:val="20"/>
                                <w:szCs w:val="20"/>
                                <w:rtl/>
                              </w:rPr>
                            </w:pPr>
                            <w:r>
                              <w:rPr>
                                <w:rFonts w:ascii="David" w:hAnsi="David" w:cs="David" w:hint="cs"/>
                                <w:b/>
                                <w:bCs/>
                                <w:sz w:val="20"/>
                                <w:szCs w:val="20"/>
                                <w:rtl/>
                              </w:rPr>
                              <w:t xml:space="preserve">קנטי נ' קופרמן </w:t>
                            </w:r>
                          </w:p>
                          <w:p w14:paraId="444F1022" w14:textId="438A5C7B" w:rsidR="00BE76AB" w:rsidRPr="00185DC8" w:rsidRDefault="004A1381" w:rsidP="004A757C">
                            <w:pPr>
                              <w:spacing w:line="240" w:lineRule="auto"/>
                              <w:jc w:val="right"/>
                              <w:rPr>
                                <w:rFonts w:ascii="David" w:hAnsi="David" w:cs="David"/>
                                <w:sz w:val="20"/>
                                <w:szCs w:val="20"/>
                              </w:rPr>
                            </w:pPr>
                            <w:r>
                              <w:rPr>
                                <w:rFonts w:ascii="David" w:hAnsi="David" w:cs="David" w:hint="cs"/>
                                <w:sz w:val="20"/>
                                <w:szCs w:val="20"/>
                                <w:rtl/>
                              </w:rPr>
                              <w:t xml:space="preserve">מתמודדת האח הגדול תובעת את </w:t>
                            </w:r>
                            <w:r w:rsidR="00734E67">
                              <w:rPr>
                                <w:rFonts w:ascii="David" w:hAnsi="David" w:cs="David" w:hint="cs"/>
                                <w:sz w:val="20"/>
                                <w:szCs w:val="20"/>
                                <w:rtl/>
                              </w:rPr>
                              <w:t xml:space="preserve">ההפקה כי יחסו לה כינוי נאצי לחיילים. נפסקו פיצויים אך הופחתו </w:t>
                            </w:r>
                            <w:r w:rsidR="004A757C">
                              <w:rPr>
                                <w:rFonts w:ascii="David" w:hAnsi="David" w:cs="David" w:hint="cs"/>
                                <w:sz w:val="20"/>
                                <w:szCs w:val="20"/>
                                <w:rtl/>
                              </w:rPr>
                              <w:t>בשל אמירות עבר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C445" id="Text Box 48" o:spid="_x0000_s1045" type="#_x0000_t202" style="position:absolute;left:0;text-align:left;margin-left:-36.55pt;margin-top:18.5pt;width:121.2pt;height:58.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" fillcolor="#009dd9 [3205]" stroked="f">
                <v:fill opacity="32896f"/>
                <v:textbox>
                  <w:txbxContent>
                    <w:p w14:paraId="10F5E496" w14:textId="21719442" w:rsidR="00BE76AB" w:rsidRPr="00185DC8" w:rsidRDefault="004A1381" w:rsidP="00BE76AB">
                      <w:pPr>
                        <w:bidi/>
                        <w:spacing w:after="0" w:line="276" w:lineRule="auto"/>
                        <w:rPr>
                          <w:rFonts w:ascii="David" w:hAnsi="David" w:cs="David"/>
                          <w:sz w:val="20"/>
                          <w:szCs w:val="20"/>
                          <w:rtl/>
                        </w:rPr>
                      </w:pPr>
                      <w:r>
                        <w:rPr>
                          <w:rFonts w:ascii="David" w:hAnsi="David" w:cs="David" w:hint="cs"/>
                          <w:b/>
                          <w:bCs/>
                          <w:sz w:val="20"/>
                          <w:szCs w:val="20"/>
                          <w:rtl/>
                        </w:rPr>
                        <w:t xml:space="preserve">קנטי נ' קופרמן </w:t>
                      </w:r>
                    </w:p>
                    <w:p w14:paraId="444F1022" w14:textId="438A5C7B" w:rsidR="00BE76AB" w:rsidRPr="00185DC8" w:rsidRDefault="004A1381" w:rsidP="004A757C">
                      <w:pPr>
                        <w:spacing w:line="240" w:lineRule="auto"/>
                        <w:jc w:val="right"/>
                        <w:rPr>
                          <w:rFonts w:ascii="David" w:hAnsi="David" w:cs="David"/>
                          <w:sz w:val="20"/>
                          <w:szCs w:val="20"/>
                        </w:rPr>
                      </w:pPr>
                      <w:r>
                        <w:rPr>
                          <w:rFonts w:ascii="David" w:hAnsi="David" w:cs="David" w:hint="cs"/>
                          <w:sz w:val="20"/>
                          <w:szCs w:val="20"/>
                          <w:rtl/>
                        </w:rPr>
                        <w:t xml:space="preserve">מתמודדת האח הגדול תובעת את </w:t>
                      </w:r>
                      <w:r w:rsidR="00734E67">
                        <w:rPr>
                          <w:rFonts w:ascii="David" w:hAnsi="David" w:cs="David" w:hint="cs"/>
                          <w:sz w:val="20"/>
                          <w:szCs w:val="20"/>
                          <w:rtl/>
                        </w:rPr>
                        <w:t xml:space="preserve">ההפקה כי יחסו לה כינוי נאצי לחיילים. נפסקו פיצויים אך הופחתו </w:t>
                      </w:r>
                      <w:r w:rsidR="004A757C">
                        <w:rPr>
                          <w:rFonts w:ascii="David" w:hAnsi="David" w:cs="David" w:hint="cs"/>
                          <w:sz w:val="20"/>
                          <w:szCs w:val="20"/>
                          <w:rtl/>
                        </w:rPr>
                        <w:t>בשל אמירות עבר</w:t>
                      </w:r>
                    </w:p>
                  </w:txbxContent>
                </v:textbox>
                <w10:wrap anchorx="margin"/>
              </v:shape>
            </w:pict>
          </mc:Fallback>
        </mc:AlternateContent>
      </w:r>
      <w:r w:rsidR="00404FB4" w:rsidRPr="004F7E93">
        <w:rPr>
          <w:rFonts w:ascii="David" w:hAnsi="David" w:cs="David" w:hint="cs"/>
          <w:u w:val="single"/>
          <w:rtl/>
        </w:rPr>
        <w:t>פס</w:t>
      </w:r>
      <w:r w:rsidR="00065B47" w:rsidRPr="004F7E93">
        <w:rPr>
          <w:rFonts w:ascii="David" w:hAnsi="David" w:cs="David" w:hint="cs"/>
          <w:u w:val="single"/>
          <w:rtl/>
        </w:rPr>
        <w:t>"</w:t>
      </w:r>
      <w:r w:rsidR="00404FB4" w:rsidRPr="004F7E93">
        <w:rPr>
          <w:rFonts w:ascii="David" w:hAnsi="David" w:cs="David" w:hint="cs"/>
          <w:u w:val="single"/>
          <w:rtl/>
        </w:rPr>
        <w:t>דים נוספים</w:t>
      </w:r>
      <w:r w:rsidR="009C1FAE" w:rsidRPr="004F7E93">
        <w:rPr>
          <w:rFonts w:ascii="David" w:hAnsi="David" w:cs="David" w:hint="cs"/>
          <w:u w:val="single"/>
          <w:rtl/>
        </w:rPr>
        <w:t xml:space="preserve"> בעניין נוקט ראשון</w:t>
      </w:r>
      <w:r w:rsidR="00404FB4" w:rsidRPr="004F7E93">
        <w:rPr>
          <w:rFonts w:ascii="David" w:hAnsi="David" w:cs="David" w:hint="cs"/>
          <w:u w:val="single"/>
          <w:rtl/>
        </w:rPr>
        <w:t>:</w:t>
      </w:r>
    </w:p>
    <w:p w14:paraId="069ADCA7" w14:textId="25FAE239" w:rsidR="004669BE" w:rsidRDefault="00BE76AB" w:rsidP="00CC7DF2">
      <w:pPr>
        <w:bidi/>
        <w:spacing w:after="0"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09440" behindDoc="0" locked="0" layoutInCell="1" allowOverlap="1" wp14:anchorId="27CBFA81" wp14:editId="1EBF78C0">
                <wp:simplePos x="0" y="0"/>
                <wp:positionH relativeFrom="margin">
                  <wp:posOffset>4571365</wp:posOffset>
                </wp:positionH>
                <wp:positionV relativeFrom="paragraph">
                  <wp:posOffset>62084</wp:posOffset>
                </wp:positionV>
                <wp:extent cx="1630680" cy="752622"/>
                <wp:effectExtent l="0" t="0" r="7620" b="9525"/>
                <wp:wrapNone/>
                <wp:docPr id="45" name="Text Box 45"/>
                <wp:cNvGraphicFramePr/>
                <a:graphic xmlns:a="http://schemas.openxmlformats.org/drawingml/2006/main">
                  <a:graphicData uri="http://schemas.microsoft.com/office/word/2010/wordprocessingShape">
                    <wps:wsp>
                      <wps:cNvSpPr txBox="1"/>
                      <wps:spPr>
                        <a:xfrm>
                          <a:off x="0" y="0"/>
                          <a:ext cx="1630680" cy="752622"/>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8949B86" w14:textId="77777777" w:rsidR="004669BE" w:rsidRPr="00185DC8" w:rsidRDefault="004669BE" w:rsidP="00185DC8">
                            <w:pPr>
                              <w:bidi/>
                              <w:spacing w:after="0" w:line="276" w:lineRule="auto"/>
                              <w:rPr>
                                <w:rFonts w:ascii="David" w:hAnsi="David" w:cs="David"/>
                                <w:sz w:val="20"/>
                                <w:szCs w:val="20"/>
                                <w:rtl/>
                              </w:rPr>
                            </w:pPr>
                            <w:r w:rsidRPr="00185DC8">
                              <w:rPr>
                                <w:rFonts w:ascii="David" w:hAnsi="David" w:cs="David"/>
                                <w:b/>
                                <w:bCs/>
                                <w:sz w:val="20"/>
                                <w:szCs w:val="20"/>
                                <w:rtl/>
                              </w:rPr>
                              <w:t>שוקן נ' הרציקוביץ</w:t>
                            </w:r>
                          </w:p>
                          <w:p w14:paraId="6F577A53" w14:textId="56CE6E6A" w:rsidR="00DF65BB" w:rsidRPr="00185DC8" w:rsidRDefault="00DF65BB" w:rsidP="00185DC8">
                            <w:pPr>
                              <w:jc w:val="right"/>
                              <w:rPr>
                                <w:rFonts w:ascii="David" w:hAnsi="David" w:cs="David"/>
                                <w:sz w:val="20"/>
                                <w:szCs w:val="20"/>
                              </w:rPr>
                            </w:pPr>
                            <w:r w:rsidRPr="00185DC8">
                              <w:rPr>
                                <w:rFonts w:ascii="David" w:hAnsi="David" w:cs="David"/>
                                <w:sz w:val="20"/>
                                <w:szCs w:val="20"/>
                                <w:rtl/>
                              </w:rPr>
                              <w:t>העיתונאים שכינה "יוצאים כמו עכברי</w:t>
                            </w:r>
                            <w:r w:rsidR="00185DC8" w:rsidRPr="00185DC8">
                              <w:rPr>
                                <w:rFonts w:ascii="David" w:hAnsi="David" w:cs="David"/>
                                <w:sz w:val="20"/>
                                <w:szCs w:val="20"/>
                                <w:rtl/>
                              </w:rPr>
                              <w:t>" לא יכול להלין על כך ש</w:t>
                            </w:r>
                            <w:r w:rsidR="00185DC8" w:rsidRPr="00185DC8">
                              <w:rPr>
                                <w:rFonts w:ascii="David" w:hAnsi="David" w:cs="David" w:hint="cs"/>
                                <w:sz w:val="20"/>
                                <w:szCs w:val="20"/>
                                <w:rtl/>
                              </w:rPr>
                              <w:t>ימוש באותו המוטיב כלפיו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FA81" id="Text Box 45" o:spid="_x0000_s1046" type="#_x0000_t202" style="position:absolute;left:0;text-align:left;margin-left:359.95pt;margin-top:4.9pt;width:128.4pt;height:5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" fillcolor="#009dd9 [3205]" stroked="f">
                <v:fill opacity="32896f"/>
                <v:textbox>
                  <w:txbxContent>
                    <w:p w14:paraId="78949B86" w14:textId="77777777" w:rsidR="004669BE" w:rsidRPr="00185DC8" w:rsidRDefault="004669BE" w:rsidP="00185DC8">
                      <w:pPr>
                        <w:bidi/>
                        <w:spacing w:after="0" w:line="276" w:lineRule="auto"/>
                        <w:rPr>
                          <w:rFonts w:ascii="David" w:hAnsi="David" w:cs="David"/>
                          <w:sz w:val="20"/>
                          <w:szCs w:val="20"/>
                          <w:rtl/>
                        </w:rPr>
                      </w:pPr>
                      <w:r w:rsidRPr="00185DC8">
                        <w:rPr>
                          <w:rFonts w:ascii="David" w:hAnsi="David" w:cs="David"/>
                          <w:b/>
                          <w:bCs/>
                          <w:sz w:val="20"/>
                          <w:szCs w:val="20"/>
                          <w:rtl/>
                        </w:rPr>
                        <w:t>שוקן נ' הרציקוביץ</w:t>
                      </w:r>
                    </w:p>
                    <w:p w14:paraId="6F577A53" w14:textId="56CE6E6A" w:rsidR="00DF65BB" w:rsidRPr="00185DC8" w:rsidRDefault="00DF65BB" w:rsidP="00185DC8">
                      <w:pPr>
                        <w:jc w:val="right"/>
                        <w:rPr>
                          <w:rFonts w:ascii="David" w:hAnsi="David" w:cs="David"/>
                          <w:sz w:val="20"/>
                          <w:szCs w:val="20"/>
                        </w:rPr>
                      </w:pPr>
                      <w:r w:rsidRPr="00185DC8">
                        <w:rPr>
                          <w:rFonts w:ascii="David" w:hAnsi="David" w:cs="David"/>
                          <w:sz w:val="20"/>
                          <w:szCs w:val="20"/>
                          <w:rtl/>
                        </w:rPr>
                        <w:t>העיתונאים שכינה "יוצאים כמו עכברי</w:t>
                      </w:r>
                      <w:r w:rsidR="00185DC8" w:rsidRPr="00185DC8">
                        <w:rPr>
                          <w:rFonts w:ascii="David" w:hAnsi="David" w:cs="David"/>
                          <w:sz w:val="20"/>
                          <w:szCs w:val="20"/>
                          <w:rtl/>
                        </w:rPr>
                        <w:t>" לא יכול להלין על כך ש</w:t>
                      </w:r>
                      <w:r w:rsidR="00185DC8" w:rsidRPr="00185DC8">
                        <w:rPr>
                          <w:rFonts w:ascii="David" w:hAnsi="David" w:cs="David" w:hint="cs"/>
                          <w:sz w:val="20"/>
                          <w:szCs w:val="20"/>
                          <w:rtl/>
                        </w:rPr>
                        <w:t>ימוש באותו המוטיב כלפיו</w:t>
                      </w:r>
                    </w:p>
                  </w:txbxContent>
                </v:textbox>
                <w10:wrap anchorx="margin"/>
              </v:shape>
            </w:pict>
          </mc:Fallback>
        </mc:AlternateContent>
      </w:r>
      <w:r>
        <w:rPr>
          <w:rFonts w:ascii="David" w:hAnsi="David" w:cs="David"/>
          <w:noProof/>
          <w:rtl/>
          <w:lang w:val="he-IL"/>
        </w:rPr>
        <mc:AlternateContent>
          <mc:Choice Requires="wps">
            <w:drawing>
              <wp:anchor distT="0" distB="0" distL="114300" distR="114300" simplePos="0" relativeHeight="251711488" behindDoc="0" locked="0" layoutInCell="1" allowOverlap="1" wp14:anchorId="31D2218F" wp14:editId="127218E5">
                <wp:simplePos x="0" y="0"/>
                <wp:positionH relativeFrom="page">
                  <wp:posOffset>3742006</wp:posOffset>
                </wp:positionH>
                <wp:positionV relativeFrom="paragraph">
                  <wp:posOffset>62864</wp:posOffset>
                </wp:positionV>
                <wp:extent cx="1630680" cy="752573"/>
                <wp:effectExtent l="0" t="0" r="7620" b="9525"/>
                <wp:wrapNone/>
                <wp:docPr id="46" name="Text Box 46"/>
                <wp:cNvGraphicFramePr/>
                <a:graphic xmlns:a="http://schemas.openxmlformats.org/drawingml/2006/main">
                  <a:graphicData uri="http://schemas.microsoft.com/office/word/2010/wordprocessingShape">
                    <wps:wsp>
                      <wps:cNvSpPr txBox="1"/>
                      <wps:spPr>
                        <a:xfrm>
                          <a:off x="0" y="0"/>
                          <a:ext cx="1630680" cy="752573"/>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08ACF0C" w14:textId="7C5259A5" w:rsidR="00185DC8" w:rsidRPr="00185DC8" w:rsidRDefault="00C628C7" w:rsidP="00185DC8">
                            <w:pPr>
                              <w:bidi/>
                              <w:spacing w:after="0" w:line="276" w:lineRule="auto"/>
                              <w:rPr>
                                <w:rFonts w:ascii="David" w:hAnsi="David" w:cs="David"/>
                                <w:sz w:val="20"/>
                                <w:szCs w:val="20"/>
                                <w:rtl/>
                              </w:rPr>
                            </w:pPr>
                            <w:r>
                              <w:rPr>
                                <w:rFonts w:ascii="David" w:hAnsi="David" w:cs="David" w:hint="cs"/>
                                <w:b/>
                                <w:bCs/>
                                <w:sz w:val="20"/>
                                <w:szCs w:val="20"/>
                                <w:rtl/>
                              </w:rPr>
                              <w:t>כהן נ' צור</w:t>
                            </w:r>
                          </w:p>
                          <w:p w14:paraId="7835DF31" w14:textId="2BCB87DD" w:rsidR="00185DC8" w:rsidRPr="00185DC8" w:rsidRDefault="00D74E36" w:rsidP="00185DC8">
                            <w:pPr>
                              <w:jc w:val="right"/>
                              <w:rPr>
                                <w:rFonts w:ascii="David" w:hAnsi="David" w:cs="David"/>
                                <w:sz w:val="20"/>
                                <w:szCs w:val="20"/>
                              </w:rPr>
                            </w:pPr>
                            <w:r>
                              <w:rPr>
                                <w:rFonts w:ascii="David" w:hAnsi="David" w:cs="David" w:hint="cs"/>
                                <w:sz w:val="20"/>
                                <w:szCs w:val="20"/>
                                <w:rtl/>
                              </w:rPr>
                              <w:t>התגרות קודמת לא משנה את קביעת האחריות, אלא משפיעה על גובה הפיצוי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218F" id="Text Box 46" o:spid="_x0000_s1047" type="#_x0000_t202" style="position:absolute;left:0;text-align:left;margin-left:294.65pt;margin-top:4.95pt;width:128.4pt;height:59.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" fillcolor="#009dd9 [3205]" stroked="f">
                <v:fill opacity="32896f"/>
                <v:textbox>
                  <w:txbxContent>
                    <w:p w14:paraId="508ACF0C" w14:textId="7C5259A5" w:rsidR="00185DC8" w:rsidRPr="00185DC8" w:rsidRDefault="00C628C7" w:rsidP="00185DC8">
                      <w:pPr>
                        <w:bidi/>
                        <w:spacing w:after="0" w:line="276" w:lineRule="auto"/>
                        <w:rPr>
                          <w:rFonts w:ascii="David" w:hAnsi="David" w:cs="David"/>
                          <w:sz w:val="20"/>
                          <w:szCs w:val="20"/>
                          <w:rtl/>
                        </w:rPr>
                      </w:pPr>
                      <w:r>
                        <w:rPr>
                          <w:rFonts w:ascii="David" w:hAnsi="David" w:cs="David" w:hint="cs"/>
                          <w:b/>
                          <w:bCs/>
                          <w:sz w:val="20"/>
                          <w:szCs w:val="20"/>
                          <w:rtl/>
                        </w:rPr>
                        <w:t>כהן נ' צור</w:t>
                      </w:r>
                    </w:p>
                    <w:p w14:paraId="7835DF31" w14:textId="2BCB87DD" w:rsidR="00185DC8" w:rsidRPr="00185DC8" w:rsidRDefault="00D74E36" w:rsidP="00185DC8">
                      <w:pPr>
                        <w:jc w:val="right"/>
                        <w:rPr>
                          <w:rFonts w:ascii="David" w:hAnsi="David" w:cs="David"/>
                          <w:sz w:val="20"/>
                          <w:szCs w:val="20"/>
                        </w:rPr>
                      </w:pPr>
                      <w:r>
                        <w:rPr>
                          <w:rFonts w:ascii="David" w:hAnsi="David" w:cs="David" w:hint="cs"/>
                          <w:sz w:val="20"/>
                          <w:szCs w:val="20"/>
                          <w:rtl/>
                        </w:rPr>
                        <w:t>התגרות קודמת לא משנה את קביעת האחריות, אלא משפיעה על גובה הפיצוי</w:t>
                      </w:r>
                    </w:p>
                  </w:txbxContent>
                </v:textbox>
                <w10:wrap anchorx="page"/>
              </v:shape>
            </w:pict>
          </mc:Fallback>
        </mc:AlternateContent>
      </w:r>
      <w:r w:rsidR="00AE71B6">
        <w:rPr>
          <w:rFonts w:ascii="David" w:hAnsi="David" w:cs="David"/>
          <w:noProof/>
          <w:rtl/>
          <w:lang w:val="he-IL"/>
        </w:rPr>
        <mc:AlternateContent>
          <mc:Choice Requires="wps">
            <w:drawing>
              <wp:anchor distT="0" distB="0" distL="114300" distR="114300" simplePos="0" relativeHeight="251713536" behindDoc="0" locked="0" layoutInCell="1" allowOverlap="1" wp14:anchorId="35668934" wp14:editId="008807D9">
                <wp:simplePos x="0" y="0"/>
                <wp:positionH relativeFrom="margin">
                  <wp:posOffset>1160585</wp:posOffset>
                </wp:positionH>
                <wp:positionV relativeFrom="paragraph">
                  <wp:posOffset>76933</wp:posOffset>
                </wp:positionV>
                <wp:extent cx="1560341" cy="738554"/>
                <wp:effectExtent l="0" t="0" r="1905" b="4445"/>
                <wp:wrapNone/>
                <wp:docPr id="47" name="Text Box 47"/>
                <wp:cNvGraphicFramePr/>
                <a:graphic xmlns:a="http://schemas.openxmlformats.org/drawingml/2006/main">
                  <a:graphicData uri="http://schemas.microsoft.com/office/word/2010/wordprocessingShape">
                    <wps:wsp>
                      <wps:cNvSpPr txBox="1"/>
                      <wps:spPr>
                        <a:xfrm>
                          <a:off x="0" y="0"/>
                          <a:ext cx="1560341" cy="738554"/>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57802D2" w14:textId="19A0EB0A" w:rsidR="00185DC8" w:rsidRPr="00185DC8" w:rsidRDefault="00AE71B6" w:rsidP="00185DC8">
                            <w:pPr>
                              <w:bidi/>
                              <w:spacing w:after="0" w:line="276" w:lineRule="auto"/>
                              <w:rPr>
                                <w:rFonts w:ascii="David" w:hAnsi="David" w:cs="David"/>
                                <w:sz w:val="20"/>
                                <w:szCs w:val="20"/>
                                <w:rtl/>
                              </w:rPr>
                            </w:pPr>
                            <w:r>
                              <w:rPr>
                                <w:rFonts w:ascii="David" w:hAnsi="David" w:cs="David" w:hint="cs"/>
                                <w:b/>
                                <w:bCs/>
                                <w:sz w:val="20"/>
                                <w:szCs w:val="20"/>
                                <w:rtl/>
                              </w:rPr>
                              <w:t>פז נ' רונאל</w:t>
                            </w:r>
                          </w:p>
                          <w:p w14:paraId="48111B43" w14:textId="3890B348" w:rsidR="00185DC8" w:rsidRPr="00185DC8" w:rsidRDefault="00EE04FA" w:rsidP="00185DC8">
                            <w:pPr>
                              <w:jc w:val="right"/>
                              <w:rPr>
                                <w:rFonts w:ascii="David" w:hAnsi="David" w:cs="David"/>
                                <w:sz w:val="20"/>
                                <w:szCs w:val="20"/>
                              </w:rPr>
                            </w:pPr>
                            <w:r>
                              <w:rPr>
                                <w:rFonts w:ascii="David" w:hAnsi="David" w:cs="David" w:hint="cs"/>
                                <w:sz w:val="20"/>
                                <w:szCs w:val="20"/>
                                <w:rtl/>
                              </w:rPr>
                              <w:t>השימוש בביטוי נאצי לא ראוי גם כת</w:t>
                            </w:r>
                            <w:r w:rsidR="00AE71B6">
                              <w:rPr>
                                <w:rFonts w:ascii="David" w:hAnsi="David" w:cs="David" w:hint="cs"/>
                                <w:sz w:val="20"/>
                                <w:szCs w:val="20"/>
                                <w:rtl/>
                              </w:rPr>
                              <w:t>גובה</w:t>
                            </w:r>
                            <w:r>
                              <w:rPr>
                                <w:rFonts w:ascii="David" w:hAnsi="David" w:cs="David" w:hint="cs"/>
                                <w:sz w:val="20"/>
                                <w:szCs w:val="20"/>
                                <w:rtl/>
                              </w:rPr>
                              <w:t xml:space="preserve"> על ביקורת חריפה</w:t>
                            </w:r>
                            <w:r w:rsidR="00AE71B6">
                              <w:rPr>
                                <w:rFonts w:ascii="David" w:hAnsi="David" w:cs="David" w:hint="cs"/>
                                <w:sz w:val="20"/>
                                <w:szCs w:val="20"/>
                                <w:rtl/>
                              </w:rPr>
                              <w:t>. לא הוריד מהאחריו</w:t>
                            </w:r>
                            <w:r w:rsidR="00AE71B6">
                              <w:rPr>
                                <w:rFonts w:ascii="David" w:hAnsi="David" w:cs="David" w:hint="eastAsia"/>
                                <w:sz w:val="20"/>
                                <w:szCs w:val="20"/>
                                <w:rtl/>
                              </w:rPr>
                              <w:t>ת</w:t>
                            </w:r>
                            <w:r w:rsidR="00AE71B6">
                              <w:rPr>
                                <w:rFonts w:ascii="David" w:hAnsi="David" w:cs="David" w:hint="cs"/>
                                <w:sz w:val="20"/>
                                <w:szCs w:val="20"/>
                                <w:rtl/>
                              </w:rPr>
                              <w:t>, אלא מגובה הפיצוי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8934" id="Text Box 47" o:spid="_x0000_s1048" type="#_x0000_t202" style="position:absolute;left:0;text-align:left;margin-left:91.4pt;margin-top:6.05pt;width:122.85pt;height:58.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" fillcolor="#009dd9 [3205]" stroked="f">
                <v:fill opacity="32896f"/>
                <v:textbox>
                  <w:txbxContent>
                    <w:p w14:paraId="657802D2" w14:textId="19A0EB0A" w:rsidR="00185DC8" w:rsidRPr="00185DC8" w:rsidRDefault="00AE71B6" w:rsidP="00185DC8">
                      <w:pPr>
                        <w:bidi/>
                        <w:spacing w:after="0" w:line="276" w:lineRule="auto"/>
                        <w:rPr>
                          <w:rFonts w:ascii="David" w:hAnsi="David" w:cs="David"/>
                          <w:sz w:val="20"/>
                          <w:szCs w:val="20"/>
                          <w:rtl/>
                        </w:rPr>
                      </w:pPr>
                      <w:r>
                        <w:rPr>
                          <w:rFonts w:ascii="David" w:hAnsi="David" w:cs="David" w:hint="cs"/>
                          <w:b/>
                          <w:bCs/>
                          <w:sz w:val="20"/>
                          <w:szCs w:val="20"/>
                          <w:rtl/>
                        </w:rPr>
                        <w:t>פז נ' רונאל</w:t>
                      </w:r>
                    </w:p>
                    <w:p w14:paraId="48111B43" w14:textId="3890B348" w:rsidR="00185DC8" w:rsidRPr="00185DC8" w:rsidRDefault="00EE04FA" w:rsidP="00185DC8">
                      <w:pPr>
                        <w:jc w:val="right"/>
                        <w:rPr>
                          <w:rFonts w:ascii="David" w:hAnsi="David" w:cs="David"/>
                          <w:sz w:val="20"/>
                          <w:szCs w:val="20"/>
                        </w:rPr>
                      </w:pPr>
                      <w:r>
                        <w:rPr>
                          <w:rFonts w:ascii="David" w:hAnsi="David" w:cs="David" w:hint="cs"/>
                          <w:sz w:val="20"/>
                          <w:szCs w:val="20"/>
                          <w:rtl/>
                        </w:rPr>
                        <w:t>השימוש בביטוי נאצי לא ראוי גם כת</w:t>
                      </w:r>
                      <w:r w:rsidR="00AE71B6">
                        <w:rPr>
                          <w:rFonts w:ascii="David" w:hAnsi="David" w:cs="David" w:hint="cs"/>
                          <w:sz w:val="20"/>
                          <w:szCs w:val="20"/>
                          <w:rtl/>
                        </w:rPr>
                        <w:t>גובה</w:t>
                      </w:r>
                      <w:r>
                        <w:rPr>
                          <w:rFonts w:ascii="David" w:hAnsi="David" w:cs="David" w:hint="cs"/>
                          <w:sz w:val="20"/>
                          <w:szCs w:val="20"/>
                          <w:rtl/>
                        </w:rPr>
                        <w:t xml:space="preserve"> על ביקורת חריפה</w:t>
                      </w:r>
                      <w:r w:rsidR="00AE71B6">
                        <w:rPr>
                          <w:rFonts w:ascii="David" w:hAnsi="David" w:cs="David" w:hint="cs"/>
                          <w:sz w:val="20"/>
                          <w:szCs w:val="20"/>
                          <w:rtl/>
                        </w:rPr>
                        <w:t>. לא הוריד מהאחריו</w:t>
                      </w:r>
                      <w:r w:rsidR="00AE71B6">
                        <w:rPr>
                          <w:rFonts w:ascii="David" w:hAnsi="David" w:cs="David" w:hint="eastAsia"/>
                          <w:sz w:val="20"/>
                          <w:szCs w:val="20"/>
                          <w:rtl/>
                        </w:rPr>
                        <w:t>ת</w:t>
                      </w:r>
                      <w:r w:rsidR="00AE71B6">
                        <w:rPr>
                          <w:rFonts w:ascii="David" w:hAnsi="David" w:cs="David" w:hint="cs"/>
                          <w:sz w:val="20"/>
                          <w:szCs w:val="20"/>
                          <w:rtl/>
                        </w:rPr>
                        <w:t>, אלא מגובה הפיצוי</w:t>
                      </w:r>
                    </w:p>
                  </w:txbxContent>
                </v:textbox>
                <w10:wrap anchorx="margin"/>
              </v:shape>
            </w:pict>
          </mc:Fallback>
        </mc:AlternateContent>
      </w:r>
    </w:p>
    <w:p w14:paraId="38C7923A" w14:textId="1C068D8C" w:rsidR="004669BE" w:rsidRDefault="004669BE" w:rsidP="00CC7DF2">
      <w:pPr>
        <w:bidi/>
        <w:spacing w:after="0" w:line="276" w:lineRule="auto"/>
        <w:jc w:val="both"/>
        <w:rPr>
          <w:rFonts w:ascii="David" w:hAnsi="David" w:cs="David"/>
          <w:rtl/>
        </w:rPr>
      </w:pPr>
    </w:p>
    <w:p w14:paraId="771549A2" w14:textId="16133A2B" w:rsidR="004669BE" w:rsidRDefault="004669BE" w:rsidP="00CC7DF2">
      <w:pPr>
        <w:bidi/>
        <w:spacing w:after="0" w:line="276" w:lineRule="auto"/>
        <w:jc w:val="both"/>
        <w:rPr>
          <w:rFonts w:ascii="David" w:hAnsi="David" w:cs="David"/>
          <w:b/>
          <w:bCs/>
          <w:rtl/>
        </w:rPr>
      </w:pPr>
    </w:p>
    <w:p w14:paraId="7DEC20B7" w14:textId="1C257AC2" w:rsidR="009C1FAE" w:rsidRDefault="009C1FAE" w:rsidP="00CC7DF2">
      <w:pPr>
        <w:bidi/>
        <w:spacing w:after="0" w:line="276" w:lineRule="auto"/>
        <w:jc w:val="both"/>
        <w:rPr>
          <w:rFonts w:ascii="David" w:hAnsi="David" w:cs="David"/>
          <w:rtl/>
        </w:rPr>
      </w:pPr>
    </w:p>
    <w:p w14:paraId="08FD9D41" w14:textId="77777777" w:rsidR="009C1FAE" w:rsidRDefault="009C1FAE" w:rsidP="00CC7DF2">
      <w:pPr>
        <w:bidi/>
        <w:spacing w:after="0" w:line="276" w:lineRule="auto"/>
        <w:jc w:val="both"/>
        <w:rPr>
          <w:rFonts w:ascii="David" w:hAnsi="David" w:cs="David"/>
          <w:rtl/>
        </w:rPr>
      </w:pPr>
    </w:p>
    <w:p w14:paraId="2FA1CD36" w14:textId="77777777" w:rsidR="00E664D0" w:rsidRDefault="00E664D0" w:rsidP="00CC7DF2">
      <w:pPr>
        <w:bidi/>
        <w:spacing w:after="0" w:line="276" w:lineRule="auto"/>
        <w:jc w:val="both"/>
        <w:rPr>
          <w:rFonts w:ascii="David" w:hAnsi="David" w:cs="David"/>
          <w:b/>
          <w:bCs/>
          <w:rtl/>
        </w:rPr>
      </w:pPr>
    </w:p>
    <w:p w14:paraId="28DD6F7E" w14:textId="77777777" w:rsidR="007C394F" w:rsidRDefault="007C394F" w:rsidP="00DF69B2">
      <w:pPr>
        <w:pStyle w:val="ListParagraph"/>
        <w:numPr>
          <w:ilvl w:val="0"/>
          <w:numId w:val="27"/>
        </w:numPr>
        <w:bidi/>
        <w:spacing w:after="0" w:line="276" w:lineRule="auto"/>
        <w:jc w:val="both"/>
        <w:rPr>
          <w:rFonts w:ascii="David" w:hAnsi="David" w:cs="David"/>
        </w:rPr>
      </w:pPr>
      <w:r w:rsidRPr="007C394F">
        <w:rPr>
          <w:rStyle w:val="QuoteChar"/>
          <w:rFonts w:hint="cs"/>
          <w:color w:val="000000" w:themeColor="text1"/>
          <w:rtl/>
        </w:rPr>
        <w:t xml:space="preserve">דימויים מהשואה- </w:t>
      </w:r>
      <w:r w:rsidR="00404FB4" w:rsidRPr="00065B47">
        <w:rPr>
          <w:rStyle w:val="QuoteChar"/>
          <w:rFonts w:hint="cs"/>
          <w:rtl/>
        </w:rPr>
        <w:t>פריג' נ' "כל הזמן"</w:t>
      </w:r>
      <w:r w:rsidR="00404FB4" w:rsidRPr="007C394F">
        <w:rPr>
          <w:rFonts w:ascii="David" w:hAnsi="David" w:cs="David" w:hint="cs"/>
          <w:b/>
          <w:bCs/>
          <w:rtl/>
        </w:rPr>
        <w:t xml:space="preserve"> </w:t>
      </w:r>
      <w:r w:rsidR="00404FB4" w:rsidRPr="007C394F">
        <w:rPr>
          <w:rFonts w:ascii="David" w:hAnsi="David" w:cs="David" w:hint="cs"/>
          <w:rtl/>
        </w:rPr>
        <w:t xml:space="preserve">(2008): </w:t>
      </w:r>
      <w:r w:rsidR="00114DBC" w:rsidRPr="007C394F">
        <w:rPr>
          <w:rFonts w:ascii="David" w:hAnsi="David" w:cs="David" w:hint="cs"/>
          <w:rtl/>
        </w:rPr>
        <w:t>ת</w:t>
      </w:r>
      <w:r w:rsidR="00A375F8" w:rsidRPr="007C394F">
        <w:rPr>
          <w:rFonts w:ascii="David" w:hAnsi="David" w:cs="David" w:hint="cs"/>
          <w:rtl/>
        </w:rPr>
        <w:t xml:space="preserve">ביעה של עיתונאי כנגד </w:t>
      </w:r>
      <w:r w:rsidR="003C5C36" w:rsidRPr="007C394F">
        <w:rPr>
          <w:rFonts w:ascii="David" w:hAnsi="David" w:cs="David" w:hint="cs"/>
          <w:rtl/>
        </w:rPr>
        <w:t xml:space="preserve">עיתון שהשווה אותו למשפטנים מהרפובליקה של ויימר, משום שהגיש תלונה כנגד העיתון על אמירותיו כלפי חיילי דובדבן. </w:t>
      </w:r>
      <w:r w:rsidR="00404FB4" w:rsidRPr="007C394F">
        <w:rPr>
          <w:rFonts w:ascii="David" w:hAnsi="David" w:cs="David" w:hint="cs"/>
          <w:rtl/>
        </w:rPr>
        <w:t xml:space="preserve"> </w:t>
      </w:r>
    </w:p>
    <w:p w14:paraId="516451F4" w14:textId="77777777" w:rsidR="007C394F" w:rsidRDefault="00580131" w:rsidP="00CC7DF2">
      <w:pPr>
        <w:pStyle w:val="ListParagraph"/>
        <w:bidi/>
        <w:spacing w:after="0" w:line="276" w:lineRule="auto"/>
        <w:jc w:val="both"/>
        <w:rPr>
          <w:rFonts w:ascii="David" w:hAnsi="David" w:cs="David"/>
          <w:rtl/>
        </w:rPr>
      </w:pPr>
      <w:r w:rsidRPr="007C394F">
        <w:rPr>
          <w:rFonts w:ascii="David" w:hAnsi="David" w:cs="David" w:hint="cs"/>
          <w:u w:val="single"/>
          <w:rtl/>
        </w:rPr>
        <w:t>שלום</w:t>
      </w:r>
      <w:r w:rsidR="00404FB4" w:rsidRPr="007C394F">
        <w:rPr>
          <w:rFonts w:ascii="David" w:hAnsi="David" w:cs="David" w:hint="cs"/>
          <w:u w:val="single"/>
          <w:rtl/>
        </w:rPr>
        <w:t>:</w:t>
      </w:r>
      <w:r w:rsidR="00404FB4" w:rsidRPr="007C394F">
        <w:rPr>
          <w:rFonts w:ascii="David" w:hAnsi="David" w:cs="David" w:hint="cs"/>
          <w:rtl/>
        </w:rPr>
        <w:t xml:space="preserve"> לא לשון הרע ויש הגנה תו"ל. </w:t>
      </w:r>
    </w:p>
    <w:p w14:paraId="0F8700E5" w14:textId="77777777" w:rsidR="007C394F" w:rsidRDefault="00404FB4" w:rsidP="00CC7DF2">
      <w:pPr>
        <w:pStyle w:val="ListParagraph"/>
        <w:bidi/>
        <w:spacing w:after="0" w:line="276" w:lineRule="auto"/>
        <w:jc w:val="both"/>
        <w:rPr>
          <w:rFonts w:ascii="David" w:hAnsi="David" w:cs="David"/>
          <w:rtl/>
        </w:rPr>
      </w:pPr>
      <w:r w:rsidRPr="00404FB4">
        <w:rPr>
          <w:rFonts w:ascii="David" w:hAnsi="David" w:cs="David" w:hint="cs"/>
          <w:u w:val="single"/>
          <w:rtl/>
        </w:rPr>
        <w:t>מחוזי</w:t>
      </w:r>
      <w:r>
        <w:rPr>
          <w:rFonts w:ascii="David" w:hAnsi="David" w:cs="David" w:hint="cs"/>
          <w:rtl/>
        </w:rPr>
        <w:t>: כן לשון הרע אבל יש הגנת תו"ל.</w:t>
      </w:r>
    </w:p>
    <w:p w14:paraId="42D2A76E" w14:textId="067D49DB" w:rsidR="003C4490" w:rsidRDefault="00266F8F" w:rsidP="00CC7DF2">
      <w:pPr>
        <w:pStyle w:val="ListParagraph"/>
        <w:bidi/>
        <w:spacing w:after="0" w:line="276" w:lineRule="auto"/>
        <w:jc w:val="both"/>
        <w:rPr>
          <w:rFonts w:ascii="David" w:hAnsi="David" w:cs="David"/>
          <w:rtl/>
        </w:rPr>
      </w:pPr>
      <w:r>
        <w:rPr>
          <w:rFonts w:ascii="David" w:hAnsi="David" w:cs="David" w:hint="cs"/>
          <w:u w:val="single"/>
          <w:rtl/>
        </w:rPr>
        <w:t>עליון</w:t>
      </w:r>
      <w:r>
        <w:rPr>
          <w:rFonts w:ascii="David" w:hAnsi="David" w:cs="David" w:hint="cs"/>
          <w:rtl/>
        </w:rPr>
        <w:t xml:space="preserve">: </w:t>
      </w:r>
      <w:r w:rsidR="000F0800">
        <w:rPr>
          <w:rFonts w:ascii="David" w:hAnsi="David" w:cs="David" w:hint="cs"/>
          <w:rtl/>
        </w:rPr>
        <w:t>נשאר עם עמדת המחוזי</w:t>
      </w:r>
      <w:r w:rsidR="00580131">
        <w:rPr>
          <w:rFonts w:ascii="David" w:hAnsi="David" w:cs="David" w:hint="cs"/>
          <w:rtl/>
        </w:rPr>
        <w:t xml:space="preserve"> </w:t>
      </w:r>
      <w:r w:rsidR="00580131" w:rsidRPr="00580131">
        <w:rPr>
          <w:rFonts w:ascii="David" w:hAnsi="David" w:cs="David"/>
        </w:rPr>
        <w:sym w:font="Wingdings" w:char="F0DF"/>
      </w:r>
      <w:r w:rsidR="00580131">
        <w:rPr>
          <w:rFonts w:ascii="David" w:hAnsi="David" w:cs="David" w:hint="cs"/>
          <w:rtl/>
        </w:rPr>
        <w:t xml:space="preserve"> ל</w:t>
      </w:r>
      <w:r w:rsidR="000F0800">
        <w:rPr>
          <w:rFonts w:ascii="David" w:hAnsi="David" w:cs="David" w:hint="cs"/>
          <w:b/>
          <w:bCs/>
          <w:rtl/>
        </w:rPr>
        <w:t>דימויים מעולם השואה</w:t>
      </w:r>
      <w:r w:rsidR="00413BD9">
        <w:rPr>
          <w:rFonts w:ascii="David" w:hAnsi="David" w:cs="David" w:hint="cs"/>
          <w:b/>
          <w:bCs/>
          <w:rtl/>
        </w:rPr>
        <w:t xml:space="preserve"> לא בהכרח נשללת הגנת תו"ל</w:t>
      </w:r>
      <w:r w:rsidR="000F0800">
        <w:rPr>
          <w:rFonts w:ascii="David" w:hAnsi="David" w:cs="David" w:hint="cs"/>
          <w:b/>
          <w:bCs/>
          <w:rtl/>
        </w:rPr>
        <w:t xml:space="preserve"> </w:t>
      </w:r>
      <w:r w:rsidR="000F0800">
        <w:rPr>
          <w:rFonts w:ascii="David" w:hAnsi="David" w:cs="David" w:hint="cs"/>
          <w:rtl/>
        </w:rPr>
        <w:t>(בשונה מההלכה שעולה</w:t>
      </w:r>
      <w:r w:rsidR="00226363">
        <w:rPr>
          <w:rFonts w:ascii="David" w:hAnsi="David" w:cs="David" w:hint="cs"/>
          <w:rtl/>
        </w:rPr>
        <w:t xml:space="preserve"> מפרשת בן גביר על המילה 'נאצי'), כיוון שהפרסום במקרה זה לא חרג מתחום הסביר בנסיבות. </w:t>
      </w:r>
    </w:p>
    <w:p w14:paraId="10B2E346" w14:textId="77777777" w:rsidR="00D17CEF" w:rsidRDefault="000F0800" w:rsidP="00DF69B2">
      <w:pPr>
        <w:pStyle w:val="ListParagraph"/>
        <w:numPr>
          <w:ilvl w:val="0"/>
          <w:numId w:val="25"/>
        </w:numPr>
        <w:bidi/>
        <w:spacing w:after="0" w:line="276" w:lineRule="auto"/>
        <w:jc w:val="both"/>
        <w:rPr>
          <w:rFonts w:ascii="David" w:hAnsi="David" w:cs="David"/>
        </w:rPr>
      </w:pPr>
      <w:r w:rsidRPr="00466EFB">
        <w:rPr>
          <w:rFonts w:ascii="David" w:hAnsi="David" w:cs="David" w:hint="cs"/>
          <w:rtl/>
        </w:rPr>
        <w:t xml:space="preserve">לדימויים </w:t>
      </w:r>
      <w:r w:rsidR="003C4490" w:rsidRPr="00466EFB">
        <w:rPr>
          <w:rFonts w:ascii="David" w:hAnsi="David" w:cs="David" w:hint="cs"/>
          <w:rtl/>
        </w:rPr>
        <w:t>מסוג זה ניתן גם לייחס</w:t>
      </w:r>
      <w:r w:rsidRPr="00466EFB">
        <w:rPr>
          <w:rFonts w:ascii="David" w:hAnsi="David" w:cs="David" w:hint="cs"/>
          <w:rtl/>
        </w:rPr>
        <w:t xml:space="preserve"> את גם עקרון </w:t>
      </w:r>
      <w:r w:rsidRPr="00466EFB">
        <w:rPr>
          <w:rFonts w:ascii="David" w:hAnsi="David" w:cs="David" w:hint="cs"/>
          <w:b/>
          <w:bCs/>
          <w:rtl/>
        </w:rPr>
        <w:t>הנוקט הראשון</w:t>
      </w:r>
      <w:r w:rsidRPr="00466EFB">
        <w:rPr>
          <w:rFonts w:ascii="David" w:hAnsi="David" w:cs="David" w:hint="cs"/>
          <w:rtl/>
        </w:rPr>
        <w:t xml:space="preserve"> (פס"ד </w:t>
      </w:r>
      <w:r w:rsidRPr="00466EFB">
        <w:rPr>
          <w:rStyle w:val="QuoteChar"/>
          <w:rFonts w:hint="cs"/>
          <w:rtl/>
        </w:rPr>
        <w:t>שפטל נ' זהבי</w:t>
      </w:r>
      <w:r w:rsidRPr="00466EFB">
        <w:rPr>
          <w:rFonts w:ascii="David" w:hAnsi="David" w:cs="David" w:hint="cs"/>
          <w:rtl/>
        </w:rPr>
        <w:t xml:space="preserve">). </w:t>
      </w:r>
    </w:p>
    <w:p w14:paraId="266D6E75" w14:textId="77777777" w:rsidR="00D17CEF" w:rsidRPr="00466EFB" w:rsidRDefault="00D17CEF" w:rsidP="00CC7DF2">
      <w:pPr>
        <w:pStyle w:val="ListParagraph"/>
        <w:bidi/>
        <w:spacing w:after="0" w:line="276" w:lineRule="auto"/>
        <w:ind w:left="360"/>
        <w:jc w:val="both"/>
        <w:rPr>
          <w:rFonts w:ascii="David" w:hAnsi="David" w:cs="David"/>
          <w:rtl/>
        </w:rPr>
      </w:pPr>
    </w:p>
    <w:p w14:paraId="3FB63C3A" w14:textId="77777777" w:rsidR="00356094" w:rsidRDefault="00FB1BF8" w:rsidP="00DF69B2">
      <w:pPr>
        <w:pStyle w:val="ListParagraph"/>
        <w:numPr>
          <w:ilvl w:val="0"/>
          <w:numId w:val="27"/>
        </w:numPr>
        <w:bidi/>
        <w:spacing w:line="276" w:lineRule="auto"/>
        <w:jc w:val="both"/>
        <w:rPr>
          <w:rFonts w:ascii="David" w:hAnsi="David" w:cs="David"/>
        </w:rPr>
      </w:pPr>
      <w:r w:rsidRPr="004F7E93">
        <w:rPr>
          <w:rFonts w:ascii="David" w:hAnsi="David" w:cs="David" w:hint="cs"/>
          <w:b/>
          <w:bCs/>
          <w:rtl/>
        </w:rPr>
        <w:t>קרבה לניצול שואה</w:t>
      </w:r>
      <w:r w:rsidRPr="004F7E93">
        <w:rPr>
          <w:rFonts w:ascii="David" w:hAnsi="David" w:cs="David" w:hint="cs"/>
          <w:rtl/>
        </w:rPr>
        <w:t xml:space="preserve"> כשיקול בפסיקה:</w:t>
      </w:r>
    </w:p>
    <w:p w14:paraId="7073EE30" w14:textId="77777777" w:rsidR="00356094" w:rsidRDefault="00FB1BF8" w:rsidP="00CC7DF2">
      <w:pPr>
        <w:pStyle w:val="ListParagraph"/>
        <w:bidi/>
        <w:spacing w:line="276" w:lineRule="auto"/>
        <w:jc w:val="both"/>
        <w:rPr>
          <w:rFonts w:ascii="David" w:hAnsi="David" w:cs="David"/>
          <w:rtl/>
        </w:rPr>
      </w:pPr>
      <w:r w:rsidRPr="00356094">
        <w:rPr>
          <w:rFonts w:ascii="David" w:hAnsi="David" w:cs="David" w:hint="cs"/>
          <w:rtl/>
        </w:rPr>
        <w:t xml:space="preserve"> </w:t>
      </w:r>
      <w:r w:rsidRPr="004F7E93">
        <w:rPr>
          <w:rStyle w:val="QuoteChar"/>
          <w:rFonts w:hint="cs"/>
          <w:rtl/>
        </w:rPr>
        <w:t>אלון נ' ויילר</w:t>
      </w:r>
      <w:r w:rsidRPr="00356094">
        <w:rPr>
          <w:rFonts w:ascii="David" w:hAnsi="David" w:cs="David" w:hint="cs"/>
          <w:b/>
          <w:bCs/>
          <w:rtl/>
        </w:rPr>
        <w:t xml:space="preserve"> </w:t>
      </w:r>
      <w:r w:rsidRPr="00356094">
        <w:rPr>
          <w:rFonts w:ascii="David" w:hAnsi="David" w:cs="David" w:hint="cs"/>
          <w:rtl/>
        </w:rPr>
        <w:t xml:space="preserve">(2020) </w:t>
      </w:r>
      <w:r w:rsidRPr="00356094">
        <w:rPr>
          <w:rFonts w:ascii="David" w:hAnsi="David" w:cs="David"/>
          <w:rtl/>
        </w:rPr>
        <w:t>–</w:t>
      </w:r>
      <w:r w:rsidRPr="00356094">
        <w:rPr>
          <w:rFonts w:ascii="David" w:hAnsi="David" w:cs="David" w:hint="cs"/>
          <w:rtl/>
        </w:rPr>
        <w:t xml:space="preserve"> מורה לתנ"ך, בן לניצול שואה, זכה לתביעה על הכפשה וכינויים נגדו הקשורים לשואה. </w:t>
      </w:r>
      <w:r w:rsidRPr="00842E54">
        <w:rPr>
          <w:rStyle w:val="QuoteChar"/>
          <w:rFonts w:hint="cs"/>
          <w:rtl/>
        </w:rPr>
        <w:t>ג'אנם נ' גולדפארב</w:t>
      </w:r>
      <w:r w:rsidRPr="00AD73B9">
        <w:rPr>
          <w:rFonts w:ascii="David" w:hAnsi="David" w:cs="David" w:hint="cs"/>
          <w:b/>
          <w:bCs/>
          <w:rtl/>
        </w:rPr>
        <w:t xml:space="preserve"> </w:t>
      </w:r>
      <w:r w:rsidRPr="00AD73B9">
        <w:rPr>
          <w:rFonts w:ascii="David" w:hAnsi="David" w:cs="David" w:hint="cs"/>
          <w:rtl/>
        </w:rPr>
        <w:t xml:space="preserve">(2017) </w:t>
      </w:r>
      <w:r w:rsidRPr="00AD73B9">
        <w:rPr>
          <w:rFonts w:ascii="David" w:hAnsi="David" w:cs="David"/>
          <w:rtl/>
        </w:rPr>
        <w:t>–</w:t>
      </w:r>
      <w:r w:rsidRPr="00AD73B9">
        <w:rPr>
          <w:rFonts w:ascii="David" w:hAnsi="David" w:cs="David" w:hint="cs"/>
          <w:rtl/>
        </w:rPr>
        <w:t xml:space="preserve"> רופא קיבל תלונה שהזכיר לניצול שואה את ד"ר מנגלה, ותובע. הנתבע זוכה ליחס מקל ולהגנת תו"ל.</w:t>
      </w:r>
    </w:p>
    <w:p w14:paraId="4CCE7D66" w14:textId="4BF0D04D" w:rsidR="00FB1BF8" w:rsidRDefault="00FB1BF8" w:rsidP="00CC7DF2">
      <w:pPr>
        <w:pStyle w:val="ListParagraph"/>
        <w:bidi/>
        <w:spacing w:line="276" w:lineRule="auto"/>
        <w:jc w:val="both"/>
        <w:rPr>
          <w:rFonts w:ascii="David" w:hAnsi="David" w:cs="David"/>
          <w:rtl/>
        </w:rPr>
      </w:pPr>
      <w:r w:rsidRPr="00842E54">
        <w:rPr>
          <w:rStyle w:val="QuoteChar"/>
          <w:rFonts w:hint="cs"/>
          <w:rtl/>
        </w:rPr>
        <w:lastRenderedPageBreak/>
        <w:t>חירם נ' שרעבי</w:t>
      </w:r>
      <w:r w:rsidRPr="00AD73B9">
        <w:rPr>
          <w:rFonts w:ascii="David" w:hAnsi="David" w:cs="David" w:hint="cs"/>
          <w:b/>
          <w:bCs/>
          <w:rtl/>
        </w:rPr>
        <w:t xml:space="preserve"> </w:t>
      </w:r>
      <w:r w:rsidRPr="00AD73B9">
        <w:rPr>
          <w:rFonts w:ascii="David" w:hAnsi="David" w:cs="David" w:hint="cs"/>
          <w:rtl/>
        </w:rPr>
        <w:t xml:space="preserve">(2002) </w:t>
      </w:r>
      <w:r w:rsidRPr="00AD73B9">
        <w:rPr>
          <w:rFonts w:ascii="David" w:hAnsi="David" w:cs="David"/>
          <w:rtl/>
        </w:rPr>
        <w:t>–</w:t>
      </w:r>
      <w:r w:rsidRPr="00AD73B9">
        <w:rPr>
          <w:rFonts w:ascii="David" w:hAnsi="David" w:cs="David" w:hint="cs"/>
          <w:rtl/>
        </w:rPr>
        <w:t xml:space="preserve"> תובע ניצול שואה זוכה לרגישות וזוכה בתביעת לשון הרע לאחר שהושווה ע"י וטרינר להיטלר.</w:t>
      </w:r>
    </w:p>
    <w:p w14:paraId="3BB8F7B4" w14:textId="77777777" w:rsidR="00AD73B9" w:rsidRPr="00DC184D" w:rsidRDefault="00AD73B9" w:rsidP="00DC184D">
      <w:pPr>
        <w:bidi/>
        <w:spacing w:line="276" w:lineRule="auto"/>
        <w:jc w:val="both"/>
        <w:rPr>
          <w:rFonts w:ascii="David" w:hAnsi="David" w:cs="David"/>
          <w:rtl/>
        </w:rPr>
      </w:pPr>
    </w:p>
    <w:p w14:paraId="07A166FC" w14:textId="46BCB36B" w:rsidR="00AD73B9" w:rsidRPr="00AD73B9" w:rsidRDefault="00FB1BF8" w:rsidP="00DF69B2">
      <w:pPr>
        <w:pStyle w:val="ListParagraph"/>
        <w:numPr>
          <w:ilvl w:val="0"/>
          <w:numId w:val="27"/>
        </w:numPr>
        <w:bidi/>
        <w:spacing w:before="240" w:line="276" w:lineRule="auto"/>
        <w:jc w:val="both"/>
        <w:rPr>
          <w:rFonts w:ascii="David" w:hAnsi="David" w:cs="David"/>
          <w:rtl/>
        </w:rPr>
      </w:pPr>
      <w:r w:rsidRPr="00AD73B9">
        <w:rPr>
          <w:rFonts w:ascii="David" w:hAnsi="David" w:cs="David" w:hint="cs"/>
          <w:b/>
          <w:bCs/>
          <w:rtl/>
        </w:rPr>
        <w:t>עובדי ציבור</w:t>
      </w:r>
      <w:r w:rsidRPr="00AD73B9">
        <w:rPr>
          <w:rFonts w:ascii="David" w:hAnsi="David" w:cs="David" w:hint="cs"/>
          <w:rtl/>
        </w:rPr>
        <w:t xml:space="preserve">: </w:t>
      </w:r>
    </w:p>
    <w:p w14:paraId="25B45855" w14:textId="77777777" w:rsidR="00356094" w:rsidRDefault="00FB1BF8" w:rsidP="00CC7DF2">
      <w:pPr>
        <w:pStyle w:val="ListParagraph"/>
        <w:bidi/>
        <w:spacing w:before="240" w:line="276" w:lineRule="auto"/>
        <w:jc w:val="both"/>
        <w:rPr>
          <w:rFonts w:ascii="David" w:hAnsi="David" w:cs="David"/>
          <w:rtl/>
        </w:rPr>
      </w:pPr>
      <w:r w:rsidRPr="00356094">
        <w:rPr>
          <w:rStyle w:val="QuoteChar"/>
          <w:rFonts w:hint="cs"/>
          <w:rtl/>
        </w:rPr>
        <w:t>אשרי נ' קורן</w:t>
      </w:r>
      <w:r w:rsidRPr="00AD73B9">
        <w:rPr>
          <w:rFonts w:ascii="David" w:hAnsi="David" w:cs="David" w:hint="cs"/>
          <w:b/>
          <w:bCs/>
          <w:rtl/>
        </w:rPr>
        <w:t xml:space="preserve"> </w:t>
      </w:r>
      <w:r w:rsidR="00226363" w:rsidRPr="00AD73B9">
        <w:rPr>
          <w:rFonts w:ascii="David" w:hAnsi="David" w:cs="David" w:hint="cs"/>
          <w:rtl/>
        </w:rPr>
        <w:t xml:space="preserve">(2002) </w:t>
      </w:r>
      <w:r w:rsidRPr="00AD73B9">
        <w:rPr>
          <w:rFonts w:ascii="David" w:hAnsi="David" w:cs="David"/>
          <w:rtl/>
        </w:rPr>
        <w:t>–</w:t>
      </w:r>
      <w:r w:rsidRPr="00AD73B9">
        <w:rPr>
          <w:rFonts w:ascii="David" w:hAnsi="David" w:cs="David" w:hint="cs"/>
          <w:rtl/>
        </w:rPr>
        <w:t xml:space="preserve"> עובד ציבור זוכה בתביעת לשון הרע ולא מתקבלת טענה 'נוקט ראשון'. </w:t>
      </w:r>
    </w:p>
    <w:p w14:paraId="689D321D" w14:textId="77777777" w:rsidR="00356094" w:rsidRDefault="00226363" w:rsidP="00CC7DF2">
      <w:pPr>
        <w:pStyle w:val="ListParagraph"/>
        <w:bidi/>
        <w:spacing w:before="240" w:line="276" w:lineRule="auto"/>
        <w:jc w:val="both"/>
        <w:rPr>
          <w:rFonts w:ascii="David" w:hAnsi="David" w:cs="David"/>
          <w:rtl/>
        </w:rPr>
      </w:pPr>
      <w:r w:rsidRPr="00356094">
        <w:rPr>
          <w:rStyle w:val="QuoteChar"/>
          <w:rFonts w:hint="cs"/>
          <w:rtl/>
        </w:rPr>
        <w:t>חירם נ' שרעבי</w:t>
      </w:r>
      <w:r w:rsidRPr="00AD73B9">
        <w:rPr>
          <w:rFonts w:ascii="David" w:hAnsi="David" w:cs="David" w:hint="cs"/>
          <w:rtl/>
        </w:rPr>
        <w:t xml:space="preserve"> (2002) </w:t>
      </w:r>
      <w:r w:rsidRPr="00AD73B9">
        <w:rPr>
          <w:rFonts w:ascii="David" w:hAnsi="David" w:cs="David"/>
          <w:rtl/>
        </w:rPr>
        <w:t>–</w:t>
      </w:r>
      <w:r w:rsidRPr="00AD73B9">
        <w:rPr>
          <w:rFonts w:ascii="David" w:hAnsi="David" w:cs="David" w:hint="cs"/>
          <w:rtl/>
        </w:rPr>
        <w:t xml:space="preserve"> הפגיעה חמורה יותר כאשר הקורבן הוא עובד ציבור. </w:t>
      </w:r>
    </w:p>
    <w:p w14:paraId="5CDD169A" w14:textId="77777777" w:rsidR="00356094" w:rsidRDefault="00226363" w:rsidP="00CC7DF2">
      <w:pPr>
        <w:pStyle w:val="ListParagraph"/>
        <w:bidi/>
        <w:spacing w:before="240" w:line="276" w:lineRule="auto"/>
        <w:jc w:val="both"/>
        <w:rPr>
          <w:rFonts w:ascii="David" w:hAnsi="David" w:cs="David"/>
          <w:rtl/>
        </w:rPr>
      </w:pPr>
      <w:r w:rsidRPr="00356094">
        <w:rPr>
          <w:rStyle w:val="QuoteChar"/>
          <w:rFonts w:hint="cs"/>
          <w:rtl/>
        </w:rPr>
        <w:t>פלונית נ' בן יששכר</w:t>
      </w:r>
      <w:r w:rsidRPr="00AD73B9">
        <w:rPr>
          <w:rFonts w:ascii="David" w:hAnsi="David" w:cs="David" w:hint="cs"/>
          <w:b/>
          <w:bCs/>
          <w:rtl/>
        </w:rPr>
        <w:t xml:space="preserve"> </w:t>
      </w:r>
      <w:r w:rsidRPr="00AD73B9">
        <w:rPr>
          <w:rFonts w:ascii="David" w:hAnsi="David" w:cs="David" w:hint="cs"/>
          <w:rtl/>
        </w:rPr>
        <w:t xml:space="preserve">(2015) </w:t>
      </w:r>
      <w:r w:rsidRPr="00AD73B9">
        <w:rPr>
          <w:rFonts w:ascii="David" w:hAnsi="David" w:cs="David"/>
          <w:rtl/>
        </w:rPr>
        <w:t>–</w:t>
      </w:r>
      <w:r w:rsidRPr="00AD73B9">
        <w:rPr>
          <w:rFonts w:ascii="David" w:hAnsi="David" w:cs="David" w:hint="cs"/>
          <w:rtl/>
        </w:rPr>
        <w:t xml:space="preserve"> עובדת סעד זוכה בתביעת לשון הרע על כך שנקראה 'נאצית'. אין לנהל מלחמה בעובדי ציבור בשימוש בביטויים אלה.</w:t>
      </w:r>
    </w:p>
    <w:p w14:paraId="3FF6C389" w14:textId="678DCF34" w:rsidR="00944443" w:rsidRDefault="00226363" w:rsidP="00CC7DF2">
      <w:pPr>
        <w:pStyle w:val="ListParagraph"/>
        <w:bidi/>
        <w:spacing w:before="240" w:line="276" w:lineRule="auto"/>
        <w:jc w:val="both"/>
        <w:rPr>
          <w:rFonts w:ascii="David" w:hAnsi="David" w:cs="David"/>
          <w:rtl/>
        </w:rPr>
      </w:pPr>
      <w:r w:rsidRPr="00356094">
        <w:rPr>
          <w:rStyle w:val="QuoteChar"/>
          <w:rFonts w:hint="cs"/>
          <w:rtl/>
        </w:rPr>
        <w:t>זינגרמן נ' אמדורסקי</w:t>
      </w:r>
      <w:r w:rsidRPr="00356094">
        <w:rPr>
          <w:rFonts w:ascii="David" w:hAnsi="David" w:cs="David" w:hint="cs"/>
          <w:b/>
          <w:bCs/>
          <w:rtl/>
        </w:rPr>
        <w:t xml:space="preserve"> </w:t>
      </w:r>
      <w:r w:rsidRPr="00356094">
        <w:rPr>
          <w:rFonts w:ascii="David" w:hAnsi="David" w:cs="David" w:hint="cs"/>
          <w:rtl/>
        </w:rPr>
        <w:t xml:space="preserve">(2020) </w:t>
      </w:r>
      <w:r w:rsidRPr="00356094">
        <w:rPr>
          <w:rFonts w:ascii="David" w:hAnsi="David" w:cs="David"/>
          <w:rtl/>
        </w:rPr>
        <w:t>–</w:t>
      </w:r>
      <w:r w:rsidRPr="00356094">
        <w:rPr>
          <w:rFonts w:ascii="David" w:hAnsi="David" w:cs="David" w:hint="cs"/>
          <w:rtl/>
        </w:rPr>
        <w:t xml:space="preserve"> כינוי עובדי ציבור נאצים הנה לשון הרע ואינה חוסה תחת הגנת הבעת דעה.</w:t>
      </w:r>
    </w:p>
    <w:p w14:paraId="45E9F2B0" w14:textId="77777777" w:rsidR="006E7D0B" w:rsidRPr="006E7D0B" w:rsidRDefault="006E7D0B" w:rsidP="00CC7DF2">
      <w:pPr>
        <w:pStyle w:val="ListParagraph"/>
        <w:bidi/>
        <w:spacing w:before="240" w:line="276" w:lineRule="auto"/>
        <w:jc w:val="both"/>
        <w:rPr>
          <w:rFonts w:ascii="David" w:hAnsi="David" w:cs="David"/>
          <w:rtl/>
        </w:rPr>
      </w:pPr>
    </w:p>
    <w:p w14:paraId="6DC804B5" w14:textId="0511A2A6" w:rsidR="000801D7" w:rsidRPr="006E7D0B" w:rsidRDefault="00274AAB" w:rsidP="00CC7DF2">
      <w:pPr>
        <w:pStyle w:val="IntenseQuote"/>
        <w:jc w:val="both"/>
      </w:pPr>
      <w:r w:rsidRPr="006E7D0B">
        <w:rPr>
          <w:rFonts w:hint="cs"/>
          <w:rtl/>
        </w:rPr>
        <w:t>הפליה בחינוך</w:t>
      </w:r>
    </w:p>
    <w:p w14:paraId="109968B1" w14:textId="2C7F67F6" w:rsidR="00274AAB" w:rsidRDefault="00641FDD" w:rsidP="00CC7DF2">
      <w:pPr>
        <w:pStyle w:val="Quote"/>
        <w:bidi/>
        <w:spacing w:before="0" w:after="0"/>
        <w:ind w:left="0"/>
        <w:jc w:val="both"/>
        <w:rPr>
          <w:rtl/>
        </w:rPr>
      </w:pPr>
      <w:r w:rsidRPr="00A43BA4">
        <w:rPr>
          <w:rFonts w:hint="cs"/>
          <w:rtl/>
        </w:rPr>
        <w:t>פרשת עמנואל</w:t>
      </w:r>
      <w:r>
        <w:rPr>
          <w:rFonts w:hint="cs"/>
          <w:rtl/>
        </w:rPr>
        <w:t xml:space="preserve"> </w:t>
      </w:r>
      <w:r>
        <w:rPr>
          <w:rtl/>
        </w:rPr>
        <w:t>–</w:t>
      </w:r>
    </w:p>
    <w:p w14:paraId="07511285" w14:textId="18662522" w:rsidR="007E67A2" w:rsidRDefault="00641FDD" w:rsidP="00CC7DF2">
      <w:pPr>
        <w:bidi/>
        <w:spacing w:after="0" w:line="276" w:lineRule="auto"/>
        <w:jc w:val="both"/>
        <w:rPr>
          <w:rFonts w:ascii="David" w:hAnsi="David" w:cs="David"/>
          <w:rtl/>
        </w:rPr>
      </w:pPr>
      <w:r>
        <w:rPr>
          <w:rFonts w:ascii="David" w:hAnsi="David" w:cs="David" w:hint="cs"/>
          <w:rtl/>
        </w:rPr>
        <w:t>מרכז חינוך עצמאי בפיקוח משרד החינוך. בשלהי 2007 המוסד מבצע למעשה מקים בי"ס נוסף לזה המקורי, ע"י הצבת מחיצות, כניסות נפרדות ועוד. התוצאה: הפרדה בין תלמידות אשכנזיות לספרדיות.</w:t>
      </w:r>
      <w:r w:rsidR="007E67A2">
        <w:rPr>
          <w:rFonts w:ascii="David" w:hAnsi="David" w:cs="David" w:hint="cs"/>
          <w:rtl/>
        </w:rPr>
        <w:t xml:space="preserve"> במסגרת העתיקה לבג"ץ ניתן צו שהורה למשיבים להסביר את פעולותיהם.</w:t>
      </w:r>
    </w:p>
    <w:p w14:paraId="21AB5435" w14:textId="31ACABC3" w:rsidR="007E67A2" w:rsidRDefault="00167D7E" w:rsidP="00CC7DF2">
      <w:pPr>
        <w:bidi/>
        <w:spacing w:line="276" w:lineRule="auto"/>
        <w:jc w:val="both"/>
        <w:rPr>
          <w:rFonts w:ascii="David" w:hAnsi="David" w:cs="David"/>
          <w:rtl/>
        </w:rPr>
      </w:pPr>
      <w:r>
        <w:rPr>
          <w:rFonts w:ascii="David" w:hAnsi="David" w:cs="David" w:hint="cs"/>
          <w:b/>
          <w:bCs/>
          <w:noProof/>
          <w:rtl/>
          <w:lang w:val="he-IL"/>
        </w:rPr>
        <mc:AlternateContent>
          <mc:Choice Requires="wps">
            <w:drawing>
              <wp:anchor distT="0" distB="0" distL="114300" distR="114300" simplePos="0" relativeHeight="251658239" behindDoc="1" locked="0" layoutInCell="1" allowOverlap="1" wp14:anchorId="5F321A03" wp14:editId="58DC3597">
                <wp:simplePos x="0" y="0"/>
                <wp:positionH relativeFrom="margin">
                  <wp:posOffset>-195594</wp:posOffset>
                </wp:positionH>
                <wp:positionV relativeFrom="paragraph">
                  <wp:posOffset>362650</wp:posOffset>
                </wp:positionV>
                <wp:extent cx="6198249" cy="1408273"/>
                <wp:effectExtent l="0" t="0" r="12065" b="20955"/>
                <wp:wrapNone/>
                <wp:docPr id="1" name="Rectangle: Rounded Corners 1"/>
                <wp:cNvGraphicFramePr/>
                <a:graphic xmlns:a="http://schemas.openxmlformats.org/drawingml/2006/main">
                  <a:graphicData uri="http://schemas.microsoft.com/office/word/2010/wordprocessingShape">
                    <wps:wsp>
                      <wps:cNvSpPr/>
                      <wps:spPr>
                        <a:xfrm>
                          <a:off x="0" y="0"/>
                          <a:ext cx="6198249" cy="1408273"/>
                        </a:xfrm>
                        <a:prstGeom prst="roundRect">
                          <a:avLst/>
                        </a:prstGeom>
                      </wps:spPr>
                      <wps:style>
                        <a:lnRef idx="1">
                          <a:schemeClr val="accent2"/>
                        </a:lnRef>
                        <a:fillRef idx="1001">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E9306" id="Rectangle: Rounded Corners 1" o:spid="_x0000_s1026" style="position:absolute;margin-left:-15.4pt;margin-top:28.55pt;width:488.05pt;height:110.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" fillcolor="#dbeff9 [3203]" strokecolor="#009dd9 [3205]" strokeweight=".5pt">
                <v:stroke joinstyle="miter"/>
                <w10:wrap anchorx="margin"/>
              </v:roundrect>
            </w:pict>
          </mc:Fallback>
        </mc:AlternateContent>
      </w:r>
      <w:r w:rsidR="007E67A2" w:rsidRPr="007E67A2">
        <w:rPr>
          <w:rFonts w:ascii="David" w:hAnsi="David" w:cs="David" w:hint="cs"/>
          <w:b/>
          <w:bCs/>
          <w:rtl/>
        </w:rPr>
        <w:t>קביעת בג"ץ</w:t>
      </w:r>
      <w:r w:rsidR="007E67A2">
        <w:rPr>
          <w:rFonts w:ascii="David" w:hAnsi="David" w:cs="David" w:hint="cs"/>
          <w:b/>
          <w:bCs/>
          <w:rtl/>
        </w:rPr>
        <w:t xml:space="preserve"> </w:t>
      </w:r>
      <w:r w:rsidR="007E67A2">
        <w:rPr>
          <w:rFonts w:ascii="David" w:hAnsi="David" w:cs="David"/>
          <w:rtl/>
        </w:rPr>
        <w:t>–</w:t>
      </w:r>
      <w:r w:rsidR="007E67A2">
        <w:rPr>
          <w:rFonts w:ascii="David" w:hAnsi="David" w:cs="David" w:hint="cs"/>
          <w:rtl/>
        </w:rPr>
        <w:t xml:space="preserve"> הייתה פגיעה בזכותן של תלמידות ספרדיות לשוויון. משרד החינוך חרג מסמכותו שלא הפעיל אמצעים למנוע הפליה.</w:t>
      </w:r>
    </w:p>
    <w:p w14:paraId="45A6E25F" w14:textId="1DF6CFCC" w:rsidR="00BF02BB" w:rsidRPr="00AB34F2" w:rsidRDefault="004E113A" w:rsidP="00CC7DF2">
      <w:pPr>
        <w:bidi/>
        <w:spacing w:after="0" w:line="276" w:lineRule="auto"/>
        <w:jc w:val="both"/>
        <w:rPr>
          <w:rFonts w:ascii="David" w:hAnsi="David" w:cs="David"/>
          <w:b/>
          <w:bCs/>
          <w:rtl/>
        </w:rPr>
      </w:pPr>
      <w:r w:rsidRPr="00AB34F2">
        <w:rPr>
          <w:rFonts w:ascii="David" w:hAnsi="David" w:cs="David" w:hint="cs"/>
          <w:b/>
          <w:bCs/>
          <w:rtl/>
        </w:rPr>
        <w:t>התיזה של שמואלי:</w:t>
      </w:r>
      <w:r w:rsidRPr="00AB34F2">
        <w:rPr>
          <w:rFonts w:ascii="David" w:hAnsi="David" w:cs="David" w:hint="cs"/>
          <w:b/>
          <w:bCs/>
        </w:rPr>
        <w:t xml:space="preserve"> </w:t>
      </w:r>
      <w:r w:rsidRPr="00AB34F2">
        <w:rPr>
          <w:rFonts w:ascii="David" w:hAnsi="David" w:cs="David" w:hint="cs"/>
          <w:b/>
          <w:bCs/>
          <w:rtl/>
        </w:rPr>
        <w:t>ניתן ל</w:t>
      </w:r>
      <w:r w:rsidR="00AB34F2">
        <w:rPr>
          <w:rFonts w:ascii="David" w:hAnsi="David" w:cs="David" w:hint="cs"/>
          <w:b/>
          <w:bCs/>
          <w:rtl/>
        </w:rPr>
        <w:t>ת</w:t>
      </w:r>
      <w:r w:rsidRPr="00AB34F2">
        <w:rPr>
          <w:rFonts w:ascii="David" w:hAnsi="David" w:cs="David" w:hint="cs"/>
          <w:b/>
          <w:bCs/>
          <w:rtl/>
        </w:rPr>
        <w:t xml:space="preserve">בוע בנזיקין לו </w:t>
      </w:r>
      <w:r w:rsidR="003D7A60" w:rsidRPr="00AB34F2">
        <w:rPr>
          <w:rFonts w:ascii="David" w:hAnsi="David" w:cs="David" w:hint="cs"/>
          <w:b/>
          <w:bCs/>
          <w:rtl/>
        </w:rPr>
        <w:t>היו עושות כן</w:t>
      </w:r>
      <w:r w:rsidR="00BF02BB" w:rsidRPr="00AB34F2">
        <w:rPr>
          <w:rFonts w:ascii="David" w:hAnsi="David" w:cs="David" w:hint="cs"/>
          <w:b/>
          <w:bCs/>
          <w:rtl/>
        </w:rPr>
        <w:t xml:space="preserve">. </w:t>
      </w:r>
    </w:p>
    <w:p w14:paraId="1E6FA359" w14:textId="77777777" w:rsidR="00AB34F2" w:rsidRDefault="00BF02BB" w:rsidP="00CC7DF2">
      <w:pPr>
        <w:bidi/>
        <w:spacing w:after="0" w:line="276" w:lineRule="auto"/>
        <w:jc w:val="both"/>
        <w:rPr>
          <w:rFonts w:ascii="David" w:hAnsi="David" w:cs="David"/>
          <w:rtl/>
        </w:rPr>
      </w:pPr>
      <w:r>
        <w:rPr>
          <w:rFonts w:ascii="David" w:hAnsi="David" w:cs="David" w:hint="cs"/>
          <w:rtl/>
        </w:rPr>
        <w:t>מהלך הדברים בפועל:</w:t>
      </w:r>
      <w:r>
        <w:rPr>
          <w:rFonts w:ascii="David" w:hAnsi="David" w:cs="David" w:hint="cs"/>
        </w:rPr>
        <w:t xml:space="preserve"> </w:t>
      </w:r>
    </w:p>
    <w:p w14:paraId="12BDEE40" w14:textId="77777777" w:rsidR="00AB34F2" w:rsidRDefault="00AB34F2" w:rsidP="00DF69B2">
      <w:pPr>
        <w:pStyle w:val="ListParagraph"/>
        <w:numPr>
          <w:ilvl w:val="0"/>
          <w:numId w:val="30"/>
        </w:numPr>
        <w:bidi/>
        <w:spacing w:after="0" w:line="276" w:lineRule="auto"/>
        <w:jc w:val="both"/>
        <w:rPr>
          <w:rFonts w:ascii="David" w:hAnsi="David" w:cs="David"/>
        </w:rPr>
      </w:pPr>
      <w:r w:rsidRPr="00AB34F2">
        <w:rPr>
          <w:rFonts w:ascii="David" w:hAnsi="David" w:cs="David"/>
          <w:rtl/>
        </w:rPr>
        <w:t xml:space="preserve">היה דיון בבגץ בנוגע להחלטה המנהלית של בית הספר. במסגרתו הפך הצו על תנאי למוחלט (הוא נוגע להפסקת מימון בית הספר ולקיחת הרשיון שלו). </w:t>
      </w:r>
    </w:p>
    <w:p w14:paraId="5F5BFD2F" w14:textId="77777777" w:rsidR="00AB34F2" w:rsidRDefault="00AB34F2" w:rsidP="00DF69B2">
      <w:pPr>
        <w:pStyle w:val="ListParagraph"/>
        <w:numPr>
          <w:ilvl w:val="0"/>
          <w:numId w:val="30"/>
        </w:numPr>
        <w:bidi/>
        <w:spacing w:after="0" w:line="276" w:lineRule="auto"/>
        <w:jc w:val="both"/>
        <w:rPr>
          <w:rFonts w:ascii="David" w:hAnsi="David" w:cs="David"/>
        </w:rPr>
      </w:pPr>
      <w:r w:rsidRPr="00AB34F2">
        <w:rPr>
          <w:rFonts w:ascii="David" w:hAnsi="David" w:cs="David"/>
          <w:rtl/>
        </w:rPr>
        <w:t>אחרי ההחלטה של בג״ץ, ההורים לא מקיימים אותה ולכן נקנסים ונשלחים למאסר. עד כאן- תביעה מנהלת ובזיון ביהמ״ש</w:t>
      </w:r>
      <w:r>
        <w:rPr>
          <w:rFonts w:ascii="David" w:hAnsi="David" w:cs="David" w:hint="cs"/>
          <w:rtl/>
        </w:rPr>
        <w:t>.</w:t>
      </w:r>
    </w:p>
    <w:p w14:paraId="66AFFD14" w14:textId="13B69AC4" w:rsidR="003D7A60" w:rsidRPr="00AB34F2" w:rsidRDefault="00AB34F2" w:rsidP="00DF69B2">
      <w:pPr>
        <w:pStyle w:val="ListParagraph"/>
        <w:numPr>
          <w:ilvl w:val="0"/>
          <w:numId w:val="30"/>
        </w:numPr>
        <w:bidi/>
        <w:spacing w:after="0" w:line="276" w:lineRule="auto"/>
        <w:jc w:val="both"/>
        <w:rPr>
          <w:rFonts w:ascii="David" w:hAnsi="David" w:cs="David"/>
          <w:rtl/>
        </w:rPr>
      </w:pPr>
      <w:r w:rsidRPr="00AB34F2">
        <w:rPr>
          <w:rFonts w:ascii="David" w:hAnsi="David" w:cs="David"/>
          <w:rtl/>
        </w:rPr>
        <w:t>קצת לאחר מכן מוגשת תביעה נזיקית לביהמ״ש השלום בתל אביב של שתי תלמידות והיא מסתיימת בפשרה, בה הנתבעים משלמים 70,000 ש״ח לשתי הבנות שתבעו.</w:t>
      </w:r>
    </w:p>
    <w:p w14:paraId="41C3B714" w14:textId="77777777" w:rsidR="00167D7E" w:rsidRDefault="00167D7E" w:rsidP="00CC7DF2">
      <w:pPr>
        <w:bidi/>
        <w:spacing w:after="0" w:line="276" w:lineRule="auto"/>
        <w:ind w:firstLine="720"/>
        <w:jc w:val="both"/>
        <w:rPr>
          <w:rFonts w:ascii="David" w:hAnsi="David" w:cs="David"/>
          <w:rtl/>
        </w:rPr>
      </w:pPr>
    </w:p>
    <w:p w14:paraId="08077E1B" w14:textId="77777777" w:rsidR="00BF02BB" w:rsidRDefault="00BF02BB" w:rsidP="00CC7DF2">
      <w:pPr>
        <w:bidi/>
        <w:spacing w:after="0" w:line="276" w:lineRule="auto"/>
        <w:jc w:val="both"/>
        <w:rPr>
          <w:rFonts w:ascii="David" w:hAnsi="David" w:cs="David"/>
          <w:rtl/>
        </w:rPr>
      </w:pPr>
    </w:p>
    <w:p w14:paraId="79DEA1DD" w14:textId="51AA2984" w:rsidR="007E67A2" w:rsidRDefault="007E67A2" w:rsidP="00CC7DF2">
      <w:pPr>
        <w:bidi/>
        <w:spacing w:after="0" w:line="276" w:lineRule="auto"/>
        <w:jc w:val="both"/>
        <w:rPr>
          <w:rFonts w:ascii="David" w:hAnsi="David" w:cs="David"/>
          <w:rtl/>
        </w:rPr>
      </w:pPr>
      <w:r>
        <w:rPr>
          <w:rFonts w:ascii="David" w:hAnsi="David" w:cs="David" w:hint="cs"/>
          <w:rtl/>
        </w:rPr>
        <w:t>הנתבעים הפוטנציאליים ב</w:t>
      </w:r>
      <w:r>
        <w:rPr>
          <w:rFonts w:ascii="David" w:hAnsi="David" w:cs="David" w:hint="cs"/>
          <w:u w:val="single"/>
          <w:rtl/>
        </w:rPr>
        <w:t>נזיקין</w:t>
      </w:r>
      <w:r>
        <w:rPr>
          <w:rFonts w:ascii="David" w:hAnsi="David" w:cs="David" w:hint="cs"/>
          <w:rtl/>
        </w:rPr>
        <w:t>: הנהלת ביה"ס, מרכז החינוך העצמאי, משרד החינוך, מחלקת חינוך ברשות מקומית (אם מדובר בבי"ס עירוני).</w:t>
      </w:r>
    </w:p>
    <w:p w14:paraId="150A07FC" w14:textId="62B3AEAB" w:rsidR="008918B1" w:rsidRDefault="00BD1E72" w:rsidP="00CC7DF2">
      <w:pPr>
        <w:bidi/>
        <w:spacing w:after="0"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20704" behindDoc="0" locked="0" layoutInCell="1" allowOverlap="1" wp14:anchorId="68C34FE7" wp14:editId="2CE7B490">
                <wp:simplePos x="0" y="0"/>
                <wp:positionH relativeFrom="margin">
                  <wp:posOffset>-520700</wp:posOffset>
                </wp:positionH>
                <wp:positionV relativeFrom="paragraph">
                  <wp:posOffset>161290</wp:posOffset>
                </wp:positionV>
                <wp:extent cx="1892300" cy="168275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1892300" cy="1682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27A4AD2" w14:textId="77777777" w:rsidR="00BD1E72" w:rsidRDefault="00BD1E72" w:rsidP="00513A96">
                            <w:pPr>
                              <w:bidi/>
                              <w:spacing w:after="0" w:line="276" w:lineRule="auto"/>
                              <w:jc w:val="both"/>
                              <w:rPr>
                                <w:rFonts w:ascii="David" w:hAnsi="David" w:cs="David"/>
                                <w:sz w:val="20"/>
                                <w:szCs w:val="20"/>
                                <w:rtl/>
                              </w:rPr>
                            </w:pPr>
                            <w:r w:rsidRPr="00BD1E72">
                              <w:rPr>
                                <w:rFonts w:ascii="David" w:hAnsi="David" w:cs="David" w:hint="cs"/>
                                <w:sz w:val="20"/>
                                <w:szCs w:val="20"/>
                                <w:u w:val="single"/>
                                <w:rtl/>
                              </w:rPr>
                              <w:t>הנזקים</w:t>
                            </w:r>
                            <w:r>
                              <w:rPr>
                                <w:rFonts w:ascii="David" w:hAnsi="David" w:cs="David" w:hint="cs"/>
                                <w:sz w:val="20"/>
                                <w:szCs w:val="20"/>
                                <w:rtl/>
                              </w:rPr>
                              <w:t>:</w:t>
                            </w:r>
                            <w:r>
                              <w:rPr>
                                <w:rFonts w:ascii="David" w:hAnsi="David" w:cs="David" w:hint="cs"/>
                                <w:sz w:val="20"/>
                                <w:szCs w:val="20"/>
                              </w:rPr>
                              <w:t xml:space="preserve"> </w:t>
                            </w:r>
                          </w:p>
                          <w:p w14:paraId="60755D9C" w14:textId="77777777" w:rsidR="00BD1E72"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נזקים</w:t>
                            </w:r>
                            <w:r w:rsidRPr="00BD1E72">
                              <w:rPr>
                                <w:rFonts w:ascii="David" w:hAnsi="David" w:cs="David" w:hint="cs"/>
                                <w:sz w:val="20"/>
                                <w:szCs w:val="20"/>
                                <w:rtl/>
                              </w:rPr>
                              <w:t xml:space="preserve"> </w:t>
                            </w:r>
                            <w:r w:rsidRPr="00BD1E72">
                              <w:rPr>
                                <w:rFonts w:ascii="David" w:hAnsi="David" w:cs="David" w:hint="cs"/>
                                <w:b/>
                                <w:bCs/>
                                <w:sz w:val="20"/>
                                <w:szCs w:val="20"/>
                                <w:rtl/>
                              </w:rPr>
                              <w:t>לא ממוניים</w:t>
                            </w:r>
                            <w:r w:rsidRPr="00BD1E72">
                              <w:rPr>
                                <w:rFonts w:ascii="David" w:hAnsi="David" w:cs="David" w:hint="cs"/>
                                <w:sz w:val="20"/>
                                <w:szCs w:val="20"/>
                                <w:rtl/>
                              </w:rPr>
                              <w:t xml:space="preserve"> נפשיים עקב הדחייה והנזק לכבוד בסיסי, אובדן נוחות, פגיעה באפשרות למיצוי עצמי.</w:t>
                            </w:r>
                          </w:p>
                          <w:p w14:paraId="287CF739" w14:textId="77777777" w:rsidR="00513A96"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 xml:space="preserve">נזק ממוני: </w:t>
                            </w:r>
                            <w:r w:rsidRPr="00BD1E72">
                              <w:rPr>
                                <w:rFonts w:ascii="David" w:hAnsi="David" w:cs="David" w:hint="cs"/>
                                <w:sz w:val="20"/>
                                <w:szCs w:val="20"/>
                                <w:rtl/>
                              </w:rPr>
                              <w:t xml:space="preserve">העותרים טענו כי מעבר למגמה השנייה </w:t>
                            </w:r>
                            <w:r w:rsidR="00604745">
                              <w:rPr>
                                <w:rFonts w:ascii="David" w:hAnsi="David" w:cs="David" w:hint="cs"/>
                                <w:sz w:val="20"/>
                                <w:szCs w:val="20"/>
                                <w:rtl/>
                              </w:rPr>
                              <w:t>כרוך בתשלום גבוה</w:t>
                            </w:r>
                            <w:r w:rsidR="00513A96">
                              <w:rPr>
                                <w:rFonts w:ascii="David" w:hAnsi="David" w:cs="David" w:hint="cs"/>
                                <w:sz w:val="20"/>
                                <w:szCs w:val="20"/>
                                <w:rtl/>
                              </w:rPr>
                              <w:t xml:space="preserve"> (מאשר לחסידים)</w:t>
                            </w:r>
                            <w:r w:rsidRPr="00BD1E72">
                              <w:rPr>
                                <w:rFonts w:ascii="David" w:hAnsi="David" w:cs="David" w:hint="cs"/>
                                <w:sz w:val="20"/>
                                <w:szCs w:val="20"/>
                                <w:rtl/>
                              </w:rPr>
                              <w:t xml:space="preserve">. </w:t>
                            </w:r>
                          </w:p>
                          <w:p w14:paraId="64F5E6A1" w14:textId="52AF41D2" w:rsidR="00BD1E72" w:rsidRPr="00BD1E72"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פגיעה באוטונומיה</w:t>
                            </w:r>
                            <w:r w:rsidRPr="00BD1E72">
                              <w:rPr>
                                <w:rFonts w:ascii="David" w:hAnsi="David" w:cs="David" w:hint="cs"/>
                                <w:sz w:val="20"/>
                                <w:szCs w:val="20"/>
                                <w:rtl/>
                              </w:rPr>
                              <w:t xml:space="preserve"> </w:t>
                            </w:r>
                            <w:r w:rsidRPr="00BD1E72">
                              <w:rPr>
                                <w:rFonts w:ascii="David" w:hAnsi="David" w:cs="David"/>
                                <w:sz w:val="20"/>
                                <w:szCs w:val="20"/>
                                <w:rtl/>
                              </w:rPr>
                              <w:t>–</w:t>
                            </w:r>
                            <w:r w:rsidRPr="00BD1E72">
                              <w:rPr>
                                <w:rFonts w:ascii="David" w:hAnsi="David" w:cs="David" w:hint="cs"/>
                                <w:sz w:val="20"/>
                                <w:szCs w:val="20"/>
                                <w:rtl/>
                              </w:rPr>
                              <w:t xml:space="preserve"> מניעים פסולים מנעו מהתלמידות להתחנך היכן שרצו.</w:t>
                            </w:r>
                          </w:p>
                          <w:p w14:paraId="30A8C824" w14:textId="77777777" w:rsidR="00BD1E72" w:rsidRPr="00BD1E72" w:rsidRDefault="00BD1E72" w:rsidP="00513A96">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4FE7" id="Text Box 10" o:spid="_x0000_s1049" type="#_x0000_t202" style="position:absolute;left:0;text-align:left;margin-left:-41pt;margin-top:12.7pt;width:149pt;height:13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" fillcolor="white [3201]" strokecolor="#a5c249 [3209]" strokeweight="1pt">
                <v:textbox>
                  <w:txbxContent>
                    <w:p w14:paraId="527A4AD2" w14:textId="77777777" w:rsidR="00BD1E72" w:rsidRDefault="00BD1E72" w:rsidP="00513A96">
                      <w:pPr>
                        <w:bidi/>
                        <w:spacing w:after="0" w:line="276" w:lineRule="auto"/>
                        <w:jc w:val="both"/>
                        <w:rPr>
                          <w:rFonts w:ascii="David" w:hAnsi="David" w:cs="David"/>
                          <w:sz w:val="20"/>
                          <w:szCs w:val="20"/>
                          <w:rtl/>
                        </w:rPr>
                      </w:pPr>
                      <w:r w:rsidRPr="00BD1E72">
                        <w:rPr>
                          <w:rFonts w:ascii="David" w:hAnsi="David" w:cs="David" w:hint="cs"/>
                          <w:sz w:val="20"/>
                          <w:szCs w:val="20"/>
                          <w:u w:val="single"/>
                          <w:rtl/>
                        </w:rPr>
                        <w:t>הנזקים</w:t>
                      </w:r>
                      <w:r>
                        <w:rPr>
                          <w:rFonts w:ascii="David" w:hAnsi="David" w:cs="David" w:hint="cs"/>
                          <w:sz w:val="20"/>
                          <w:szCs w:val="20"/>
                          <w:rtl/>
                        </w:rPr>
                        <w:t>:</w:t>
                      </w:r>
                      <w:r>
                        <w:rPr>
                          <w:rFonts w:ascii="David" w:hAnsi="David" w:cs="David" w:hint="cs"/>
                          <w:sz w:val="20"/>
                          <w:szCs w:val="20"/>
                        </w:rPr>
                        <w:t xml:space="preserve"> </w:t>
                      </w:r>
                    </w:p>
                    <w:p w14:paraId="60755D9C" w14:textId="77777777" w:rsidR="00BD1E72"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נזקים</w:t>
                      </w:r>
                      <w:r w:rsidRPr="00BD1E72">
                        <w:rPr>
                          <w:rFonts w:ascii="David" w:hAnsi="David" w:cs="David" w:hint="cs"/>
                          <w:sz w:val="20"/>
                          <w:szCs w:val="20"/>
                          <w:rtl/>
                        </w:rPr>
                        <w:t xml:space="preserve"> </w:t>
                      </w:r>
                      <w:r w:rsidRPr="00BD1E72">
                        <w:rPr>
                          <w:rFonts w:ascii="David" w:hAnsi="David" w:cs="David" w:hint="cs"/>
                          <w:b/>
                          <w:bCs/>
                          <w:sz w:val="20"/>
                          <w:szCs w:val="20"/>
                          <w:rtl/>
                        </w:rPr>
                        <w:t>לא ממוניים</w:t>
                      </w:r>
                      <w:r w:rsidRPr="00BD1E72">
                        <w:rPr>
                          <w:rFonts w:ascii="David" w:hAnsi="David" w:cs="David" w:hint="cs"/>
                          <w:sz w:val="20"/>
                          <w:szCs w:val="20"/>
                          <w:rtl/>
                        </w:rPr>
                        <w:t xml:space="preserve"> נפשיים עקב הדחייה והנזק לכבוד בסיסי, אובדן נוחות, פגיעה באפשרות למיצוי עצמי.</w:t>
                      </w:r>
                    </w:p>
                    <w:p w14:paraId="287CF739" w14:textId="77777777" w:rsidR="00513A96"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 xml:space="preserve">נזק ממוני: </w:t>
                      </w:r>
                      <w:r w:rsidRPr="00BD1E72">
                        <w:rPr>
                          <w:rFonts w:ascii="David" w:hAnsi="David" w:cs="David" w:hint="cs"/>
                          <w:sz w:val="20"/>
                          <w:szCs w:val="20"/>
                          <w:rtl/>
                        </w:rPr>
                        <w:t xml:space="preserve">העותרים טענו כי מעבר למגמה השנייה </w:t>
                      </w:r>
                      <w:r w:rsidR="00604745">
                        <w:rPr>
                          <w:rFonts w:ascii="David" w:hAnsi="David" w:cs="David" w:hint="cs"/>
                          <w:sz w:val="20"/>
                          <w:szCs w:val="20"/>
                          <w:rtl/>
                        </w:rPr>
                        <w:t>כרוך בתשלום גבוה</w:t>
                      </w:r>
                      <w:r w:rsidR="00513A96">
                        <w:rPr>
                          <w:rFonts w:ascii="David" w:hAnsi="David" w:cs="David" w:hint="cs"/>
                          <w:sz w:val="20"/>
                          <w:szCs w:val="20"/>
                          <w:rtl/>
                        </w:rPr>
                        <w:t xml:space="preserve"> (מאשר לחסידים)</w:t>
                      </w:r>
                      <w:r w:rsidRPr="00BD1E72">
                        <w:rPr>
                          <w:rFonts w:ascii="David" w:hAnsi="David" w:cs="David" w:hint="cs"/>
                          <w:sz w:val="20"/>
                          <w:szCs w:val="20"/>
                          <w:rtl/>
                        </w:rPr>
                        <w:t xml:space="preserve">. </w:t>
                      </w:r>
                    </w:p>
                    <w:p w14:paraId="64F5E6A1" w14:textId="52AF41D2" w:rsidR="00BD1E72" w:rsidRPr="00BD1E72" w:rsidRDefault="00BD1E72" w:rsidP="00513A96">
                      <w:pPr>
                        <w:bidi/>
                        <w:spacing w:after="0" w:line="276" w:lineRule="auto"/>
                        <w:jc w:val="both"/>
                        <w:rPr>
                          <w:rFonts w:ascii="David" w:hAnsi="David" w:cs="David"/>
                          <w:sz w:val="20"/>
                          <w:szCs w:val="20"/>
                          <w:rtl/>
                        </w:rPr>
                      </w:pPr>
                      <w:r w:rsidRPr="00BD1E72">
                        <w:rPr>
                          <w:rFonts w:ascii="David" w:hAnsi="David" w:cs="David" w:hint="cs"/>
                          <w:b/>
                          <w:bCs/>
                          <w:sz w:val="20"/>
                          <w:szCs w:val="20"/>
                          <w:rtl/>
                        </w:rPr>
                        <w:t>פגיעה באוטונומיה</w:t>
                      </w:r>
                      <w:r w:rsidRPr="00BD1E72">
                        <w:rPr>
                          <w:rFonts w:ascii="David" w:hAnsi="David" w:cs="David" w:hint="cs"/>
                          <w:sz w:val="20"/>
                          <w:szCs w:val="20"/>
                          <w:rtl/>
                        </w:rPr>
                        <w:t xml:space="preserve"> </w:t>
                      </w:r>
                      <w:r w:rsidRPr="00BD1E72">
                        <w:rPr>
                          <w:rFonts w:ascii="David" w:hAnsi="David" w:cs="David"/>
                          <w:sz w:val="20"/>
                          <w:szCs w:val="20"/>
                          <w:rtl/>
                        </w:rPr>
                        <w:t>–</w:t>
                      </w:r>
                      <w:r w:rsidRPr="00BD1E72">
                        <w:rPr>
                          <w:rFonts w:ascii="David" w:hAnsi="David" w:cs="David" w:hint="cs"/>
                          <w:sz w:val="20"/>
                          <w:szCs w:val="20"/>
                          <w:rtl/>
                        </w:rPr>
                        <w:t xml:space="preserve"> מניעים פסולים מנעו מהתלמידות להתחנך היכן שרצו.</w:t>
                      </w:r>
                    </w:p>
                    <w:p w14:paraId="30A8C824" w14:textId="77777777" w:rsidR="00BD1E72" w:rsidRPr="00BD1E72" w:rsidRDefault="00BD1E72" w:rsidP="00513A96">
                      <w:pPr>
                        <w:spacing w:after="0"/>
                        <w:rPr>
                          <w:sz w:val="20"/>
                          <w:szCs w:val="20"/>
                        </w:rPr>
                      </w:pPr>
                    </w:p>
                  </w:txbxContent>
                </v:textbox>
                <w10:wrap anchorx="margin"/>
              </v:shape>
            </w:pict>
          </mc:Fallback>
        </mc:AlternateContent>
      </w:r>
    </w:p>
    <w:p w14:paraId="1E4B5B09" w14:textId="7F901DC5" w:rsidR="008918B1" w:rsidRDefault="004437AE" w:rsidP="00CC7DF2">
      <w:pPr>
        <w:bidi/>
        <w:spacing w:after="0"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18656" behindDoc="0" locked="0" layoutInCell="1" allowOverlap="1" wp14:anchorId="5D6F58DC" wp14:editId="772FECA9">
                <wp:simplePos x="0" y="0"/>
                <wp:positionH relativeFrom="page">
                  <wp:posOffset>2476500</wp:posOffset>
                </wp:positionH>
                <wp:positionV relativeFrom="paragraph">
                  <wp:posOffset>3175</wp:posOffset>
                </wp:positionV>
                <wp:extent cx="2622550" cy="16637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2622550" cy="1663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4EE96FF" w14:textId="77777777" w:rsidR="00CA7C1A" w:rsidRPr="00CA7C1A" w:rsidRDefault="0016237A" w:rsidP="0016237A">
                            <w:pPr>
                              <w:bidi/>
                              <w:spacing w:line="276" w:lineRule="auto"/>
                              <w:jc w:val="both"/>
                              <w:rPr>
                                <w:rFonts w:ascii="David" w:hAnsi="David" w:cs="David"/>
                                <w:sz w:val="20"/>
                                <w:szCs w:val="20"/>
                                <w:rtl/>
                              </w:rPr>
                            </w:pPr>
                            <w:r w:rsidRPr="00CA7C1A">
                              <w:rPr>
                                <w:rFonts w:ascii="David" w:hAnsi="David" w:cs="David" w:hint="cs"/>
                                <w:sz w:val="20"/>
                                <w:szCs w:val="20"/>
                                <w:u w:val="single"/>
                                <w:rtl/>
                              </w:rPr>
                              <w:t>העוולות</w:t>
                            </w:r>
                            <w:r w:rsidRPr="00CA7C1A">
                              <w:rPr>
                                <w:rFonts w:ascii="David" w:hAnsi="David" w:cs="David" w:hint="cs"/>
                                <w:sz w:val="20"/>
                                <w:szCs w:val="20"/>
                                <w:rtl/>
                              </w:rPr>
                              <w:t xml:space="preserve"> </w:t>
                            </w:r>
                            <w:r w:rsidRPr="00CA7C1A">
                              <w:rPr>
                                <w:rFonts w:ascii="David" w:hAnsi="David" w:cs="David"/>
                                <w:sz w:val="20"/>
                                <w:szCs w:val="20"/>
                                <w:rtl/>
                              </w:rPr>
                              <w:t>–</w:t>
                            </w:r>
                            <w:r w:rsidRPr="00CA7C1A">
                              <w:rPr>
                                <w:rFonts w:ascii="David" w:hAnsi="David" w:cs="David" w:hint="cs"/>
                                <w:sz w:val="20"/>
                                <w:szCs w:val="20"/>
                                <w:rtl/>
                              </w:rPr>
                              <w:t xml:space="preserve"> </w:t>
                            </w:r>
                          </w:p>
                          <w:p w14:paraId="0C9F266C" w14:textId="709AE0C0" w:rsidR="0016237A" w:rsidRPr="00CA7C1A" w:rsidRDefault="0016237A" w:rsidP="00DF69B2">
                            <w:pPr>
                              <w:pStyle w:val="ListParagraph"/>
                              <w:numPr>
                                <w:ilvl w:val="0"/>
                                <w:numId w:val="28"/>
                              </w:numPr>
                              <w:bidi/>
                              <w:spacing w:line="276" w:lineRule="auto"/>
                              <w:jc w:val="both"/>
                              <w:rPr>
                                <w:rFonts w:ascii="David" w:hAnsi="David" w:cs="David"/>
                                <w:sz w:val="20"/>
                                <w:szCs w:val="20"/>
                              </w:rPr>
                            </w:pPr>
                            <w:r w:rsidRPr="00CA7C1A">
                              <w:rPr>
                                <w:rFonts w:ascii="David" w:hAnsi="David" w:cs="David" w:hint="cs"/>
                                <w:sz w:val="20"/>
                                <w:szCs w:val="20"/>
                                <w:rtl/>
                              </w:rPr>
                              <w:t xml:space="preserve">הפרת חובות חקוקות: חוק זכויות התלמיד, חוק איסור הפליה במוצרים, חוק הפיקוח על בתי ספר, </w:t>
                            </w:r>
                            <w:r w:rsidR="001556CF" w:rsidRPr="00CA7C1A">
                              <w:rPr>
                                <w:rFonts w:ascii="David" w:hAnsi="David" w:cs="David" w:hint="cs"/>
                                <w:sz w:val="20"/>
                                <w:szCs w:val="20"/>
                                <w:rtl/>
                              </w:rPr>
                              <w:t>הוראות חוק העונשין לדאגה לאחר (תחת אחריות, מניעת התעללות בו ושמירה על בריאותו</w:t>
                            </w:r>
                            <w:r w:rsidR="00CA7C1A" w:rsidRPr="00CA7C1A">
                              <w:rPr>
                                <w:rFonts w:ascii="David" w:hAnsi="David" w:cs="David" w:hint="cs"/>
                                <w:sz w:val="20"/>
                                <w:szCs w:val="20"/>
                                <w:rtl/>
                              </w:rPr>
                              <w:t>)</w:t>
                            </w:r>
                            <w:r w:rsidR="001556CF" w:rsidRPr="00CA7C1A">
                              <w:rPr>
                                <w:rFonts w:ascii="David" w:hAnsi="David" w:cs="David" w:hint="cs"/>
                                <w:sz w:val="20"/>
                                <w:szCs w:val="20"/>
                                <w:rtl/>
                              </w:rPr>
                              <w:t xml:space="preserve"> </w:t>
                            </w:r>
                          </w:p>
                          <w:p w14:paraId="6A982CBC" w14:textId="58747ECA" w:rsidR="00CA7C1A" w:rsidRPr="00CA7C1A" w:rsidRDefault="00CA7C1A" w:rsidP="00DF69B2">
                            <w:pPr>
                              <w:pStyle w:val="ListParagraph"/>
                              <w:numPr>
                                <w:ilvl w:val="0"/>
                                <w:numId w:val="28"/>
                              </w:numPr>
                              <w:bidi/>
                              <w:spacing w:line="276" w:lineRule="auto"/>
                              <w:jc w:val="both"/>
                              <w:rPr>
                                <w:rFonts w:ascii="David" w:hAnsi="David" w:cs="David"/>
                                <w:sz w:val="20"/>
                                <w:szCs w:val="20"/>
                                <w:rtl/>
                              </w:rPr>
                            </w:pPr>
                            <w:r w:rsidRPr="00CA7C1A">
                              <w:rPr>
                                <w:rFonts w:ascii="David" w:hAnsi="David" w:cs="David" w:hint="cs"/>
                                <w:sz w:val="20"/>
                                <w:szCs w:val="20"/>
                                <w:rtl/>
                              </w:rPr>
                              <w:t xml:space="preserve">רשלנות </w:t>
                            </w:r>
                          </w:p>
                          <w:p w14:paraId="1FDD1E36" w14:textId="77777777" w:rsidR="0016237A" w:rsidRDefault="0016237A" w:rsidP="00162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58DC" id="Text Box 8" o:spid="_x0000_s1050" type="#_x0000_t202" style="position:absolute;left:0;text-align:left;margin-left:195pt;margin-top:.25pt;width:206.5pt;height:13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" fillcolor="white [3201]" strokecolor="#a5c249 [3209]" strokeweight="1pt">
                <v:textbox>
                  <w:txbxContent>
                    <w:p w14:paraId="24EE96FF" w14:textId="77777777" w:rsidR="00CA7C1A" w:rsidRPr="00CA7C1A" w:rsidRDefault="0016237A" w:rsidP="0016237A">
                      <w:pPr>
                        <w:bidi/>
                        <w:spacing w:line="276" w:lineRule="auto"/>
                        <w:jc w:val="both"/>
                        <w:rPr>
                          <w:rFonts w:ascii="David" w:hAnsi="David" w:cs="David"/>
                          <w:sz w:val="20"/>
                          <w:szCs w:val="20"/>
                          <w:rtl/>
                        </w:rPr>
                      </w:pPr>
                      <w:r w:rsidRPr="00CA7C1A">
                        <w:rPr>
                          <w:rFonts w:ascii="David" w:hAnsi="David" w:cs="David" w:hint="cs"/>
                          <w:sz w:val="20"/>
                          <w:szCs w:val="20"/>
                          <w:u w:val="single"/>
                          <w:rtl/>
                        </w:rPr>
                        <w:t>העוולות</w:t>
                      </w:r>
                      <w:r w:rsidRPr="00CA7C1A">
                        <w:rPr>
                          <w:rFonts w:ascii="David" w:hAnsi="David" w:cs="David" w:hint="cs"/>
                          <w:sz w:val="20"/>
                          <w:szCs w:val="20"/>
                          <w:rtl/>
                        </w:rPr>
                        <w:t xml:space="preserve"> </w:t>
                      </w:r>
                      <w:r w:rsidRPr="00CA7C1A">
                        <w:rPr>
                          <w:rFonts w:ascii="David" w:hAnsi="David" w:cs="David"/>
                          <w:sz w:val="20"/>
                          <w:szCs w:val="20"/>
                          <w:rtl/>
                        </w:rPr>
                        <w:t>–</w:t>
                      </w:r>
                      <w:r w:rsidRPr="00CA7C1A">
                        <w:rPr>
                          <w:rFonts w:ascii="David" w:hAnsi="David" w:cs="David" w:hint="cs"/>
                          <w:sz w:val="20"/>
                          <w:szCs w:val="20"/>
                          <w:rtl/>
                        </w:rPr>
                        <w:t xml:space="preserve"> </w:t>
                      </w:r>
                    </w:p>
                    <w:p w14:paraId="0C9F266C" w14:textId="709AE0C0" w:rsidR="0016237A" w:rsidRPr="00CA7C1A" w:rsidRDefault="0016237A" w:rsidP="00DF69B2">
                      <w:pPr>
                        <w:pStyle w:val="ListParagraph"/>
                        <w:numPr>
                          <w:ilvl w:val="0"/>
                          <w:numId w:val="28"/>
                        </w:numPr>
                        <w:bidi/>
                        <w:spacing w:line="276" w:lineRule="auto"/>
                        <w:jc w:val="both"/>
                        <w:rPr>
                          <w:rFonts w:ascii="David" w:hAnsi="David" w:cs="David"/>
                          <w:sz w:val="20"/>
                          <w:szCs w:val="20"/>
                        </w:rPr>
                      </w:pPr>
                      <w:r w:rsidRPr="00CA7C1A">
                        <w:rPr>
                          <w:rFonts w:ascii="David" w:hAnsi="David" w:cs="David" w:hint="cs"/>
                          <w:sz w:val="20"/>
                          <w:szCs w:val="20"/>
                          <w:rtl/>
                        </w:rPr>
                        <w:t xml:space="preserve">הפרת חובות חקוקות: חוק זכויות התלמיד, חוק איסור הפליה במוצרים, חוק הפיקוח על בתי ספר, </w:t>
                      </w:r>
                      <w:r w:rsidR="001556CF" w:rsidRPr="00CA7C1A">
                        <w:rPr>
                          <w:rFonts w:ascii="David" w:hAnsi="David" w:cs="David" w:hint="cs"/>
                          <w:sz w:val="20"/>
                          <w:szCs w:val="20"/>
                          <w:rtl/>
                        </w:rPr>
                        <w:t>הוראות חוק העונשין לדאגה לאחר (תחת אחריות, מניעת התעללות בו ושמירה על בריאותו</w:t>
                      </w:r>
                      <w:r w:rsidR="00CA7C1A" w:rsidRPr="00CA7C1A">
                        <w:rPr>
                          <w:rFonts w:ascii="David" w:hAnsi="David" w:cs="David" w:hint="cs"/>
                          <w:sz w:val="20"/>
                          <w:szCs w:val="20"/>
                          <w:rtl/>
                        </w:rPr>
                        <w:t>)</w:t>
                      </w:r>
                      <w:r w:rsidR="001556CF" w:rsidRPr="00CA7C1A">
                        <w:rPr>
                          <w:rFonts w:ascii="David" w:hAnsi="David" w:cs="David" w:hint="cs"/>
                          <w:sz w:val="20"/>
                          <w:szCs w:val="20"/>
                          <w:rtl/>
                        </w:rPr>
                        <w:t xml:space="preserve"> </w:t>
                      </w:r>
                    </w:p>
                    <w:p w14:paraId="6A982CBC" w14:textId="58747ECA" w:rsidR="00CA7C1A" w:rsidRPr="00CA7C1A" w:rsidRDefault="00CA7C1A" w:rsidP="00DF69B2">
                      <w:pPr>
                        <w:pStyle w:val="ListParagraph"/>
                        <w:numPr>
                          <w:ilvl w:val="0"/>
                          <w:numId w:val="28"/>
                        </w:numPr>
                        <w:bidi/>
                        <w:spacing w:line="276" w:lineRule="auto"/>
                        <w:jc w:val="both"/>
                        <w:rPr>
                          <w:rFonts w:ascii="David" w:hAnsi="David" w:cs="David"/>
                          <w:sz w:val="20"/>
                          <w:szCs w:val="20"/>
                          <w:rtl/>
                        </w:rPr>
                      </w:pPr>
                      <w:r w:rsidRPr="00CA7C1A">
                        <w:rPr>
                          <w:rFonts w:ascii="David" w:hAnsi="David" w:cs="David" w:hint="cs"/>
                          <w:sz w:val="20"/>
                          <w:szCs w:val="20"/>
                          <w:rtl/>
                        </w:rPr>
                        <w:t xml:space="preserve">רשלנות </w:t>
                      </w:r>
                    </w:p>
                    <w:p w14:paraId="1FDD1E36" w14:textId="77777777" w:rsidR="0016237A" w:rsidRDefault="0016237A" w:rsidP="0016237A"/>
                  </w:txbxContent>
                </v:textbox>
                <w10:wrap anchorx="page"/>
              </v:shape>
            </w:pict>
          </mc:Fallback>
        </mc:AlternateContent>
      </w:r>
      <w:r w:rsidR="00BD1E72">
        <w:rPr>
          <w:rFonts w:ascii="David" w:hAnsi="David" w:cs="David"/>
          <w:noProof/>
          <w:rtl/>
          <w:lang w:val="he-IL"/>
        </w:rPr>
        <mc:AlternateContent>
          <mc:Choice Requires="wps">
            <w:drawing>
              <wp:anchor distT="0" distB="0" distL="114300" distR="114300" simplePos="0" relativeHeight="251716608" behindDoc="0" locked="0" layoutInCell="1" allowOverlap="1" wp14:anchorId="69B193A0" wp14:editId="245FB8B6">
                <wp:simplePos x="0" y="0"/>
                <wp:positionH relativeFrom="margin">
                  <wp:posOffset>4311650</wp:posOffset>
                </wp:positionH>
                <wp:positionV relativeFrom="paragraph">
                  <wp:posOffset>9525</wp:posOffset>
                </wp:positionV>
                <wp:extent cx="1835150" cy="165100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1835150" cy="16510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A58EBDF" w14:textId="77777777" w:rsidR="008918B1" w:rsidRPr="00CA7C1A" w:rsidRDefault="008918B1" w:rsidP="008918B1">
                            <w:pPr>
                              <w:bidi/>
                              <w:spacing w:line="276" w:lineRule="auto"/>
                              <w:jc w:val="both"/>
                              <w:rPr>
                                <w:rFonts w:ascii="David" w:hAnsi="David" w:cs="David"/>
                                <w:sz w:val="20"/>
                                <w:szCs w:val="20"/>
                                <w:rtl/>
                              </w:rPr>
                            </w:pPr>
                            <w:r w:rsidRPr="00CA7C1A">
                              <w:rPr>
                                <w:rFonts w:ascii="David" w:hAnsi="David" w:cs="David" w:hint="cs"/>
                                <w:sz w:val="20"/>
                                <w:szCs w:val="20"/>
                                <w:u w:val="single"/>
                                <w:rtl/>
                              </w:rPr>
                              <w:t>הטענות המשפטיות</w:t>
                            </w:r>
                            <w:r w:rsidRPr="00CA7C1A">
                              <w:rPr>
                                <w:rFonts w:ascii="David" w:hAnsi="David" w:cs="David" w:hint="cs"/>
                                <w:sz w:val="20"/>
                                <w:szCs w:val="20"/>
                                <w:rtl/>
                              </w:rPr>
                              <w:t xml:space="preserve"> </w:t>
                            </w:r>
                            <w:r w:rsidRPr="00CA7C1A">
                              <w:rPr>
                                <w:rFonts w:ascii="David" w:hAnsi="David" w:cs="David"/>
                                <w:sz w:val="20"/>
                                <w:szCs w:val="20"/>
                                <w:rtl/>
                              </w:rPr>
                              <w:t>–</w:t>
                            </w:r>
                            <w:r w:rsidRPr="00CA7C1A">
                              <w:rPr>
                                <w:rFonts w:ascii="David" w:hAnsi="David" w:cs="David" w:hint="cs"/>
                                <w:sz w:val="20"/>
                                <w:szCs w:val="20"/>
                                <w:rtl/>
                              </w:rPr>
                              <w:t xml:space="preserve"> פגיעה ב:</w:t>
                            </w:r>
                          </w:p>
                          <w:p w14:paraId="105D746D"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 xml:space="preserve">כבוד </w:t>
                            </w:r>
                          </w:p>
                          <w:p w14:paraId="6C4825BA"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שוויון מהותי-חוקתי</w:t>
                            </w:r>
                          </w:p>
                          <w:p w14:paraId="26DC5040"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זכות לחינוך</w:t>
                            </w:r>
                          </w:p>
                          <w:p w14:paraId="6CFF6E81"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זכות לשוויון בחינוך</w:t>
                            </w:r>
                          </w:p>
                          <w:p w14:paraId="02CFBCFD" w14:textId="77777777" w:rsidR="008918B1" w:rsidRDefault="00891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193A0" id="_x0000_s1051" type="#_x0000_t202" style="position:absolute;left:0;text-align:left;margin-left:339.5pt;margin-top:.75pt;width:144.5pt;height:13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" fillcolor="white [3201]" strokecolor="#a5c249 [3209]" strokeweight="1pt">
                <v:textbox>
                  <w:txbxContent>
                    <w:p w14:paraId="0A58EBDF" w14:textId="77777777" w:rsidR="008918B1" w:rsidRPr="00CA7C1A" w:rsidRDefault="008918B1" w:rsidP="008918B1">
                      <w:pPr>
                        <w:bidi/>
                        <w:spacing w:line="276" w:lineRule="auto"/>
                        <w:jc w:val="both"/>
                        <w:rPr>
                          <w:rFonts w:ascii="David" w:hAnsi="David" w:cs="David"/>
                          <w:sz w:val="20"/>
                          <w:szCs w:val="20"/>
                          <w:rtl/>
                        </w:rPr>
                      </w:pPr>
                      <w:r w:rsidRPr="00CA7C1A">
                        <w:rPr>
                          <w:rFonts w:ascii="David" w:hAnsi="David" w:cs="David" w:hint="cs"/>
                          <w:sz w:val="20"/>
                          <w:szCs w:val="20"/>
                          <w:u w:val="single"/>
                          <w:rtl/>
                        </w:rPr>
                        <w:t>הטענות המשפטיות</w:t>
                      </w:r>
                      <w:r w:rsidRPr="00CA7C1A">
                        <w:rPr>
                          <w:rFonts w:ascii="David" w:hAnsi="David" w:cs="David" w:hint="cs"/>
                          <w:sz w:val="20"/>
                          <w:szCs w:val="20"/>
                          <w:rtl/>
                        </w:rPr>
                        <w:t xml:space="preserve"> </w:t>
                      </w:r>
                      <w:r w:rsidRPr="00CA7C1A">
                        <w:rPr>
                          <w:rFonts w:ascii="David" w:hAnsi="David" w:cs="David"/>
                          <w:sz w:val="20"/>
                          <w:szCs w:val="20"/>
                          <w:rtl/>
                        </w:rPr>
                        <w:t>–</w:t>
                      </w:r>
                      <w:r w:rsidRPr="00CA7C1A">
                        <w:rPr>
                          <w:rFonts w:ascii="David" w:hAnsi="David" w:cs="David" w:hint="cs"/>
                          <w:sz w:val="20"/>
                          <w:szCs w:val="20"/>
                          <w:rtl/>
                        </w:rPr>
                        <w:t xml:space="preserve"> פגיעה ב:</w:t>
                      </w:r>
                    </w:p>
                    <w:p w14:paraId="105D746D"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 xml:space="preserve">כבוד </w:t>
                      </w:r>
                    </w:p>
                    <w:p w14:paraId="6C4825BA"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שוויון מהותי-חוקתי</w:t>
                      </w:r>
                    </w:p>
                    <w:p w14:paraId="26DC5040"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זכות לחינוך</w:t>
                      </w:r>
                    </w:p>
                    <w:p w14:paraId="6CFF6E81" w14:textId="77777777" w:rsidR="008918B1" w:rsidRPr="00CA7C1A" w:rsidRDefault="008918B1" w:rsidP="00DF69B2">
                      <w:pPr>
                        <w:pStyle w:val="ListParagraph"/>
                        <w:numPr>
                          <w:ilvl w:val="0"/>
                          <w:numId w:val="4"/>
                        </w:numPr>
                        <w:bidi/>
                        <w:spacing w:line="276" w:lineRule="auto"/>
                        <w:jc w:val="both"/>
                        <w:rPr>
                          <w:rFonts w:ascii="David" w:hAnsi="David" w:cs="David"/>
                          <w:sz w:val="20"/>
                          <w:szCs w:val="20"/>
                        </w:rPr>
                      </w:pPr>
                      <w:r w:rsidRPr="00CA7C1A">
                        <w:rPr>
                          <w:rFonts w:ascii="David" w:hAnsi="David" w:cs="David" w:hint="cs"/>
                          <w:sz w:val="20"/>
                          <w:szCs w:val="20"/>
                          <w:rtl/>
                        </w:rPr>
                        <w:t>זכות לשוויון בחינוך</w:t>
                      </w:r>
                    </w:p>
                    <w:p w14:paraId="02CFBCFD" w14:textId="77777777" w:rsidR="008918B1" w:rsidRDefault="008918B1"/>
                  </w:txbxContent>
                </v:textbox>
                <w10:wrap anchorx="margin"/>
              </v:shape>
            </w:pict>
          </mc:Fallback>
        </mc:AlternateContent>
      </w:r>
    </w:p>
    <w:p w14:paraId="58EEB752" w14:textId="04B3BF99" w:rsidR="008918B1" w:rsidRDefault="008918B1" w:rsidP="00CC7DF2">
      <w:pPr>
        <w:bidi/>
        <w:spacing w:after="0" w:line="276" w:lineRule="auto"/>
        <w:jc w:val="both"/>
        <w:rPr>
          <w:rFonts w:ascii="David" w:hAnsi="David" w:cs="David"/>
          <w:rtl/>
        </w:rPr>
      </w:pPr>
    </w:p>
    <w:p w14:paraId="1AFE5335" w14:textId="7BAF08A7" w:rsidR="0016237A" w:rsidRDefault="0016237A" w:rsidP="00CC7DF2">
      <w:pPr>
        <w:bidi/>
        <w:spacing w:after="0" w:line="276" w:lineRule="auto"/>
        <w:jc w:val="both"/>
        <w:rPr>
          <w:rFonts w:ascii="David" w:hAnsi="David" w:cs="David"/>
          <w:rtl/>
        </w:rPr>
      </w:pPr>
    </w:p>
    <w:p w14:paraId="6518E98B" w14:textId="77777777" w:rsidR="0016237A" w:rsidRDefault="0016237A" w:rsidP="00CC7DF2">
      <w:pPr>
        <w:bidi/>
        <w:spacing w:after="0" w:line="276" w:lineRule="auto"/>
        <w:jc w:val="both"/>
        <w:rPr>
          <w:rFonts w:ascii="David" w:hAnsi="David" w:cs="David"/>
          <w:rtl/>
        </w:rPr>
      </w:pPr>
    </w:p>
    <w:p w14:paraId="1289F2BC" w14:textId="77777777" w:rsidR="0016237A" w:rsidRDefault="0016237A" w:rsidP="00CC7DF2">
      <w:pPr>
        <w:bidi/>
        <w:spacing w:after="0" w:line="276" w:lineRule="auto"/>
        <w:jc w:val="both"/>
        <w:rPr>
          <w:rFonts w:ascii="David" w:hAnsi="David" w:cs="David"/>
          <w:rtl/>
        </w:rPr>
      </w:pPr>
    </w:p>
    <w:p w14:paraId="002A4AAE" w14:textId="77777777" w:rsidR="0016237A" w:rsidRDefault="0016237A" w:rsidP="00CC7DF2">
      <w:pPr>
        <w:bidi/>
        <w:spacing w:after="0" w:line="276" w:lineRule="auto"/>
        <w:jc w:val="both"/>
        <w:rPr>
          <w:rFonts w:ascii="David" w:hAnsi="David" w:cs="David"/>
          <w:rtl/>
        </w:rPr>
      </w:pPr>
    </w:p>
    <w:p w14:paraId="4A20D1FB" w14:textId="77777777" w:rsidR="0016237A" w:rsidRDefault="0016237A" w:rsidP="00CC7DF2">
      <w:pPr>
        <w:bidi/>
        <w:spacing w:after="0" w:line="276" w:lineRule="auto"/>
        <w:jc w:val="both"/>
        <w:rPr>
          <w:rFonts w:ascii="David" w:hAnsi="David" w:cs="David"/>
          <w:rtl/>
        </w:rPr>
      </w:pPr>
    </w:p>
    <w:p w14:paraId="57464A0A" w14:textId="77777777" w:rsidR="0016237A" w:rsidRDefault="0016237A" w:rsidP="00CC7DF2">
      <w:pPr>
        <w:bidi/>
        <w:spacing w:after="0" w:line="276" w:lineRule="auto"/>
        <w:jc w:val="both"/>
        <w:rPr>
          <w:rFonts w:ascii="David" w:hAnsi="David" w:cs="David"/>
          <w:rtl/>
        </w:rPr>
      </w:pPr>
    </w:p>
    <w:p w14:paraId="33B8913F" w14:textId="7CAEC45A" w:rsidR="00BD1E72" w:rsidRDefault="00BD1E72" w:rsidP="00CC7DF2">
      <w:pPr>
        <w:bidi/>
        <w:spacing w:after="0" w:line="276" w:lineRule="auto"/>
        <w:jc w:val="both"/>
        <w:rPr>
          <w:rFonts w:ascii="David" w:hAnsi="David" w:cs="David"/>
          <w:rtl/>
        </w:rPr>
      </w:pPr>
    </w:p>
    <w:p w14:paraId="4E73D4E8" w14:textId="77777777" w:rsidR="00BD1E72" w:rsidRDefault="00BD1E72" w:rsidP="00CC7DF2">
      <w:pPr>
        <w:bidi/>
        <w:spacing w:after="0" w:line="276" w:lineRule="auto"/>
        <w:jc w:val="both"/>
        <w:rPr>
          <w:rFonts w:ascii="David" w:hAnsi="David" w:cs="David"/>
          <w:rtl/>
        </w:rPr>
      </w:pPr>
    </w:p>
    <w:p w14:paraId="3426428F" w14:textId="77777777" w:rsidR="0016237A" w:rsidRDefault="0016237A" w:rsidP="00CC7DF2">
      <w:pPr>
        <w:bidi/>
        <w:spacing w:after="0" w:line="276" w:lineRule="auto"/>
        <w:jc w:val="both"/>
        <w:rPr>
          <w:rFonts w:ascii="David" w:hAnsi="David" w:cs="David"/>
          <w:rtl/>
        </w:rPr>
      </w:pPr>
    </w:p>
    <w:p w14:paraId="740C65ED" w14:textId="720FF011" w:rsidR="008918B1" w:rsidRDefault="008918B1" w:rsidP="00CC7DF2">
      <w:pPr>
        <w:bidi/>
        <w:spacing w:after="0" w:line="276" w:lineRule="auto"/>
        <w:jc w:val="both"/>
        <w:rPr>
          <w:rFonts w:ascii="David" w:hAnsi="David" w:cs="David"/>
          <w:rtl/>
        </w:rPr>
      </w:pPr>
    </w:p>
    <w:p w14:paraId="73B06662" w14:textId="59C51457" w:rsidR="00A43BA4" w:rsidRDefault="00D36CF6" w:rsidP="00CC7DF2">
      <w:pPr>
        <w:bidi/>
        <w:spacing w:after="0" w:line="276" w:lineRule="auto"/>
        <w:jc w:val="both"/>
        <w:rPr>
          <w:rFonts w:ascii="David" w:hAnsi="David" w:cs="David"/>
          <w:rtl/>
        </w:rPr>
      </w:pPr>
      <w:r>
        <w:rPr>
          <w:rFonts w:ascii="David" w:hAnsi="David" w:cs="David" w:hint="cs"/>
          <w:b/>
          <w:bCs/>
          <w:rtl/>
        </w:rPr>
        <w:t xml:space="preserve">תיאוריה ושיקולי מדיניות </w:t>
      </w:r>
      <w:r w:rsidR="00A43BA4">
        <w:rPr>
          <w:rFonts w:ascii="David" w:hAnsi="David" w:cs="David"/>
          <w:rtl/>
        </w:rPr>
        <w:t>–</w:t>
      </w:r>
    </w:p>
    <w:p w14:paraId="394EAA0A" w14:textId="52713E21" w:rsidR="00A43BA4" w:rsidRDefault="00D36CF6" w:rsidP="00CC7DF2">
      <w:pPr>
        <w:bidi/>
        <w:spacing w:after="0" w:line="276" w:lineRule="auto"/>
        <w:jc w:val="both"/>
        <w:rPr>
          <w:rFonts w:ascii="David" w:hAnsi="David" w:cs="David"/>
          <w:rtl/>
        </w:rPr>
      </w:pPr>
      <w:r>
        <w:rPr>
          <w:rFonts w:ascii="David" w:hAnsi="David" w:cs="David" w:hint="cs"/>
          <w:rtl/>
        </w:rPr>
        <w:t>סעד מנהלי או נזיקי? בדר"כ לא נעשה שימוש בסעד של פיצוי מכוח הפרת זכות חוקתית (</w:t>
      </w:r>
      <w:r w:rsidR="00CD3A85">
        <w:rPr>
          <w:rFonts w:ascii="David" w:hAnsi="David" w:cs="David" w:hint="cs"/>
          <w:rtl/>
        </w:rPr>
        <w:t>כמו</w:t>
      </w:r>
      <w:r>
        <w:rPr>
          <w:rFonts w:ascii="David" w:hAnsi="David" w:cs="David" w:hint="cs"/>
          <w:rtl/>
        </w:rPr>
        <w:t xml:space="preserve"> בעמנואל), אך בהדרגה התפתחה בפסיקה הנחה שניתן לתת פיצוי במקום </w:t>
      </w:r>
      <w:r w:rsidR="00E508B7">
        <w:rPr>
          <w:rFonts w:ascii="David" w:hAnsi="David" w:cs="David" w:hint="cs"/>
          <w:rtl/>
        </w:rPr>
        <w:t>בו</w:t>
      </w:r>
      <w:r>
        <w:rPr>
          <w:rFonts w:ascii="David" w:hAnsi="David" w:cs="David" w:hint="cs"/>
          <w:rtl/>
        </w:rPr>
        <w:t xml:space="preserve"> ניתן לבטל החלטת רשות. יש לבחון סעד נזיקי גם כאשר </w:t>
      </w:r>
      <w:r w:rsidRPr="0089749E">
        <w:rPr>
          <w:rFonts w:ascii="David" w:hAnsi="David" w:cs="David" w:hint="cs"/>
          <w:u w:val="single"/>
          <w:rtl/>
        </w:rPr>
        <w:t>הפגם חלף.</w:t>
      </w:r>
    </w:p>
    <w:p w14:paraId="4FED00BE" w14:textId="77777777" w:rsidR="00D675EA" w:rsidRDefault="00D675EA" w:rsidP="00CC7DF2">
      <w:pPr>
        <w:bidi/>
        <w:spacing w:after="0" w:line="276" w:lineRule="auto"/>
        <w:jc w:val="both"/>
        <w:rPr>
          <w:rFonts w:ascii="David" w:hAnsi="David" w:cs="David"/>
          <w:rtl/>
        </w:rPr>
      </w:pPr>
    </w:p>
    <w:p w14:paraId="0EBD16E9" w14:textId="43791408" w:rsidR="00D36CF6" w:rsidRPr="00E42981" w:rsidRDefault="00D36CF6" w:rsidP="00CC7DF2">
      <w:pPr>
        <w:bidi/>
        <w:spacing w:after="0" w:line="276" w:lineRule="auto"/>
        <w:jc w:val="both"/>
        <w:rPr>
          <w:rFonts w:ascii="David" w:hAnsi="David" w:cs="David"/>
          <w:b/>
          <w:bCs/>
          <w:u w:val="single"/>
          <w:rtl/>
        </w:rPr>
      </w:pPr>
      <w:r w:rsidRPr="00E42981">
        <w:rPr>
          <w:rFonts w:ascii="David" w:hAnsi="David" w:cs="David" w:hint="cs"/>
          <w:b/>
          <w:bCs/>
          <w:u w:val="single"/>
          <w:rtl/>
        </w:rPr>
        <w:t xml:space="preserve">בחינת מטרות דיני הנזיקין בראיה פלורליסטית </w:t>
      </w:r>
      <w:r w:rsidRPr="00E42981">
        <w:rPr>
          <w:rFonts w:ascii="David" w:hAnsi="David" w:cs="David"/>
          <w:b/>
          <w:bCs/>
          <w:u w:val="single"/>
          <w:rtl/>
        </w:rPr>
        <w:t>–</w:t>
      </w:r>
    </w:p>
    <w:p w14:paraId="32F80F96" w14:textId="1C91E4F2" w:rsidR="00044C75" w:rsidRPr="00E42981" w:rsidRDefault="006B2F53" w:rsidP="00DF69B2">
      <w:pPr>
        <w:pStyle w:val="ListParagraph"/>
        <w:numPr>
          <w:ilvl w:val="0"/>
          <w:numId w:val="29"/>
        </w:numPr>
        <w:bidi/>
        <w:spacing w:after="0" w:line="276" w:lineRule="auto"/>
        <w:jc w:val="both"/>
        <w:rPr>
          <w:rFonts w:ascii="David" w:hAnsi="David" w:cs="David"/>
          <w:b/>
          <w:bCs/>
        </w:rPr>
      </w:pPr>
      <w:r w:rsidRPr="00E42981">
        <w:rPr>
          <w:rFonts w:ascii="David" w:hAnsi="David" w:cs="David" w:hint="cs"/>
          <w:b/>
          <w:bCs/>
          <w:rtl/>
        </w:rPr>
        <w:t xml:space="preserve">פיצוי, השבת המצב לקדמותו וצדק מתקן: </w:t>
      </w:r>
    </w:p>
    <w:p w14:paraId="14C9E8CE" w14:textId="28AC1884" w:rsidR="006B2F53" w:rsidRPr="00044C75" w:rsidRDefault="006B2F53" w:rsidP="00CC7DF2">
      <w:pPr>
        <w:pStyle w:val="ListParagraph"/>
        <w:bidi/>
        <w:spacing w:after="0" w:line="276" w:lineRule="auto"/>
        <w:ind w:left="450"/>
        <w:jc w:val="both"/>
        <w:rPr>
          <w:rFonts w:ascii="David" w:hAnsi="David" w:cs="David"/>
          <w:rtl/>
        </w:rPr>
      </w:pPr>
      <w:r w:rsidRPr="00044C75">
        <w:rPr>
          <w:rFonts w:ascii="David" w:hAnsi="David" w:cs="David" w:hint="cs"/>
          <w:rtl/>
        </w:rPr>
        <w:lastRenderedPageBreak/>
        <w:t>לכאורה פיצוי יכול להיות רלוונטי. אולם, שני חששות:</w:t>
      </w:r>
    </w:p>
    <w:p w14:paraId="141A94BA" w14:textId="6650AFFB" w:rsidR="006B2F53" w:rsidRDefault="006B2F53" w:rsidP="00DF69B2">
      <w:pPr>
        <w:pStyle w:val="ListParagraph"/>
        <w:numPr>
          <w:ilvl w:val="0"/>
          <w:numId w:val="5"/>
        </w:numPr>
        <w:bidi/>
        <w:spacing w:after="0" w:line="276" w:lineRule="auto"/>
        <w:jc w:val="both"/>
        <w:rPr>
          <w:rFonts w:ascii="David" w:hAnsi="David" w:cs="David"/>
        </w:rPr>
      </w:pPr>
      <w:r>
        <w:rPr>
          <w:rFonts w:ascii="David" w:hAnsi="David" w:cs="David" w:hint="cs"/>
          <w:rtl/>
        </w:rPr>
        <w:t>התעסקות בפרשה ו"התערטלות" פומבית בחיי התובעים (אך אין לשלול מכוח פטרנליזם זה).</w:t>
      </w:r>
    </w:p>
    <w:p w14:paraId="1E11C097" w14:textId="5D8A3A55" w:rsidR="00354997" w:rsidRDefault="006B2F53" w:rsidP="00DF69B2">
      <w:pPr>
        <w:pStyle w:val="ListParagraph"/>
        <w:numPr>
          <w:ilvl w:val="0"/>
          <w:numId w:val="5"/>
        </w:numPr>
        <w:bidi/>
        <w:spacing w:after="0" w:line="276" w:lineRule="auto"/>
        <w:jc w:val="both"/>
        <w:rPr>
          <w:rFonts w:ascii="David" w:hAnsi="David" w:cs="David"/>
        </w:rPr>
      </w:pPr>
      <w:r>
        <w:rPr>
          <w:rFonts w:ascii="David" w:hAnsi="David" w:cs="David" w:hint="cs"/>
          <w:rtl/>
        </w:rPr>
        <w:t>התובעים ייפגעו חברתית מכך שהם פנו ל"ערכאות של גויים". כך הפיצוי לא יתקן</w:t>
      </w:r>
      <w:r w:rsidR="00354997">
        <w:rPr>
          <w:rFonts w:ascii="David" w:hAnsi="David" w:cs="David" w:hint="cs"/>
          <w:rtl/>
        </w:rPr>
        <w:t>,</w:t>
      </w:r>
      <w:r>
        <w:rPr>
          <w:rFonts w:ascii="David" w:hAnsi="David" w:cs="David" w:hint="cs"/>
          <w:rtl/>
        </w:rPr>
        <w:t xml:space="preserve"> אלא יחריף את הבידול.</w:t>
      </w:r>
    </w:p>
    <w:p w14:paraId="66CADB02" w14:textId="77777777" w:rsidR="00DC184D" w:rsidRDefault="00DC184D" w:rsidP="00DC184D">
      <w:pPr>
        <w:pStyle w:val="ListParagraph"/>
        <w:bidi/>
        <w:spacing w:after="0" w:line="276" w:lineRule="auto"/>
        <w:jc w:val="both"/>
        <w:rPr>
          <w:rFonts w:ascii="David" w:hAnsi="David" w:cs="David"/>
          <w:rtl/>
        </w:rPr>
      </w:pPr>
    </w:p>
    <w:p w14:paraId="423459D2" w14:textId="77777777" w:rsidR="00DC184D" w:rsidRDefault="00DC184D" w:rsidP="00DC184D">
      <w:pPr>
        <w:pStyle w:val="ListParagraph"/>
        <w:bidi/>
        <w:spacing w:after="0" w:line="276" w:lineRule="auto"/>
        <w:jc w:val="both"/>
        <w:rPr>
          <w:rFonts w:ascii="David" w:hAnsi="David" w:cs="David"/>
        </w:rPr>
      </w:pPr>
    </w:p>
    <w:p w14:paraId="40970FAA" w14:textId="4B913E59" w:rsidR="006B2F53" w:rsidRPr="006158D5" w:rsidRDefault="006B2F53" w:rsidP="00CC7DF2">
      <w:pPr>
        <w:pStyle w:val="ListParagraph"/>
        <w:bidi/>
        <w:spacing w:after="0" w:line="276" w:lineRule="auto"/>
        <w:jc w:val="both"/>
        <w:rPr>
          <w:rFonts w:ascii="David" w:hAnsi="David" w:cs="David"/>
          <w:u w:val="single"/>
          <w:rtl/>
        </w:rPr>
      </w:pPr>
      <w:r w:rsidRPr="006158D5">
        <w:rPr>
          <w:rFonts w:ascii="David" w:hAnsi="David" w:cs="David" w:hint="cs"/>
          <w:u w:val="single"/>
          <w:rtl/>
        </w:rPr>
        <w:t>פתרונות/תשובה:</w:t>
      </w:r>
    </w:p>
    <w:p w14:paraId="11996010" w14:textId="01F5EB76" w:rsidR="006B2F53" w:rsidRDefault="006B2F53" w:rsidP="00DF69B2">
      <w:pPr>
        <w:pStyle w:val="ListParagraph"/>
        <w:numPr>
          <w:ilvl w:val="0"/>
          <w:numId w:val="6"/>
        </w:numPr>
        <w:bidi/>
        <w:spacing w:after="0" w:line="276" w:lineRule="auto"/>
        <w:jc w:val="both"/>
        <w:rPr>
          <w:rFonts w:ascii="David" w:hAnsi="David" w:cs="David"/>
        </w:rPr>
      </w:pPr>
      <w:r>
        <w:rPr>
          <w:rFonts w:ascii="David" w:hAnsi="David" w:cs="David" w:hint="cs"/>
          <w:rtl/>
        </w:rPr>
        <w:t>השאלה אם התביעה תיטיב עם התובעים מאוחרת לשאלה אם יש מקום לפיצוי מכוח מטרות הפיצוי והצדק המתקן.</w:t>
      </w:r>
    </w:p>
    <w:p w14:paraId="5256BA86" w14:textId="0FD275EE" w:rsidR="006B2F53" w:rsidRDefault="006B2F53" w:rsidP="00DF69B2">
      <w:pPr>
        <w:pStyle w:val="ListParagraph"/>
        <w:numPr>
          <w:ilvl w:val="0"/>
          <w:numId w:val="6"/>
        </w:numPr>
        <w:bidi/>
        <w:spacing w:after="0" w:line="276" w:lineRule="auto"/>
        <w:jc w:val="both"/>
        <w:rPr>
          <w:rFonts w:ascii="David" w:hAnsi="David" w:cs="David"/>
        </w:rPr>
      </w:pPr>
      <w:r>
        <w:rPr>
          <w:rFonts w:ascii="David" w:hAnsi="David" w:cs="David" w:hint="cs"/>
          <w:rtl/>
        </w:rPr>
        <w:t>עניין "ערכאות של גויים" פוגע בגישה לערכאות ולא ייתכן שדווקא ביהמ"</w:t>
      </w:r>
      <w:r w:rsidR="009563AC">
        <w:rPr>
          <w:rFonts w:ascii="David" w:hAnsi="David" w:cs="David" w:hint="cs"/>
          <w:rtl/>
        </w:rPr>
        <w:t>ש</w:t>
      </w:r>
      <w:r w:rsidR="004E18A6">
        <w:rPr>
          <w:rFonts w:ascii="David" w:hAnsi="David" w:cs="David" w:hint="cs"/>
          <w:rtl/>
        </w:rPr>
        <w:t xml:space="preserve"> הוא זה שימנע זאת.</w:t>
      </w:r>
    </w:p>
    <w:p w14:paraId="0D21A36A" w14:textId="77777777" w:rsidR="006158D5" w:rsidRDefault="009563AC" w:rsidP="00DF69B2">
      <w:pPr>
        <w:pStyle w:val="ListParagraph"/>
        <w:numPr>
          <w:ilvl w:val="0"/>
          <w:numId w:val="6"/>
        </w:numPr>
        <w:bidi/>
        <w:spacing w:after="0" w:line="276" w:lineRule="auto"/>
        <w:jc w:val="both"/>
        <w:rPr>
          <w:rFonts w:ascii="David" w:hAnsi="David" w:cs="David"/>
        </w:rPr>
      </w:pPr>
      <w:r>
        <w:rPr>
          <w:rFonts w:ascii="David" w:hAnsi="David" w:cs="David" w:hint="cs"/>
          <w:rtl/>
        </w:rPr>
        <w:t xml:space="preserve">דווקא ההנגשה המשפטית לחברה החרדית אולי </w:t>
      </w:r>
      <w:r w:rsidR="004E18A6">
        <w:rPr>
          <w:rFonts w:ascii="David" w:hAnsi="David" w:cs="David" w:hint="cs"/>
          <w:rtl/>
        </w:rPr>
        <w:t>ת</w:t>
      </w:r>
      <w:r>
        <w:rPr>
          <w:rFonts w:ascii="David" w:hAnsi="David" w:cs="David" w:hint="cs"/>
          <w:rtl/>
        </w:rPr>
        <w:t>פר</w:t>
      </w:r>
      <w:r w:rsidR="004E18A6">
        <w:rPr>
          <w:rFonts w:ascii="David" w:hAnsi="David" w:cs="David" w:hint="cs"/>
          <w:rtl/>
        </w:rPr>
        <w:t>וץ</w:t>
      </w:r>
      <w:r>
        <w:rPr>
          <w:rFonts w:ascii="David" w:hAnsi="David" w:cs="David" w:hint="cs"/>
          <w:rtl/>
        </w:rPr>
        <w:t xml:space="preserve"> את החומות </w:t>
      </w:r>
      <w:r w:rsidR="004E18A6">
        <w:rPr>
          <w:rFonts w:ascii="David" w:hAnsi="David" w:cs="David" w:hint="cs"/>
          <w:rtl/>
        </w:rPr>
        <w:t>ותוביל</w:t>
      </w:r>
      <w:r>
        <w:rPr>
          <w:rFonts w:ascii="David" w:hAnsi="David" w:cs="David" w:hint="cs"/>
          <w:rtl/>
        </w:rPr>
        <w:t xml:space="preserve"> להבנה ש"השד אינו נורא".</w:t>
      </w:r>
    </w:p>
    <w:p w14:paraId="7B6DCBD4" w14:textId="70261425" w:rsidR="009563AC" w:rsidRDefault="009563AC" w:rsidP="00CC7DF2">
      <w:pPr>
        <w:pStyle w:val="ListParagraph"/>
        <w:bidi/>
        <w:spacing w:after="0" w:line="276" w:lineRule="auto"/>
        <w:jc w:val="both"/>
        <w:rPr>
          <w:rFonts w:ascii="David" w:hAnsi="David" w:cs="David"/>
          <w:rtl/>
        </w:rPr>
      </w:pPr>
      <w:r w:rsidRPr="006158D5">
        <w:rPr>
          <w:rFonts w:ascii="David" w:hAnsi="David" w:cs="David" w:hint="cs"/>
          <w:u w:val="single"/>
          <w:rtl/>
        </w:rPr>
        <w:t>פיתרון ביניים:</w:t>
      </w:r>
      <w:r w:rsidRPr="006158D5">
        <w:rPr>
          <w:rFonts w:ascii="David" w:hAnsi="David" w:cs="David" w:hint="cs"/>
          <w:rtl/>
        </w:rPr>
        <w:t xml:space="preserve"> הטלת חובה על עו"ד להזהיר על השלכות אפשריות, אך מבלי שביהמ"ש ידחה תביעות כאלה מראש.</w:t>
      </w:r>
    </w:p>
    <w:p w14:paraId="2550D797" w14:textId="77777777" w:rsidR="00161C52" w:rsidRPr="006158D5" w:rsidRDefault="00161C52" w:rsidP="00161C52">
      <w:pPr>
        <w:pStyle w:val="ListParagraph"/>
        <w:bidi/>
        <w:spacing w:after="0" w:line="276" w:lineRule="auto"/>
        <w:jc w:val="both"/>
        <w:rPr>
          <w:rFonts w:ascii="David" w:hAnsi="David" w:cs="David"/>
          <w:rtl/>
        </w:rPr>
      </w:pPr>
    </w:p>
    <w:p w14:paraId="34D435F3" w14:textId="208DBDF5" w:rsidR="00721D94" w:rsidRPr="00CE4844" w:rsidRDefault="009563AC" w:rsidP="00DF69B2">
      <w:pPr>
        <w:pStyle w:val="ListParagraph"/>
        <w:numPr>
          <w:ilvl w:val="0"/>
          <w:numId w:val="29"/>
        </w:numPr>
        <w:bidi/>
        <w:spacing w:line="276" w:lineRule="auto"/>
        <w:jc w:val="both"/>
        <w:rPr>
          <w:rFonts w:ascii="David" w:hAnsi="David" w:cs="David"/>
          <w:rtl/>
        </w:rPr>
      </w:pPr>
      <w:r w:rsidRPr="00E42981">
        <w:rPr>
          <w:rFonts w:ascii="David" w:hAnsi="David" w:cs="David" w:hint="cs"/>
          <w:b/>
          <w:bCs/>
          <w:rtl/>
        </w:rPr>
        <w:t>צדק חלוקתי:</w:t>
      </w:r>
      <w:r w:rsidRPr="006158D5">
        <w:rPr>
          <w:rFonts w:ascii="David" w:hAnsi="David" w:cs="David" w:hint="cs"/>
          <w:rtl/>
        </w:rPr>
        <w:t xml:space="preserve"> </w:t>
      </w:r>
      <w:r w:rsidR="00AB39EE" w:rsidRPr="006158D5">
        <w:rPr>
          <w:rFonts w:ascii="David" w:hAnsi="David" w:cs="David" w:hint="cs"/>
          <w:rtl/>
        </w:rPr>
        <w:t>התובעים הם בעצם תת מגזר חלש בתוך מגזר מיעוט. הגופים החזקים מתאגדים נגד תת הקבוצה</w:t>
      </w:r>
      <w:r w:rsidR="00B80ACA">
        <w:rPr>
          <w:rFonts w:ascii="David" w:hAnsi="David" w:cs="David" w:hint="cs"/>
          <w:rtl/>
        </w:rPr>
        <w:t xml:space="preserve"> החלשה. </w:t>
      </w:r>
      <w:r w:rsidR="00AB39EE" w:rsidRPr="006158D5">
        <w:rPr>
          <w:rFonts w:ascii="David" w:hAnsi="David" w:cs="David" w:hint="cs"/>
          <w:rtl/>
        </w:rPr>
        <w:t xml:space="preserve">לכאורה לפי מבט זה יש מקום לקבלת התביעה </w:t>
      </w:r>
      <w:r w:rsidR="005855E8">
        <w:rPr>
          <w:rFonts w:ascii="David" w:hAnsi="David" w:cs="David" w:hint="cs"/>
          <w:rtl/>
        </w:rPr>
        <w:t>ו</w:t>
      </w:r>
      <w:r w:rsidR="00AB39EE" w:rsidRPr="006158D5">
        <w:rPr>
          <w:rFonts w:ascii="David" w:hAnsi="David" w:cs="David" w:hint="cs"/>
          <w:rtl/>
        </w:rPr>
        <w:t xml:space="preserve">חלוקה הוגנת יותר </w:t>
      </w:r>
      <w:r w:rsidR="005855E8">
        <w:rPr>
          <w:rFonts w:ascii="David" w:hAnsi="David" w:cs="David" w:hint="cs"/>
          <w:rtl/>
        </w:rPr>
        <w:t xml:space="preserve">בשביל </w:t>
      </w:r>
      <w:r w:rsidR="00AB39EE" w:rsidRPr="006158D5">
        <w:rPr>
          <w:rFonts w:ascii="David" w:hAnsi="David" w:cs="David" w:hint="cs"/>
          <w:rtl/>
        </w:rPr>
        <w:t xml:space="preserve">קידום תת המגזר החלש יותר. </w:t>
      </w:r>
      <w:r w:rsidR="00AB39EE" w:rsidRPr="005855E8">
        <w:rPr>
          <w:rFonts w:ascii="David" w:hAnsi="David" w:cs="David" w:hint="cs"/>
          <w:rtl/>
        </w:rPr>
        <w:t xml:space="preserve">מצד שני, יש לבחון את ההשלכות לטווח הארוך. אולי קבלת התביעה דווקא </w:t>
      </w:r>
      <w:r w:rsidR="00721D94">
        <w:rPr>
          <w:rFonts w:ascii="David" w:hAnsi="David" w:cs="David" w:hint="cs"/>
          <w:rtl/>
        </w:rPr>
        <w:t>ת</w:t>
      </w:r>
      <w:r w:rsidR="00AB39EE" w:rsidRPr="005855E8">
        <w:rPr>
          <w:rFonts w:ascii="David" w:hAnsi="David" w:cs="David" w:hint="cs"/>
          <w:rtl/>
        </w:rPr>
        <w:t>נציח פערי מעמדות.</w:t>
      </w:r>
      <w:r w:rsidR="00CE4844">
        <w:rPr>
          <w:rFonts w:ascii="David" w:hAnsi="David" w:cs="David" w:hint="cs"/>
          <w:rtl/>
        </w:rPr>
        <w:t xml:space="preserve"> </w:t>
      </w:r>
      <w:r w:rsidR="00AB39EE" w:rsidRPr="00CE4844">
        <w:rPr>
          <w:rFonts w:ascii="David" w:hAnsi="David" w:cs="David" w:hint="cs"/>
          <w:u w:val="single"/>
          <w:rtl/>
        </w:rPr>
        <w:t>ביקורת</w:t>
      </w:r>
      <w:r w:rsidR="00CE4844" w:rsidRPr="00CE4844">
        <w:rPr>
          <w:rFonts w:ascii="David" w:hAnsi="David" w:cs="David" w:hint="cs"/>
          <w:u w:val="single"/>
          <w:rtl/>
        </w:rPr>
        <w:t xml:space="preserve"> על כך</w:t>
      </w:r>
      <w:r w:rsidR="00AB39EE" w:rsidRPr="00CE4844">
        <w:rPr>
          <w:rFonts w:ascii="David" w:hAnsi="David" w:cs="David" w:hint="cs"/>
          <w:rtl/>
        </w:rPr>
        <w:t>: גישה פטרנליסטית מדי.</w:t>
      </w:r>
    </w:p>
    <w:p w14:paraId="122D87A0" w14:textId="6F5C5EF6" w:rsidR="009541E2" w:rsidRDefault="00721D94" w:rsidP="00CC7DF2">
      <w:pPr>
        <w:pStyle w:val="ListParagraph"/>
        <w:bidi/>
        <w:spacing w:line="276" w:lineRule="auto"/>
        <w:ind w:left="450"/>
        <w:jc w:val="both"/>
        <w:rPr>
          <w:rFonts w:ascii="David" w:hAnsi="David" w:cs="David"/>
          <w:rtl/>
        </w:rPr>
      </w:pPr>
      <w:r w:rsidRPr="00721D94">
        <w:rPr>
          <w:rFonts w:ascii="David" w:hAnsi="David" w:cs="David"/>
        </w:rPr>
        <w:sym w:font="Wingdings" w:char="F0DF"/>
      </w:r>
      <w:r>
        <w:rPr>
          <w:rFonts w:ascii="David" w:hAnsi="David" w:cs="David" w:hint="cs"/>
          <w:rtl/>
        </w:rPr>
        <w:t xml:space="preserve"> </w:t>
      </w:r>
      <w:r w:rsidR="009541E2">
        <w:rPr>
          <w:rFonts w:ascii="David" w:hAnsi="David" w:cs="David" w:hint="cs"/>
          <w:rtl/>
        </w:rPr>
        <w:t>אם כן, מטרת הצדק החלוקתי יכולה להוביל לתוצאות שונות בהתאם לנקודת המבט.</w:t>
      </w:r>
    </w:p>
    <w:p w14:paraId="7EBC3D84" w14:textId="6D93464E" w:rsidR="00DB14FF" w:rsidRDefault="00DB14FF" w:rsidP="00CC7DF2">
      <w:pPr>
        <w:pStyle w:val="ListParagraph"/>
        <w:bidi/>
        <w:spacing w:line="276" w:lineRule="auto"/>
        <w:ind w:left="450"/>
        <w:jc w:val="both"/>
        <w:rPr>
          <w:rFonts w:ascii="David" w:hAnsi="David" w:cs="David"/>
          <w:rtl/>
        </w:rPr>
      </w:pPr>
      <w:r>
        <w:rPr>
          <w:rFonts w:ascii="David" w:hAnsi="David" w:cs="David" w:hint="cs"/>
          <w:rtl/>
        </w:rPr>
        <w:t xml:space="preserve">התנגשות בין צדק מתקן לצדק חלוקתי </w:t>
      </w:r>
      <w:r w:rsidR="00B52458">
        <w:rPr>
          <w:rFonts w:ascii="David" w:hAnsi="David" w:cs="David"/>
          <w:rtl/>
        </w:rPr>
        <w:t>–</w:t>
      </w:r>
      <w:r w:rsidR="00B52458">
        <w:rPr>
          <w:rFonts w:ascii="David" w:hAnsi="David" w:cs="David" w:hint="cs"/>
          <w:rtl/>
        </w:rPr>
        <w:t xml:space="preserve"> ציפייה שהתובעים יהיו מעין תובעים ייצוגים של המגזר. </w:t>
      </w:r>
    </w:p>
    <w:p w14:paraId="20BE86BA" w14:textId="77777777" w:rsidR="00565091" w:rsidRDefault="00565091" w:rsidP="00CC7DF2">
      <w:pPr>
        <w:pStyle w:val="ListParagraph"/>
        <w:bidi/>
        <w:spacing w:line="276" w:lineRule="auto"/>
        <w:ind w:left="450"/>
        <w:jc w:val="both"/>
        <w:rPr>
          <w:rFonts w:ascii="David" w:hAnsi="David" w:cs="David"/>
          <w:rtl/>
        </w:rPr>
      </w:pPr>
    </w:p>
    <w:p w14:paraId="034694AB" w14:textId="77777777" w:rsidR="000C3994" w:rsidRDefault="009541E2" w:rsidP="00DF69B2">
      <w:pPr>
        <w:pStyle w:val="ListParagraph"/>
        <w:numPr>
          <w:ilvl w:val="0"/>
          <w:numId w:val="29"/>
        </w:numPr>
        <w:bidi/>
        <w:spacing w:line="276" w:lineRule="auto"/>
        <w:jc w:val="both"/>
        <w:rPr>
          <w:rFonts w:ascii="David" w:hAnsi="David" w:cs="David"/>
        </w:rPr>
      </w:pPr>
      <w:r w:rsidRPr="00E42981">
        <w:rPr>
          <w:rFonts w:ascii="David" w:hAnsi="David" w:cs="David" w:hint="cs"/>
          <w:b/>
          <w:bCs/>
          <w:rtl/>
        </w:rPr>
        <w:t>הרתעה יעילה:</w:t>
      </w:r>
      <w:r w:rsidRPr="00565091">
        <w:rPr>
          <w:rFonts w:ascii="David" w:hAnsi="David" w:cs="David" w:hint="cs"/>
          <w:rtl/>
        </w:rPr>
        <w:t xml:space="preserve"> </w:t>
      </w:r>
      <w:r w:rsidR="00B70C29" w:rsidRPr="00565091">
        <w:rPr>
          <w:rFonts w:ascii="David" w:hAnsi="David" w:cs="David" w:hint="cs"/>
          <w:rtl/>
        </w:rPr>
        <w:t>הרתעה כספית תעשה את שלה נגד המדינה וארגוניה, כיוון שיוכלו למנוע</w:t>
      </w:r>
      <w:r w:rsidR="00820235">
        <w:rPr>
          <w:rFonts w:ascii="David" w:hAnsi="David" w:cs="David" w:hint="cs"/>
          <w:rtl/>
        </w:rPr>
        <w:t xml:space="preserve"> להבא</w:t>
      </w:r>
      <w:r w:rsidR="00B70C29" w:rsidRPr="00565091">
        <w:rPr>
          <w:rFonts w:ascii="David" w:hAnsi="David" w:cs="David" w:hint="cs"/>
          <w:rtl/>
        </w:rPr>
        <w:t xml:space="preserve"> אירועים כאלה ובכך תגדל הרווחה המצרפית (הם למעשה מהווים השוקלים הטובים ומונעי הנזק הטובים ביותר). </w:t>
      </w:r>
    </w:p>
    <w:p w14:paraId="5ADA8890" w14:textId="77777777" w:rsidR="00E64F76" w:rsidRDefault="00B70C29" w:rsidP="00CC7DF2">
      <w:pPr>
        <w:pStyle w:val="ListParagraph"/>
        <w:bidi/>
        <w:spacing w:line="276" w:lineRule="auto"/>
        <w:ind w:left="450"/>
        <w:jc w:val="both"/>
        <w:rPr>
          <w:rFonts w:ascii="David" w:hAnsi="David" w:cs="David"/>
          <w:rtl/>
        </w:rPr>
      </w:pPr>
      <w:r w:rsidRPr="000C3994">
        <w:rPr>
          <w:rFonts w:ascii="David" w:hAnsi="David" w:cs="David" w:hint="cs"/>
          <w:u w:val="single"/>
          <w:rtl/>
        </w:rPr>
        <w:t>אולם,</w:t>
      </w:r>
      <w:r w:rsidRPr="000C3994">
        <w:rPr>
          <w:rFonts w:ascii="David" w:hAnsi="David" w:cs="David" w:hint="cs"/>
          <w:b/>
          <w:bCs/>
          <w:rtl/>
        </w:rPr>
        <w:t xml:space="preserve"> </w:t>
      </w:r>
      <w:r w:rsidRPr="00565091">
        <w:rPr>
          <w:rFonts w:ascii="David" w:hAnsi="David" w:cs="David" w:hint="cs"/>
          <w:rtl/>
        </w:rPr>
        <w:t>נגד ביה"ס ומרכז החינוך העצמאי, לא בטוח שתהיה השפעה, כיוון שמדובר בעקרונות דתיים, שגם קשיים כלכליים לא ימנעו משמירתם (כך למשל אם מדובר ב"פיקוח נפש רוחני"). כמו כן, אם התהליך הבירוקרטי ארוך</w:t>
      </w:r>
      <w:r w:rsidR="000C3994">
        <w:rPr>
          <w:rFonts w:ascii="David" w:hAnsi="David" w:cs="David" w:hint="cs"/>
          <w:rtl/>
        </w:rPr>
        <w:t>,</w:t>
      </w:r>
      <w:r w:rsidRPr="00565091">
        <w:rPr>
          <w:rFonts w:ascii="David" w:hAnsi="David" w:cs="David" w:hint="cs"/>
          <w:rtl/>
        </w:rPr>
        <w:t xml:space="preserve"> זה לא ישתלם לבי"ס, ויעדיפו למצוא פתרונות (נדבנים). תוצאה אפשרית היא בידול קיצוני יותר והקמת בי"ס שאינו נתון לפיקוח (כמו שאכן קרה בסוף הפרשה). </w:t>
      </w:r>
    </w:p>
    <w:p w14:paraId="157FC1A6" w14:textId="77777777" w:rsidR="00320D5F" w:rsidRDefault="000D0B6F" w:rsidP="00CC7DF2">
      <w:pPr>
        <w:pStyle w:val="ListParagraph"/>
        <w:bidi/>
        <w:spacing w:line="276" w:lineRule="auto"/>
        <w:ind w:left="450"/>
        <w:jc w:val="both"/>
        <w:rPr>
          <w:rFonts w:ascii="David" w:hAnsi="David" w:cs="David"/>
          <w:rtl/>
        </w:rPr>
      </w:pPr>
      <w:r>
        <w:rPr>
          <w:rFonts w:ascii="David" w:hAnsi="David" w:cs="David" w:hint="cs"/>
          <w:rtl/>
        </w:rPr>
        <w:t>לסיכום, תשלום כספים לא מרתיע את מי שההפרדה עקרונית עבורו. מנגד, כלפי רשויות מפקחות ייתכן שההרתעה תשפיע.</w:t>
      </w:r>
    </w:p>
    <w:p w14:paraId="43DB7E0F" w14:textId="77777777" w:rsidR="00320D5F" w:rsidRDefault="00320D5F" w:rsidP="00CC7DF2">
      <w:pPr>
        <w:pStyle w:val="ListParagraph"/>
        <w:bidi/>
        <w:spacing w:line="276" w:lineRule="auto"/>
        <w:ind w:left="450"/>
        <w:jc w:val="both"/>
        <w:rPr>
          <w:rFonts w:ascii="David" w:hAnsi="David" w:cs="David"/>
          <w:rtl/>
        </w:rPr>
      </w:pPr>
    </w:p>
    <w:p w14:paraId="73299DD1" w14:textId="515A6FCC" w:rsidR="00F67020" w:rsidRPr="00D15D46" w:rsidRDefault="00F67020" w:rsidP="00CC7DF2">
      <w:pPr>
        <w:bidi/>
        <w:spacing w:line="276" w:lineRule="auto"/>
        <w:jc w:val="both"/>
        <w:rPr>
          <w:rFonts w:ascii="David" w:hAnsi="David" w:cs="David"/>
          <w:u w:val="single"/>
        </w:rPr>
      </w:pPr>
      <w:r w:rsidRPr="00D15D46">
        <w:rPr>
          <w:rFonts w:ascii="David" w:hAnsi="David" w:cs="David" w:hint="cs"/>
          <w:b/>
          <w:bCs/>
          <w:u w:val="single"/>
          <w:rtl/>
        </w:rPr>
        <w:t>הליכים חוץ משפטיים/עידוד פשרה</w:t>
      </w:r>
      <w:r w:rsidRPr="00D15D46">
        <w:rPr>
          <w:rFonts w:ascii="David" w:hAnsi="David" w:cs="David" w:hint="cs"/>
          <w:u w:val="single"/>
          <w:rtl/>
        </w:rPr>
        <w:t xml:space="preserve"> </w:t>
      </w:r>
      <w:r w:rsidRPr="00D15D46">
        <w:rPr>
          <w:rFonts w:ascii="David" w:hAnsi="David" w:cs="David"/>
          <w:u w:val="single"/>
          <w:rtl/>
        </w:rPr>
        <w:t>–</w:t>
      </w:r>
    </w:p>
    <w:p w14:paraId="70FEB04C" w14:textId="0F2F9502" w:rsidR="003C36AD" w:rsidRDefault="00F67020" w:rsidP="00CC7DF2">
      <w:pPr>
        <w:bidi/>
        <w:spacing w:line="276" w:lineRule="auto"/>
        <w:jc w:val="both"/>
        <w:rPr>
          <w:rFonts w:ascii="David" w:hAnsi="David" w:cs="David"/>
          <w:rtl/>
        </w:rPr>
      </w:pPr>
      <w:r>
        <w:rPr>
          <w:rFonts w:ascii="David" w:hAnsi="David" w:cs="David" w:hint="cs"/>
          <w:rtl/>
        </w:rPr>
        <w:t>פרשת עמנואל מתאימה להליכים חוץ משפטיים</w:t>
      </w:r>
      <w:r w:rsidR="00FB0E04">
        <w:rPr>
          <w:rFonts w:ascii="David" w:hAnsi="David" w:cs="David" w:hint="cs"/>
          <w:rtl/>
        </w:rPr>
        <w:t xml:space="preserve">, </w:t>
      </w:r>
      <w:r>
        <w:rPr>
          <w:rFonts w:ascii="David" w:hAnsi="David" w:cs="David" w:hint="cs"/>
          <w:rtl/>
        </w:rPr>
        <w:t>כמו מקרים אחרים בהם עיקר מטרת התובעים אינה בהכרח כסף</w:t>
      </w:r>
      <w:r w:rsidR="001D3B06">
        <w:rPr>
          <w:rFonts w:ascii="David" w:hAnsi="David" w:cs="David" w:hint="cs"/>
          <w:rtl/>
        </w:rPr>
        <w:t>,</w:t>
      </w:r>
      <w:r>
        <w:rPr>
          <w:rFonts w:ascii="David" w:hAnsi="David" w:cs="David" w:hint="cs"/>
          <w:rtl/>
        </w:rPr>
        <w:t xml:space="preserve"> אלא הוצאה לפועל של רגשות נקמה/זעם/השפלה ועוד.</w:t>
      </w:r>
      <w:r w:rsidR="00FB0E04">
        <w:rPr>
          <w:rFonts w:ascii="David" w:hAnsi="David" w:cs="David" w:hint="cs"/>
          <w:rtl/>
        </w:rPr>
        <w:t xml:space="preserve">, ואכן הסתיימה בפשרה. </w:t>
      </w:r>
      <w:r>
        <w:rPr>
          <w:rFonts w:ascii="David" w:hAnsi="David" w:cs="David" w:hint="cs"/>
          <w:rtl/>
        </w:rPr>
        <w:t>דיני הנזיקין ה</w:t>
      </w:r>
      <w:r w:rsidR="00C371E1">
        <w:rPr>
          <w:rFonts w:ascii="David" w:hAnsi="David" w:cs="David" w:hint="cs"/>
          <w:rtl/>
        </w:rPr>
        <w:t xml:space="preserve">ם </w:t>
      </w:r>
      <w:r>
        <w:rPr>
          <w:rFonts w:ascii="David" w:hAnsi="David" w:cs="David" w:hint="cs"/>
          <w:rtl/>
        </w:rPr>
        <w:t>ההליך המשפטי היחיד שיכול לחייב הכרה בחטא או חרטה. אם תביעה כזו הוגשה, על השופט לעשות כל שביכולתו כדי להגיע לפשרה מוסכמת (כך נגמרה הפרשה בתוספת פיצוי).</w:t>
      </w:r>
      <w:r w:rsidR="00FB0E04">
        <w:rPr>
          <w:rFonts w:ascii="David" w:hAnsi="David" w:cs="David" w:hint="cs"/>
          <w:rtl/>
        </w:rPr>
        <w:t xml:space="preserve"> לבסוף נפסקו על דרך פשרה פיצויים בסך 70,000 לכל אחת מהבנות, בתוספת להבעת חרטה של הנתבעים. </w:t>
      </w:r>
    </w:p>
    <w:p w14:paraId="164A0CA2" w14:textId="77777777" w:rsidR="00360531" w:rsidRDefault="00360531" w:rsidP="00CC7DF2">
      <w:pPr>
        <w:bidi/>
        <w:spacing w:line="276" w:lineRule="auto"/>
        <w:jc w:val="both"/>
        <w:rPr>
          <w:rFonts w:ascii="David" w:hAnsi="David" w:cs="David"/>
          <w:rtl/>
        </w:rPr>
      </w:pPr>
    </w:p>
    <w:p w14:paraId="150DD5E5" w14:textId="77777777" w:rsidR="00360531" w:rsidRDefault="00360531" w:rsidP="00CC7DF2">
      <w:pPr>
        <w:bidi/>
        <w:spacing w:line="276" w:lineRule="auto"/>
        <w:jc w:val="both"/>
        <w:rPr>
          <w:rFonts w:ascii="David" w:hAnsi="David" w:cs="David"/>
          <w:rtl/>
        </w:rPr>
      </w:pPr>
    </w:p>
    <w:p w14:paraId="218B04CB" w14:textId="77777777" w:rsidR="00360531" w:rsidRDefault="00360531" w:rsidP="00CC7DF2">
      <w:pPr>
        <w:bidi/>
        <w:spacing w:line="276" w:lineRule="auto"/>
        <w:jc w:val="both"/>
        <w:rPr>
          <w:rFonts w:ascii="David" w:hAnsi="David" w:cs="David"/>
          <w:rtl/>
        </w:rPr>
      </w:pPr>
    </w:p>
    <w:p w14:paraId="54D57EFB" w14:textId="77777777" w:rsidR="00360531" w:rsidRDefault="00360531" w:rsidP="00CC7DF2">
      <w:pPr>
        <w:bidi/>
        <w:spacing w:line="276" w:lineRule="auto"/>
        <w:jc w:val="both"/>
        <w:rPr>
          <w:rFonts w:ascii="David" w:hAnsi="David" w:cs="David"/>
          <w:rtl/>
        </w:rPr>
      </w:pPr>
    </w:p>
    <w:p w14:paraId="37A14A9C" w14:textId="77777777" w:rsidR="00360531" w:rsidRDefault="00360531" w:rsidP="00CC7DF2">
      <w:pPr>
        <w:bidi/>
        <w:spacing w:line="276" w:lineRule="auto"/>
        <w:jc w:val="both"/>
        <w:rPr>
          <w:rFonts w:ascii="David" w:hAnsi="David" w:cs="David"/>
          <w:rtl/>
        </w:rPr>
      </w:pPr>
    </w:p>
    <w:p w14:paraId="4C5BFF98" w14:textId="77777777" w:rsidR="00360531" w:rsidRDefault="00360531" w:rsidP="00CC7DF2">
      <w:pPr>
        <w:bidi/>
        <w:spacing w:line="276" w:lineRule="auto"/>
        <w:jc w:val="both"/>
        <w:rPr>
          <w:rFonts w:ascii="David" w:hAnsi="David" w:cs="David"/>
          <w:rtl/>
        </w:rPr>
      </w:pPr>
    </w:p>
    <w:p w14:paraId="607ECF77" w14:textId="77777777" w:rsidR="00360531" w:rsidRDefault="00360531" w:rsidP="00CC7DF2">
      <w:pPr>
        <w:bidi/>
        <w:spacing w:line="276" w:lineRule="auto"/>
        <w:jc w:val="both"/>
        <w:rPr>
          <w:rFonts w:ascii="David" w:hAnsi="David" w:cs="David"/>
          <w:rtl/>
        </w:rPr>
      </w:pPr>
    </w:p>
    <w:p w14:paraId="59EB460F" w14:textId="77777777" w:rsidR="00360531" w:rsidRDefault="00360531" w:rsidP="00CC7DF2">
      <w:pPr>
        <w:bidi/>
        <w:spacing w:line="276" w:lineRule="auto"/>
        <w:jc w:val="both"/>
        <w:rPr>
          <w:rFonts w:ascii="David" w:hAnsi="David" w:cs="David"/>
          <w:rtl/>
        </w:rPr>
      </w:pPr>
    </w:p>
    <w:p w14:paraId="32D77D62" w14:textId="77777777" w:rsidR="00360531" w:rsidRDefault="00360531" w:rsidP="00CC7DF2">
      <w:pPr>
        <w:bidi/>
        <w:spacing w:line="276" w:lineRule="auto"/>
        <w:jc w:val="both"/>
        <w:rPr>
          <w:rFonts w:ascii="David" w:hAnsi="David" w:cs="David"/>
          <w:rtl/>
        </w:rPr>
      </w:pPr>
    </w:p>
    <w:p w14:paraId="50CEE0A2" w14:textId="77777777" w:rsidR="00360531" w:rsidRDefault="00360531" w:rsidP="00CC7DF2">
      <w:pPr>
        <w:bidi/>
        <w:spacing w:line="276" w:lineRule="auto"/>
        <w:jc w:val="both"/>
        <w:rPr>
          <w:rFonts w:ascii="David" w:hAnsi="David" w:cs="David"/>
          <w:rtl/>
        </w:rPr>
      </w:pPr>
    </w:p>
    <w:p w14:paraId="4BB2AF9F" w14:textId="77777777" w:rsidR="00360531" w:rsidRDefault="00360531" w:rsidP="00CC7DF2">
      <w:pPr>
        <w:bidi/>
        <w:spacing w:line="276" w:lineRule="auto"/>
        <w:jc w:val="both"/>
        <w:rPr>
          <w:rFonts w:ascii="David" w:hAnsi="David" w:cs="David"/>
          <w:rtl/>
        </w:rPr>
      </w:pPr>
    </w:p>
    <w:p w14:paraId="479E1A06" w14:textId="77777777" w:rsidR="00360531" w:rsidRPr="00360531" w:rsidRDefault="00360531" w:rsidP="00CC7DF2">
      <w:pPr>
        <w:bidi/>
        <w:spacing w:line="276" w:lineRule="auto"/>
        <w:jc w:val="both"/>
        <w:rPr>
          <w:rStyle w:val="IntenseEmphasis"/>
          <w:rFonts w:ascii="David" w:hAnsi="David" w:cs="David"/>
          <w:i w:val="0"/>
          <w:iCs w:val="0"/>
          <w:color w:val="auto"/>
          <w:rtl/>
        </w:rPr>
      </w:pPr>
    </w:p>
    <w:p w14:paraId="572F1E80" w14:textId="1FF01056" w:rsidR="009670E7" w:rsidRPr="00360531" w:rsidRDefault="00F566BC" w:rsidP="00DC184D">
      <w:pPr>
        <w:pStyle w:val="Title"/>
        <w:bidi/>
        <w:jc w:val="center"/>
        <w:rPr>
          <w:rStyle w:val="IntenseEmphasis"/>
          <w:rFonts w:ascii="David" w:hAnsi="David" w:cs="David"/>
          <w:i w:val="0"/>
          <w:iCs w:val="0"/>
          <w:color w:val="000000" w:themeColor="text1"/>
          <w:sz w:val="44"/>
          <w:szCs w:val="44"/>
          <w:rtl/>
        </w:rPr>
      </w:pPr>
      <w:r>
        <w:rPr>
          <w:rStyle w:val="IntenseEmphasis"/>
          <w:rFonts w:ascii="David" w:hAnsi="David" w:cs="David" w:hint="cs"/>
          <w:i w:val="0"/>
          <w:iCs w:val="0"/>
          <w:color w:val="000000" w:themeColor="text1"/>
          <w:sz w:val="44"/>
          <w:szCs w:val="44"/>
          <w:rtl/>
        </w:rPr>
        <w:t xml:space="preserve">המפגש בין </w:t>
      </w:r>
      <w:r w:rsidR="009670E7" w:rsidRPr="00360531">
        <w:rPr>
          <w:rStyle w:val="IntenseEmphasis"/>
          <w:rFonts w:ascii="David" w:hAnsi="David" w:cs="David"/>
          <w:i w:val="0"/>
          <w:iCs w:val="0"/>
          <w:color w:val="000000" w:themeColor="text1"/>
          <w:sz w:val="44"/>
          <w:szCs w:val="44"/>
          <w:rtl/>
        </w:rPr>
        <w:t xml:space="preserve">נזיקין </w:t>
      </w:r>
      <w:r>
        <w:rPr>
          <w:rStyle w:val="IntenseEmphasis"/>
          <w:rFonts w:ascii="David" w:hAnsi="David" w:cs="David" w:hint="cs"/>
          <w:i w:val="0"/>
          <w:iCs w:val="0"/>
          <w:color w:val="000000" w:themeColor="text1"/>
          <w:sz w:val="44"/>
          <w:szCs w:val="44"/>
          <w:rtl/>
        </w:rPr>
        <w:t>ל</w:t>
      </w:r>
      <w:r w:rsidR="009670E7" w:rsidRPr="00360531">
        <w:rPr>
          <w:rStyle w:val="IntenseEmphasis"/>
          <w:rFonts w:ascii="David" w:hAnsi="David" w:cs="David"/>
          <w:i w:val="0"/>
          <w:iCs w:val="0"/>
          <w:color w:val="000000" w:themeColor="text1"/>
          <w:sz w:val="44"/>
          <w:szCs w:val="44"/>
          <w:rtl/>
        </w:rPr>
        <w:t>חוזים</w:t>
      </w:r>
    </w:p>
    <w:p w14:paraId="3E4E5726" w14:textId="2A9C6208" w:rsidR="009670E7" w:rsidRPr="00360531" w:rsidRDefault="009670E7" w:rsidP="00CC7DF2">
      <w:pPr>
        <w:pStyle w:val="IntenseQuote"/>
        <w:jc w:val="both"/>
        <w:rPr>
          <w:rStyle w:val="IntenseEmphasis"/>
          <w:b w:val="0"/>
          <w:bCs w:val="0"/>
          <w:i w:val="0"/>
          <w:iCs w:val="0"/>
          <w:color w:val="000000" w:themeColor="text1"/>
        </w:rPr>
      </w:pPr>
      <w:r w:rsidRPr="00360531">
        <w:rPr>
          <w:rStyle w:val="IntenseEmphasis"/>
          <w:rFonts w:hint="cs"/>
          <w:i w:val="0"/>
          <w:iCs w:val="0"/>
          <w:color w:val="000000" w:themeColor="text1"/>
          <w:rtl/>
        </w:rPr>
        <w:t xml:space="preserve">כללי והפרת </w:t>
      </w:r>
      <w:r w:rsidR="00BD3E6F" w:rsidRPr="00360531">
        <w:rPr>
          <w:rStyle w:val="IntenseEmphasis"/>
          <w:rFonts w:hint="cs"/>
          <w:i w:val="0"/>
          <w:iCs w:val="0"/>
          <w:color w:val="000000" w:themeColor="text1"/>
          <w:rtl/>
        </w:rPr>
        <w:t>הבטחה</w:t>
      </w:r>
      <w:r w:rsidRPr="00360531">
        <w:rPr>
          <w:rStyle w:val="IntenseEmphasis"/>
          <w:rFonts w:hint="cs"/>
          <w:i w:val="0"/>
          <w:iCs w:val="0"/>
          <w:color w:val="000000" w:themeColor="text1"/>
          <w:rtl/>
        </w:rPr>
        <w:t xml:space="preserve"> בע"פ</w:t>
      </w:r>
    </w:p>
    <w:p w14:paraId="3797C972" w14:textId="73134120" w:rsidR="00F45F31" w:rsidRDefault="00DD710C" w:rsidP="00CC7DF2">
      <w:pPr>
        <w:bidi/>
        <w:spacing w:after="0" w:line="276" w:lineRule="auto"/>
        <w:jc w:val="both"/>
        <w:rPr>
          <w:rFonts w:ascii="David" w:hAnsi="David" w:cs="David"/>
          <w:rtl/>
        </w:rPr>
      </w:pPr>
      <w:r>
        <w:rPr>
          <w:rFonts w:ascii="David" w:hAnsi="David" w:cs="David"/>
          <w:b/>
          <w:bCs/>
          <w:noProof/>
          <w:color w:val="7F84DF"/>
        </w:rPr>
        <mc:AlternateContent>
          <mc:Choice Requires="wps">
            <w:drawing>
              <wp:anchor distT="0" distB="0" distL="114300" distR="114300" simplePos="0" relativeHeight="251657214" behindDoc="1" locked="0" layoutInCell="1" allowOverlap="1" wp14:anchorId="298C95CD" wp14:editId="0269F254">
                <wp:simplePos x="0" y="0"/>
                <wp:positionH relativeFrom="column">
                  <wp:posOffset>-95250</wp:posOffset>
                </wp:positionH>
                <wp:positionV relativeFrom="paragraph">
                  <wp:posOffset>80010</wp:posOffset>
                </wp:positionV>
                <wp:extent cx="6159500" cy="882650"/>
                <wp:effectExtent l="0" t="0" r="12700" b="12700"/>
                <wp:wrapNone/>
                <wp:docPr id="12" name="Rectangle: Rounded Corners 12"/>
                <wp:cNvGraphicFramePr/>
                <a:graphic xmlns:a="http://schemas.openxmlformats.org/drawingml/2006/main">
                  <a:graphicData uri="http://schemas.microsoft.com/office/word/2010/wordprocessingShape">
                    <wps:wsp>
                      <wps:cNvSpPr/>
                      <wps:spPr>
                        <a:xfrm>
                          <a:off x="0" y="0"/>
                          <a:ext cx="6159500" cy="88265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59610B" id="Rectangle: Rounded Corners 12" o:spid="_x0000_s1026" style="position:absolute;margin-left:-7.5pt;margin-top:6.3pt;width:485pt;height:69.5pt;z-index:-2516592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" fillcolor="white [3201]" strokecolor="#0bd0d9 [3206]" strokeweight="1pt">
                <v:stroke joinstyle="miter"/>
              </v:roundrect>
            </w:pict>
          </mc:Fallback>
        </mc:AlternateContent>
      </w:r>
      <w:r>
        <w:rPr>
          <w:rStyle w:val="QuoteChar"/>
        </w:rPr>
        <w:br/>
      </w:r>
      <w:r w:rsidR="00F45F31" w:rsidRPr="00BC2648">
        <w:rPr>
          <w:rStyle w:val="QuoteChar"/>
          <w:rFonts w:hint="cs"/>
          <w:rtl/>
        </w:rPr>
        <w:t xml:space="preserve">פס"ד צדיק נ' הארץ </w:t>
      </w:r>
      <w:r w:rsidR="00F45F31" w:rsidRPr="00BC2648">
        <w:rPr>
          <w:rStyle w:val="QuoteChar"/>
          <w:rtl/>
        </w:rPr>
        <w:t>–</w:t>
      </w:r>
      <w:r w:rsidR="00F45F31">
        <w:rPr>
          <w:rFonts w:ascii="David" w:hAnsi="David" w:cs="David" w:hint="cs"/>
          <w:b/>
          <w:bCs/>
          <w:rtl/>
        </w:rPr>
        <w:t xml:space="preserve"> </w:t>
      </w:r>
      <w:r w:rsidR="00F45F31">
        <w:rPr>
          <w:rFonts w:ascii="David" w:hAnsi="David" w:cs="David" w:hint="cs"/>
          <w:rtl/>
        </w:rPr>
        <w:t>אדם חרדי (צדיק) בעל דוכן לתשמישי קדושה צולם ע"י צלם מתחת לפוסטר שלפי השקפותיו אינו צנוע. צלם מקצועי (אלכס ליבק) עבר וצילם את המקרה. החרדי רץ אחרי הצלם ואיים לשבור את מצלמתו. הצלם בתגובה הבטיח לא לפרסם את התמונה, אך למרות זאת, זו פורסמה זמן קצר לאחר מכן בעיתון "הארץ". עילת התביעה הייתה בפגיעה בפרטיות</w:t>
      </w:r>
      <w:r w:rsidR="00646D54">
        <w:rPr>
          <w:rFonts w:ascii="David" w:hAnsi="David" w:cs="David" w:hint="cs"/>
          <w:rtl/>
        </w:rPr>
        <w:t xml:space="preserve"> </w:t>
      </w:r>
      <w:r w:rsidR="00646D54" w:rsidRPr="00646D54">
        <w:rPr>
          <w:rFonts w:ascii="David" w:hAnsi="David" w:cs="David" w:hint="cs"/>
          <w:highlight w:val="yellow"/>
          <w:rtl/>
        </w:rPr>
        <w:t>(= עילה נזיקית)</w:t>
      </w:r>
      <w:r w:rsidR="00F45F31" w:rsidRPr="00646D54">
        <w:rPr>
          <w:rFonts w:ascii="David" w:hAnsi="David" w:cs="David" w:hint="cs"/>
          <w:highlight w:val="yellow"/>
          <w:rtl/>
        </w:rPr>
        <w:t>.</w:t>
      </w:r>
      <w:r w:rsidR="00F45F31">
        <w:rPr>
          <w:rFonts w:ascii="David" w:hAnsi="David" w:cs="David" w:hint="cs"/>
          <w:rtl/>
        </w:rPr>
        <w:t xml:space="preserve"> העליון קיבל את התביעה ונתן פיצוי בגובה 30 אלף ש"ח ובוטל אשם תורם שפסק המחוזי, משום שלהצבת הדוכן לא היה קשר להסכמה בין הצדדים.</w:t>
      </w:r>
    </w:p>
    <w:p w14:paraId="0243824B" w14:textId="77777777" w:rsidR="00B14822" w:rsidRDefault="00B14822" w:rsidP="00CC7DF2">
      <w:pPr>
        <w:bidi/>
        <w:spacing w:after="0" w:line="276" w:lineRule="auto"/>
        <w:jc w:val="both"/>
        <w:rPr>
          <w:rFonts w:ascii="David" w:hAnsi="David" w:cs="David"/>
          <w:rtl/>
        </w:rPr>
      </w:pPr>
    </w:p>
    <w:p w14:paraId="6B91870B" w14:textId="575B8B96" w:rsidR="009670E7" w:rsidRDefault="0038332F" w:rsidP="00CC7DF2">
      <w:pPr>
        <w:bidi/>
        <w:spacing w:after="0" w:line="276" w:lineRule="auto"/>
        <w:jc w:val="both"/>
        <w:rPr>
          <w:rFonts w:ascii="David" w:hAnsi="David" w:cs="David"/>
          <w:rtl/>
        </w:rPr>
      </w:pPr>
      <w:r w:rsidRPr="0038332F">
        <w:rPr>
          <w:rFonts w:ascii="David" w:hAnsi="David" w:cs="David" w:hint="cs"/>
          <w:u w:val="single"/>
          <w:rtl/>
        </w:rPr>
        <w:t>ביקורת של שמואלי:</w:t>
      </w:r>
      <w:r>
        <w:rPr>
          <w:rFonts w:ascii="David" w:hAnsi="David" w:cs="David" w:hint="cs"/>
        </w:rPr>
        <w:t xml:space="preserve"> </w:t>
      </w:r>
      <w:r w:rsidR="00F45F31">
        <w:rPr>
          <w:rFonts w:ascii="David" w:hAnsi="David" w:cs="David" w:hint="cs"/>
          <w:rtl/>
        </w:rPr>
        <w:t>האם ניתן היה למנוע את כל הפרשה? עיתון הארץ יכלו לאתר אל צדיק ולהשיג את הסכמתו, או לחילופין להתנות את מכירת התצלום מליבק בצירוף הסכמה של המצולם. פתרון נוסף היה לטשטש את עיני המצולם (מטרת התמונה הייתה מושגת בכל זאת).</w:t>
      </w:r>
    </w:p>
    <w:p w14:paraId="1F0AEF23" w14:textId="77777777" w:rsidR="00B14822" w:rsidRDefault="00B14822" w:rsidP="00CC7DF2">
      <w:pPr>
        <w:bidi/>
        <w:spacing w:after="0" w:line="276" w:lineRule="auto"/>
        <w:jc w:val="both"/>
        <w:rPr>
          <w:rFonts w:ascii="David" w:hAnsi="David" w:cs="David"/>
          <w:rtl/>
        </w:rPr>
      </w:pPr>
    </w:p>
    <w:p w14:paraId="4AFB3888" w14:textId="049AB9B3" w:rsidR="00F45F31" w:rsidRDefault="00F45F31" w:rsidP="00CC7DF2">
      <w:pPr>
        <w:bidi/>
        <w:spacing w:after="0" w:line="276" w:lineRule="auto"/>
        <w:jc w:val="both"/>
        <w:rPr>
          <w:rFonts w:ascii="David" w:hAnsi="David" w:cs="David"/>
          <w:rtl/>
        </w:rPr>
      </w:pPr>
      <w:r>
        <w:rPr>
          <w:rFonts w:ascii="David" w:hAnsi="David" w:cs="David" w:hint="cs"/>
          <w:b/>
          <w:bCs/>
          <w:rtl/>
        </w:rPr>
        <w:t xml:space="preserve">המסלול הראוי לתביעה </w:t>
      </w:r>
      <w:r>
        <w:rPr>
          <w:rFonts w:ascii="David" w:hAnsi="David" w:cs="David"/>
          <w:b/>
          <w:bCs/>
          <w:rtl/>
        </w:rPr>
        <w:t>–</w:t>
      </w:r>
      <w:r>
        <w:rPr>
          <w:rFonts w:ascii="David" w:hAnsi="David" w:cs="David" w:hint="cs"/>
          <w:b/>
          <w:bCs/>
          <w:rtl/>
        </w:rPr>
        <w:t xml:space="preserve"> נזיקין או חוזים?</w:t>
      </w:r>
      <w:r>
        <w:rPr>
          <w:rFonts w:ascii="David" w:hAnsi="David" w:cs="David" w:hint="cs"/>
          <w:rtl/>
        </w:rPr>
        <w:t xml:space="preserve"> </w:t>
      </w:r>
    </w:p>
    <w:p w14:paraId="3ED2C7DE" w14:textId="68B63D52" w:rsidR="00F45F31" w:rsidRDefault="00F45F31" w:rsidP="00CC7DF2">
      <w:pPr>
        <w:bidi/>
        <w:spacing w:after="0" w:line="276" w:lineRule="auto"/>
        <w:jc w:val="both"/>
        <w:rPr>
          <w:rFonts w:ascii="David" w:hAnsi="David" w:cs="David"/>
          <w:rtl/>
        </w:rPr>
      </w:pPr>
      <w:r>
        <w:rPr>
          <w:rFonts w:ascii="David" w:hAnsi="David" w:cs="David" w:hint="cs"/>
          <w:rtl/>
        </w:rPr>
        <w:t xml:space="preserve">לכאורה דיני החוזים נראים מתאימים יותר. בבסיס המקרה הייתה הפרת הבטחה. כך </w:t>
      </w:r>
      <w:r w:rsidR="00FD131C" w:rsidRPr="00FD131C">
        <w:rPr>
          <w:rFonts w:ascii="David" w:hAnsi="David" w:cs="David" w:hint="cs"/>
          <w:u w:val="single"/>
          <w:rtl/>
        </w:rPr>
        <w:t>שאפשר היה</w:t>
      </w:r>
      <w:r w:rsidRPr="00FD131C">
        <w:rPr>
          <w:rFonts w:ascii="David" w:hAnsi="David" w:cs="David" w:hint="cs"/>
          <w:u w:val="single"/>
          <w:rtl/>
        </w:rPr>
        <w:t xml:space="preserve"> לתבוע בחוזים במקום </w:t>
      </w:r>
      <w:r w:rsidR="00E074DB" w:rsidRPr="00FD131C">
        <w:rPr>
          <w:rFonts w:ascii="David" w:hAnsi="David" w:cs="David" w:hint="cs"/>
          <w:u w:val="single"/>
          <w:rtl/>
        </w:rPr>
        <w:t>ב</w:t>
      </w:r>
      <w:r w:rsidRPr="00FD131C">
        <w:rPr>
          <w:rFonts w:ascii="David" w:hAnsi="David" w:cs="David" w:hint="cs"/>
          <w:u w:val="single"/>
          <w:rtl/>
        </w:rPr>
        <w:t>תביעה נזיקית ספציפית למדי דרך החוק להגנת הפרטיות</w:t>
      </w:r>
      <w:r>
        <w:rPr>
          <w:rFonts w:ascii="David" w:hAnsi="David" w:cs="David" w:hint="cs"/>
          <w:rtl/>
        </w:rPr>
        <w:t>. יתרון נוסף של חוזים הוא הסיכוי הנמוך לפסיקת אשם תורם, בניגוד לנזיקין.</w:t>
      </w:r>
      <w:r w:rsidR="004D6015">
        <w:rPr>
          <w:rFonts w:ascii="David" w:hAnsi="David" w:cs="David" w:hint="cs"/>
          <w:rtl/>
        </w:rPr>
        <w:t xml:space="preserve"> מבחינה משפטית ההבטחה של ליבק אכן הקימה חוזה, והייתה חובת סודיות של הצלם, שהוא כמובן הפר. יסודות אלו מקימים עילת תביעה חוזית לפי החוק להגנת הפרטיות</w:t>
      </w:r>
      <w:r w:rsidR="00D338DE">
        <w:rPr>
          <w:rFonts w:ascii="David" w:hAnsi="David" w:cs="David" w:hint="cs"/>
          <w:rtl/>
        </w:rPr>
        <w:t xml:space="preserve">, </w:t>
      </w:r>
      <w:r w:rsidR="004D6015">
        <w:rPr>
          <w:rFonts w:ascii="David" w:hAnsi="David" w:cs="David" w:hint="cs"/>
          <w:rtl/>
        </w:rPr>
        <w:t>לכן</w:t>
      </w:r>
      <w:r w:rsidR="00D338DE">
        <w:rPr>
          <w:rFonts w:ascii="David" w:hAnsi="David" w:cs="David" w:hint="cs"/>
          <w:rtl/>
        </w:rPr>
        <w:t xml:space="preserve"> </w:t>
      </w:r>
      <w:r w:rsidR="004D6015">
        <w:rPr>
          <w:rFonts w:ascii="David" w:hAnsi="David" w:cs="David" w:hint="cs"/>
          <w:rtl/>
        </w:rPr>
        <w:t>ניתן להגיש את התביעה במסלול זה.</w:t>
      </w:r>
    </w:p>
    <w:p w14:paraId="77B95E91" w14:textId="77777777" w:rsidR="00FD131C" w:rsidRDefault="00FD131C" w:rsidP="00CC7DF2">
      <w:pPr>
        <w:bidi/>
        <w:spacing w:after="0" w:line="276" w:lineRule="auto"/>
        <w:jc w:val="both"/>
        <w:rPr>
          <w:rFonts w:ascii="David" w:hAnsi="David" w:cs="David"/>
          <w:rtl/>
        </w:rPr>
      </w:pPr>
    </w:p>
    <w:p w14:paraId="682650F3" w14:textId="55D11A70" w:rsidR="004D6015" w:rsidRPr="009B59CF" w:rsidRDefault="004D6015" w:rsidP="00CC7DF2">
      <w:pPr>
        <w:bidi/>
        <w:spacing w:after="0" w:line="276" w:lineRule="auto"/>
        <w:jc w:val="both"/>
        <w:rPr>
          <w:rFonts w:ascii="David" w:hAnsi="David" w:cs="David"/>
          <w:b/>
          <w:bCs/>
          <w:rtl/>
        </w:rPr>
      </w:pPr>
      <w:r w:rsidRPr="009B59CF">
        <w:rPr>
          <w:rFonts w:ascii="David" w:hAnsi="David" w:cs="David" w:hint="cs"/>
          <w:b/>
          <w:bCs/>
          <w:rtl/>
        </w:rPr>
        <w:t>נפקויות אפשריות של תביעה חוזית:</w:t>
      </w:r>
    </w:p>
    <w:p w14:paraId="51F00ED5" w14:textId="012C883D" w:rsidR="004D6015" w:rsidRDefault="004D6015" w:rsidP="00DF69B2">
      <w:pPr>
        <w:pStyle w:val="ListParagraph"/>
        <w:numPr>
          <w:ilvl w:val="0"/>
          <w:numId w:val="7"/>
        </w:numPr>
        <w:bidi/>
        <w:spacing w:after="0" w:line="276" w:lineRule="auto"/>
        <w:jc w:val="both"/>
        <w:rPr>
          <w:rFonts w:ascii="David" w:hAnsi="David" w:cs="David"/>
        </w:rPr>
      </w:pPr>
      <w:r>
        <w:rPr>
          <w:rFonts w:ascii="David" w:hAnsi="David" w:cs="David" w:hint="cs"/>
          <w:rtl/>
        </w:rPr>
        <w:t>סעד הפיצוי: הסעד הראשי בחוזים (אכיפה) לא היה רלוונטי, ולכן כנראה היו ניתנים פיצויים.</w:t>
      </w:r>
    </w:p>
    <w:p w14:paraId="27DCE5AD" w14:textId="77777777" w:rsidR="009B59CF" w:rsidRDefault="004D6015" w:rsidP="00DF69B2">
      <w:pPr>
        <w:pStyle w:val="ListParagraph"/>
        <w:numPr>
          <w:ilvl w:val="0"/>
          <w:numId w:val="7"/>
        </w:numPr>
        <w:bidi/>
        <w:spacing w:after="0" w:line="276" w:lineRule="auto"/>
        <w:jc w:val="both"/>
        <w:rPr>
          <w:rFonts w:ascii="David" w:hAnsi="David" w:cs="David"/>
        </w:rPr>
      </w:pPr>
      <w:r>
        <w:rPr>
          <w:rFonts w:ascii="David" w:hAnsi="David" w:cs="David" w:hint="cs"/>
          <w:rtl/>
        </w:rPr>
        <w:t xml:space="preserve">הגנות אפשריות: ניתן היה לתקוף את החוזה עקב כפייה </w:t>
      </w:r>
      <w:r>
        <w:rPr>
          <w:rFonts w:ascii="David" w:hAnsi="David" w:cs="David"/>
          <w:rtl/>
        </w:rPr>
        <w:t>–</w:t>
      </w:r>
      <w:r>
        <w:rPr>
          <w:rFonts w:ascii="David" w:hAnsi="David" w:cs="David" w:hint="cs"/>
          <w:rtl/>
        </w:rPr>
        <w:t xml:space="preserve"> צדיק איים בשבירת המצלמה </w:t>
      </w:r>
      <w:r>
        <w:rPr>
          <w:rFonts w:ascii="David" w:hAnsi="David" w:cs="David"/>
          <w:rtl/>
        </w:rPr>
        <w:t>–</w:t>
      </w:r>
      <w:r>
        <w:rPr>
          <w:rFonts w:ascii="David" w:hAnsi="David" w:cs="David" w:hint="cs"/>
          <w:rtl/>
        </w:rPr>
        <w:t xml:space="preserve"> וזה למעשה מבטל את כל החוזה. לפי אפיק זה ייתכן ו</w:t>
      </w:r>
      <w:r w:rsidR="009B59CF">
        <w:rPr>
          <w:rFonts w:ascii="David" w:hAnsi="David" w:cs="David" w:hint="cs"/>
          <w:rtl/>
        </w:rPr>
        <w:t>כ</w:t>
      </w:r>
      <w:r>
        <w:rPr>
          <w:rFonts w:ascii="David" w:hAnsi="David" w:cs="David" w:hint="cs"/>
          <w:rtl/>
        </w:rPr>
        <w:t>ל התביעה תיפול!</w:t>
      </w:r>
    </w:p>
    <w:p w14:paraId="2164154C" w14:textId="3FCBDCBC" w:rsidR="000404D9" w:rsidRDefault="000404D9" w:rsidP="00CC7DF2">
      <w:pPr>
        <w:pStyle w:val="ListParagraph"/>
        <w:bidi/>
        <w:spacing w:after="0" w:line="276" w:lineRule="auto"/>
        <w:jc w:val="both"/>
        <w:rPr>
          <w:rFonts w:ascii="David" w:hAnsi="David" w:cs="David"/>
          <w:rtl/>
        </w:rPr>
      </w:pPr>
      <w:r w:rsidRPr="009B59CF">
        <w:rPr>
          <w:rFonts w:ascii="David" w:hAnsi="David" w:cs="David" w:hint="cs"/>
          <w:u w:val="single"/>
          <w:rtl/>
        </w:rPr>
        <w:t>טענה נגדית אפשרית של צדיק:</w:t>
      </w:r>
      <w:r w:rsidRPr="009B59CF">
        <w:rPr>
          <w:rFonts w:ascii="David" w:hAnsi="David" w:cs="David" w:hint="cs"/>
          <w:rtl/>
        </w:rPr>
        <w:t xml:space="preserve"> חוסר ניקיון כפיים של ליבק, שהרי גם אם הייתה כפייה, ליבק בעצמו יזם את החוזה, וברור שלא התכוון לקיימו. במצב כזה על ליבק להיות מושתק משיקולי מדיניות ולא יוכל לטעון שהייתה כפייה. יש לציין, שגם אם טענת ההשתק לא תתקבל, עדיין ניתן לתבוע דרך דיני החוזים והתביעה לא תיפול, כיוון שניתן לתבוע בחוסר תו" במו"מ (</w:t>
      </w:r>
      <w:r w:rsidRPr="009B59CF">
        <w:rPr>
          <w:rStyle w:val="SubtleReference"/>
          <w:rFonts w:hint="cs"/>
          <w:rtl/>
        </w:rPr>
        <w:t xml:space="preserve">ס' 12). </w:t>
      </w:r>
      <w:r>
        <w:rPr>
          <w:rFonts w:ascii="David" w:hAnsi="David" w:cs="David" w:hint="cs"/>
          <w:rtl/>
        </w:rPr>
        <w:t xml:space="preserve">על כל פנים, </w:t>
      </w:r>
      <w:r w:rsidRPr="000404D9">
        <w:rPr>
          <w:rFonts w:ascii="David" w:hAnsi="David" w:cs="David" w:hint="cs"/>
          <w:u w:val="single"/>
          <w:rtl/>
        </w:rPr>
        <w:t>המסקנה</w:t>
      </w:r>
      <w:r>
        <w:rPr>
          <w:rFonts w:ascii="David" w:hAnsi="David" w:cs="David" w:hint="cs"/>
          <w:rtl/>
        </w:rPr>
        <w:t>: שלמרות שהתביעה בנזיקין מעט מפותלת, אולי היא באמת עדיפה על התביעה החוזית במקרה זה.</w:t>
      </w:r>
    </w:p>
    <w:p w14:paraId="34CA3895" w14:textId="77777777" w:rsidR="00D162AD" w:rsidRDefault="00D162AD" w:rsidP="00CC7DF2">
      <w:pPr>
        <w:bidi/>
        <w:spacing w:after="0" w:line="276" w:lineRule="auto"/>
        <w:jc w:val="both"/>
        <w:rPr>
          <w:rFonts w:ascii="David" w:hAnsi="David" w:cs="David"/>
          <w:rtl/>
        </w:rPr>
      </w:pPr>
    </w:p>
    <w:p w14:paraId="400CBE20" w14:textId="1D0906DD" w:rsidR="000404D9" w:rsidRDefault="000404D9" w:rsidP="00CC7DF2">
      <w:pPr>
        <w:bidi/>
        <w:spacing w:after="0" w:line="276" w:lineRule="auto"/>
        <w:jc w:val="both"/>
        <w:rPr>
          <w:rFonts w:ascii="David" w:hAnsi="David" w:cs="David"/>
          <w:b/>
          <w:bCs/>
          <w:rtl/>
        </w:rPr>
      </w:pPr>
      <w:r>
        <w:rPr>
          <w:rFonts w:ascii="David" w:hAnsi="David" w:cs="David" w:hint="cs"/>
          <w:b/>
          <w:bCs/>
          <w:rtl/>
        </w:rPr>
        <w:t>נזיקין וחוזים במשפט הפרטי</w:t>
      </w:r>
    </w:p>
    <w:p w14:paraId="1154F02C" w14:textId="6F7A468E" w:rsidR="00286CB1" w:rsidRDefault="001F6900" w:rsidP="00CC7DF2">
      <w:pPr>
        <w:bidi/>
        <w:spacing w:after="0" w:line="276" w:lineRule="auto"/>
        <w:jc w:val="both"/>
        <w:rPr>
          <w:rFonts w:ascii="David" w:hAnsi="David" w:cs="David"/>
          <w:u w:val="single"/>
          <w:rtl/>
        </w:rPr>
      </w:pPr>
      <w:r w:rsidRPr="00286CB1">
        <w:rPr>
          <w:rFonts w:ascii="David" w:hAnsi="David" w:cs="David"/>
          <w:noProof/>
          <w:u w:val="single"/>
        </w:rPr>
        <mc:AlternateContent>
          <mc:Choice Requires="wps">
            <w:drawing>
              <wp:anchor distT="45720" distB="45720" distL="114300" distR="114300" simplePos="0" relativeHeight="251723776" behindDoc="0" locked="0" layoutInCell="1" allowOverlap="1" wp14:anchorId="208CF366" wp14:editId="100F4348">
                <wp:simplePos x="0" y="0"/>
                <wp:positionH relativeFrom="column">
                  <wp:posOffset>-317500</wp:posOffset>
                </wp:positionH>
                <wp:positionV relativeFrom="paragraph">
                  <wp:posOffset>168910</wp:posOffset>
                </wp:positionV>
                <wp:extent cx="3683000" cy="2101850"/>
                <wp:effectExtent l="0" t="0" r="1270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1018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3B7DB8E" w14:textId="77777777" w:rsidR="00385C68" w:rsidRDefault="00385C68" w:rsidP="00385C68">
                            <w:pPr>
                              <w:bidi/>
                              <w:spacing w:after="0" w:line="276" w:lineRule="auto"/>
                              <w:jc w:val="both"/>
                              <w:rPr>
                                <w:rFonts w:ascii="David" w:hAnsi="David" w:cs="David"/>
                                <w:rtl/>
                              </w:rPr>
                            </w:pPr>
                            <w:r>
                              <w:rPr>
                                <w:rFonts w:ascii="David" w:hAnsi="David" w:cs="David" w:hint="cs"/>
                                <w:u w:val="single"/>
                                <w:rtl/>
                              </w:rPr>
                              <w:t>השוני</w:t>
                            </w:r>
                            <w:r w:rsidRPr="000404D9">
                              <w:rPr>
                                <w:rFonts w:ascii="David" w:hAnsi="David" w:cs="David" w:hint="cs"/>
                                <w:rtl/>
                              </w:rPr>
                              <w:t>:</w:t>
                            </w:r>
                          </w:p>
                          <w:p w14:paraId="7F6EAEA0" w14:textId="1284234A" w:rsidR="00385C68" w:rsidRPr="000404D9" w:rsidRDefault="0036532B"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משטרי אחריות (אשם מול אחריות מוחלטת)</w:t>
                            </w:r>
                          </w:p>
                          <w:p w14:paraId="542E1A5F" w14:textId="724A9104" w:rsidR="00385C68" w:rsidRPr="000404D9" w:rsidRDefault="00385C68"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בהגנות</w:t>
                            </w:r>
                          </w:p>
                          <w:p w14:paraId="07B69E3C" w14:textId="77777777" w:rsidR="00385C68" w:rsidRPr="000404D9" w:rsidRDefault="00385C68"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 xml:space="preserve">בסעדים: </w:t>
                            </w:r>
                          </w:p>
                          <w:p w14:paraId="03E1109C" w14:textId="77777777" w:rsidR="00385C68" w:rsidRPr="00AF68B5" w:rsidRDefault="00385C68" w:rsidP="00DF69B2">
                            <w:pPr>
                              <w:pStyle w:val="ListParagraph"/>
                              <w:numPr>
                                <w:ilvl w:val="0"/>
                                <w:numId w:val="10"/>
                              </w:numPr>
                              <w:bidi/>
                              <w:spacing w:after="0" w:line="276" w:lineRule="auto"/>
                              <w:jc w:val="both"/>
                              <w:rPr>
                                <w:rFonts w:ascii="David" w:hAnsi="David" w:cs="David"/>
                                <w:rtl/>
                              </w:rPr>
                            </w:pPr>
                            <w:r w:rsidRPr="00AF68B5">
                              <w:rPr>
                                <w:rFonts w:ascii="David" w:hAnsi="David" w:cs="David" w:hint="cs"/>
                                <w:rtl/>
                              </w:rPr>
                              <w:t>אמנם יש פיצויים בשתי המערכות, אך בחוזים הסעד הראשי הוא אכיפה.</w:t>
                            </w:r>
                          </w:p>
                          <w:p w14:paraId="6C46D59C" w14:textId="7D378FC7" w:rsidR="00385C68" w:rsidRPr="00AF68B5" w:rsidRDefault="00385C68" w:rsidP="00DF69B2">
                            <w:pPr>
                              <w:pStyle w:val="ListParagraph"/>
                              <w:numPr>
                                <w:ilvl w:val="0"/>
                                <w:numId w:val="10"/>
                              </w:numPr>
                              <w:bidi/>
                              <w:spacing w:after="0" w:line="276" w:lineRule="auto"/>
                              <w:jc w:val="both"/>
                              <w:rPr>
                                <w:rFonts w:ascii="David" w:hAnsi="David" w:cs="David"/>
                                <w:rtl/>
                              </w:rPr>
                            </w:pPr>
                            <w:r w:rsidRPr="00AF68B5">
                              <w:rPr>
                                <w:rFonts w:ascii="David" w:hAnsi="David" w:cs="David" w:hint="cs"/>
                                <w:rtl/>
                              </w:rPr>
                              <w:t>פיצויי הסתמכות מאפיינים יותר את נזיקין, ו</w:t>
                            </w:r>
                            <w:r w:rsidR="00D0407B">
                              <w:rPr>
                                <w:rFonts w:ascii="David" w:hAnsi="David" w:cs="David" w:hint="cs"/>
                                <w:rtl/>
                              </w:rPr>
                              <w:t xml:space="preserve">פיצויי </w:t>
                            </w:r>
                            <w:r w:rsidRPr="00AF68B5">
                              <w:rPr>
                                <w:rFonts w:ascii="David" w:hAnsi="David" w:cs="David" w:hint="cs"/>
                                <w:rtl/>
                              </w:rPr>
                              <w:t>קיום את חוזים.</w:t>
                            </w:r>
                          </w:p>
                          <w:p w14:paraId="7A6E2759" w14:textId="299A2D60" w:rsidR="001F6900" w:rsidRPr="001F6900" w:rsidRDefault="001F6900" w:rsidP="00DF69B2">
                            <w:pPr>
                              <w:pStyle w:val="ListParagraph"/>
                              <w:numPr>
                                <w:ilvl w:val="0"/>
                                <w:numId w:val="10"/>
                              </w:numPr>
                              <w:bidi/>
                              <w:spacing w:after="0" w:line="276" w:lineRule="auto"/>
                              <w:jc w:val="both"/>
                              <w:rPr>
                                <w:rFonts w:ascii="David" w:hAnsi="David" w:cs="David"/>
                                <w:rtl/>
                              </w:rPr>
                            </w:pPr>
                            <w:r>
                              <w:rPr>
                                <w:rFonts w:ascii="David" w:hAnsi="David" w:cs="David" w:hint="cs"/>
                                <w:rtl/>
                              </w:rPr>
                              <w:t xml:space="preserve">פיצוי בגין נזק לא ממוני הוא חלק אינטגרלי מנזיקין, אולם בחוה"ח נתון לשיקו"ד ביהמ"ש ואינו סעד מוקנה. </w:t>
                            </w:r>
                            <w:r w:rsidRPr="001F6900">
                              <w:rPr>
                                <w:rFonts w:ascii="David" w:hAnsi="David" w:cs="David" w:hint="cs"/>
                                <w:b/>
                                <w:bCs/>
                                <w:rtl/>
                              </w:rPr>
                              <w:t>אם ראש הנזק הלא ממוני רלוונטי מאוד, יש להעדיף תביעה נזיקית.</w:t>
                            </w:r>
                          </w:p>
                          <w:p w14:paraId="7F6B41CB" w14:textId="22D3111F" w:rsidR="00286CB1" w:rsidRDefault="00286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F366" id="_x0000_s1052" type="#_x0000_t202" style="position:absolute;left:0;text-align:left;margin-left:-25pt;margin-top:13.3pt;width:290pt;height:165.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" fillcolor="#c2d685 [2169]" strokecolor="#a5c249 [3209]" strokeweight=".5pt">
                <v:fill color2="#b5cd6c [2617]" rotate="t" colors="0 #cfdea9;.5 #c6d89c;1 #c0d689" focus="100%" type="gradient">
                  <o:fill v:ext="view" type="gradientUnscaled"/>
                </v:fill>
                <v:textbox>
                  <w:txbxContent>
                    <w:p w14:paraId="43B7DB8E" w14:textId="77777777" w:rsidR="00385C68" w:rsidRDefault="00385C68" w:rsidP="00385C68">
                      <w:pPr>
                        <w:bidi/>
                        <w:spacing w:after="0" w:line="276" w:lineRule="auto"/>
                        <w:jc w:val="both"/>
                        <w:rPr>
                          <w:rFonts w:ascii="David" w:hAnsi="David" w:cs="David"/>
                          <w:rtl/>
                        </w:rPr>
                      </w:pPr>
                      <w:r>
                        <w:rPr>
                          <w:rFonts w:ascii="David" w:hAnsi="David" w:cs="David" w:hint="cs"/>
                          <w:u w:val="single"/>
                          <w:rtl/>
                        </w:rPr>
                        <w:t>השוני</w:t>
                      </w:r>
                      <w:r w:rsidRPr="000404D9">
                        <w:rPr>
                          <w:rFonts w:ascii="David" w:hAnsi="David" w:cs="David" w:hint="cs"/>
                          <w:rtl/>
                        </w:rPr>
                        <w:t>:</w:t>
                      </w:r>
                    </w:p>
                    <w:p w14:paraId="7F6EAEA0" w14:textId="1284234A" w:rsidR="00385C68" w:rsidRPr="000404D9" w:rsidRDefault="0036532B"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משטרי אחריות (אשם מול אחריות מוחלטת)</w:t>
                      </w:r>
                    </w:p>
                    <w:p w14:paraId="542E1A5F" w14:textId="724A9104" w:rsidR="00385C68" w:rsidRPr="000404D9" w:rsidRDefault="00385C68"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בהגנות</w:t>
                      </w:r>
                    </w:p>
                    <w:p w14:paraId="07B69E3C" w14:textId="77777777" w:rsidR="00385C68" w:rsidRPr="000404D9" w:rsidRDefault="00385C68" w:rsidP="00DF69B2">
                      <w:pPr>
                        <w:pStyle w:val="ListParagraph"/>
                        <w:numPr>
                          <w:ilvl w:val="0"/>
                          <w:numId w:val="9"/>
                        </w:numPr>
                        <w:bidi/>
                        <w:spacing w:after="0" w:line="276" w:lineRule="auto"/>
                        <w:jc w:val="both"/>
                        <w:rPr>
                          <w:rFonts w:ascii="David" w:hAnsi="David" w:cs="David"/>
                          <w:u w:val="single"/>
                        </w:rPr>
                      </w:pPr>
                      <w:r>
                        <w:rPr>
                          <w:rFonts w:ascii="David" w:hAnsi="David" w:cs="David" w:hint="cs"/>
                          <w:rtl/>
                        </w:rPr>
                        <w:t xml:space="preserve">בסעדים: </w:t>
                      </w:r>
                    </w:p>
                    <w:p w14:paraId="03E1109C" w14:textId="77777777" w:rsidR="00385C68" w:rsidRPr="00AF68B5" w:rsidRDefault="00385C68" w:rsidP="00DF69B2">
                      <w:pPr>
                        <w:pStyle w:val="ListParagraph"/>
                        <w:numPr>
                          <w:ilvl w:val="0"/>
                          <w:numId w:val="10"/>
                        </w:numPr>
                        <w:bidi/>
                        <w:spacing w:after="0" w:line="276" w:lineRule="auto"/>
                        <w:jc w:val="both"/>
                        <w:rPr>
                          <w:rFonts w:ascii="David" w:hAnsi="David" w:cs="David"/>
                          <w:rtl/>
                        </w:rPr>
                      </w:pPr>
                      <w:r w:rsidRPr="00AF68B5">
                        <w:rPr>
                          <w:rFonts w:ascii="David" w:hAnsi="David" w:cs="David" w:hint="cs"/>
                          <w:rtl/>
                        </w:rPr>
                        <w:t>אמנם יש פיצויים בשתי המערכות, אך בחוזים הסעד הראשי הוא אכיפה.</w:t>
                      </w:r>
                    </w:p>
                    <w:p w14:paraId="6C46D59C" w14:textId="7D378FC7" w:rsidR="00385C68" w:rsidRPr="00AF68B5" w:rsidRDefault="00385C68" w:rsidP="00DF69B2">
                      <w:pPr>
                        <w:pStyle w:val="ListParagraph"/>
                        <w:numPr>
                          <w:ilvl w:val="0"/>
                          <w:numId w:val="10"/>
                        </w:numPr>
                        <w:bidi/>
                        <w:spacing w:after="0" w:line="276" w:lineRule="auto"/>
                        <w:jc w:val="both"/>
                        <w:rPr>
                          <w:rFonts w:ascii="David" w:hAnsi="David" w:cs="David"/>
                          <w:rtl/>
                        </w:rPr>
                      </w:pPr>
                      <w:r w:rsidRPr="00AF68B5">
                        <w:rPr>
                          <w:rFonts w:ascii="David" w:hAnsi="David" w:cs="David" w:hint="cs"/>
                          <w:rtl/>
                        </w:rPr>
                        <w:t>פיצויי הסתמכות מאפיינים יותר את נזיקין, ו</w:t>
                      </w:r>
                      <w:r w:rsidR="00D0407B">
                        <w:rPr>
                          <w:rFonts w:ascii="David" w:hAnsi="David" w:cs="David" w:hint="cs"/>
                          <w:rtl/>
                        </w:rPr>
                        <w:t xml:space="preserve">פיצויי </w:t>
                      </w:r>
                      <w:r w:rsidRPr="00AF68B5">
                        <w:rPr>
                          <w:rFonts w:ascii="David" w:hAnsi="David" w:cs="David" w:hint="cs"/>
                          <w:rtl/>
                        </w:rPr>
                        <w:t>קיום את חוזים.</w:t>
                      </w:r>
                    </w:p>
                    <w:p w14:paraId="7A6E2759" w14:textId="299A2D60" w:rsidR="001F6900" w:rsidRPr="001F6900" w:rsidRDefault="001F6900" w:rsidP="00DF69B2">
                      <w:pPr>
                        <w:pStyle w:val="ListParagraph"/>
                        <w:numPr>
                          <w:ilvl w:val="0"/>
                          <w:numId w:val="10"/>
                        </w:numPr>
                        <w:bidi/>
                        <w:spacing w:after="0" w:line="276" w:lineRule="auto"/>
                        <w:jc w:val="both"/>
                        <w:rPr>
                          <w:rFonts w:ascii="David" w:hAnsi="David" w:cs="David"/>
                          <w:rtl/>
                        </w:rPr>
                      </w:pPr>
                      <w:r>
                        <w:rPr>
                          <w:rFonts w:ascii="David" w:hAnsi="David" w:cs="David" w:hint="cs"/>
                          <w:rtl/>
                        </w:rPr>
                        <w:t xml:space="preserve">פיצוי בגין נזק לא ממוני הוא חלק אינטגרלי מנזיקין, אולם בחוה"ח נתון לשיקו"ד ביהמ"ש ואינו סעד מוקנה. </w:t>
                      </w:r>
                      <w:r w:rsidRPr="001F6900">
                        <w:rPr>
                          <w:rFonts w:ascii="David" w:hAnsi="David" w:cs="David" w:hint="cs"/>
                          <w:b/>
                          <w:bCs/>
                          <w:rtl/>
                        </w:rPr>
                        <w:t>אם ראש הנזק הלא ממוני רלוונטי מאוד, יש להעדיף תביעה נזיקית.</w:t>
                      </w:r>
                    </w:p>
                    <w:p w14:paraId="7F6B41CB" w14:textId="22D3111F" w:rsidR="00286CB1" w:rsidRDefault="00286CB1"/>
                  </w:txbxContent>
                </v:textbox>
                <w10:wrap type="square"/>
              </v:shape>
            </w:pict>
          </mc:Fallback>
        </mc:AlternateContent>
      </w:r>
    </w:p>
    <w:p w14:paraId="3164F58C" w14:textId="2C024E15" w:rsidR="00286CB1" w:rsidRDefault="00286CB1" w:rsidP="00CC7DF2">
      <w:pPr>
        <w:bidi/>
        <w:spacing w:after="0" w:line="276" w:lineRule="auto"/>
        <w:jc w:val="both"/>
        <w:rPr>
          <w:rFonts w:ascii="David" w:hAnsi="David" w:cs="David"/>
          <w:u w:val="single"/>
          <w:rtl/>
        </w:rPr>
      </w:pPr>
      <w:r>
        <w:rPr>
          <w:rFonts w:ascii="David" w:hAnsi="David" w:cs="David" w:hint="cs"/>
          <w:noProof/>
          <w:u w:val="single"/>
          <w:rtl/>
          <w:lang w:val="he-IL"/>
        </w:rPr>
        <mc:AlternateContent>
          <mc:Choice Requires="wps">
            <w:drawing>
              <wp:anchor distT="0" distB="0" distL="114300" distR="114300" simplePos="0" relativeHeight="251721728" behindDoc="0" locked="0" layoutInCell="1" allowOverlap="1" wp14:anchorId="58B057C2" wp14:editId="51F0791F">
                <wp:simplePos x="0" y="0"/>
                <wp:positionH relativeFrom="column">
                  <wp:posOffset>3492500</wp:posOffset>
                </wp:positionH>
                <wp:positionV relativeFrom="paragraph">
                  <wp:posOffset>4445</wp:posOffset>
                </wp:positionV>
                <wp:extent cx="2781300" cy="2108200"/>
                <wp:effectExtent l="0" t="0" r="19050" b="25400"/>
                <wp:wrapNone/>
                <wp:docPr id="20" name="Text Box 20"/>
                <wp:cNvGraphicFramePr/>
                <a:graphic xmlns:a="http://schemas.openxmlformats.org/drawingml/2006/main">
                  <a:graphicData uri="http://schemas.microsoft.com/office/word/2010/wordprocessingShape">
                    <wps:wsp>
                      <wps:cNvSpPr txBox="1"/>
                      <wps:spPr>
                        <a:xfrm>
                          <a:off x="0" y="0"/>
                          <a:ext cx="2781300" cy="21082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AAEB86E" w14:textId="77777777" w:rsidR="00286CB1" w:rsidRDefault="00286CB1" w:rsidP="00286CB1">
                            <w:pPr>
                              <w:bidi/>
                              <w:spacing w:after="0" w:line="276" w:lineRule="auto"/>
                              <w:jc w:val="both"/>
                              <w:rPr>
                                <w:rFonts w:ascii="David" w:hAnsi="David" w:cs="David"/>
                                <w:rtl/>
                              </w:rPr>
                            </w:pPr>
                            <w:r>
                              <w:rPr>
                                <w:rFonts w:ascii="David" w:hAnsi="David" w:cs="David" w:hint="cs"/>
                                <w:u w:val="single"/>
                                <w:rtl/>
                              </w:rPr>
                              <w:t>הדמיון</w:t>
                            </w:r>
                            <w:r w:rsidRPr="000404D9">
                              <w:rPr>
                                <w:rFonts w:ascii="David" w:hAnsi="David" w:cs="David" w:hint="cs"/>
                                <w:rtl/>
                              </w:rPr>
                              <w:t>:</w:t>
                            </w:r>
                          </w:p>
                          <w:p w14:paraId="6BE60B1B"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הקודקס האזרחי ביקש </w:t>
                            </w:r>
                            <w:r w:rsidRPr="000404D9">
                              <w:rPr>
                                <w:rFonts w:ascii="David" w:hAnsi="David" w:cs="David" w:hint="cs"/>
                                <w:b/>
                                <w:bCs/>
                                <w:rtl/>
                              </w:rPr>
                              <w:t>לאחד את הסעדים</w:t>
                            </w:r>
                            <w:r>
                              <w:rPr>
                                <w:rFonts w:ascii="David" w:hAnsi="David" w:cs="David" w:hint="cs"/>
                                <w:rtl/>
                              </w:rPr>
                              <w:t xml:space="preserve"> בין מערכות הדינים.</w:t>
                            </w:r>
                          </w:p>
                          <w:p w14:paraId="7344FF05"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חובת </w:t>
                            </w:r>
                            <w:r w:rsidRPr="000404D9">
                              <w:rPr>
                                <w:rFonts w:ascii="David" w:hAnsi="David" w:cs="David" w:hint="cs"/>
                                <w:b/>
                                <w:bCs/>
                                <w:rtl/>
                              </w:rPr>
                              <w:t>זהירות מושגית</w:t>
                            </w:r>
                            <w:r>
                              <w:rPr>
                                <w:rFonts w:ascii="David" w:hAnsi="David" w:cs="David" w:hint="cs"/>
                                <w:rtl/>
                              </w:rPr>
                              <w:t xml:space="preserve"> בעוולת הרשלנות נשענת על קיום חוזה לעתים.</w:t>
                            </w:r>
                          </w:p>
                          <w:p w14:paraId="38F85888"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השופט ברק בפס"ד </w:t>
                            </w:r>
                            <w:r w:rsidRPr="00957545">
                              <w:rPr>
                                <w:rStyle w:val="QuoteChar"/>
                                <w:rFonts w:hint="cs"/>
                                <w:rtl/>
                              </w:rPr>
                              <w:t>רביב משה נ' בית יולס</w:t>
                            </w:r>
                            <w:r>
                              <w:rPr>
                                <w:rFonts w:ascii="David" w:hAnsi="David" w:cs="David" w:hint="cs"/>
                                <w:rtl/>
                              </w:rPr>
                              <w:t xml:space="preserve">: על </w:t>
                            </w:r>
                            <w:r w:rsidRPr="000404D9">
                              <w:rPr>
                                <w:rFonts w:ascii="David" w:hAnsi="David" w:cs="David" w:hint="cs"/>
                                <w:b/>
                                <w:bCs/>
                                <w:rtl/>
                              </w:rPr>
                              <w:t>השלב הטרום</w:t>
                            </w:r>
                            <w:r>
                              <w:rPr>
                                <w:rFonts w:ascii="David" w:hAnsi="David" w:cs="David" w:hint="cs"/>
                                <w:rtl/>
                              </w:rPr>
                              <w:t xml:space="preserve"> </w:t>
                            </w:r>
                            <w:r w:rsidRPr="000404D9">
                              <w:rPr>
                                <w:rFonts w:ascii="David" w:hAnsi="David" w:cs="David" w:hint="cs"/>
                                <w:b/>
                                <w:bCs/>
                                <w:rtl/>
                              </w:rPr>
                              <w:t>חוזי</w:t>
                            </w:r>
                            <w:r>
                              <w:rPr>
                                <w:rFonts w:ascii="David" w:hAnsi="David" w:cs="David" w:hint="cs"/>
                                <w:rtl/>
                              </w:rPr>
                              <w:t xml:space="preserve"> חלות נורמות מדיני נזיקין וחוזים.</w:t>
                            </w:r>
                          </w:p>
                          <w:p w14:paraId="2A691AAC" w14:textId="77777777" w:rsidR="00286CB1" w:rsidRPr="00957545" w:rsidRDefault="00286CB1" w:rsidP="00DF69B2">
                            <w:pPr>
                              <w:pStyle w:val="ListParagraph"/>
                              <w:numPr>
                                <w:ilvl w:val="0"/>
                                <w:numId w:val="8"/>
                              </w:numPr>
                              <w:bidi/>
                              <w:spacing w:after="0" w:line="276" w:lineRule="auto"/>
                              <w:jc w:val="both"/>
                              <w:rPr>
                                <w:rStyle w:val="SubtleReference"/>
                              </w:rPr>
                            </w:pPr>
                            <w:r w:rsidRPr="000404D9">
                              <w:rPr>
                                <w:rFonts w:ascii="David" w:hAnsi="David" w:cs="David" w:hint="cs"/>
                                <w:b/>
                                <w:bCs/>
                                <w:rtl/>
                              </w:rPr>
                              <w:t>תו"ל</w:t>
                            </w:r>
                            <w:r>
                              <w:rPr>
                                <w:rFonts w:ascii="David" w:hAnsi="David" w:cs="David" w:hint="cs"/>
                                <w:rtl/>
                              </w:rPr>
                              <w:t xml:space="preserve"> משמש גם בדיני נזיקין, ואפשר לייבאו לשם גם דרך </w:t>
                            </w:r>
                            <w:r w:rsidRPr="00957545">
                              <w:rPr>
                                <w:rStyle w:val="SubtleReference"/>
                                <w:rFonts w:hint="cs"/>
                                <w:rtl/>
                              </w:rPr>
                              <w:t>ס' 61(ב) לחוק החוזים.</w:t>
                            </w:r>
                          </w:p>
                          <w:p w14:paraId="6EE57644" w14:textId="77777777" w:rsidR="00865D7F" w:rsidRDefault="00865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57C2" id="Text Box 20" o:spid="_x0000_s1053" type="#_x0000_t202" style="position:absolute;left:0;text-align:left;margin-left:275pt;margin-top:.35pt;width:219pt;height:1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" fillcolor="#a7db96 [2168]" strokecolor="#7cca62 [3208]" strokeweight=".5pt">
                <v:fill color2="#94d480 [2616]" rotate="t" colors="0 #bde3b3;.5 #b1dda6;1 #a5dc96" focus="100%" type="gradient">
                  <o:fill v:ext="view" type="gradientUnscaled"/>
                </v:fill>
                <v:textbox>
                  <w:txbxContent>
                    <w:p w14:paraId="0AAEB86E" w14:textId="77777777" w:rsidR="00286CB1" w:rsidRDefault="00286CB1" w:rsidP="00286CB1">
                      <w:pPr>
                        <w:bidi/>
                        <w:spacing w:after="0" w:line="276" w:lineRule="auto"/>
                        <w:jc w:val="both"/>
                        <w:rPr>
                          <w:rFonts w:ascii="David" w:hAnsi="David" w:cs="David"/>
                          <w:rtl/>
                        </w:rPr>
                      </w:pPr>
                      <w:r>
                        <w:rPr>
                          <w:rFonts w:ascii="David" w:hAnsi="David" w:cs="David" w:hint="cs"/>
                          <w:u w:val="single"/>
                          <w:rtl/>
                        </w:rPr>
                        <w:t>הדמיון</w:t>
                      </w:r>
                      <w:r w:rsidRPr="000404D9">
                        <w:rPr>
                          <w:rFonts w:ascii="David" w:hAnsi="David" w:cs="David" w:hint="cs"/>
                          <w:rtl/>
                        </w:rPr>
                        <w:t>:</w:t>
                      </w:r>
                    </w:p>
                    <w:p w14:paraId="6BE60B1B"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הקודקס האזרחי ביקש </w:t>
                      </w:r>
                      <w:r w:rsidRPr="000404D9">
                        <w:rPr>
                          <w:rFonts w:ascii="David" w:hAnsi="David" w:cs="David" w:hint="cs"/>
                          <w:b/>
                          <w:bCs/>
                          <w:rtl/>
                        </w:rPr>
                        <w:t>לאחד את הסעדים</w:t>
                      </w:r>
                      <w:r>
                        <w:rPr>
                          <w:rFonts w:ascii="David" w:hAnsi="David" w:cs="David" w:hint="cs"/>
                          <w:rtl/>
                        </w:rPr>
                        <w:t xml:space="preserve"> בין מערכות הדינים.</w:t>
                      </w:r>
                    </w:p>
                    <w:p w14:paraId="7344FF05"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חובת </w:t>
                      </w:r>
                      <w:r w:rsidRPr="000404D9">
                        <w:rPr>
                          <w:rFonts w:ascii="David" w:hAnsi="David" w:cs="David" w:hint="cs"/>
                          <w:b/>
                          <w:bCs/>
                          <w:rtl/>
                        </w:rPr>
                        <w:t>זהירות מושגית</w:t>
                      </w:r>
                      <w:r>
                        <w:rPr>
                          <w:rFonts w:ascii="David" w:hAnsi="David" w:cs="David" w:hint="cs"/>
                          <w:rtl/>
                        </w:rPr>
                        <w:t xml:space="preserve"> בעוולת הרשלנות נשענת על קיום חוזה לעתים.</w:t>
                      </w:r>
                    </w:p>
                    <w:p w14:paraId="38F85888" w14:textId="77777777" w:rsidR="00286CB1" w:rsidRPr="000404D9" w:rsidRDefault="00286CB1" w:rsidP="00DF69B2">
                      <w:pPr>
                        <w:pStyle w:val="ListParagraph"/>
                        <w:numPr>
                          <w:ilvl w:val="0"/>
                          <w:numId w:val="8"/>
                        </w:numPr>
                        <w:bidi/>
                        <w:spacing w:after="0" w:line="276" w:lineRule="auto"/>
                        <w:jc w:val="both"/>
                        <w:rPr>
                          <w:rFonts w:ascii="David" w:hAnsi="David" w:cs="David"/>
                          <w:u w:val="single"/>
                        </w:rPr>
                      </w:pPr>
                      <w:r>
                        <w:rPr>
                          <w:rFonts w:ascii="David" w:hAnsi="David" w:cs="David" w:hint="cs"/>
                          <w:rtl/>
                        </w:rPr>
                        <w:t xml:space="preserve">השופט ברק בפס"ד </w:t>
                      </w:r>
                      <w:r w:rsidRPr="00957545">
                        <w:rPr>
                          <w:rStyle w:val="QuoteChar"/>
                          <w:rFonts w:hint="cs"/>
                          <w:rtl/>
                        </w:rPr>
                        <w:t>רביב משה נ' בית יולס</w:t>
                      </w:r>
                      <w:r>
                        <w:rPr>
                          <w:rFonts w:ascii="David" w:hAnsi="David" w:cs="David" w:hint="cs"/>
                          <w:rtl/>
                        </w:rPr>
                        <w:t xml:space="preserve">: על </w:t>
                      </w:r>
                      <w:r w:rsidRPr="000404D9">
                        <w:rPr>
                          <w:rFonts w:ascii="David" w:hAnsi="David" w:cs="David" w:hint="cs"/>
                          <w:b/>
                          <w:bCs/>
                          <w:rtl/>
                        </w:rPr>
                        <w:t>השלב הטרום</w:t>
                      </w:r>
                      <w:r>
                        <w:rPr>
                          <w:rFonts w:ascii="David" w:hAnsi="David" w:cs="David" w:hint="cs"/>
                          <w:rtl/>
                        </w:rPr>
                        <w:t xml:space="preserve"> </w:t>
                      </w:r>
                      <w:r w:rsidRPr="000404D9">
                        <w:rPr>
                          <w:rFonts w:ascii="David" w:hAnsi="David" w:cs="David" w:hint="cs"/>
                          <w:b/>
                          <w:bCs/>
                          <w:rtl/>
                        </w:rPr>
                        <w:t>חוזי</w:t>
                      </w:r>
                      <w:r>
                        <w:rPr>
                          <w:rFonts w:ascii="David" w:hAnsi="David" w:cs="David" w:hint="cs"/>
                          <w:rtl/>
                        </w:rPr>
                        <w:t xml:space="preserve"> חלות נורמות מדיני נזיקין וחוזים.</w:t>
                      </w:r>
                    </w:p>
                    <w:p w14:paraId="2A691AAC" w14:textId="77777777" w:rsidR="00286CB1" w:rsidRPr="00957545" w:rsidRDefault="00286CB1" w:rsidP="00DF69B2">
                      <w:pPr>
                        <w:pStyle w:val="ListParagraph"/>
                        <w:numPr>
                          <w:ilvl w:val="0"/>
                          <w:numId w:val="8"/>
                        </w:numPr>
                        <w:bidi/>
                        <w:spacing w:after="0" w:line="276" w:lineRule="auto"/>
                        <w:jc w:val="both"/>
                        <w:rPr>
                          <w:rStyle w:val="SubtleReference"/>
                        </w:rPr>
                      </w:pPr>
                      <w:r w:rsidRPr="000404D9">
                        <w:rPr>
                          <w:rFonts w:ascii="David" w:hAnsi="David" w:cs="David" w:hint="cs"/>
                          <w:b/>
                          <w:bCs/>
                          <w:rtl/>
                        </w:rPr>
                        <w:t>תו"ל</w:t>
                      </w:r>
                      <w:r>
                        <w:rPr>
                          <w:rFonts w:ascii="David" w:hAnsi="David" w:cs="David" w:hint="cs"/>
                          <w:rtl/>
                        </w:rPr>
                        <w:t xml:space="preserve"> משמש גם בדיני נזיקין, ואפשר לייבאו לשם גם דרך </w:t>
                      </w:r>
                      <w:r w:rsidRPr="00957545">
                        <w:rPr>
                          <w:rStyle w:val="SubtleReference"/>
                          <w:rFonts w:hint="cs"/>
                          <w:rtl/>
                        </w:rPr>
                        <w:t>ס' 61(ב) לחוק החוזים.</w:t>
                      </w:r>
                    </w:p>
                    <w:p w14:paraId="6EE57644" w14:textId="77777777" w:rsidR="00865D7F" w:rsidRDefault="00865D7F"/>
                  </w:txbxContent>
                </v:textbox>
              </v:shape>
            </w:pict>
          </mc:Fallback>
        </mc:AlternateContent>
      </w:r>
    </w:p>
    <w:p w14:paraId="1496E4AB" w14:textId="6D8672FF" w:rsidR="00286CB1" w:rsidRDefault="00286CB1" w:rsidP="00CC7DF2">
      <w:pPr>
        <w:bidi/>
        <w:spacing w:after="0" w:line="276" w:lineRule="auto"/>
        <w:jc w:val="both"/>
        <w:rPr>
          <w:rFonts w:ascii="David" w:hAnsi="David" w:cs="David"/>
          <w:u w:val="single"/>
          <w:rtl/>
        </w:rPr>
      </w:pPr>
    </w:p>
    <w:p w14:paraId="54DE6DE0" w14:textId="28F328CB" w:rsidR="00286CB1" w:rsidRDefault="00286CB1" w:rsidP="00CC7DF2">
      <w:pPr>
        <w:bidi/>
        <w:spacing w:after="0" w:line="276" w:lineRule="auto"/>
        <w:jc w:val="both"/>
        <w:rPr>
          <w:rFonts w:ascii="David" w:hAnsi="David" w:cs="David"/>
          <w:u w:val="single"/>
          <w:rtl/>
        </w:rPr>
      </w:pPr>
    </w:p>
    <w:p w14:paraId="0AF083A8" w14:textId="48D150B3" w:rsidR="00286CB1" w:rsidRDefault="00286CB1" w:rsidP="00CC7DF2">
      <w:pPr>
        <w:bidi/>
        <w:spacing w:after="0" w:line="276" w:lineRule="auto"/>
        <w:jc w:val="both"/>
        <w:rPr>
          <w:rFonts w:ascii="David" w:hAnsi="David" w:cs="David"/>
          <w:u w:val="single"/>
          <w:rtl/>
        </w:rPr>
      </w:pPr>
    </w:p>
    <w:p w14:paraId="7BA5086A" w14:textId="77777777" w:rsidR="00286CB1" w:rsidRDefault="00286CB1" w:rsidP="00CC7DF2">
      <w:pPr>
        <w:bidi/>
        <w:spacing w:after="0" w:line="276" w:lineRule="auto"/>
        <w:jc w:val="both"/>
        <w:rPr>
          <w:rFonts w:ascii="David" w:hAnsi="David" w:cs="David"/>
          <w:u w:val="single"/>
          <w:rtl/>
        </w:rPr>
      </w:pPr>
    </w:p>
    <w:p w14:paraId="6838BFC9" w14:textId="77777777" w:rsidR="00286CB1" w:rsidRDefault="00286CB1" w:rsidP="00CC7DF2">
      <w:pPr>
        <w:bidi/>
        <w:spacing w:after="0" w:line="276" w:lineRule="auto"/>
        <w:jc w:val="both"/>
        <w:rPr>
          <w:rFonts w:ascii="David" w:hAnsi="David" w:cs="David"/>
          <w:u w:val="single"/>
          <w:rtl/>
        </w:rPr>
      </w:pPr>
    </w:p>
    <w:p w14:paraId="7E619936" w14:textId="77777777" w:rsidR="00286CB1" w:rsidRDefault="00286CB1" w:rsidP="00CC7DF2">
      <w:pPr>
        <w:bidi/>
        <w:spacing w:after="0" w:line="276" w:lineRule="auto"/>
        <w:jc w:val="both"/>
        <w:rPr>
          <w:rFonts w:ascii="David" w:hAnsi="David" w:cs="David"/>
          <w:u w:val="single"/>
          <w:rtl/>
        </w:rPr>
      </w:pPr>
    </w:p>
    <w:p w14:paraId="0091202A" w14:textId="77777777" w:rsidR="00286CB1" w:rsidRDefault="00286CB1" w:rsidP="00CC7DF2">
      <w:pPr>
        <w:bidi/>
        <w:spacing w:after="0" w:line="276" w:lineRule="auto"/>
        <w:jc w:val="both"/>
        <w:rPr>
          <w:rFonts w:ascii="David" w:hAnsi="David" w:cs="David"/>
          <w:u w:val="single"/>
          <w:rtl/>
        </w:rPr>
      </w:pPr>
    </w:p>
    <w:p w14:paraId="3894D822" w14:textId="77777777" w:rsidR="00286CB1" w:rsidRDefault="00286CB1" w:rsidP="00CC7DF2">
      <w:pPr>
        <w:bidi/>
        <w:spacing w:after="0" w:line="276" w:lineRule="auto"/>
        <w:jc w:val="both"/>
        <w:rPr>
          <w:rFonts w:ascii="David" w:hAnsi="David" w:cs="David"/>
          <w:u w:val="single"/>
          <w:rtl/>
        </w:rPr>
      </w:pPr>
    </w:p>
    <w:p w14:paraId="12ACAD8C" w14:textId="77777777" w:rsidR="00286CB1" w:rsidRDefault="00286CB1" w:rsidP="00CC7DF2">
      <w:pPr>
        <w:bidi/>
        <w:spacing w:after="0" w:line="276" w:lineRule="auto"/>
        <w:jc w:val="both"/>
        <w:rPr>
          <w:rFonts w:ascii="David" w:hAnsi="David" w:cs="David"/>
          <w:u w:val="single"/>
          <w:rtl/>
        </w:rPr>
      </w:pPr>
    </w:p>
    <w:p w14:paraId="2CC79350" w14:textId="77777777" w:rsidR="00286CB1" w:rsidRDefault="00286CB1" w:rsidP="00CC7DF2">
      <w:pPr>
        <w:bidi/>
        <w:spacing w:after="0" w:line="276" w:lineRule="auto"/>
        <w:jc w:val="both"/>
        <w:rPr>
          <w:rFonts w:ascii="David" w:hAnsi="David" w:cs="David"/>
          <w:u w:val="single"/>
          <w:rtl/>
        </w:rPr>
      </w:pPr>
    </w:p>
    <w:p w14:paraId="1E54E068" w14:textId="77777777" w:rsidR="00286CB1" w:rsidRDefault="00286CB1" w:rsidP="00CC7DF2">
      <w:pPr>
        <w:bidi/>
        <w:spacing w:after="0" w:line="276" w:lineRule="auto"/>
        <w:jc w:val="both"/>
        <w:rPr>
          <w:rFonts w:ascii="David" w:hAnsi="David" w:cs="David"/>
          <w:u w:val="single"/>
          <w:rtl/>
        </w:rPr>
      </w:pPr>
    </w:p>
    <w:p w14:paraId="42426E9F" w14:textId="16DEA3E3" w:rsidR="00286CB1" w:rsidRDefault="00286CB1" w:rsidP="00CC7DF2">
      <w:pPr>
        <w:bidi/>
        <w:spacing w:after="0" w:line="276" w:lineRule="auto"/>
        <w:jc w:val="both"/>
        <w:rPr>
          <w:rFonts w:ascii="David" w:hAnsi="David" w:cs="David"/>
          <w:u w:val="single"/>
          <w:rtl/>
        </w:rPr>
      </w:pPr>
    </w:p>
    <w:p w14:paraId="01A6D580" w14:textId="77777777" w:rsidR="0039519C" w:rsidRDefault="0039519C" w:rsidP="00CC7DF2">
      <w:pPr>
        <w:bidi/>
        <w:spacing w:after="0" w:line="276" w:lineRule="auto"/>
        <w:jc w:val="both"/>
        <w:rPr>
          <w:rFonts w:ascii="David" w:hAnsi="David" w:cs="David"/>
          <w:u w:val="single"/>
          <w:rtl/>
        </w:rPr>
      </w:pPr>
    </w:p>
    <w:p w14:paraId="14EC712B" w14:textId="77777777" w:rsidR="0039519C" w:rsidRDefault="0039519C" w:rsidP="00CC7DF2">
      <w:pPr>
        <w:bidi/>
        <w:spacing w:after="0" w:line="276" w:lineRule="auto"/>
        <w:jc w:val="both"/>
        <w:rPr>
          <w:rFonts w:ascii="David" w:hAnsi="David" w:cs="David"/>
          <w:u w:val="single"/>
          <w:rtl/>
        </w:rPr>
      </w:pPr>
    </w:p>
    <w:p w14:paraId="13F981BE" w14:textId="77777777" w:rsidR="0039519C" w:rsidRDefault="0039519C" w:rsidP="00CC7DF2">
      <w:pPr>
        <w:bidi/>
        <w:spacing w:after="0" w:line="276" w:lineRule="auto"/>
        <w:jc w:val="both"/>
        <w:rPr>
          <w:rFonts w:ascii="David" w:hAnsi="David" w:cs="David"/>
          <w:u w:val="single"/>
          <w:rtl/>
        </w:rPr>
      </w:pPr>
    </w:p>
    <w:p w14:paraId="3689D324" w14:textId="77777777" w:rsidR="0039519C" w:rsidRDefault="0039519C" w:rsidP="00CC7DF2">
      <w:pPr>
        <w:bidi/>
        <w:spacing w:after="0" w:line="276" w:lineRule="auto"/>
        <w:jc w:val="both"/>
        <w:rPr>
          <w:rFonts w:ascii="David" w:hAnsi="David" w:cs="David"/>
          <w:u w:val="single"/>
          <w:rtl/>
        </w:rPr>
      </w:pPr>
    </w:p>
    <w:p w14:paraId="23A69534" w14:textId="77777777" w:rsidR="0039519C" w:rsidRDefault="0039519C" w:rsidP="00CC7DF2">
      <w:pPr>
        <w:bidi/>
        <w:spacing w:after="0" w:line="276" w:lineRule="auto"/>
        <w:jc w:val="both"/>
        <w:rPr>
          <w:rFonts w:ascii="David" w:hAnsi="David" w:cs="David"/>
          <w:u w:val="single"/>
          <w:rtl/>
        </w:rPr>
      </w:pPr>
    </w:p>
    <w:p w14:paraId="2431869C" w14:textId="77777777" w:rsidR="0039519C" w:rsidRDefault="0039519C" w:rsidP="00CC7DF2">
      <w:pPr>
        <w:bidi/>
        <w:spacing w:after="0" w:line="276" w:lineRule="auto"/>
        <w:jc w:val="both"/>
        <w:rPr>
          <w:rFonts w:ascii="David" w:hAnsi="David" w:cs="David"/>
          <w:u w:val="single"/>
          <w:rtl/>
        </w:rPr>
      </w:pPr>
    </w:p>
    <w:p w14:paraId="2241B1FF" w14:textId="03B86BF2" w:rsidR="00C6519F" w:rsidRDefault="00772EB2" w:rsidP="00CC7DF2">
      <w:pPr>
        <w:bidi/>
        <w:spacing w:line="276" w:lineRule="auto"/>
        <w:jc w:val="both"/>
        <w:rPr>
          <w:rFonts w:ascii="David" w:hAnsi="David" w:cs="David"/>
          <w:rtl/>
        </w:rPr>
      </w:pPr>
      <w:r>
        <w:rPr>
          <w:noProof/>
        </w:rPr>
        <w:drawing>
          <wp:inline distT="0" distB="0" distL="0" distR="0" wp14:anchorId="5511E5E6" wp14:editId="694069A9">
            <wp:extent cx="5943600" cy="3110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10230"/>
                    </a:xfrm>
                    <a:prstGeom prst="rect">
                      <a:avLst/>
                    </a:prstGeom>
                  </pic:spPr>
                </pic:pic>
              </a:graphicData>
            </a:graphic>
          </wp:inline>
        </w:drawing>
      </w:r>
      <w:r w:rsidR="00BA4FF9">
        <w:rPr>
          <w:rFonts w:ascii="David" w:hAnsi="David" w:cs="David" w:hint="cs"/>
          <w:u w:val="single"/>
          <w:rtl/>
        </w:rPr>
        <w:t>נזיקין וחוזים בקורס</w:t>
      </w:r>
    </w:p>
    <w:p w14:paraId="0C539265" w14:textId="2AE23CA1" w:rsidR="00BA4FF9" w:rsidRDefault="00BA4FF9" w:rsidP="00CC7DF2">
      <w:pPr>
        <w:bidi/>
        <w:spacing w:line="276" w:lineRule="auto"/>
        <w:jc w:val="both"/>
        <w:rPr>
          <w:rFonts w:ascii="David" w:hAnsi="David" w:cs="David"/>
          <w:rtl/>
        </w:rPr>
      </w:pPr>
      <w:r>
        <w:rPr>
          <w:rFonts w:ascii="David" w:hAnsi="David" w:cs="David" w:hint="cs"/>
          <w:rtl/>
        </w:rPr>
        <w:t>המתח ייבחן במקרים שונים, שם הוגשו תביעות נזיקין למרות שהיה ראוי ללכת בדיני החוזים או לכל הפחות להוסיף את העילה. הסיבה לבלבול נוצרת לעתים עקב הקונוטציה בין סעד פיצוי לנזיקין (כיוון שבחוזים הוא אינו סעד ראשי), או לחילופין שהסעד נחזה כפיצוי אך אינו כזה. דוגמאות:</w:t>
      </w:r>
    </w:p>
    <w:p w14:paraId="4F29BCB4" w14:textId="79E1B22B" w:rsidR="00BA4FF9" w:rsidRDefault="00BA4FF9" w:rsidP="00DF69B2">
      <w:pPr>
        <w:pStyle w:val="ListParagraph"/>
        <w:numPr>
          <w:ilvl w:val="0"/>
          <w:numId w:val="3"/>
        </w:numPr>
        <w:bidi/>
        <w:spacing w:line="276" w:lineRule="auto"/>
        <w:jc w:val="both"/>
        <w:rPr>
          <w:rFonts w:ascii="David" w:hAnsi="David" w:cs="David"/>
        </w:rPr>
      </w:pPr>
      <w:r>
        <w:rPr>
          <w:rFonts w:ascii="David" w:hAnsi="David" w:cs="David" w:hint="cs"/>
          <w:b/>
          <w:bCs/>
          <w:rtl/>
        </w:rPr>
        <w:t xml:space="preserve">נכסי קריירה בין בני זוג </w:t>
      </w:r>
      <w:r>
        <w:rPr>
          <w:rFonts w:ascii="David" w:hAnsi="David" w:cs="David"/>
          <w:rtl/>
        </w:rPr>
        <w:t>–</w:t>
      </w:r>
      <w:r>
        <w:rPr>
          <w:rFonts w:ascii="David" w:hAnsi="David" w:cs="David" w:hint="cs"/>
          <w:rtl/>
        </w:rPr>
        <w:t xml:space="preserve"> עניין קנייני ולא של פיצוי.</w:t>
      </w:r>
    </w:p>
    <w:p w14:paraId="68A9ABC6" w14:textId="21E587EB" w:rsidR="00BA4FF9" w:rsidRDefault="00BA4FF9" w:rsidP="00DF69B2">
      <w:pPr>
        <w:pStyle w:val="ListParagraph"/>
        <w:numPr>
          <w:ilvl w:val="0"/>
          <w:numId w:val="3"/>
        </w:numPr>
        <w:bidi/>
        <w:spacing w:line="276" w:lineRule="auto"/>
        <w:jc w:val="both"/>
        <w:rPr>
          <w:rFonts w:ascii="David" w:hAnsi="David" w:cs="David"/>
        </w:rPr>
      </w:pPr>
      <w:r>
        <w:rPr>
          <w:rFonts w:ascii="David" w:hAnsi="David" w:cs="David" w:hint="cs"/>
          <w:b/>
          <w:bCs/>
          <w:rtl/>
        </w:rPr>
        <w:t>דמי טיפול</w:t>
      </w:r>
      <w:r>
        <w:rPr>
          <w:rFonts w:ascii="David" w:hAnsi="David" w:cs="David" w:hint="cs"/>
          <w:rtl/>
        </w:rPr>
        <w:t xml:space="preserve"> </w:t>
      </w:r>
      <w:r>
        <w:rPr>
          <w:rFonts w:ascii="David" w:hAnsi="David" w:cs="David"/>
          <w:rtl/>
        </w:rPr>
        <w:t>–</w:t>
      </w:r>
      <w:r>
        <w:rPr>
          <w:rFonts w:ascii="David" w:hAnsi="David" w:cs="David" w:hint="cs"/>
          <w:rtl/>
        </w:rPr>
        <w:t xml:space="preserve"> אב תבע את בנו על מרמה וגזל של כספיו, והבן תבע נגדית על "דמי טיפול ושירות". שתי התביעות נדחו. </w:t>
      </w:r>
    </w:p>
    <w:p w14:paraId="3AED919B" w14:textId="7265F20B" w:rsidR="005D1FA2" w:rsidRDefault="00BA4FF9" w:rsidP="008B35CA">
      <w:pPr>
        <w:bidi/>
        <w:spacing w:line="276" w:lineRule="auto"/>
        <w:jc w:val="both"/>
        <w:rPr>
          <w:rFonts w:ascii="David" w:hAnsi="David" w:cs="David"/>
          <w:rtl/>
        </w:rPr>
      </w:pPr>
      <w:r>
        <w:rPr>
          <w:rFonts w:ascii="David" w:hAnsi="David" w:cs="David" w:hint="cs"/>
          <w:rtl/>
        </w:rPr>
        <w:t xml:space="preserve">ידונו גם מקרים הפוכים </w:t>
      </w:r>
      <w:r>
        <w:rPr>
          <w:rFonts w:ascii="David" w:hAnsi="David" w:cs="David"/>
          <w:rtl/>
        </w:rPr>
        <w:t>–</w:t>
      </w:r>
      <w:r>
        <w:rPr>
          <w:rFonts w:ascii="David" w:hAnsi="David" w:cs="David" w:hint="cs"/>
          <w:rtl/>
        </w:rPr>
        <w:t xml:space="preserve"> בחירה במסלול חוזי למרות העדפה לתביעה נזיקית. הדיון יתרום לא רק לתיאוריה אלא גם</w:t>
      </w:r>
      <w:r w:rsidRPr="00BA4FF9">
        <w:rPr>
          <w:rFonts w:ascii="David" w:hAnsi="David" w:cs="David" w:hint="cs"/>
          <w:rtl/>
        </w:rPr>
        <w:t xml:space="preserve"> </w:t>
      </w:r>
      <w:r>
        <w:rPr>
          <w:rFonts w:ascii="David" w:hAnsi="David" w:cs="David" w:hint="cs"/>
          <w:rtl/>
        </w:rPr>
        <w:t>לפרקטיקה.</w:t>
      </w:r>
    </w:p>
    <w:p w14:paraId="503D06D7" w14:textId="5EB55D47" w:rsidR="002F366A" w:rsidRPr="009670E7" w:rsidRDefault="002F366A" w:rsidP="00CC7DF2">
      <w:pPr>
        <w:pStyle w:val="IntenseQuote"/>
        <w:jc w:val="both"/>
      </w:pPr>
      <w:r>
        <w:rPr>
          <w:rFonts w:hint="cs"/>
          <w:rtl/>
        </w:rPr>
        <w:t>הונאת אבהות</w:t>
      </w:r>
    </w:p>
    <w:p w14:paraId="5834A68A" w14:textId="77777777" w:rsidR="002F6D04" w:rsidRDefault="002F366A" w:rsidP="00CC7DF2">
      <w:pPr>
        <w:bidi/>
        <w:spacing w:line="276" w:lineRule="auto"/>
        <w:jc w:val="both"/>
        <w:rPr>
          <w:rFonts w:ascii="David" w:hAnsi="David" w:cs="David"/>
          <w:rtl/>
        </w:rPr>
      </w:pPr>
      <w:r>
        <w:rPr>
          <w:rFonts w:ascii="David" w:hAnsi="David" w:cs="David" w:hint="cs"/>
          <w:rtl/>
        </w:rPr>
        <w:t xml:space="preserve">מהי הונאת אבהות? אישה מציגה בפני גבר מצג שבו עובר/ילד שהוא מגדל הוא שלו גנטית, למרות שהיא חושדת או יודעת שלא כך הדבר. </w:t>
      </w:r>
    </w:p>
    <w:p w14:paraId="02B8C4FD" w14:textId="1E45C944" w:rsidR="002F366A" w:rsidRDefault="002F366A" w:rsidP="00CC7DF2">
      <w:pPr>
        <w:bidi/>
        <w:spacing w:line="276" w:lineRule="auto"/>
        <w:jc w:val="both"/>
        <w:rPr>
          <w:rFonts w:ascii="David" w:hAnsi="David" w:cs="David"/>
          <w:rtl/>
        </w:rPr>
      </w:pPr>
      <w:r>
        <w:rPr>
          <w:rFonts w:ascii="David" w:hAnsi="David" w:cs="David" w:hint="cs"/>
          <w:rtl/>
        </w:rPr>
        <w:t>במקרים אלו, האב הלא ביולוג</w:t>
      </w:r>
      <w:r w:rsidR="002F6D04">
        <w:rPr>
          <w:rFonts w:ascii="David" w:hAnsi="David" w:cs="David" w:hint="cs"/>
          <w:rtl/>
        </w:rPr>
        <w:t>י הוא התובע, והנתבעת היא האישה. ניתן לתבוע תחת שני ראשי נזקים שונים:</w:t>
      </w:r>
    </w:p>
    <w:p w14:paraId="76470101" w14:textId="67342843" w:rsidR="002F6D04" w:rsidRDefault="002F6D04" w:rsidP="00DF69B2">
      <w:pPr>
        <w:pStyle w:val="ListParagraph"/>
        <w:numPr>
          <w:ilvl w:val="0"/>
          <w:numId w:val="11"/>
        </w:numPr>
        <w:bidi/>
        <w:spacing w:line="276" w:lineRule="auto"/>
        <w:jc w:val="both"/>
        <w:rPr>
          <w:rFonts w:ascii="David" w:hAnsi="David" w:cs="David"/>
        </w:rPr>
      </w:pPr>
      <w:r>
        <w:rPr>
          <w:rFonts w:ascii="David" w:hAnsi="David" w:cs="David" w:hint="cs"/>
          <w:rtl/>
        </w:rPr>
        <w:t xml:space="preserve">נזק </w:t>
      </w:r>
      <w:r>
        <w:rPr>
          <w:rFonts w:ascii="David" w:hAnsi="David" w:cs="David" w:hint="cs"/>
          <w:b/>
          <w:bCs/>
          <w:rtl/>
        </w:rPr>
        <w:t>ממוני</w:t>
      </w:r>
      <w:r>
        <w:rPr>
          <w:rFonts w:ascii="David" w:hAnsi="David" w:cs="David" w:hint="cs"/>
          <w:rtl/>
        </w:rPr>
        <w:t xml:space="preserve"> </w:t>
      </w:r>
      <w:r>
        <w:rPr>
          <w:rFonts w:ascii="David" w:hAnsi="David" w:cs="David"/>
          <w:rtl/>
        </w:rPr>
        <w:t>–</w:t>
      </w:r>
      <w:r>
        <w:rPr>
          <w:rFonts w:ascii="David" w:hAnsi="David" w:cs="David" w:hint="cs"/>
          <w:rtl/>
        </w:rPr>
        <w:t xml:space="preserve"> השבת כספי מזונות והוצאות גידול והמחייה של הילד שהוציא התובע.</w:t>
      </w:r>
    </w:p>
    <w:p w14:paraId="56F97A1D" w14:textId="25266729" w:rsidR="002F6D04" w:rsidRDefault="002F6D04" w:rsidP="00DF69B2">
      <w:pPr>
        <w:pStyle w:val="ListParagraph"/>
        <w:numPr>
          <w:ilvl w:val="0"/>
          <w:numId w:val="11"/>
        </w:numPr>
        <w:bidi/>
        <w:spacing w:line="276" w:lineRule="auto"/>
        <w:jc w:val="both"/>
        <w:rPr>
          <w:rFonts w:ascii="David" w:hAnsi="David" w:cs="David"/>
        </w:rPr>
      </w:pPr>
      <w:r>
        <w:rPr>
          <w:rFonts w:ascii="David" w:hAnsi="David" w:cs="David" w:hint="cs"/>
          <w:rtl/>
        </w:rPr>
        <w:t xml:space="preserve">נזק </w:t>
      </w:r>
      <w:r>
        <w:rPr>
          <w:rFonts w:ascii="David" w:hAnsi="David" w:cs="David" w:hint="cs"/>
          <w:b/>
          <w:bCs/>
          <w:rtl/>
        </w:rPr>
        <w:t>לא ממוני</w:t>
      </w:r>
      <w:r>
        <w:rPr>
          <w:rFonts w:ascii="David" w:hAnsi="David" w:cs="David" w:hint="cs"/>
          <w:rtl/>
        </w:rPr>
        <w:t xml:space="preserve"> </w:t>
      </w:r>
      <w:r>
        <w:rPr>
          <w:rFonts w:ascii="David" w:hAnsi="David" w:cs="David"/>
          <w:rtl/>
        </w:rPr>
        <w:t>–</w:t>
      </w:r>
      <w:r>
        <w:rPr>
          <w:rFonts w:ascii="David" w:hAnsi="David" w:cs="David" w:hint="cs"/>
          <w:rtl/>
        </w:rPr>
        <w:t xml:space="preserve"> נזקים נפשיים כתוצאה מההונאה, היינו ההתקשרות לילד וגילוי התרמית.</w:t>
      </w:r>
    </w:p>
    <w:p w14:paraId="4D50544E" w14:textId="52003D6D" w:rsidR="002F6D04" w:rsidRDefault="002F6D04" w:rsidP="00CC7DF2">
      <w:pPr>
        <w:bidi/>
        <w:spacing w:line="276" w:lineRule="auto"/>
        <w:jc w:val="both"/>
        <w:rPr>
          <w:rFonts w:ascii="David" w:hAnsi="David" w:cs="David"/>
          <w:rtl/>
        </w:rPr>
      </w:pPr>
      <w:r>
        <w:rPr>
          <w:rFonts w:ascii="David" w:hAnsi="David" w:cs="David" w:hint="cs"/>
          <w:rtl/>
        </w:rPr>
        <w:t xml:space="preserve">במידה והזוג ניהלו מסגרת חיים משותפת, המקרה יידון בבימ"ש משפחה, אם הזוג רק קיים יחסים </w:t>
      </w:r>
      <w:r>
        <w:rPr>
          <w:rFonts w:ascii="David" w:hAnsi="David" w:cs="David"/>
          <w:rtl/>
        </w:rPr>
        <w:t>–</w:t>
      </w:r>
      <w:r>
        <w:rPr>
          <w:rFonts w:ascii="David" w:hAnsi="David" w:cs="David" w:hint="cs"/>
          <w:rtl/>
        </w:rPr>
        <w:t xml:space="preserve"> בבימ"ש אזרחי.</w:t>
      </w:r>
    </w:p>
    <w:p w14:paraId="6E415297" w14:textId="74F4D78F" w:rsidR="002F6D04" w:rsidRDefault="002F6D04" w:rsidP="00CC7DF2">
      <w:pPr>
        <w:bidi/>
        <w:spacing w:after="0" w:line="276" w:lineRule="auto"/>
        <w:jc w:val="both"/>
        <w:rPr>
          <w:rFonts w:ascii="David" w:hAnsi="David" w:cs="David"/>
          <w:rtl/>
        </w:rPr>
      </w:pPr>
      <w:r>
        <w:rPr>
          <w:rFonts w:ascii="David" w:hAnsi="David" w:cs="David" w:hint="cs"/>
          <w:b/>
          <w:bCs/>
          <w:rtl/>
        </w:rPr>
        <w:t>הדין המצוי</w:t>
      </w:r>
    </w:p>
    <w:p w14:paraId="6FFE8C5F" w14:textId="604A59C8" w:rsidR="002F6D04" w:rsidRDefault="002F6D04" w:rsidP="00CC7DF2">
      <w:pPr>
        <w:bidi/>
        <w:spacing w:after="0" w:line="276" w:lineRule="auto"/>
        <w:jc w:val="both"/>
        <w:rPr>
          <w:rFonts w:ascii="David" w:hAnsi="David" w:cs="David"/>
        </w:rPr>
      </w:pPr>
      <w:r>
        <w:rPr>
          <w:rFonts w:ascii="David" w:hAnsi="David" w:cs="David" w:hint="cs"/>
          <w:rtl/>
        </w:rPr>
        <w:t>העניין לא הגיע לעליון ולכן אין הלכה בנושא. בעולם חלק מהתביעות התקבלו (אנגליה, ארה"ב), ובחלק נחסמו (אוסטרליה, ארה"ב) בשל שיקולי מדיניות שונים: טובת הילד, תקנת הציבור, ועוד.</w:t>
      </w:r>
    </w:p>
    <w:p w14:paraId="171B0439" w14:textId="77777777" w:rsidR="0049140B" w:rsidRDefault="0049140B" w:rsidP="00CC7DF2">
      <w:pPr>
        <w:bidi/>
        <w:spacing w:after="0" w:line="276" w:lineRule="auto"/>
        <w:jc w:val="both"/>
        <w:rPr>
          <w:rFonts w:ascii="David" w:hAnsi="David" w:cs="David"/>
          <w:rtl/>
        </w:rPr>
      </w:pPr>
    </w:p>
    <w:p w14:paraId="1D16C9D6" w14:textId="48460214" w:rsidR="0049140B" w:rsidRDefault="002F6D04" w:rsidP="008B35CA">
      <w:pPr>
        <w:bidi/>
        <w:spacing w:line="276" w:lineRule="auto"/>
        <w:jc w:val="both"/>
        <w:rPr>
          <w:rFonts w:ascii="David" w:hAnsi="David" w:cs="David"/>
          <w:rtl/>
        </w:rPr>
      </w:pPr>
      <w:r>
        <w:rPr>
          <w:rFonts w:ascii="David" w:hAnsi="David" w:cs="David" w:hint="cs"/>
          <w:b/>
          <w:bCs/>
          <w:rtl/>
        </w:rPr>
        <w:t>השאלות</w:t>
      </w:r>
      <w:r>
        <w:rPr>
          <w:rFonts w:ascii="David" w:hAnsi="David" w:cs="David" w:hint="cs"/>
          <w:rtl/>
        </w:rPr>
        <w:t>: האם לקבל את התביעות? אם לא, מדוע? מה המסלול הנכון לכך במשפט האזרחי? מיהו הנתבע הראוי?</w:t>
      </w:r>
    </w:p>
    <w:p w14:paraId="38E168CE" w14:textId="77777777" w:rsidR="008B35CA" w:rsidRDefault="008B35CA" w:rsidP="008B35CA">
      <w:pPr>
        <w:bidi/>
        <w:spacing w:line="276" w:lineRule="auto"/>
        <w:jc w:val="both"/>
        <w:rPr>
          <w:rFonts w:ascii="David" w:hAnsi="David" w:cs="David"/>
          <w:rtl/>
        </w:rPr>
      </w:pPr>
    </w:p>
    <w:p w14:paraId="221B3E86" w14:textId="77777777" w:rsidR="008B35CA" w:rsidRDefault="008B35CA" w:rsidP="008B35CA">
      <w:pPr>
        <w:bidi/>
        <w:spacing w:line="276" w:lineRule="auto"/>
        <w:jc w:val="both"/>
        <w:rPr>
          <w:rFonts w:ascii="David" w:hAnsi="David" w:cs="David"/>
          <w:rtl/>
        </w:rPr>
      </w:pPr>
    </w:p>
    <w:p w14:paraId="29CF685C" w14:textId="77777777" w:rsidR="008B35CA" w:rsidRDefault="008B35CA" w:rsidP="008B35CA">
      <w:pPr>
        <w:bidi/>
        <w:spacing w:line="276" w:lineRule="auto"/>
        <w:jc w:val="both"/>
        <w:rPr>
          <w:rFonts w:ascii="David" w:hAnsi="David" w:cs="David"/>
          <w:rtl/>
        </w:rPr>
      </w:pPr>
    </w:p>
    <w:p w14:paraId="5A5B9A27" w14:textId="035E4D50" w:rsidR="00876FAA" w:rsidRPr="00876FAA" w:rsidRDefault="00876FAA" w:rsidP="00CC7DF2">
      <w:pPr>
        <w:bidi/>
        <w:spacing w:line="276" w:lineRule="auto"/>
        <w:jc w:val="both"/>
        <w:rPr>
          <w:rFonts w:ascii="David" w:hAnsi="David" w:cs="David"/>
          <w:b/>
          <w:bCs/>
          <w:rtl/>
        </w:rPr>
      </w:pPr>
      <w:r>
        <w:rPr>
          <w:rFonts w:ascii="David" w:hAnsi="David" w:cs="David" w:hint="cs"/>
          <w:b/>
          <w:bCs/>
          <w:rtl/>
        </w:rPr>
        <w:t>הצעות:</w:t>
      </w:r>
    </w:p>
    <w:p w14:paraId="4A93F8CC" w14:textId="6BC0C335" w:rsidR="0007238F" w:rsidRPr="0007238F" w:rsidRDefault="00876FAA" w:rsidP="00CC7DF2">
      <w:pPr>
        <w:bidi/>
        <w:spacing w:line="276" w:lineRule="auto"/>
        <w:jc w:val="both"/>
        <w:rPr>
          <w:rFonts w:ascii="David" w:hAnsi="David" w:cs="David"/>
          <w:b/>
          <w:bCs/>
          <w:rtl/>
        </w:rPr>
      </w:pPr>
      <w:r>
        <w:rPr>
          <w:rFonts w:ascii="David" w:hAnsi="David" w:cs="David"/>
          <w:noProof/>
        </w:rPr>
        <w:drawing>
          <wp:anchor distT="0" distB="0" distL="114300" distR="114300" simplePos="0" relativeHeight="251724800" behindDoc="0" locked="0" layoutInCell="1" allowOverlap="1" wp14:anchorId="4CBEAC84" wp14:editId="70B9B153">
            <wp:simplePos x="0" y="0"/>
            <wp:positionH relativeFrom="margin">
              <wp:posOffset>-628650</wp:posOffset>
            </wp:positionH>
            <wp:positionV relativeFrom="paragraph">
              <wp:posOffset>298450</wp:posOffset>
            </wp:positionV>
            <wp:extent cx="7366000" cy="6013450"/>
            <wp:effectExtent l="0" t="57150" r="0" b="0"/>
            <wp:wrapTopAndBottom/>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196D3CA4" w14:textId="0A0E71DA" w:rsidR="0007238F" w:rsidRDefault="0007238F" w:rsidP="00CC7DF2">
      <w:pPr>
        <w:pStyle w:val="ListParagraph"/>
        <w:bidi/>
        <w:spacing w:line="276" w:lineRule="auto"/>
        <w:ind w:left="1080"/>
        <w:jc w:val="both"/>
        <w:rPr>
          <w:rFonts w:ascii="David" w:hAnsi="David" w:cs="David"/>
          <w:rtl/>
        </w:rPr>
      </w:pPr>
    </w:p>
    <w:p w14:paraId="7E944967" w14:textId="4AC9761D" w:rsidR="0007238F" w:rsidRPr="0007238F" w:rsidRDefault="00394FB4" w:rsidP="00CC7DF2">
      <w:pPr>
        <w:pStyle w:val="ListParagraph"/>
        <w:bidi/>
        <w:spacing w:line="276" w:lineRule="auto"/>
        <w:ind w:left="1080"/>
        <w:jc w:val="both"/>
        <w:rPr>
          <w:rFonts w:ascii="David" w:hAnsi="David" w:cs="David"/>
          <w:rtl/>
        </w:rPr>
      </w:pPr>
      <w:r w:rsidRPr="004B58B3">
        <w:rPr>
          <w:rFonts w:ascii="David" w:hAnsi="David" w:cs="David"/>
          <w:noProof/>
          <w:color w:val="000000" w:themeColor="text1"/>
          <w:rtl/>
        </w:rPr>
        <w:drawing>
          <wp:anchor distT="0" distB="0" distL="114300" distR="114300" simplePos="0" relativeHeight="251726848" behindDoc="0" locked="0" layoutInCell="1" allowOverlap="1" wp14:anchorId="55BE3603" wp14:editId="60771ED2">
            <wp:simplePos x="0" y="0"/>
            <wp:positionH relativeFrom="column">
              <wp:posOffset>669678</wp:posOffset>
            </wp:positionH>
            <wp:positionV relativeFrom="paragraph">
              <wp:posOffset>2958</wp:posOffset>
            </wp:positionV>
            <wp:extent cx="4763135" cy="2011045"/>
            <wp:effectExtent l="0" t="0" r="0" b="8255"/>
            <wp:wrapNone/>
            <wp:docPr id="114946975" name="תמונה 11494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7075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3135" cy="2011045"/>
                    </a:xfrm>
                    <a:prstGeom prst="rect">
                      <a:avLst/>
                    </a:prstGeom>
                  </pic:spPr>
                </pic:pic>
              </a:graphicData>
            </a:graphic>
            <wp14:sizeRelH relativeFrom="margin">
              <wp14:pctWidth>0</wp14:pctWidth>
            </wp14:sizeRelH>
            <wp14:sizeRelV relativeFrom="margin">
              <wp14:pctHeight>0</wp14:pctHeight>
            </wp14:sizeRelV>
          </wp:anchor>
        </w:drawing>
      </w:r>
    </w:p>
    <w:p w14:paraId="54015D73" w14:textId="548AEA67" w:rsidR="00D2056C" w:rsidRDefault="00D2056C" w:rsidP="00CC7DF2">
      <w:pPr>
        <w:pStyle w:val="ListParagraph"/>
        <w:bidi/>
        <w:spacing w:line="276" w:lineRule="auto"/>
        <w:jc w:val="both"/>
        <w:rPr>
          <w:rFonts w:ascii="David" w:hAnsi="David" w:cs="David"/>
          <w:rtl/>
        </w:rPr>
      </w:pPr>
    </w:p>
    <w:p w14:paraId="2403D28D" w14:textId="1D07AECB" w:rsidR="009A00DB" w:rsidRDefault="009A00DB" w:rsidP="00CC7DF2">
      <w:pPr>
        <w:pStyle w:val="ListParagraph"/>
        <w:bidi/>
        <w:spacing w:line="276" w:lineRule="auto"/>
        <w:ind w:left="1800"/>
        <w:jc w:val="both"/>
        <w:rPr>
          <w:rFonts w:ascii="David" w:hAnsi="David" w:cs="David"/>
          <w:rtl/>
        </w:rPr>
      </w:pPr>
    </w:p>
    <w:p w14:paraId="34AC8BFF" w14:textId="1AC879F1" w:rsidR="00DE196E" w:rsidRDefault="00DE196E" w:rsidP="00CC7DF2">
      <w:pPr>
        <w:pStyle w:val="ListParagraph"/>
        <w:bidi/>
        <w:spacing w:line="276" w:lineRule="auto"/>
        <w:ind w:left="1800"/>
        <w:jc w:val="both"/>
        <w:rPr>
          <w:rFonts w:ascii="David" w:hAnsi="David" w:cs="David"/>
          <w:rtl/>
        </w:rPr>
      </w:pPr>
    </w:p>
    <w:p w14:paraId="01978A5A" w14:textId="6F7DCA05" w:rsidR="00DE196E" w:rsidRDefault="00DE196E" w:rsidP="00CC7DF2">
      <w:pPr>
        <w:pStyle w:val="ListParagraph"/>
        <w:bidi/>
        <w:spacing w:line="276" w:lineRule="auto"/>
        <w:ind w:left="1800"/>
        <w:jc w:val="both"/>
        <w:rPr>
          <w:rFonts w:ascii="David" w:hAnsi="David" w:cs="David"/>
          <w:rtl/>
        </w:rPr>
      </w:pPr>
    </w:p>
    <w:p w14:paraId="6FB93AF4" w14:textId="59D0F449" w:rsidR="00DE196E" w:rsidRDefault="00DE196E" w:rsidP="00CC7DF2">
      <w:pPr>
        <w:pStyle w:val="ListParagraph"/>
        <w:bidi/>
        <w:spacing w:line="276" w:lineRule="auto"/>
        <w:ind w:left="1800"/>
        <w:jc w:val="both"/>
        <w:rPr>
          <w:rFonts w:ascii="David" w:hAnsi="David" w:cs="David"/>
          <w:rtl/>
        </w:rPr>
      </w:pPr>
    </w:p>
    <w:p w14:paraId="147D4960" w14:textId="01E7E2D3" w:rsidR="00DE196E" w:rsidRDefault="00DE196E" w:rsidP="00CC7DF2">
      <w:pPr>
        <w:pStyle w:val="ListParagraph"/>
        <w:bidi/>
        <w:spacing w:line="276" w:lineRule="auto"/>
        <w:ind w:left="1800"/>
        <w:jc w:val="both"/>
        <w:rPr>
          <w:rFonts w:ascii="David" w:hAnsi="David" w:cs="David"/>
          <w:rtl/>
        </w:rPr>
      </w:pPr>
    </w:p>
    <w:p w14:paraId="7BBF8B0A" w14:textId="77777777" w:rsidR="00944FB6" w:rsidRPr="00944FB6" w:rsidRDefault="00944FB6" w:rsidP="00CC7DF2">
      <w:pPr>
        <w:bidi/>
        <w:jc w:val="both"/>
        <w:rPr>
          <w:rtl/>
        </w:rPr>
      </w:pPr>
    </w:p>
    <w:p w14:paraId="613E3649" w14:textId="529A1041" w:rsidR="00A0265B" w:rsidRDefault="00342022" w:rsidP="00CC7DF2">
      <w:pPr>
        <w:bidi/>
        <w:spacing w:after="0"/>
        <w:jc w:val="both"/>
        <w:rPr>
          <w:rFonts w:ascii="David" w:hAnsi="David" w:cs="David"/>
          <w:rtl/>
        </w:rPr>
      </w:pPr>
      <w:r w:rsidRPr="00FA61BB">
        <w:rPr>
          <w:rFonts w:ascii="David" w:hAnsi="David" w:cs="David" w:hint="cs"/>
          <w:b/>
          <w:bCs/>
          <w:color w:val="7F84DF"/>
          <w:rtl/>
        </w:rPr>
        <w:t>פ. נ' א.</w:t>
      </w:r>
      <w:r w:rsidR="00FA61BB">
        <w:rPr>
          <w:rFonts w:ascii="David" w:hAnsi="David" w:cs="David" w:hint="cs"/>
          <w:b/>
          <w:bCs/>
          <w:color w:val="7F84DF"/>
          <w:rtl/>
        </w:rPr>
        <w:t xml:space="preserve">- </w:t>
      </w:r>
      <w:r>
        <w:rPr>
          <w:rFonts w:ascii="David" w:hAnsi="David" w:cs="David" w:hint="cs"/>
          <w:rtl/>
        </w:rPr>
        <w:t xml:space="preserve">המשיב תובע את המערערת על כך שהונתה אותו כי הילדה שנולדה המחוץ לנישואין, הינה ביתו הביולוגית, עד שהגיעה לגיל 10 חודשים. בתביעה במחוזי טענה האישה כי יש לדחות את התביעה על הסף, אך בקשתה נדחתה, משום שלא מדובר על תביעה בבגין בגידה, אלא בגין הונאת אבהות. </w:t>
      </w:r>
    </w:p>
    <w:p w14:paraId="3E5933F8" w14:textId="109EDE8C" w:rsidR="00342022" w:rsidRDefault="0012525A" w:rsidP="00CC7DF2">
      <w:pPr>
        <w:bidi/>
        <w:spacing w:after="0"/>
        <w:jc w:val="both"/>
        <w:rPr>
          <w:rFonts w:ascii="David" w:hAnsi="David" w:cs="David"/>
          <w:b/>
          <w:bCs/>
          <w:rtl/>
        </w:rPr>
      </w:pPr>
      <w:r w:rsidRPr="00A0265B">
        <w:rPr>
          <w:rFonts w:ascii="David" w:hAnsi="David" w:cs="David" w:hint="cs"/>
          <w:b/>
          <w:bCs/>
          <w:rtl/>
        </w:rPr>
        <w:t>הכרעה</w:t>
      </w:r>
      <w:r w:rsidR="00A0265B" w:rsidRPr="00A0265B">
        <w:rPr>
          <w:rFonts w:ascii="David" w:hAnsi="David" w:cs="David" w:hint="cs"/>
          <w:b/>
          <w:bCs/>
          <w:rtl/>
        </w:rPr>
        <w:t xml:space="preserve">: </w:t>
      </w:r>
      <w:r w:rsidR="00342022" w:rsidRPr="00A0265B">
        <w:rPr>
          <w:rFonts w:ascii="David" w:hAnsi="David" w:cs="David" w:hint="cs"/>
          <w:b/>
          <w:bCs/>
          <w:rtl/>
        </w:rPr>
        <w:t>ברמ"ש, נדחתה הבקשה לדחייה על הסף (= יש לדון בתביעה המוקרית שהוגשה ולפסוק פיצויים).</w:t>
      </w:r>
    </w:p>
    <w:p w14:paraId="03E629D1" w14:textId="77777777" w:rsidR="00A0265B" w:rsidRPr="00A0265B" w:rsidRDefault="00A0265B" w:rsidP="00CC7DF2">
      <w:pPr>
        <w:bidi/>
        <w:spacing w:after="0"/>
        <w:jc w:val="both"/>
        <w:rPr>
          <w:rFonts w:ascii="David" w:hAnsi="David" w:cs="David"/>
          <w:b/>
          <w:bCs/>
          <w:rtl/>
        </w:rPr>
      </w:pPr>
    </w:p>
    <w:p w14:paraId="0A0E97DE" w14:textId="655E5EFB" w:rsidR="00A832D1" w:rsidRPr="00A832D1" w:rsidRDefault="00342022" w:rsidP="00CC7DF2">
      <w:pPr>
        <w:bidi/>
        <w:spacing w:after="0"/>
        <w:jc w:val="both"/>
        <w:rPr>
          <w:rFonts w:ascii="David" w:hAnsi="David" w:cs="David"/>
          <w:b/>
          <w:bCs/>
          <w:color w:val="7F84DF"/>
          <w:rtl/>
        </w:rPr>
      </w:pPr>
      <w:r w:rsidRPr="00A832D1">
        <w:rPr>
          <w:rFonts w:ascii="David" w:hAnsi="David" w:cs="David"/>
          <w:b/>
          <w:bCs/>
          <w:color w:val="7F84DF"/>
          <w:rtl/>
        </w:rPr>
        <w:t>עמ"ש 71095-11-20 פלונית נ' פלוני</w:t>
      </w:r>
      <w:r w:rsidR="00A832D1">
        <w:rPr>
          <w:rFonts w:ascii="David" w:hAnsi="David" w:cs="David" w:hint="cs"/>
          <w:b/>
          <w:bCs/>
          <w:color w:val="7F84DF"/>
          <w:rtl/>
        </w:rPr>
        <w:t xml:space="preserve">- </w:t>
      </w:r>
      <w:r w:rsidRPr="0019675A">
        <w:rPr>
          <w:rFonts w:ascii="David" w:hAnsi="David" w:cs="David"/>
          <w:rtl/>
        </w:rPr>
        <w:t>ביהמ"ש המחוזי מקבל את הערעור וקובע כי לא ראוי להכיר בעילת "הונאת אבהות", עילה שחסרונותיה החברתיים עולים על יתרונותיה</w:t>
      </w:r>
      <w:r w:rsidR="00AD14AC">
        <w:rPr>
          <w:rFonts w:ascii="David" w:hAnsi="David" w:cs="David" w:hint="cs"/>
          <w:rtl/>
        </w:rPr>
        <w:t xml:space="preserve">- </w:t>
      </w:r>
      <w:r w:rsidRPr="007F3C0E">
        <w:rPr>
          <w:rFonts w:ascii="David" w:hAnsi="David" w:cs="David"/>
          <w:rtl/>
        </w:rPr>
        <w:t>ערעור על פס"ד של בימ"ש לענייני משפחה, בו התקבלה תביעה כספית/</w:t>
      </w:r>
      <w:r w:rsidRPr="00AD14AC">
        <w:rPr>
          <w:rFonts w:ascii="David" w:hAnsi="David" w:cs="David"/>
          <w:highlight w:val="yellow"/>
          <w:rtl/>
        </w:rPr>
        <w:t>נזיקית</w:t>
      </w:r>
      <w:r w:rsidRPr="007F3C0E">
        <w:rPr>
          <w:rFonts w:ascii="David" w:hAnsi="David" w:cs="David"/>
          <w:rtl/>
        </w:rPr>
        <w:t xml:space="preserve"> שהגיש המשיב נגד המערערת (אשתו לשעבר) בגין "הונאת אבהות" תוך שהמערערת חויבה לשלם למשיב </w:t>
      </w:r>
      <w:r w:rsidRPr="00AD14AC">
        <w:rPr>
          <w:rFonts w:ascii="David" w:hAnsi="David" w:cs="David"/>
          <w:highlight w:val="yellow"/>
          <w:rtl/>
        </w:rPr>
        <w:t>פיצוי מוגבר ואף עונשי</w:t>
      </w:r>
      <w:r w:rsidRPr="007F3C0E">
        <w:rPr>
          <w:rFonts w:ascii="David" w:hAnsi="David" w:cs="David"/>
          <w:rtl/>
        </w:rPr>
        <w:t xml:space="preserve"> בסך 250,000 ₪. בבסיס התביעה עמדה טענת המשיב, לגילוי בדיעבד, בעת שהמערערת ביקשה להתגרש ממנו, כי הילד שנולד למערערת בתקופת הנישואין ושהוצג לו כבנו הביולוגי, נולד מזרעו של אדם אחר. המערערת הודתה, כי בשל חשש שהמשיב עקר, בשל כמיהתה לילד ובשל הרצון לשמור על שלימות המשפחה, הזריע את עצמה בזרע של אחר.</w:t>
      </w:r>
      <w:r>
        <w:rPr>
          <w:rFonts w:ascii="David" w:hAnsi="David" w:cs="David" w:hint="cs"/>
          <w:rtl/>
        </w:rPr>
        <w:t xml:space="preserve"> </w:t>
      </w:r>
    </w:p>
    <w:p w14:paraId="4491E397" w14:textId="64021E67" w:rsidR="00342022" w:rsidRPr="0012525A" w:rsidRDefault="00A832D1" w:rsidP="00CC7DF2">
      <w:pPr>
        <w:bidi/>
        <w:spacing w:after="0"/>
        <w:jc w:val="both"/>
        <w:rPr>
          <w:rFonts w:ascii="David" w:hAnsi="David" w:cs="David"/>
          <w:b/>
          <w:bCs/>
          <w:rtl/>
        </w:rPr>
      </w:pPr>
      <w:r w:rsidRPr="0012525A">
        <w:rPr>
          <w:rFonts w:ascii="David" w:hAnsi="David" w:cs="David" w:hint="cs"/>
          <w:b/>
          <w:bCs/>
          <w:rtl/>
        </w:rPr>
        <w:t>הכרעה:</w:t>
      </w:r>
      <w:r w:rsidRPr="0012525A">
        <w:rPr>
          <w:rFonts w:ascii="David" w:hAnsi="David" w:cs="David" w:hint="cs"/>
          <w:b/>
          <w:bCs/>
        </w:rPr>
        <w:t xml:space="preserve"> </w:t>
      </w:r>
      <w:r w:rsidR="00342022" w:rsidRPr="0012525A">
        <w:rPr>
          <w:rFonts w:ascii="David" w:hAnsi="David" w:cs="David"/>
          <w:b/>
          <w:bCs/>
          <w:rtl/>
        </w:rPr>
        <w:t>פסק דינו של ביהמ"ש קמא מבוטל ותביעת המשיב נדחית.</w:t>
      </w:r>
    </w:p>
    <w:p w14:paraId="2207DDB7" w14:textId="0CD150B5" w:rsidR="000667A4" w:rsidRPr="000667A4" w:rsidRDefault="000667A4" w:rsidP="00CC7DF2">
      <w:pPr>
        <w:bidi/>
        <w:spacing w:line="276" w:lineRule="auto"/>
        <w:jc w:val="both"/>
        <w:rPr>
          <w:rFonts w:ascii="David" w:hAnsi="David" w:cs="David"/>
        </w:rPr>
      </w:pPr>
    </w:p>
    <w:p w14:paraId="30568CFB" w14:textId="19278305" w:rsidR="000667A4" w:rsidRPr="00710908" w:rsidRDefault="00773987" w:rsidP="00CC7DF2">
      <w:pPr>
        <w:pStyle w:val="IntenseQuote"/>
        <w:jc w:val="both"/>
      </w:pPr>
      <w:r>
        <w:rPr>
          <w:rFonts w:hint="cs"/>
          <w:rtl/>
        </w:rPr>
        <w:t>תביעות לפיצויים בגין חזרה מהסכמה לטיפולי הפריה ופריון</w:t>
      </w:r>
    </w:p>
    <w:p w14:paraId="1BDA0D11" w14:textId="5F4DE664" w:rsidR="00710908" w:rsidRDefault="00CD2D98" w:rsidP="005C125A">
      <w:pPr>
        <w:pStyle w:val="Quote"/>
        <w:bidi/>
        <w:spacing w:before="0"/>
        <w:ind w:left="0"/>
        <w:jc w:val="both"/>
        <w:rPr>
          <w:rtl/>
        </w:rPr>
      </w:pPr>
      <w:r>
        <w:rPr>
          <w:rFonts w:hint="cs"/>
          <w:rtl/>
        </w:rPr>
        <w:t>פרשת נחמני</w:t>
      </w:r>
    </w:p>
    <w:p w14:paraId="36F4B7E1" w14:textId="0B4F6ADF" w:rsidR="00CD2D98" w:rsidRDefault="00CD2D98" w:rsidP="005C125A">
      <w:pPr>
        <w:bidi/>
        <w:spacing w:after="0" w:line="276" w:lineRule="auto"/>
        <w:jc w:val="both"/>
        <w:rPr>
          <w:rFonts w:ascii="David" w:hAnsi="David" w:cs="David"/>
          <w:rtl/>
        </w:rPr>
      </w:pPr>
      <w:r>
        <w:rPr>
          <w:rFonts w:ascii="David" w:hAnsi="David" w:cs="David" w:hint="cs"/>
          <w:rtl/>
        </w:rPr>
        <w:t xml:space="preserve">הפרשה נותחה בידי ביהמ"ש </w:t>
      </w:r>
      <w:r w:rsidRPr="00F55F38">
        <w:rPr>
          <w:rFonts w:ascii="David" w:hAnsi="David" w:cs="David" w:hint="cs"/>
          <w:highlight w:val="yellow"/>
          <w:rtl/>
        </w:rPr>
        <w:t>בדיני החוזים</w:t>
      </w:r>
      <w:r>
        <w:rPr>
          <w:rFonts w:ascii="David" w:hAnsi="David" w:cs="David" w:hint="cs"/>
          <w:rtl/>
        </w:rPr>
        <w:t>, כיוון שהסעד היה אכיפה.</w:t>
      </w:r>
      <w:r w:rsidR="00F55F38">
        <w:rPr>
          <w:rFonts w:ascii="David" w:hAnsi="David" w:cs="David" w:hint="cs"/>
          <w:rtl/>
        </w:rPr>
        <w:t xml:space="preserve"> </w:t>
      </w:r>
      <w:r>
        <w:rPr>
          <w:rFonts w:ascii="David" w:hAnsi="David" w:cs="David" w:hint="cs"/>
          <w:rtl/>
        </w:rPr>
        <w:t>מעין סמן קיצוני, לאור התקיימותם של שני תנאים:</w:t>
      </w:r>
    </w:p>
    <w:p w14:paraId="3777A07D" w14:textId="563642FA" w:rsidR="00CD2D98" w:rsidRDefault="00CD2D98" w:rsidP="00DF69B2">
      <w:pPr>
        <w:pStyle w:val="ListParagraph"/>
        <w:numPr>
          <w:ilvl w:val="0"/>
          <w:numId w:val="13"/>
        </w:numPr>
        <w:bidi/>
        <w:spacing w:after="0" w:line="276" w:lineRule="auto"/>
        <w:jc w:val="both"/>
        <w:rPr>
          <w:rFonts w:ascii="David" w:hAnsi="David" w:cs="David"/>
        </w:rPr>
      </w:pPr>
      <w:r>
        <w:rPr>
          <w:rFonts w:ascii="David" w:hAnsi="David" w:cs="David" w:hint="cs"/>
          <w:rtl/>
        </w:rPr>
        <w:t>הביציות היו של בת הזוג (לא תורמת).</w:t>
      </w:r>
    </w:p>
    <w:p w14:paraId="373FBEB9" w14:textId="5C2830E9" w:rsidR="00CD2D98" w:rsidRDefault="00CD2D98" w:rsidP="00DF69B2">
      <w:pPr>
        <w:pStyle w:val="ListParagraph"/>
        <w:numPr>
          <w:ilvl w:val="0"/>
          <w:numId w:val="13"/>
        </w:numPr>
        <w:bidi/>
        <w:spacing w:after="0" w:line="276" w:lineRule="auto"/>
        <w:jc w:val="both"/>
        <w:rPr>
          <w:rFonts w:ascii="David" w:hAnsi="David" w:cs="David"/>
        </w:rPr>
      </w:pPr>
      <w:r>
        <w:rPr>
          <w:rFonts w:ascii="David" w:hAnsi="David" w:cs="David" w:hint="cs"/>
          <w:rtl/>
        </w:rPr>
        <w:t xml:space="preserve">נקודת </w:t>
      </w:r>
      <w:r>
        <w:rPr>
          <w:rFonts w:ascii="David" w:hAnsi="David" w:cs="David" w:hint="cs"/>
          <w:b/>
          <w:bCs/>
          <w:rtl/>
        </w:rPr>
        <w:t>אל חזור</w:t>
      </w:r>
      <w:r>
        <w:rPr>
          <w:rFonts w:ascii="David" w:hAnsi="David" w:cs="David" w:hint="cs"/>
          <w:rtl/>
        </w:rPr>
        <w:t>: הביציות הופרו, והתובעת לא יכלה לייצר ביציות נוספות.</w:t>
      </w:r>
    </w:p>
    <w:p w14:paraId="0CE92F51" w14:textId="07E918AF" w:rsidR="00CD2D98" w:rsidRDefault="00CD2D98" w:rsidP="005C125A">
      <w:pPr>
        <w:bidi/>
        <w:spacing w:after="0" w:line="276" w:lineRule="auto"/>
        <w:jc w:val="both"/>
        <w:rPr>
          <w:rFonts w:ascii="David" w:hAnsi="David" w:cs="David"/>
          <w:rtl/>
        </w:rPr>
      </w:pPr>
      <w:r>
        <w:rPr>
          <w:rFonts w:ascii="David" w:hAnsi="David" w:cs="David" w:hint="cs"/>
          <w:u w:val="single"/>
          <w:rtl/>
        </w:rPr>
        <w:t>הפסיקה</w:t>
      </w:r>
      <w:r>
        <w:rPr>
          <w:rFonts w:ascii="David" w:hAnsi="David" w:cs="David" w:hint="cs"/>
          <w:rtl/>
        </w:rPr>
        <w:t>: ניתן צו לאכיפה לשימוש בביציות ע"י האישה למרות התנגדות הבעל.</w:t>
      </w:r>
    </w:p>
    <w:p w14:paraId="1464A2BB" w14:textId="48FFF2B5" w:rsidR="00CD2D98" w:rsidRDefault="00CD2D98" w:rsidP="005C125A">
      <w:pPr>
        <w:bidi/>
        <w:spacing w:after="0" w:line="276" w:lineRule="auto"/>
        <w:jc w:val="both"/>
        <w:rPr>
          <w:rFonts w:ascii="David" w:hAnsi="David" w:cs="David"/>
          <w:rtl/>
        </w:rPr>
      </w:pPr>
      <w:r>
        <w:rPr>
          <w:rFonts w:ascii="David" w:hAnsi="David" w:cs="David" w:hint="cs"/>
          <w:u w:val="single"/>
          <w:rtl/>
        </w:rPr>
        <w:t>האם ניתן לחייב את הנתבע בתשלום פיצויים</w:t>
      </w:r>
      <w:r>
        <w:rPr>
          <w:rFonts w:ascii="David" w:hAnsi="David" w:cs="David" w:hint="cs"/>
          <w:rtl/>
        </w:rPr>
        <w:t xml:space="preserve">? זו השאלה שנתמקד בה (כמעט לא נדונה בפרשת נחמני). </w:t>
      </w:r>
    </w:p>
    <w:p w14:paraId="53A60525" w14:textId="77777777" w:rsidR="00B32E8A" w:rsidRDefault="00B32E8A" w:rsidP="00CC7DF2">
      <w:pPr>
        <w:bidi/>
        <w:spacing w:after="0" w:line="276" w:lineRule="auto"/>
        <w:jc w:val="both"/>
        <w:rPr>
          <w:rFonts w:ascii="David" w:hAnsi="David" w:cs="David"/>
          <w:rtl/>
        </w:rPr>
      </w:pPr>
    </w:p>
    <w:p w14:paraId="1E0EEB8A" w14:textId="30DFF36F" w:rsidR="00CD2D98" w:rsidRDefault="00CD2D98" w:rsidP="00CC7DF2">
      <w:pPr>
        <w:bidi/>
        <w:spacing w:line="240" w:lineRule="auto"/>
        <w:jc w:val="both"/>
        <w:rPr>
          <w:rFonts w:ascii="David" w:hAnsi="David" w:cs="David"/>
          <w:rtl/>
        </w:rPr>
      </w:pPr>
      <w:r>
        <w:rPr>
          <w:rFonts w:ascii="David" w:hAnsi="David" w:cs="David" w:hint="cs"/>
          <w:b/>
          <w:bCs/>
          <w:rtl/>
        </w:rPr>
        <w:t>חוזים או נזיקין?</w:t>
      </w:r>
    </w:p>
    <w:p w14:paraId="1A8AB215" w14:textId="79605594" w:rsidR="00CD2D98" w:rsidRPr="00CD2D98" w:rsidRDefault="00CD2D98" w:rsidP="00DF69B2">
      <w:pPr>
        <w:pStyle w:val="ListParagraph"/>
        <w:numPr>
          <w:ilvl w:val="0"/>
          <w:numId w:val="14"/>
        </w:numPr>
        <w:bidi/>
        <w:spacing w:line="240" w:lineRule="auto"/>
        <w:jc w:val="both"/>
        <w:rPr>
          <w:rFonts w:ascii="David" w:hAnsi="David" w:cs="David"/>
          <w:rtl/>
        </w:rPr>
      </w:pPr>
      <w:r w:rsidRPr="00CD2D98">
        <w:rPr>
          <w:rFonts w:ascii="David" w:hAnsi="David" w:cs="David" w:hint="cs"/>
          <w:u w:val="single"/>
          <w:rtl/>
        </w:rPr>
        <w:t>חוזים</w:t>
      </w:r>
      <w:r w:rsidRPr="00CD2D98">
        <w:rPr>
          <w:rFonts w:ascii="David" w:hAnsi="David" w:cs="David" w:hint="cs"/>
          <w:rtl/>
        </w:rPr>
        <w:t>: האם יש חוזה בין בני הזוג? מה ניתן לקרוא לתוכו (לדוג תנאי מכללא של הפסקת החוזה בעת פירוד)? אם חוזה רופף מספיק לאכיפה במקרה נחמני, האם</w:t>
      </w:r>
      <w:r w:rsidR="00987391">
        <w:rPr>
          <w:rFonts w:ascii="David" w:hAnsi="David" w:cs="David" w:hint="cs"/>
          <w:rtl/>
        </w:rPr>
        <w:t xml:space="preserve"> ניתן להסיק מק</w:t>
      </w:r>
      <w:r w:rsidR="002214F6">
        <w:rPr>
          <w:rFonts w:ascii="David" w:hAnsi="David" w:cs="David" w:hint="cs"/>
          <w:rtl/>
        </w:rPr>
        <w:t>ל וחומר</w:t>
      </w:r>
      <w:r w:rsidR="00987391">
        <w:rPr>
          <w:rFonts w:ascii="David" w:hAnsi="David" w:cs="David" w:hint="cs"/>
          <w:rtl/>
        </w:rPr>
        <w:t xml:space="preserve"> שיינתן פיצוי במקרה ש</w:t>
      </w:r>
      <w:r w:rsidRPr="00CD2D98">
        <w:rPr>
          <w:rFonts w:ascii="David" w:hAnsi="David" w:cs="David" w:hint="cs"/>
          <w:rtl/>
        </w:rPr>
        <w:t xml:space="preserve">אכיפה אינה אפשרית, או שמא אין להסיק </w:t>
      </w:r>
      <w:r w:rsidR="002214F6">
        <w:rPr>
          <w:rFonts w:ascii="David" w:hAnsi="David" w:cs="David" w:hint="cs"/>
          <w:rtl/>
        </w:rPr>
        <w:t>מסקנה זו</w:t>
      </w:r>
      <w:r w:rsidRPr="00CD2D98">
        <w:rPr>
          <w:rFonts w:ascii="David" w:hAnsi="David" w:cs="David" w:hint="cs"/>
          <w:rtl/>
        </w:rPr>
        <w:t>?</w:t>
      </w:r>
    </w:p>
    <w:p w14:paraId="4D27CC08" w14:textId="473E6447" w:rsidR="00CD2D98" w:rsidRDefault="00CD2D98" w:rsidP="00DF69B2">
      <w:pPr>
        <w:pStyle w:val="ListParagraph"/>
        <w:numPr>
          <w:ilvl w:val="0"/>
          <w:numId w:val="14"/>
        </w:numPr>
        <w:bidi/>
        <w:spacing w:line="240" w:lineRule="auto"/>
        <w:jc w:val="both"/>
        <w:rPr>
          <w:rFonts w:ascii="David" w:hAnsi="David" w:cs="David"/>
        </w:rPr>
      </w:pPr>
      <w:r w:rsidRPr="00413173">
        <w:rPr>
          <w:rFonts w:ascii="David" w:hAnsi="David" w:cs="David" w:hint="cs"/>
          <w:u w:val="single"/>
          <w:rtl/>
        </w:rPr>
        <w:t>נזיקין</w:t>
      </w:r>
      <w:r w:rsidRPr="00413173">
        <w:rPr>
          <w:rFonts w:ascii="David" w:hAnsi="David" w:cs="David" w:hint="cs"/>
          <w:rtl/>
        </w:rPr>
        <w:t xml:space="preserve">: </w:t>
      </w:r>
      <w:r w:rsidR="002214F6">
        <w:rPr>
          <w:rFonts w:ascii="David" w:hAnsi="David" w:cs="David" w:hint="cs"/>
          <w:rtl/>
        </w:rPr>
        <w:t>עוולות רלוונטיות:</w:t>
      </w:r>
      <w:r w:rsidRPr="00413173">
        <w:rPr>
          <w:rFonts w:ascii="David" w:hAnsi="David" w:cs="David" w:hint="cs"/>
          <w:rtl/>
        </w:rPr>
        <w:t xml:space="preserve"> </w:t>
      </w:r>
    </w:p>
    <w:p w14:paraId="720AC625" w14:textId="0606CA1A" w:rsidR="00E651CF" w:rsidRDefault="00E651CF" w:rsidP="00DF69B2">
      <w:pPr>
        <w:pStyle w:val="ListParagraph"/>
        <w:numPr>
          <w:ilvl w:val="0"/>
          <w:numId w:val="12"/>
        </w:numPr>
        <w:bidi/>
        <w:spacing w:line="240" w:lineRule="auto"/>
        <w:jc w:val="both"/>
        <w:rPr>
          <w:rFonts w:ascii="David" w:hAnsi="David" w:cs="David"/>
        </w:rPr>
      </w:pPr>
      <w:r>
        <w:rPr>
          <w:rFonts w:ascii="David" w:hAnsi="David" w:cs="David" w:hint="cs"/>
          <w:rtl/>
        </w:rPr>
        <w:t>רשלנות, כעוולת מסגרת</w:t>
      </w:r>
    </w:p>
    <w:p w14:paraId="45235D84" w14:textId="77777777" w:rsidR="00E651CF" w:rsidRDefault="00E651CF" w:rsidP="00DF69B2">
      <w:pPr>
        <w:pStyle w:val="ListParagraph"/>
        <w:numPr>
          <w:ilvl w:val="0"/>
          <w:numId w:val="12"/>
        </w:numPr>
        <w:bidi/>
        <w:spacing w:line="240" w:lineRule="auto"/>
        <w:jc w:val="both"/>
        <w:rPr>
          <w:rFonts w:ascii="David" w:hAnsi="David" w:cs="David"/>
        </w:rPr>
      </w:pPr>
      <w:r>
        <w:rPr>
          <w:rFonts w:ascii="David" w:hAnsi="David" w:cs="David" w:hint="cs"/>
          <w:rtl/>
        </w:rPr>
        <w:t xml:space="preserve">גרם הפרת חוזה (שהתורם מתחרט וגורם להפרת חוזה בין הזוג לבנק). </w:t>
      </w:r>
      <w:r>
        <w:rPr>
          <w:rFonts w:ascii="David" w:hAnsi="David" w:cs="David" w:hint="cs"/>
          <w:u w:val="single"/>
          <w:rtl/>
        </w:rPr>
        <w:t>הקושי</w:t>
      </w:r>
      <w:r>
        <w:rPr>
          <w:rFonts w:ascii="David" w:hAnsi="David" w:cs="David" w:hint="cs"/>
          <w:rtl/>
        </w:rPr>
        <w:t>: אין יס"נ (שנדרש בעוולה), וחוסר אפשרות לתבוע מישהו אנונימי.</w:t>
      </w:r>
    </w:p>
    <w:p w14:paraId="6129CACE" w14:textId="77777777" w:rsidR="005034D8" w:rsidRPr="005034D8" w:rsidRDefault="00E651CF" w:rsidP="00DF69B2">
      <w:pPr>
        <w:pStyle w:val="ListParagraph"/>
        <w:numPr>
          <w:ilvl w:val="0"/>
          <w:numId w:val="12"/>
        </w:numPr>
        <w:bidi/>
        <w:spacing w:line="240" w:lineRule="auto"/>
        <w:jc w:val="both"/>
        <w:rPr>
          <w:rFonts w:ascii="David" w:hAnsi="David" w:cs="David"/>
        </w:rPr>
      </w:pPr>
      <w:r w:rsidRPr="00E651CF">
        <w:rPr>
          <w:rFonts w:ascii="David" w:hAnsi="David" w:cs="David" w:hint="cs"/>
          <w:rtl/>
        </w:rPr>
        <w:t>הח"ח של חוק זכויות החולה</w:t>
      </w:r>
      <w:r>
        <w:rPr>
          <w:rFonts w:ascii="David" w:hAnsi="David" w:cs="David" w:hint="cs"/>
          <w:rtl/>
        </w:rPr>
        <w:t xml:space="preserve"> (</w:t>
      </w:r>
      <w:r w:rsidRPr="00CE2645">
        <w:rPr>
          <w:rStyle w:val="SubtleReference"/>
          <w:rFonts w:hint="cs"/>
          <w:rtl/>
        </w:rPr>
        <w:t>ס' 5</w:t>
      </w:r>
      <w:r>
        <w:rPr>
          <w:rFonts w:ascii="David" w:hAnsi="David" w:cs="David" w:hint="cs"/>
          <w:rtl/>
        </w:rPr>
        <w:t xml:space="preserve">). </w:t>
      </w:r>
      <w:r>
        <w:rPr>
          <w:rFonts w:ascii="David" w:hAnsi="David" w:cs="David" w:hint="cs"/>
          <w:u w:val="single"/>
          <w:rtl/>
        </w:rPr>
        <w:t>הקושי</w:t>
      </w:r>
      <w:r>
        <w:rPr>
          <w:rFonts w:ascii="David" w:hAnsi="David" w:cs="David" w:hint="cs"/>
          <w:rtl/>
        </w:rPr>
        <w:t>: האם מטופלי הפריה נחשבים "מטופלים"? האם נכון הדבר גם לבן/בת הזוג? האם החוק חל גם בני הזוג עצמם, ולא רק כלפי הבנק?</w:t>
      </w:r>
      <w:r w:rsidR="000D08E0" w:rsidRPr="000D08E0">
        <w:rPr>
          <w:rFonts w:ascii="David" w:hAnsi="David" w:cs="David" w:hint="cs"/>
          <w:b/>
          <w:bCs/>
          <w:noProof/>
          <w:color w:val="7F84DF"/>
          <w:rtl/>
          <w:lang w:val="he-IL"/>
        </w:rPr>
        <w:t xml:space="preserve"> </w:t>
      </w:r>
    </w:p>
    <w:p w14:paraId="5377D76E"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3C1EB051"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4A82D11B" w14:textId="11FE6CC2" w:rsidR="005034D8" w:rsidRDefault="005034D8" w:rsidP="005034D8">
      <w:pPr>
        <w:bidi/>
        <w:spacing w:line="276" w:lineRule="auto"/>
        <w:jc w:val="both"/>
        <w:rPr>
          <w:rFonts w:ascii="David" w:hAnsi="David" w:cs="David"/>
          <w:b/>
          <w:bCs/>
          <w:rtl/>
        </w:rPr>
      </w:pPr>
      <w:r>
        <w:rPr>
          <w:rFonts w:ascii="David" w:hAnsi="David" w:cs="David" w:hint="cs"/>
          <w:b/>
          <w:bCs/>
          <w:noProof/>
          <w:color w:val="7F84DF"/>
          <w:rtl/>
          <w:lang w:val="he-IL"/>
        </w:rPr>
        <w:drawing>
          <wp:anchor distT="0" distB="0" distL="114300" distR="114300" simplePos="0" relativeHeight="251741184" behindDoc="1" locked="0" layoutInCell="1" allowOverlap="1" wp14:anchorId="5F7C63D6" wp14:editId="324C8EC1">
            <wp:simplePos x="0" y="0"/>
            <wp:positionH relativeFrom="column">
              <wp:posOffset>2958353</wp:posOffset>
            </wp:positionH>
            <wp:positionV relativeFrom="paragraph">
              <wp:posOffset>238084</wp:posOffset>
            </wp:positionV>
            <wp:extent cx="3676860" cy="2093870"/>
            <wp:effectExtent l="0" t="38100" r="0" b="20955"/>
            <wp:wrapNone/>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Pr>
          <w:rFonts w:ascii="David" w:hAnsi="David" w:cs="David" w:hint="cs"/>
          <w:b/>
          <w:bCs/>
          <w:rtl/>
        </w:rPr>
        <w:t>מקרי הבוחן</w:t>
      </w:r>
    </w:p>
    <w:p w14:paraId="43BDFD43" w14:textId="7A8201BC" w:rsidR="005034D8" w:rsidRDefault="005034D8" w:rsidP="005034D8">
      <w:pPr>
        <w:bidi/>
        <w:spacing w:line="276" w:lineRule="auto"/>
        <w:jc w:val="both"/>
        <w:rPr>
          <w:rFonts w:ascii="David" w:hAnsi="David" w:cs="David"/>
          <w:b/>
          <w:bCs/>
          <w:rtl/>
        </w:rPr>
      </w:pPr>
    </w:p>
    <w:p w14:paraId="100E856E" w14:textId="5F872640" w:rsidR="005034D8" w:rsidRDefault="005034D8" w:rsidP="005034D8">
      <w:pPr>
        <w:bidi/>
        <w:spacing w:line="276" w:lineRule="auto"/>
        <w:jc w:val="both"/>
        <w:rPr>
          <w:rFonts w:ascii="David" w:hAnsi="David" w:cs="David"/>
          <w:b/>
          <w:bCs/>
          <w:rtl/>
        </w:rPr>
      </w:pPr>
    </w:p>
    <w:p w14:paraId="56A84D1C" w14:textId="689F0420" w:rsidR="005034D8" w:rsidRDefault="005034D8" w:rsidP="005034D8">
      <w:pPr>
        <w:bidi/>
        <w:spacing w:line="276" w:lineRule="auto"/>
        <w:jc w:val="both"/>
        <w:rPr>
          <w:rFonts w:ascii="David" w:hAnsi="David" w:cs="David"/>
          <w:b/>
          <w:bCs/>
          <w:rtl/>
        </w:rPr>
      </w:pPr>
      <w:r w:rsidRPr="005034D8">
        <w:rPr>
          <w:rFonts w:ascii="David" w:hAnsi="David" w:cs="David"/>
          <w:noProof/>
        </w:rPr>
        <mc:AlternateContent>
          <mc:Choice Requires="wps">
            <w:drawing>
              <wp:anchor distT="45720" distB="45720" distL="114300" distR="114300" simplePos="0" relativeHeight="251743232" behindDoc="0" locked="0" layoutInCell="1" allowOverlap="1" wp14:anchorId="42505A95" wp14:editId="0ACB2E29">
                <wp:simplePos x="0" y="0"/>
                <wp:positionH relativeFrom="column">
                  <wp:posOffset>-542925</wp:posOffset>
                </wp:positionH>
                <wp:positionV relativeFrom="paragraph">
                  <wp:posOffset>183515</wp:posOffset>
                </wp:positionV>
                <wp:extent cx="3926205" cy="591185"/>
                <wp:effectExtent l="0" t="0" r="17145" b="1841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591185"/>
                        </a:xfrm>
                        <a:prstGeom prst="rect">
                          <a:avLst/>
                        </a:prstGeom>
                        <a:solidFill>
                          <a:srgbClr val="FFFFFF"/>
                        </a:solidFill>
                        <a:ln w="9525">
                          <a:solidFill>
                            <a:schemeClr val="bg1"/>
                          </a:solidFill>
                          <a:miter lim="800000"/>
                          <a:headEnd/>
                          <a:tailEnd/>
                        </a:ln>
                      </wps:spPr>
                      <wps:txbx>
                        <w:txbxContent>
                          <w:p w14:paraId="531B293B" w14:textId="4024D2D8" w:rsidR="005034D8" w:rsidRPr="00BD46D1" w:rsidRDefault="005034D8" w:rsidP="00DF69B2">
                            <w:pPr>
                              <w:pStyle w:val="ListParagraph"/>
                              <w:numPr>
                                <w:ilvl w:val="0"/>
                                <w:numId w:val="15"/>
                              </w:numPr>
                              <w:bidi/>
                              <w:spacing w:line="276" w:lineRule="auto"/>
                              <w:jc w:val="both"/>
                              <w:rPr>
                                <w:rFonts w:ascii="David" w:hAnsi="David" w:cs="David"/>
                                <w:b/>
                                <w:bCs/>
                              </w:rPr>
                            </w:pPr>
                            <w:r w:rsidRPr="00BD46D1">
                              <w:rPr>
                                <w:rFonts w:ascii="David" w:hAnsi="David" w:cs="David" w:hint="cs"/>
                                <w:color w:val="0F6FC6" w:themeColor="accent1"/>
                                <w:rtl/>
                              </w:rPr>
                              <w:t xml:space="preserve">הערה: במצגת של שמואלי המספור של מקרה 1 מעט שונה. פרשת </w:t>
                            </w:r>
                            <w:r w:rsidRPr="00BD46D1">
                              <w:rPr>
                                <w:rFonts w:ascii="David" w:hAnsi="David" w:cs="David" w:hint="cs"/>
                                <w:b/>
                                <w:bCs/>
                                <w:color w:val="0F6FC6" w:themeColor="accent1"/>
                                <w:rtl/>
                              </w:rPr>
                              <w:t>נחמני</w:t>
                            </w:r>
                            <w:r w:rsidRPr="00BD46D1">
                              <w:rPr>
                                <w:rFonts w:ascii="David" w:hAnsi="David" w:cs="David" w:hint="cs"/>
                                <w:color w:val="0F6FC6" w:themeColor="accent1"/>
                                <w:rtl/>
                              </w:rPr>
                              <w:t xml:space="preserve"> היא 1.1 (מה שאני סימנתי פשוט כ'1'), לאחר מכן </w:t>
                            </w:r>
                            <w:r w:rsidRPr="00BD46D1">
                              <w:rPr>
                                <w:rFonts w:ascii="David" w:hAnsi="David" w:cs="David" w:hint="cs"/>
                                <w:b/>
                                <w:bCs/>
                                <w:color w:val="0F6FC6" w:themeColor="accent1"/>
                                <w:rtl/>
                              </w:rPr>
                              <w:t>פלונית נ' אלמוני</w:t>
                            </w:r>
                            <w:r w:rsidRPr="00BD46D1">
                              <w:rPr>
                                <w:rFonts w:ascii="David" w:hAnsi="David" w:cs="David" w:hint="cs"/>
                                <w:color w:val="0F6FC6" w:themeColor="accent1"/>
                                <w:rtl/>
                              </w:rPr>
                              <w:t xml:space="preserve">  1.2 (כאן 1.1), ולבסוף </w:t>
                            </w:r>
                            <w:r w:rsidRPr="00BD46D1">
                              <w:rPr>
                                <w:rFonts w:ascii="David" w:hAnsi="David" w:cs="David" w:hint="cs"/>
                                <w:b/>
                                <w:bCs/>
                                <w:color w:val="0F6FC6" w:themeColor="accent1"/>
                                <w:rtl/>
                              </w:rPr>
                              <w:t>ר' ש' פ' נ' א' י' ז'</w:t>
                            </w:r>
                            <w:r w:rsidRPr="00BD46D1">
                              <w:rPr>
                                <w:rFonts w:ascii="David" w:hAnsi="David" w:cs="David" w:hint="cs"/>
                                <w:color w:val="0F6FC6" w:themeColor="accent1"/>
                                <w:rtl/>
                              </w:rPr>
                              <w:t xml:space="preserve"> 1.3 (כאן 1.2). </w:t>
                            </w:r>
                          </w:p>
                          <w:p w14:paraId="54604E33" w14:textId="30802C00" w:rsidR="005034D8" w:rsidRDefault="005034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05A95" id="_x0000_s1054" type="#_x0000_t202" style="position:absolute;left:0;text-align:left;margin-left:-42.75pt;margin-top:14.45pt;width:309.15pt;height:46.5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" strokecolor="white [3212]">
                <v:textbox>
                  <w:txbxContent>
                    <w:p w14:paraId="531B293B" w14:textId="4024D2D8" w:rsidR="005034D8" w:rsidRPr="00BD46D1" w:rsidRDefault="005034D8" w:rsidP="00DF69B2">
                      <w:pPr>
                        <w:pStyle w:val="ListParagraph"/>
                        <w:numPr>
                          <w:ilvl w:val="0"/>
                          <w:numId w:val="15"/>
                        </w:numPr>
                        <w:bidi/>
                        <w:spacing w:line="276" w:lineRule="auto"/>
                        <w:jc w:val="both"/>
                        <w:rPr>
                          <w:rFonts w:ascii="David" w:hAnsi="David" w:cs="David"/>
                          <w:b/>
                          <w:bCs/>
                        </w:rPr>
                      </w:pPr>
                      <w:r w:rsidRPr="00BD46D1">
                        <w:rPr>
                          <w:rFonts w:ascii="David" w:hAnsi="David" w:cs="David" w:hint="cs"/>
                          <w:color w:val="0F6FC6" w:themeColor="accent1"/>
                          <w:rtl/>
                        </w:rPr>
                        <w:t xml:space="preserve">הערה: במצגת של שמואלי המספור של מקרה 1 מעט שונה. פרשת </w:t>
                      </w:r>
                      <w:r w:rsidRPr="00BD46D1">
                        <w:rPr>
                          <w:rFonts w:ascii="David" w:hAnsi="David" w:cs="David" w:hint="cs"/>
                          <w:b/>
                          <w:bCs/>
                          <w:color w:val="0F6FC6" w:themeColor="accent1"/>
                          <w:rtl/>
                        </w:rPr>
                        <w:t>נחמני</w:t>
                      </w:r>
                      <w:r w:rsidRPr="00BD46D1">
                        <w:rPr>
                          <w:rFonts w:ascii="David" w:hAnsi="David" w:cs="David" w:hint="cs"/>
                          <w:color w:val="0F6FC6" w:themeColor="accent1"/>
                          <w:rtl/>
                        </w:rPr>
                        <w:t xml:space="preserve"> היא 1.1 (מה שאני סימנתי פשוט כ'1'), לאחר מכן </w:t>
                      </w:r>
                      <w:r w:rsidRPr="00BD46D1">
                        <w:rPr>
                          <w:rFonts w:ascii="David" w:hAnsi="David" w:cs="David" w:hint="cs"/>
                          <w:b/>
                          <w:bCs/>
                          <w:color w:val="0F6FC6" w:themeColor="accent1"/>
                          <w:rtl/>
                        </w:rPr>
                        <w:t>פלונית נ' אלמוני</w:t>
                      </w:r>
                      <w:r w:rsidRPr="00BD46D1">
                        <w:rPr>
                          <w:rFonts w:ascii="David" w:hAnsi="David" w:cs="David" w:hint="cs"/>
                          <w:color w:val="0F6FC6" w:themeColor="accent1"/>
                          <w:rtl/>
                        </w:rPr>
                        <w:t xml:space="preserve">  1.2 (כאן 1.1), ולבסוף </w:t>
                      </w:r>
                      <w:r w:rsidRPr="00BD46D1">
                        <w:rPr>
                          <w:rFonts w:ascii="David" w:hAnsi="David" w:cs="David" w:hint="cs"/>
                          <w:b/>
                          <w:bCs/>
                          <w:color w:val="0F6FC6" w:themeColor="accent1"/>
                          <w:rtl/>
                        </w:rPr>
                        <w:t>ר' ש' פ' נ' א' י' ז'</w:t>
                      </w:r>
                      <w:r w:rsidRPr="00BD46D1">
                        <w:rPr>
                          <w:rFonts w:ascii="David" w:hAnsi="David" w:cs="David" w:hint="cs"/>
                          <w:color w:val="0F6FC6" w:themeColor="accent1"/>
                          <w:rtl/>
                        </w:rPr>
                        <w:t xml:space="preserve"> 1.3 (כאן 1.2). </w:t>
                      </w:r>
                    </w:p>
                    <w:p w14:paraId="54604E33" w14:textId="30802C00" w:rsidR="005034D8" w:rsidRDefault="005034D8"/>
                  </w:txbxContent>
                </v:textbox>
                <w10:wrap type="square"/>
              </v:shape>
            </w:pict>
          </mc:Fallback>
        </mc:AlternateContent>
      </w:r>
    </w:p>
    <w:p w14:paraId="3942D063" w14:textId="25CBFAE8" w:rsidR="005034D8" w:rsidRDefault="005034D8" w:rsidP="005034D8">
      <w:pPr>
        <w:bidi/>
        <w:spacing w:line="276" w:lineRule="auto"/>
        <w:jc w:val="both"/>
        <w:rPr>
          <w:rFonts w:ascii="David" w:hAnsi="David" w:cs="David"/>
          <w:rtl/>
        </w:rPr>
      </w:pPr>
    </w:p>
    <w:p w14:paraId="4370B1B7" w14:textId="1D47DB8E" w:rsidR="00E651CF" w:rsidRDefault="00E651CF" w:rsidP="005034D8">
      <w:pPr>
        <w:pStyle w:val="ListParagraph"/>
        <w:bidi/>
        <w:spacing w:line="240" w:lineRule="auto"/>
        <w:ind w:left="900"/>
        <w:jc w:val="both"/>
        <w:rPr>
          <w:rFonts w:ascii="David" w:hAnsi="David" w:cs="David"/>
          <w:b/>
          <w:bCs/>
          <w:noProof/>
          <w:color w:val="7F84DF"/>
          <w:rtl/>
          <w:lang w:val="he-IL"/>
        </w:rPr>
      </w:pPr>
    </w:p>
    <w:p w14:paraId="27DBC231"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19498BC0"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7F033D83"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6CD632A1"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5FDFD598" w14:textId="77777777" w:rsidR="005034D8" w:rsidRDefault="005034D8" w:rsidP="005034D8">
      <w:pPr>
        <w:pStyle w:val="ListParagraph"/>
        <w:bidi/>
        <w:spacing w:line="240" w:lineRule="auto"/>
        <w:ind w:left="900"/>
        <w:jc w:val="both"/>
        <w:rPr>
          <w:rFonts w:ascii="David" w:hAnsi="David" w:cs="David"/>
          <w:b/>
          <w:bCs/>
          <w:noProof/>
          <w:color w:val="7F84DF"/>
          <w:rtl/>
          <w:lang w:val="he-IL"/>
        </w:rPr>
      </w:pPr>
    </w:p>
    <w:p w14:paraId="061F3B8A" w14:textId="77777777" w:rsidR="005034D8" w:rsidRPr="005034D8" w:rsidRDefault="005034D8" w:rsidP="005034D8">
      <w:pPr>
        <w:pStyle w:val="ListParagraph"/>
        <w:bidi/>
        <w:spacing w:line="240" w:lineRule="auto"/>
        <w:ind w:left="900"/>
        <w:jc w:val="both"/>
        <w:rPr>
          <w:rFonts w:ascii="David" w:hAnsi="David" w:cs="David"/>
          <w:b/>
          <w:bCs/>
          <w:noProof/>
          <w:color w:val="7F84DF"/>
          <w:lang w:val="he-IL"/>
        </w:rPr>
      </w:pPr>
    </w:p>
    <w:p w14:paraId="304A85DC" w14:textId="77777777" w:rsidR="005034D8" w:rsidRDefault="005034D8" w:rsidP="00CC7DF2">
      <w:pPr>
        <w:bidi/>
        <w:spacing w:line="276" w:lineRule="auto"/>
        <w:jc w:val="both"/>
        <w:rPr>
          <w:rFonts w:ascii="David" w:hAnsi="David" w:cs="David"/>
          <w:b/>
          <w:bCs/>
          <w:rtl/>
        </w:rPr>
      </w:pPr>
    </w:p>
    <w:p w14:paraId="7234DCC0" w14:textId="146838CB" w:rsidR="005034D8" w:rsidRDefault="0065697C" w:rsidP="005034D8">
      <w:pPr>
        <w:bidi/>
        <w:spacing w:line="276" w:lineRule="auto"/>
        <w:jc w:val="both"/>
        <w:rPr>
          <w:rFonts w:ascii="David" w:hAnsi="David" w:cs="David"/>
          <w:b/>
          <w:bCs/>
          <w:rtl/>
        </w:rPr>
      </w:pPr>
      <w:r>
        <w:rPr>
          <w:rFonts w:ascii="David" w:hAnsi="David" w:cs="David"/>
          <w:b/>
          <w:bCs/>
          <w:noProof/>
          <w:rtl/>
          <w:lang w:val="he-IL"/>
        </w:rPr>
        <mc:AlternateContent>
          <mc:Choice Requires="wps">
            <w:drawing>
              <wp:anchor distT="0" distB="0" distL="114300" distR="114300" simplePos="0" relativeHeight="251656189" behindDoc="1" locked="0" layoutInCell="1" allowOverlap="1" wp14:anchorId="7D577F9C" wp14:editId="62C5CDE1">
                <wp:simplePos x="0" y="0"/>
                <wp:positionH relativeFrom="margin">
                  <wp:align>center</wp:align>
                </wp:positionH>
                <wp:positionV relativeFrom="paragraph">
                  <wp:posOffset>100161</wp:posOffset>
                </wp:positionV>
                <wp:extent cx="6215806" cy="1754803"/>
                <wp:effectExtent l="0" t="0" r="13970" b="17145"/>
                <wp:wrapNone/>
                <wp:docPr id="54" name="Rectangle: Rounded Corners 54"/>
                <wp:cNvGraphicFramePr/>
                <a:graphic xmlns:a="http://schemas.openxmlformats.org/drawingml/2006/main">
                  <a:graphicData uri="http://schemas.microsoft.com/office/word/2010/wordprocessingShape">
                    <wps:wsp>
                      <wps:cNvSpPr/>
                      <wps:spPr>
                        <a:xfrm>
                          <a:off x="0" y="0"/>
                          <a:ext cx="6215806" cy="175480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584E7F" id="Rectangle: Rounded Corners 54" o:spid="_x0000_s1026" style="position:absolute;margin-left:0;margin-top:7.9pt;width:489.45pt;height:138.15pt;z-index:-25166029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" fillcolor="white [3201]" strokecolor="#a5c249 [3209]" strokeweight="1pt">
                <v:stroke joinstyle="miter"/>
                <w10:wrap anchorx="margin"/>
              </v:roundrect>
            </w:pict>
          </mc:Fallback>
        </mc:AlternateContent>
      </w:r>
    </w:p>
    <w:p w14:paraId="69F52F76" w14:textId="30ECED3F" w:rsidR="00EE0FBF" w:rsidRDefault="00EE0FBF" w:rsidP="00EE0FBF">
      <w:pPr>
        <w:bidi/>
        <w:spacing w:line="276" w:lineRule="auto"/>
        <w:jc w:val="both"/>
        <w:rPr>
          <w:rFonts w:ascii="David" w:hAnsi="David" w:cs="David"/>
          <w:rtl/>
        </w:rPr>
      </w:pPr>
      <w:r>
        <w:rPr>
          <w:rFonts w:ascii="David" w:hAnsi="David" w:cs="David" w:hint="cs"/>
          <w:rtl/>
        </w:rPr>
        <w:t xml:space="preserve">פרשת </w:t>
      </w:r>
      <w:r w:rsidRPr="00B67628">
        <w:rPr>
          <w:rFonts w:ascii="David" w:hAnsi="David" w:cs="David" w:hint="cs"/>
          <w:b/>
          <w:bCs/>
          <w:rtl/>
        </w:rPr>
        <w:t>נחמני</w:t>
      </w:r>
      <w:r>
        <w:rPr>
          <w:rFonts w:ascii="David" w:hAnsi="David" w:cs="David" w:hint="cs"/>
          <w:rtl/>
        </w:rPr>
        <w:t xml:space="preserve"> מהווה </w:t>
      </w:r>
      <w:r w:rsidRPr="006E5BE9">
        <w:rPr>
          <w:rFonts w:ascii="David" w:hAnsi="David" w:cs="David" w:hint="cs"/>
          <w:u w:val="single"/>
          <w:rtl/>
        </w:rPr>
        <w:t>סמן קיצוני</w:t>
      </w:r>
      <w:r>
        <w:rPr>
          <w:rFonts w:ascii="David" w:hAnsi="David" w:cs="David" w:hint="cs"/>
          <w:rtl/>
        </w:rPr>
        <w:t xml:space="preserve"> של מקרים מעין אלו. </w:t>
      </w:r>
      <w:r w:rsidRPr="00B67628">
        <w:rPr>
          <w:rFonts w:ascii="David" w:hAnsi="David" w:cs="David" w:hint="cs"/>
          <w:b/>
          <w:bCs/>
          <w:rtl/>
        </w:rPr>
        <w:t>מקרה 1.1</w:t>
      </w:r>
      <w:r>
        <w:rPr>
          <w:rFonts w:ascii="David" w:hAnsi="David" w:cs="David" w:hint="cs"/>
          <w:rtl/>
        </w:rPr>
        <w:t xml:space="preserve"> דן בתביעה </w:t>
      </w:r>
      <w:r w:rsidRPr="006E5BE9">
        <w:rPr>
          <w:rFonts w:ascii="David" w:hAnsi="David" w:cs="David" w:hint="cs"/>
          <w:u w:val="single"/>
          <w:rtl/>
        </w:rPr>
        <w:t>חוזית</w:t>
      </w:r>
      <w:r>
        <w:rPr>
          <w:rFonts w:ascii="David" w:hAnsi="David" w:cs="David" w:hint="cs"/>
          <w:rtl/>
        </w:rPr>
        <w:t xml:space="preserve"> במקרה בו הביציות לא היו של האישה, הביצית לא הופרתה, וממילא לא הייתה נקודת ה'אל חזור'. ביהמ"ש למעשה </w:t>
      </w:r>
      <w:r w:rsidRPr="006E5BE9">
        <w:rPr>
          <w:rFonts w:ascii="David" w:hAnsi="David" w:cs="David" w:hint="cs"/>
          <w:u w:val="single"/>
          <w:rtl/>
        </w:rPr>
        <w:t>מחיל את כלל 2</w:t>
      </w:r>
      <w:r>
        <w:rPr>
          <w:rFonts w:ascii="David" w:hAnsi="David" w:cs="David" w:hint="cs"/>
          <w:rtl/>
        </w:rPr>
        <w:t xml:space="preserve"> </w:t>
      </w:r>
      <w:r w:rsidRPr="006E5BE9">
        <w:rPr>
          <w:rFonts w:ascii="David" w:hAnsi="David" w:cs="David" w:hint="cs"/>
          <w:rtl/>
        </w:rPr>
        <w:t>על</w:t>
      </w:r>
      <w:r>
        <w:rPr>
          <w:rFonts w:ascii="David" w:hAnsi="David" w:cs="David" w:hint="cs"/>
          <w:rtl/>
        </w:rPr>
        <w:t xml:space="preserve"> הבעל אך רק לגבי </w:t>
      </w:r>
      <w:r w:rsidRPr="006E5BE9">
        <w:rPr>
          <w:rFonts w:ascii="David" w:hAnsi="David" w:cs="David" w:hint="cs"/>
          <w:u w:val="single"/>
          <w:rtl/>
        </w:rPr>
        <w:t>הסתמכות ולא קיום</w:t>
      </w:r>
      <w:r>
        <w:rPr>
          <w:rFonts w:ascii="David" w:hAnsi="David" w:cs="David" w:hint="cs"/>
          <w:rtl/>
        </w:rPr>
        <w:t xml:space="preserve">. עוד נקודות חשובות: </w:t>
      </w:r>
      <w:r w:rsidRPr="006E5BE9">
        <w:rPr>
          <w:rFonts w:ascii="David" w:hAnsi="David" w:cs="David" w:hint="cs"/>
          <w:u w:val="single"/>
          <w:rtl/>
        </w:rPr>
        <w:t>ביהמ"ש דוחה היקש</w:t>
      </w:r>
      <w:r>
        <w:rPr>
          <w:rFonts w:ascii="David" w:hAnsi="David" w:cs="David" w:hint="cs"/>
          <w:rtl/>
        </w:rPr>
        <w:t xml:space="preserve"> בטענת הנתבע לחוק הביציות גם לגבי גברים</w:t>
      </w:r>
      <w:r w:rsidR="006B619F">
        <w:rPr>
          <w:rFonts w:ascii="David" w:hAnsi="David" w:cs="David" w:hint="cs"/>
          <w:rtl/>
        </w:rPr>
        <w:t xml:space="preserve"> במקרה הזה</w:t>
      </w:r>
      <w:r w:rsidR="00873697">
        <w:rPr>
          <w:rFonts w:ascii="David" w:hAnsi="David" w:cs="David" w:hint="cs"/>
          <w:rtl/>
        </w:rPr>
        <w:t>, משום שאפשר להסיק גם את המסקנה ההפוכה.</w:t>
      </w:r>
      <w:r>
        <w:rPr>
          <w:rFonts w:ascii="David" w:hAnsi="David" w:cs="David" w:hint="cs"/>
          <w:rtl/>
        </w:rPr>
        <w:t xml:space="preserve"> בנוסף, ניתן לראות בפסק הדין גישה התומכת במתן פיצוי על כאב וסבל גם אם הביצית אינה של האישה (מתבטא </w:t>
      </w:r>
      <w:r w:rsidRPr="006E5BE9">
        <w:rPr>
          <w:rFonts w:ascii="David" w:hAnsi="David" w:cs="David" w:hint="cs"/>
          <w:u w:val="single"/>
          <w:rtl/>
        </w:rPr>
        <w:t>בקיזוז בפיצוי</w:t>
      </w:r>
      <w:r>
        <w:rPr>
          <w:rFonts w:ascii="David" w:hAnsi="David" w:cs="David" w:hint="cs"/>
          <w:rtl/>
        </w:rPr>
        <w:t>).</w:t>
      </w:r>
    </w:p>
    <w:p w14:paraId="7E2AA598" w14:textId="77777777" w:rsidR="00EE0FBF" w:rsidRPr="00B15DB3" w:rsidRDefault="00EE0FBF" w:rsidP="00EE0FBF">
      <w:pPr>
        <w:bidi/>
        <w:spacing w:line="276" w:lineRule="auto"/>
        <w:jc w:val="both"/>
        <w:rPr>
          <w:rFonts w:ascii="David" w:hAnsi="David" w:cs="David"/>
          <w:rtl/>
        </w:rPr>
      </w:pPr>
      <w:r w:rsidRPr="00B67628">
        <w:rPr>
          <w:rFonts w:ascii="David" w:hAnsi="David" w:cs="David" w:hint="cs"/>
          <w:b/>
          <w:bCs/>
          <w:rtl/>
        </w:rPr>
        <w:t>מקרה 1.2</w:t>
      </w:r>
      <w:r>
        <w:rPr>
          <w:rFonts w:ascii="David" w:hAnsi="David" w:cs="David" w:hint="cs"/>
          <w:b/>
          <w:bCs/>
          <w:rtl/>
        </w:rPr>
        <w:t xml:space="preserve"> </w:t>
      </w:r>
      <w:r>
        <w:rPr>
          <w:rFonts w:ascii="David" w:hAnsi="David" w:cs="David" w:hint="cs"/>
          <w:rtl/>
        </w:rPr>
        <w:t xml:space="preserve">עוסק בתביעה </w:t>
      </w:r>
      <w:r w:rsidRPr="00986797">
        <w:rPr>
          <w:rFonts w:ascii="David" w:hAnsi="David" w:cs="David" w:hint="cs"/>
          <w:u w:val="single"/>
          <w:rtl/>
        </w:rPr>
        <w:t>נזיקית</w:t>
      </w:r>
      <w:r>
        <w:rPr>
          <w:rFonts w:ascii="David" w:hAnsi="David" w:cs="David" w:hint="cs"/>
          <w:rtl/>
        </w:rPr>
        <w:t xml:space="preserve"> במקרה בו הביצית אינה של האישה אך כבר הופרתה. נפסקים פיצויים רק אודות תשלום הטיפול האחרון שיכול היה להימנע (בכך ההיבט השלילי של הזכות גובר). ניתן לראות חיוב זה בהיבט </w:t>
      </w:r>
      <w:r w:rsidRPr="00FE3567">
        <w:rPr>
          <w:rFonts w:ascii="David" w:hAnsi="David" w:cs="David" w:hint="cs"/>
          <w:u w:val="single"/>
          <w:rtl/>
        </w:rPr>
        <w:t>השוקל הטוב ומונע הנזק הזול</w:t>
      </w:r>
      <w:r>
        <w:rPr>
          <w:rFonts w:ascii="David" w:hAnsi="David" w:cs="David" w:hint="cs"/>
          <w:rtl/>
        </w:rPr>
        <w:t xml:space="preserve"> (מצב הגבר הטוב ביחס למצבה של האישה). לכאורה במקרה זה היה יותר מקום לתביעה </w:t>
      </w:r>
      <w:r w:rsidRPr="00D84C22">
        <w:rPr>
          <w:rFonts w:ascii="David" w:hAnsi="David" w:cs="David" w:hint="cs"/>
          <w:u w:val="single"/>
          <w:rtl/>
        </w:rPr>
        <w:t>חוזית</w:t>
      </w:r>
      <w:r>
        <w:rPr>
          <w:rFonts w:ascii="David" w:hAnsi="David" w:cs="David" w:hint="cs"/>
          <w:rtl/>
        </w:rPr>
        <w:t xml:space="preserve"> עקב כניסה יותר יציבה להסכם, אך גם במסלול זה התוצאה הייתה עלולה להיות זהה.</w:t>
      </w:r>
    </w:p>
    <w:p w14:paraId="7E7F0524" w14:textId="77777777" w:rsidR="00EE0FBF" w:rsidRDefault="00EE0FBF" w:rsidP="00EE0FBF">
      <w:pPr>
        <w:bidi/>
        <w:spacing w:line="240" w:lineRule="auto"/>
        <w:jc w:val="both"/>
        <w:rPr>
          <w:rFonts w:ascii="David" w:hAnsi="David" w:cs="David"/>
          <w:b/>
          <w:bCs/>
          <w:rtl/>
        </w:rPr>
      </w:pPr>
    </w:p>
    <w:p w14:paraId="53F0C432" w14:textId="6A19AB81" w:rsidR="00E651CF" w:rsidRPr="00BD46D1" w:rsidRDefault="00E651CF" w:rsidP="00372AEE">
      <w:pPr>
        <w:bidi/>
        <w:spacing w:after="0" w:line="240" w:lineRule="auto"/>
        <w:jc w:val="both"/>
        <w:rPr>
          <w:rFonts w:ascii="David" w:hAnsi="David" w:cs="David"/>
          <w:b/>
          <w:bCs/>
          <w:rtl/>
        </w:rPr>
      </w:pPr>
      <w:r w:rsidRPr="00BD46D1">
        <w:rPr>
          <w:rFonts w:ascii="David" w:hAnsi="David" w:cs="David" w:hint="cs"/>
          <w:b/>
          <w:bCs/>
          <w:rtl/>
        </w:rPr>
        <w:t xml:space="preserve">מקרה 1 </w:t>
      </w:r>
      <w:r w:rsidR="00D84C22">
        <w:rPr>
          <w:rFonts w:ascii="David" w:hAnsi="David" w:cs="David" w:hint="cs"/>
          <w:b/>
          <w:bCs/>
          <w:rtl/>
        </w:rPr>
        <w:t>:</w:t>
      </w:r>
      <w:r w:rsidR="00D84C22" w:rsidRPr="00D84C22">
        <w:rPr>
          <w:rStyle w:val="QuoteChar"/>
          <w:rFonts w:hint="cs"/>
          <w:rtl/>
        </w:rPr>
        <w:t xml:space="preserve"> </w:t>
      </w:r>
      <w:r w:rsidRPr="00D84C22">
        <w:rPr>
          <w:rStyle w:val="QuoteChar"/>
          <w:rFonts w:hint="cs"/>
          <w:rtl/>
        </w:rPr>
        <w:t>פרשת נחמני</w:t>
      </w:r>
    </w:p>
    <w:p w14:paraId="3FF1BD39" w14:textId="2F54C37D" w:rsidR="00E651CF" w:rsidRDefault="00E651CF" w:rsidP="00372AEE">
      <w:pPr>
        <w:bidi/>
        <w:spacing w:after="0" w:line="240" w:lineRule="auto"/>
        <w:jc w:val="both"/>
        <w:rPr>
          <w:rFonts w:ascii="David" w:hAnsi="David" w:cs="David"/>
          <w:rtl/>
        </w:rPr>
      </w:pPr>
      <w:r w:rsidRPr="00FA5D93">
        <w:rPr>
          <w:rFonts w:ascii="David" w:hAnsi="David" w:cs="David" w:hint="cs"/>
          <w:u w:val="single"/>
          <w:rtl/>
        </w:rPr>
        <w:t>האם חלים דיני החוזים?</w:t>
      </w:r>
      <w:r>
        <w:rPr>
          <w:rFonts w:ascii="David" w:hAnsi="David" w:cs="David" w:hint="cs"/>
          <w:rtl/>
        </w:rPr>
        <w:t xml:space="preserve"> ביהמ"ש קובע בד"נ שהסכמים רופפ</w:t>
      </w:r>
      <w:r w:rsidR="00604848">
        <w:rPr>
          <w:rFonts w:ascii="David" w:hAnsi="David" w:cs="David" w:hint="cs"/>
          <w:rtl/>
        </w:rPr>
        <w:t>ים דומים להסכמים להבטחת נישואין:</w:t>
      </w:r>
    </w:p>
    <w:p w14:paraId="1AD64CBF" w14:textId="14C3BA14" w:rsidR="00996F58" w:rsidRDefault="00996F58" w:rsidP="00DF69B2">
      <w:pPr>
        <w:pStyle w:val="ListParagraph"/>
        <w:numPr>
          <w:ilvl w:val="0"/>
          <w:numId w:val="14"/>
        </w:numPr>
        <w:bidi/>
        <w:spacing w:after="0" w:line="240" w:lineRule="auto"/>
        <w:jc w:val="both"/>
        <w:rPr>
          <w:rFonts w:ascii="David" w:hAnsi="David" w:cs="David"/>
        </w:rPr>
      </w:pPr>
      <w:r w:rsidRPr="006A7BA0">
        <w:rPr>
          <w:rStyle w:val="Strong"/>
          <w:rFonts w:hint="cs"/>
          <w:rtl/>
        </w:rPr>
        <w:t>ברק ארז</w:t>
      </w:r>
      <w:r>
        <w:rPr>
          <w:rFonts w:ascii="David" w:hAnsi="David" w:cs="David" w:hint="cs"/>
          <w:rtl/>
        </w:rPr>
        <w:t xml:space="preserve"> במאמר בין הדיונים- מדובר בחוזה רופף</w:t>
      </w:r>
      <w:r w:rsidR="003646A6">
        <w:rPr>
          <w:rFonts w:ascii="David" w:hAnsi="David" w:cs="David" w:hint="cs"/>
          <w:rtl/>
        </w:rPr>
        <w:t xml:space="preserve">, הנטייה היא לא לפסוק פיצויים ואם כן, אז מוגבלים. </w:t>
      </w:r>
    </w:p>
    <w:p w14:paraId="4BF878E4" w14:textId="4AFB0407" w:rsidR="00E651CF" w:rsidRDefault="00E651CF" w:rsidP="00DF69B2">
      <w:pPr>
        <w:pStyle w:val="ListParagraph"/>
        <w:numPr>
          <w:ilvl w:val="0"/>
          <w:numId w:val="14"/>
        </w:numPr>
        <w:bidi/>
        <w:spacing w:after="0" w:line="240" w:lineRule="auto"/>
        <w:jc w:val="both"/>
        <w:rPr>
          <w:rFonts w:ascii="David" w:hAnsi="David" w:cs="David"/>
        </w:rPr>
      </w:pPr>
      <w:r w:rsidRPr="006A7BA0">
        <w:rPr>
          <w:rStyle w:val="Strong"/>
          <w:rFonts w:hint="cs"/>
          <w:rtl/>
        </w:rPr>
        <w:t>שטרסברג כהן:</w:t>
      </w:r>
      <w:r>
        <w:rPr>
          <w:rFonts w:ascii="David" w:hAnsi="David" w:cs="David" w:hint="cs"/>
          <w:rtl/>
        </w:rPr>
        <w:t xml:space="preserve"> משווה בין המקרים. לא ניתן לאכוף אדם להיות הורה (כפי שלא ניתן לכפות להינשא).</w:t>
      </w:r>
      <w:r w:rsidR="00604848">
        <w:rPr>
          <w:rFonts w:ascii="David" w:hAnsi="David" w:cs="David" w:hint="cs"/>
          <w:rtl/>
        </w:rPr>
        <w:t xml:space="preserve"> מדובר בחוזה רופף ואין להחיל עליו את דיני החוזים.</w:t>
      </w:r>
    </w:p>
    <w:p w14:paraId="346D5C25" w14:textId="4CB7948A" w:rsidR="00604848" w:rsidRDefault="00604848" w:rsidP="00DF69B2">
      <w:pPr>
        <w:pStyle w:val="ListParagraph"/>
        <w:numPr>
          <w:ilvl w:val="0"/>
          <w:numId w:val="14"/>
        </w:numPr>
        <w:bidi/>
        <w:spacing w:after="0" w:line="240" w:lineRule="auto"/>
        <w:jc w:val="both"/>
        <w:rPr>
          <w:rFonts w:ascii="David" w:hAnsi="David" w:cs="David"/>
        </w:rPr>
      </w:pPr>
      <w:r w:rsidRPr="006A7BA0">
        <w:rPr>
          <w:rStyle w:val="Strong"/>
          <w:rFonts w:hint="cs"/>
          <w:rtl/>
        </w:rPr>
        <w:t>אור:</w:t>
      </w:r>
      <w:r>
        <w:rPr>
          <w:rFonts w:ascii="David" w:hAnsi="David" w:cs="David" w:hint="cs"/>
          <w:rtl/>
        </w:rPr>
        <w:t xml:space="preserve"> אין מדובר בחוזה רגיל אלא מיוחד.</w:t>
      </w:r>
    </w:p>
    <w:p w14:paraId="646358EA" w14:textId="46E2A050" w:rsidR="00604848" w:rsidRDefault="00D53CAC" w:rsidP="00DF69B2">
      <w:pPr>
        <w:pStyle w:val="ListParagraph"/>
        <w:numPr>
          <w:ilvl w:val="0"/>
          <w:numId w:val="14"/>
        </w:numPr>
        <w:bidi/>
        <w:spacing w:after="0" w:line="240" w:lineRule="auto"/>
        <w:jc w:val="both"/>
        <w:rPr>
          <w:rFonts w:ascii="David" w:hAnsi="David" w:cs="David"/>
        </w:rPr>
      </w:pPr>
      <w:r w:rsidRPr="006A7BA0">
        <w:rPr>
          <w:rStyle w:val="Strong"/>
          <w:rFonts w:hint="cs"/>
          <w:rtl/>
        </w:rPr>
        <w:t>דורנר:</w:t>
      </w:r>
      <w:r>
        <w:rPr>
          <w:rFonts w:ascii="David" w:hAnsi="David" w:cs="David" w:hint="cs"/>
          <w:rtl/>
        </w:rPr>
        <w:t xml:space="preserve"> החוזה מנוגד לתקנת הציבור (לא ניתן לכרות חוזה להבאת ילדים אפילו אם כך היה רצון הצדדים)</w:t>
      </w:r>
      <w:r w:rsidR="00604848">
        <w:rPr>
          <w:rFonts w:ascii="David" w:hAnsi="David" w:cs="David" w:hint="cs"/>
          <w:rtl/>
        </w:rPr>
        <w:t>, אך מסייגת שאין בכך כדי לשלול את נפקותו המשפטית של ההסכם או של מצג בדבר הסכמה.</w:t>
      </w:r>
    </w:p>
    <w:p w14:paraId="19C62726" w14:textId="72D62B96" w:rsidR="006A7BA0" w:rsidRDefault="004748B4" w:rsidP="00DF69B2">
      <w:pPr>
        <w:pStyle w:val="ListParagraph"/>
        <w:numPr>
          <w:ilvl w:val="0"/>
          <w:numId w:val="14"/>
        </w:numPr>
        <w:bidi/>
        <w:spacing w:after="0" w:line="240" w:lineRule="auto"/>
        <w:jc w:val="both"/>
        <w:rPr>
          <w:rStyle w:val="Strong"/>
          <w:b w:val="0"/>
          <w:bCs w:val="0"/>
          <w:color w:val="auto"/>
        </w:rPr>
      </w:pPr>
      <w:r>
        <w:rPr>
          <w:rStyle w:val="Strong"/>
          <w:rFonts w:hint="cs"/>
          <w:rtl/>
        </w:rPr>
        <w:t>זמיר</w:t>
      </w:r>
      <w:r w:rsidR="006722BB">
        <w:rPr>
          <w:rStyle w:val="Strong"/>
          <w:rFonts w:hint="cs"/>
          <w:rtl/>
        </w:rPr>
        <w:t xml:space="preserve"> </w:t>
      </w:r>
      <w:r w:rsidR="006722BB" w:rsidRPr="006722BB">
        <w:rPr>
          <w:rStyle w:val="Strong"/>
          <w:rFonts w:hint="cs"/>
          <w:b w:val="0"/>
          <w:bCs w:val="0"/>
          <w:color w:val="auto"/>
          <w:rtl/>
        </w:rPr>
        <w:t>(באוביטר)</w:t>
      </w:r>
      <w:r w:rsidR="006722BB" w:rsidRPr="006722BB">
        <w:rPr>
          <w:rStyle w:val="Strong"/>
          <w:rFonts w:hint="cs"/>
          <w:b w:val="0"/>
          <w:bCs w:val="0"/>
          <w:color w:val="auto"/>
        </w:rPr>
        <w:t xml:space="preserve"> </w:t>
      </w:r>
      <w:r w:rsidRPr="006722BB">
        <w:rPr>
          <w:rStyle w:val="Strong"/>
          <w:rFonts w:hint="cs"/>
          <w:b w:val="0"/>
          <w:bCs w:val="0"/>
          <w:color w:val="auto"/>
          <w:rtl/>
        </w:rPr>
        <w:t>-</w:t>
      </w:r>
      <w:r w:rsidR="006722BB" w:rsidRPr="006722BB">
        <w:rPr>
          <w:rStyle w:val="Strong"/>
          <w:rFonts w:hint="cs"/>
          <w:b w:val="0"/>
          <w:bCs w:val="0"/>
          <w:color w:val="auto"/>
          <w:rtl/>
        </w:rPr>
        <w:t xml:space="preserve"> יש לפסוק פיצויים מכוח דיני החוזים.</w:t>
      </w:r>
    </w:p>
    <w:p w14:paraId="364DAAA9" w14:textId="77777777" w:rsidR="00D84C22" w:rsidRDefault="00D84C22" w:rsidP="00D84C22">
      <w:pPr>
        <w:pStyle w:val="ListParagraph"/>
        <w:bidi/>
        <w:spacing w:after="0" w:line="240" w:lineRule="auto"/>
        <w:ind w:left="360"/>
        <w:jc w:val="both"/>
        <w:rPr>
          <w:rFonts w:ascii="David" w:hAnsi="David" w:cs="David"/>
        </w:rPr>
      </w:pPr>
    </w:p>
    <w:p w14:paraId="530DB110" w14:textId="7FC5D5F2" w:rsidR="00604848" w:rsidRDefault="00604848" w:rsidP="00D84C22">
      <w:pPr>
        <w:bidi/>
        <w:spacing w:after="0" w:line="276" w:lineRule="auto"/>
        <w:jc w:val="both"/>
        <w:rPr>
          <w:rFonts w:ascii="David" w:hAnsi="David" w:cs="David"/>
          <w:rtl/>
        </w:rPr>
      </w:pPr>
      <w:r w:rsidRPr="00FA5D93">
        <w:rPr>
          <w:rFonts w:ascii="David" w:hAnsi="David" w:cs="David" w:hint="cs"/>
          <w:u w:val="single"/>
          <w:rtl/>
        </w:rPr>
        <w:t>האם ניתן לחייב את המפר בתשלום פיצויים מכוח דיני החוזים?</w:t>
      </w:r>
      <w:r>
        <w:rPr>
          <w:rFonts w:ascii="David" w:hAnsi="David" w:cs="David" w:hint="cs"/>
          <w:rtl/>
        </w:rPr>
        <w:t xml:space="preserve"> השופט </w:t>
      </w:r>
      <w:r w:rsidRPr="00D84C22">
        <w:rPr>
          <w:rStyle w:val="Strong"/>
          <w:rFonts w:hint="cs"/>
          <w:rtl/>
        </w:rPr>
        <w:t>זמיר</w:t>
      </w:r>
      <w:r>
        <w:rPr>
          <w:rFonts w:ascii="David" w:hAnsi="David" w:cs="David" w:hint="cs"/>
          <w:rtl/>
        </w:rPr>
        <w:t xml:space="preserve"> דן בסוגיה באוביטר, ועונה על השאלה בחיוב. בחלק מהמקרים הבאים (שהיו קלים יותר מפרשת נחמני) אכן נפסקו פיצויים.</w:t>
      </w:r>
    </w:p>
    <w:p w14:paraId="24B7E435" w14:textId="77777777" w:rsidR="00500618" w:rsidRDefault="00500618" w:rsidP="00500618">
      <w:pPr>
        <w:bidi/>
        <w:spacing w:after="0" w:line="276" w:lineRule="auto"/>
        <w:jc w:val="both"/>
        <w:rPr>
          <w:rFonts w:ascii="David" w:hAnsi="David" w:cs="David"/>
          <w:rtl/>
        </w:rPr>
      </w:pPr>
    </w:p>
    <w:p w14:paraId="4E496832" w14:textId="77777777" w:rsidR="00D84C22" w:rsidRDefault="00D84C22" w:rsidP="00D84C22">
      <w:pPr>
        <w:bidi/>
        <w:spacing w:after="0" w:line="276" w:lineRule="auto"/>
        <w:jc w:val="both"/>
        <w:rPr>
          <w:rFonts w:ascii="David" w:hAnsi="David" w:cs="David"/>
          <w:rtl/>
        </w:rPr>
      </w:pPr>
    </w:p>
    <w:p w14:paraId="6B344262" w14:textId="77777777" w:rsidR="00494CB7" w:rsidRDefault="00604848" w:rsidP="00B2348A">
      <w:pPr>
        <w:bidi/>
        <w:spacing w:after="0" w:line="276" w:lineRule="auto"/>
        <w:jc w:val="both"/>
        <w:rPr>
          <w:rFonts w:ascii="David" w:hAnsi="David" w:cs="David"/>
          <w:rtl/>
        </w:rPr>
      </w:pPr>
      <w:r>
        <w:rPr>
          <w:rFonts w:ascii="David" w:hAnsi="David" w:cs="David" w:hint="cs"/>
          <w:b/>
          <w:bCs/>
          <w:rtl/>
        </w:rPr>
        <w:t>מקרה 1.</w:t>
      </w:r>
      <w:r w:rsidR="00330233">
        <w:rPr>
          <w:rFonts w:ascii="David" w:hAnsi="David" w:cs="David" w:hint="cs"/>
          <w:b/>
          <w:bCs/>
          <w:rtl/>
        </w:rPr>
        <w:t>1</w:t>
      </w:r>
      <w:r w:rsidR="00494CB7">
        <w:rPr>
          <w:rFonts w:ascii="David" w:hAnsi="David" w:cs="David" w:hint="cs"/>
          <w:rtl/>
        </w:rPr>
        <w:t xml:space="preserve"> :</w:t>
      </w:r>
      <w:r w:rsidR="00494CB7">
        <w:rPr>
          <w:rFonts w:ascii="David" w:hAnsi="David" w:cs="David" w:hint="cs"/>
        </w:rPr>
        <w:t xml:space="preserve"> </w:t>
      </w:r>
      <w:r w:rsidR="00C24770" w:rsidRPr="00494CB7">
        <w:rPr>
          <w:rStyle w:val="QuoteChar"/>
          <w:rFonts w:hint="cs"/>
          <w:rtl/>
        </w:rPr>
        <w:t>פלונית נ' אלמוני (2016)</w:t>
      </w:r>
      <w:r w:rsidR="00C24770">
        <w:rPr>
          <w:rFonts w:ascii="David" w:hAnsi="David" w:cs="David" w:hint="cs"/>
          <w:rtl/>
        </w:rPr>
        <w:t xml:space="preserve"> </w:t>
      </w:r>
      <w:r w:rsidR="00C24770">
        <w:rPr>
          <w:rFonts w:ascii="David" w:hAnsi="David" w:cs="David"/>
          <w:rtl/>
        </w:rPr>
        <w:t>–</w:t>
      </w:r>
      <w:r w:rsidR="00C24770">
        <w:rPr>
          <w:rFonts w:ascii="David" w:hAnsi="David" w:cs="David" w:hint="cs"/>
          <w:rtl/>
        </w:rPr>
        <w:t xml:space="preserve"> </w:t>
      </w:r>
      <w:r w:rsidR="00F33267">
        <w:rPr>
          <w:rFonts w:ascii="David" w:hAnsi="David" w:cs="David" w:hint="cs"/>
          <w:rtl/>
        </w:rPr>
        <w:t xml:space="preserve">תביעה </w:t>
      </w:r>
      <w:r w:rsidR="00F33267" w:rsidRPr="00494CB7">
        <w:rPr>
          <w:rFonts w:ascii="David" w:hAnsi="David" w:cs="David" w:hint="cs"/>
          <w:b/>
          <w:bCs/>
          <w:highlight w:val="yellow"/>
          <w:rtl/>
        </w:rPr>
        <w:t>חוזית</w:t>
      </w:r>
      <w:r w:rsidR="00F33267">
        <w:rPr>
          <w:rFonts w:ascii="David" w:hAnsi="David" w:cs="David" w:hint="cs"/>
          <w:rtl/>
        </w:rPr>
        <w:t xml:space="preserve"> </w:t>
      </w:r>
      <w:r w:rsidR="00784223">
        <w:rPr>
          <w:rFonts w:ascii="David" w:hAnsi="David" w:cs="David" w:hint="cs"/>
          <w:rtl/>
        </w:rPr>
        <w:t xml:space="preserve">של </w:t>
      </w:r>
      <w:r w:rsidR="00C24770">
        <w:rPr>
          <w:rFonts w:ascii="David" w:hAnsi="David" w:cs="David" w:hint="cs"/>
          <w:rtl/>
        </w:rPr>
        <w:t xml:space="preserve">רווקה בת 42 </w:t>
      </w:r>
      <w:r w:rsidR="00784223">
        <w:rPr>
          <w:rFonts w:ascii="David" w:hAnsi="David" w:cs="David" w:hint="cs"/>
          <w:rtl/>
        </w:rPr>
        <w:t>ש</w:t>
      </w:r>
      <w:r w:rsidR="00C24770">
        <w:rPr>
          <w:rFonts w:ascii="David" w:hAnsi="David" w:cs="David" w:hint="cs"/>
          <w:rtl/>
        </w:rPr>
        <w:t xml:space="preserve">תובעת פיצוי מגבר שהודיע לה על הפסק תהליך פונדקאות. </w:t>
      </w:r>
      <w:r w:rsidR="00C24770" w:rsidRPr="00A903C9">
        <w:rPr>
          <w:rFonts w:ascii="David" w:hAnsi="David" w:cs="David" w:hint="cs"/>
          <w:u w:val="single"/>
          <w:rtl/>
        </w:rPr>
        <w:t>לטענתו</w:t>
      </w:r>
      <w:r w:rsidR="00C24770">
        <w:rPr>
          <w:rFonts w:ascii="David" w:hAnsi="David" w:cs="David" w:hint="cs"/>
          <w:rtl/>
        </w:rPr>
        <w:t xml:space="preserve">, השליטה </w:t>
      </w:r>
      <w:r w:rsidR="00784223">
        <w:rPr>
          <w:rFonts w:ascii="David" w:hAnsi="David" w:cs="David" w:hint="cs"/>
          <w:rtl/>
        </w:rPr>
        <w:t xml:space="preserve">האישה </w:t>
      </w:r>
      <w:r w:rsidR="00C24770">
        <w:rPr>
          <w:rFonts w:ascii="David" w:hAnsi="David" w:cs="David" w:hint="cs"/>
          <w:rtl/>
        </w:rPr>
        <w:t>"טרור פוריות", והתרחקה ממנו, ואינו מעוניין להביא ילדים ללא משפחה. הנתבע שילם עבור הטסת הפונדקאית והקפאת הביציות בחו"ל. האישה תובעת פיצוי בגובה 450,000 ש"ח.</w:t>
      </w:r>
    </w:p>
    <w:p w14:paraId="0FBCB7EC" w14:textId="5BF43BFB" w:rsidR="00D5506F" w:rsidRDefault="00936BF3" w:rsidP="00D5506F">
      <w:pPr>
        <w:bidi/>
        <w:spacing w:after="0" w:line="276" w:lineRule="auto"/>
        <w:jc w:val="both"/>
        <w:rPr>
          <w:rFonts w:ascii="David" w:hAnsi="David" w:cs="David"/>
          <w:rtl/>
        </w:rPr>
      </w:pPr>
      <w:r w:rsidRPr="00A903C9">
        <w:rPr>
          <w:rFonts w:ascii="David" w:hAnsi="David" w:cs="David" w:hint="cs"/>
          <w:u w:val="single"/>
          <w:rtl/>
        </w:rPr>
        <w:t>טענות הנתבע:</w:t>
      </w:r>
      <w:r>
        <w:rPr>
          <w:rFonts w:ascii="David" w:hAnsi="David" w:cs="David" w:hint="cs"/>
          <w:rtl/>
        </w:rPr>
        <w:t xml:space="preserve"> בהסכם עם הסוכנות נאמר לצדדים שיכולים לסגת בכל שלב. בנוסף, רצה להקיש מחוק תרומת ביציות שמאפשר לאישה לחזור בה, גם לגבי גברים ותרומת זרע.</w:t>
      </w:r>
    </w:p>
    <w:p w14:paraId="3ABF6400" w14:textId="4C009CCC" w:rsidR="00936BF3" w:rsidRDefault="00936BF3" w:rsidP="00B2348A">
      <w:pPr>
        <w:bidi/>
        <w:spacing w:after="0" w:line="276" w:lineRule="auto"/>
        <w:jc w:val="both"/>
        <w:rPr>
          <w:rFonts w:ascii="David" w:hAnsi="David" w:cs="David"/>
          <w:rtl/>
        </w:rPr>
      </w:pPr>
      <w:r w:rsidRPr="00A903C9">
        <w:rPr>
          <w:rFonts w:ascii="David" w:hAnsi="David" w:cs="David" w:hint="cs"/>
          <w:u w:val="single"/>
          <w:rtl/>
        </w:rPr>
        <w:t>פסק הדין:</w:t>
      </w:r>
      <w:r>
        <w:rPr>
          <w:rFonts w:ascii="David" w:hAnsi="David" w:cs="David" w:hint="cs"/>
          <w:rtl/>
        </w:rPr>
        <w:t xml:space="preserve"> ניתן לראות במקרה כחוזה רופף, אשר אין בכוחו להפעיל אכיפה, </w:t>
      </w:r>
      <w:r w:rsidRPr="00B2348A">
        <w:rPr>
          <w:rFonts w:ascii="David" w:hAnsi="David" w:cs="David" w:hint="cs"/>
          <w:b/>
          <w:bCs/>
          <w:rtl/>
        </w:rPr>
        <w:t>אבל מחייב תשלום עבור נזק ממוני ישיר שנגרם מההפרה. בכך יש החלה של כלל 2 של קלברזי ומלמד</w:t>
      </w:r>
      <w:r>
        <w:rPr>
          <w:rFonts w:ascii="David" w:hAnsi="David" w:cs="David" w:hint="cs"/>
          <w:rtl/>
        </w:rPr>
        <w:t>. נפסק פיצוי בסך יותר מ50,000 ש"ח לאישה. אמנם פיצוי זה היה החזר הוצאות התובעת (הסתמכות), ולא במקום אכיפה (קיום). ביהמ"ש קיזז את התשלום של הגבר להטסת הביציות וראה בו מעין פיצוי נוסף.</w:t>
      </w:r>
    </w:p>
    <w:p w14:paraId="3143903F" w14:textId="77777777" w:rsidR="009501AC" w:rsidRDefault="0041153E" w:rsidP="00B2348A">
      <w:pPr>
        <w:bidi/>
        <w:spacing w:after="0" w:line="276" w:lineRule="auto"/>
        <w:jc w:val="both"/>
        <w:rPr>
          <w:rFonts w:ascii="David" w:hAnsi="David" w:cs="David"/>
          <w:rtl/>
        </w:rPr>
      </w:pPr>
      <w:r>
        <w:rPr>
          <w:rFonts w:ascii="David" w:hAnsi="David" w:cs="David" w:hint="cs"/>
          <w:rtl/>
        </w:rPr>
        <w:t xml:space="preserve">עקב </w:t>
      </w:r>
      <w:r>
        <w:rPr>
          <w:rFonts w:ascii="David" w:hAnsi="David" w:cs="David" w:hint="cs"/>
          <w:b/>
          <w:bCs/>
          <w:rtl/>
        </w:rPr>
        <w:t>החלופות</w:t>
      </w:r>
      <w:r>
        <w:rPr>
          <w:rFonts w:ascii="David" w:hAnsi="David" w:cs="David" w:hint="cs"/>
          <w:rtl/>
        </w:rPr>
        <w:t xml:space="preserve"> שעומדות לאישה למימוש זכותה להורות, זו נסוגה מפני זכות הגבר לחזור בו מהסכמתו. גם במקרה זה השווה ביהמ"ש בין ההסכם להבטחה להינשא. כאן כמו שם, כאמור, הפיצויים ניתנים על ההסתמכות ולא הקיום. </w:t>
      </w:r>
    </w:p>
    <w:p w14:paraId="0F8394AB" w14:textId="453F87A5" w:rsidR="0041153E" w:rsidRDefault="0041153E" w:rsidP="009501AC">
      <w:pPr>
        <w:bidi/>
        <w:spacing w:after="0" w:line="276" w:lineRule="auto"/>
        <w:jc w:val="both"/>
        <w:rPr>
          <w:rFonts w:ascii="David" w:hAnsi="David" w:cs="David"/>
          <w:rtl/>
        </w:rPr>
      </w:pPr>
      <w:r>
        <w:rPr>
          <w:rFonts w:ascii="David" w:hAnsi="David" w:cs="David" w:hint="cs"/>
          <w:u w:val="single"/>
          <w:rtl/>
        </w:rPr>
        <w:t>ההבדל</w:t>
      </w:r>
      <w:r>
        <w:rPr>
          <w:rFonts w:ascii="David" w:hAnsi="David" w:cs="David" w:hint="cs"/>
          <w:rtl/>
        </w:rPr>
        <w:t xml:space="preserve">: בהבטחת נישואים התוצאה וודאית (פשוט להינשא), ובעניננו התוצאה </w:t>
      </w:r>
      <w:r>
        <w:rPr>
          <w:rFonts w:ascii="David" w:hAnsi="David" w:cs="David"/>
          <w:rtl/>
        </w:rPr>
        <w:t>–</w:t>
      </w:r>
      <w:r>
        <w:rPr>
          <w:rFonts w:ascii="David" w:hAnsi="David" w:cs="David" w:hint="cs"/>
          <w:rtl/>
        </w:rPr>
        <w:t xml:space="preserve"> כניסה להריון </w:t>
      </w:r>
      <w:r>
        <w:rPr>
          <w:rFonts w:ascii="David" w:hAnsi="David" w:cs="David"/>
          <w:rtl/>
        </w:rPr>
        <w:t>–</w:t>
      </w:r>
      <w:r>
        <w:rPr>
          <w:rFonts w:ascii="David" w:hAnsi="David" w:cs="David" w:hint="cs"/>
          <w:rtl/>
        </w:rPr>
        <w:t xml:space="preserve"> </w:t>
      </w:r>
      <w:r w:rsidR="00784223">
        <w:rPr>
          <w:rFonts w:ascii="David" w:hAnsi="David" w:cs="David" w:hint="cs"/>
          <w:rtl/>
        </w:rPr>
        <w:t>אינה</w:t>
      </w:r>
      <w:r>
        <w:rPr>
          <w:rFonts w:ascii="David" w:hAnsi="David" w:cs="David" w:hint="cs"/>
          <w:rtl/>
        </w:rPr>
        <w:t xml:space="preserve"> וודאית.</w:t>
      </w:r>
    </w:p>
    <w:p w14:paraId="5547ED96" w14:textId="2D991859" w:rsidR="009D72B4" w:rsidRDefault="009D72B4" w:rsidP="00B2348A">
      <w:pPr>
        <w:bidi/>
        <w:spacing w:after="0" w:line="276" w:lineRule="auto"/>
        <w:jc w:val="both"/>
        <w:rPr>
          <w:rFonts w:ascii="David" w:hAnsi="David" w:cs="David"/>
          <w:rtl/>
        </w:rPr>
      </w:pPr>
      <w:r>
        <w:rPr>
          <w:rFonts w:ascii="David" w:hAnsi="David" w:cs="David" w:hint="cs"/>
          <w:rtl/>
        </w:rPr>
        <w:t>כמו כן, דחה ביהמ"ש את טענת הנתבע לגבי ההיקש</w:t>
      </w:r>
      <w:r w:rsidR="007C284F">
        <w:rPr>
          <w:rFonts w:ascii="David" w:hAnsi="David" w:cs="David" w:hint="cs"/>
          <w:rtl/>
        </w:rPr>
        <w:t xml:space="preserve"> ב</w:t>
      </w:r>
      <w:r w:rsidR="00467C75">
        <w:rPr>
          <w:rFonts w:ascii="David" w:hAnsi="David" w:cs="David" w:hint="cs"/>
          <w:rtl/>
        </w:rPr>
        <w:t>מקרה דנן</w:t>
      </w:r>
      <w:r>
        <w:rPr>
          <w:rFonts w:ascii="David" w:hAnsi="David" w:cs="David" w:hint="cs"/>
          <w:rtl/>
        </w:rPr>
        <w:t xml:space="preserve">, כיוון שניתן להסיק להפך </w:t>
      </w:r>
      <w:r>
        <w:rPr>
          <w:rFonts w:ascii="David" w:hAnsi="David" w:cs="David"/>
          <w:rtl/>
        </w:rPr>
        <w:t>–</w:t>
      </w:r>
      <w:r>
        <w:rPr>
          <w:rFonts w:ascii="David" w:hAnsi="David" w:cs="David" w:hint="cs"/>
          <w:rtl/>
        </w:rPr>
        <w:t xml:space="preserve"> שההסדר הוא ספציפי באופן מכוון.</w:t>
      </w:r>
    </w:p>
    <w:p w14:paraId="4174196A" w14:textId="77777777" w:rsidR="009501AC" w:rsidRDefault="009501AC" w:rsidP="009501AC">
      <w:pPr>
        <w:bidi/>
        <w:spacing w:after="0" w:line="276" w:lineRule="auto"/>
        <w:jc w:val="both"/>
        <w:rPr>
          <w:rFonts w:ascii="David" w:hAnsi="David" w:cs="David"/>
          <w:rtl/>
        </w:rPr>
      </w:pPr>
    </w:p>
    <w:p w14:paraId="1BB4EB4B" w14:textId="4D9734FA" w:rsidR="00E86366" w:rsidRDefault="00E86366" w:rsidP="00494CB7">
      <w:pPr>
        <w:bidi/>
        <w:spacing w:after="0" w:line="276" w:lineRule="auto"/>
        <w:jc w:val="both"/>
        <w:rPr>
          <w:rFonts w:ascii="David" w:hAnsi="David" w:cs="David"/>
          <w:rtl/>
        </w:rPr>
      </w:pPr>
      <w:r>
        <w:rPr>
          <w:rFonts w:ascii="David" w:hAnsi="David" w:cs="David" w:hint="cs"/>
          <w:u w:val="single"/>
          <w:rtl/>
        </w:rPr>
        <w:t>ניתוח הפסיקה</w:t>
      </w:r>
    </w:p>
    <w:p w14:paraId="16658404" w14:textId="1E008D85" w:rsidR="00DF40F3" w:rsidRDefault="00E86366" w:rsidP="00494CB7">
      <w:pPr>
        <w:bidi/>
        <w:spacing w:after="0" w:line="276" w:lineRule="auto"/>
        <w:jc w:val="both"/>
        <w:rPr>
          <w:rFonts w:ascii="David" w:hAnsi="David" w:cs="David"/>
          <w:rtl/>
        </w:rPr>
      </w:pPr>
      <w:r w:rsidRPr="00781FF8">
        <w:rPr>
          <w:rFonts w:ascii="David" w:hAnsi="David" w:cs="David" w:hint="cs"/>
          <w:b/>
          <w:bCs/>
          <w:rtl/>
        </w:rPr>
        <w:t>מסגרת תיאורטית:</w:t>
      </w:r>
      <w:r>
        <w:rPr>
          <w:rFonts w:ascii="David" w:hAnsi="David" w:cs="David" w:hint="cs"/>
          <w:rtl/>
        </w:rPr>
        <w:t xml:space="preserve"> מצד אחד הזכות להורות (של הא</w:t>
      </w:r>
      <w:r w:rsidR="00784223">
        <w:rPr>
          <w:rFonts w:ascii="David" w:hAnsi="David" w:cs="David" w:hint="cs"/>
          <w:rtl/>
        </w:rPr>
        <w:t xml:space="preserve">ישה) גוברת, ויש להחיל כלל אחריות, או שמא </w:t>
      </w:r>
      <w:r>
        <w:rPr>
          <w:rFonts w:ascii="David" w:hAnsi="David" w:cs="David" w:hint="cs"/>
          <w:rtl/>
        </w:rPr>
        <w:t xml:space="preserve">ההיבט השלילי גובר, ואין להטיל שום </w:t>
      </w:r>
      <w:r w:rsidR="00784223">
        <w:rPr>
          <w:rFonts w:ascii="David" w:hAnsi="David" w:cs="David" w:hint="cs"/>
          <w:rtl/>
        </w:rPr>
        <w:t xml:space="preserve">כלל על הנתבע, בעיקר עקב החלופות. כמו כן, </w:t>
      </w:r>
      <w:r>
        <w:rPr>
          <w:rFonts w:ascii="David" w:hAnsi="David" w:cs="David" w:hint="cs"/>
          <w:rtl/>
        </w:rPr>
        <w:t>ניתן להניח מכללא שבלא זוגיות, נפסק ההסכם להליך, ובכך נשמטת הקרקע להסכם הן להליך חוזי והן לנזיקי (יחסים חוזיים רלוונטיים לרשלנות).</w:t>
      </w:r>
      <w:r w:rsidR="00784223">
        <w:rPr>
          <w:rFonts w:ascii="David" w:hAnsi="David" w:cs="David" w:hint="cs"/>
          <w:rtl/>
        </w:rPr>
        <w:t xml:space="preserve"> </w:t>
      </w:r>
    </w:p>
    <w:p w14:paraId="7958B7FB" w14:textId="652422A5" w:rsidR="00DF40F3" w:rsidRDefault="00DF40F3" w:rsidP="00494CB7">
      <w:pPr>
        <w:bidi/>
        <w:spacing w:after="0" w:line="276" w:lineRule="auto"/>
        <w:jc w:val="both"/>
        <w:rPr>
          <w:rFonts w:ascii="David" w:hAnsi="David" w:cs="David"/>
          <w:rtl/>
        </w:rPr>
      </w:pPr>
      <w:r w:rsidRPr="00DF40F3">
        <w:rPr>
          <w:rFonts w:ascii="David" w:hAnsi="David" w:cs="David" w:hint="cs"/>
          <w:rtl/>
        </w:rPr>
        <w:lastRenderedPageBreak/>
        <w:t xml:space="preserve">בשונה מפרשת נחמני, הביציות לא היו של האישה </w:t>
      </w:r>
      <w:r w:rsidR="00FB341C">
        <w:rPr>
          <w:rFonts w:ascii="David" w:hAnsi="David" w:cs="David" w:hint="cs"/>
          <w:rtl/>
        </w:rPr>
        <w:t>ולכאורה אין לפסוק</w:t>
      </w:r>
      <w:r w:rsidRPr="00DF40F3">
        <w:rPr>
          <w:rFonts w:ascii="David" w:hAnsi="David" w:cs="David" w:hint="cs"/>
          <w:rtl/>
        </w:rPr>
        <w:t xml:space="preserve"> פיצוי על כאב וסבל שהיה כרוך בהליך. עם זאת, </w:t>
      </w:r>
      <w:r w:rsidRPr="00AE4E40">
        <w:rPr>
          <w:rFonts w:ascii="David" w:hAnsi="David" w:cs="David" w:hint="cs"/>
          <w:u w:val="single"/>
          <w:rtl/>
        </w:rPr>
        <w:t xml:space="preserve">ייתכן שגם בעצם הפסקת התהליך (ומבלי שהאישה היא התורמת) יש לפסוק פיצוי בגין ראש נזק זה (גם </w:t>
      </w:r>
      <w:r w:rsidR="001420BE" w:rsidRPr="00AE4E40">
        <w:rPr>
          <w:rFonts w:ascii="David" w:hAnsi="David" w:cs="David" w:hint="cs"/>
          <w:u w:val="single"/>
          <w:rtl/>
        </w:rPr>
        <w:t>א</w:t>
      </w:r>
      <w:r w:rsidRPr="00AE4E40">
        <w:rPr>
          <w:rFonts w:ascii="David" w:hAnsi="David" w:cs="David" w:hint="cs"/>
          <w:u w:val="single"/>
          <w:rtl/>
        </w:rPr>
        <w:t>ם מופחת).</w:t>
      </w:r>
      <w:r w:rsidR="00FB341C">
        <w:rPr>
          <w:rFonts w:ascii="David" w:hAnsi="David" w:cs="David" w:hint="cs"/>
          <w:rtl/>
        </w:rPr>
        <w:t xml:space="preserve"> הגישה עולה בפסה"ד ב'קיזוז' שרואה ביהמ"ש בתשלום שנתן הגבר, שבלעדיו אולי הייתה מפוצה האישה גם על רכיב זה.</w:t>
      </w:r>
      <w:r w:rsidR="00277CE8">
        <w:rPr>
          <w:rFonts w:ascii="David" w:hAnsi="David" w:cs="David" w:hint="cs"/>
          <w:rtl/>
        </w:rPr>
        <w:t xml:space="preserve"> </w:t>
      </w:r>
      <w:r w:rsidR="00FB341C">
        <w:rPr>
          <w:rFonts w:ascii="David" w:hAnsi="David" w:cs="David" w:hint="cs"/>
          <w:rtl/>
        </w:rPr>
        <w:t>יש לציין שפיצוי כזה אפשרי יותר בקלות דרך נזיקין (ראש נזק מוכר) ופחות בחוזים (נתון לשק"ד ביהמ"ש).</w:t>
      </w:r>
    </w:p>
    <w:p w14:paraId="6B72E4BD" w14:textId="77777777" w:rsidR="00AE4E40" w:rsidRDefault="00AE4E40" w:rsidP="00AE4E40">
      <w:pPr>
        <w:bidi/>
        <w:spacing w:after="0" w:line="276" w:lineRule="auto"/>
        <w:jc w:val="both"/>
        <w:rPr>
          <w:rFonts w:ascii="David" w:hAnsi="David" w:cs="David"/>
          <w:rtl/>
        </w:rPr>
      </w:pPr>
    </w:p>
    <w:p w14:paraId="1F8F3DBB" w14:textId="77777777" w:rsidR="00AE4E40" w:rsidRDefault="00AE4E40" w:rsidP="00AE4E40">
      <w:pPr>
        <w:bidi/>
        <w:spacing w:after="0" w:line="276" w:lineRule="auto"/>
        <w:jc w:val="both"/>
        <w:rPr>
          <w:rFonts w:ascii="David" w:hAnsi="David" w:cs="David"/>
          <w:rtl/>
        </w:rPr>
      </w:pPr>
    </w:p>
    <w:p w14:paraId="01D228B5" w14:textId="0BF4D496" w:rsidR="00F33267" w:rsidRPr="00F825DE" w:rsidRDefault="00FB341C" w:rsidP="00F825DE">
      <w:pPr>
        <w:bidi/>
        <w:spacing w:after="0" w:line="276" w:lineRule="auto"/>
        <w:jc w:val="both"/>
        <w:rPr>
          <w:rFonts w:ascii="David" w:hAnsi="David" w:cs="David"/>
          <w:b/>
          <w:bCs/>
          <w:rtl/>
        </w:rPr>
      </w:pPr>
      <w:r>
        <w:rPr>
          <w:rFonts w:ascii="David" w:hAnsi="David" w:cs="David" w:hint="cs"/>
          <w:b/>
          <w:bCs/>
          <w:rtl/>
        </w:rPr>
        <w:t>מקרה 1.</w:t>
      </w:r>
      <w:r w:rsidR="00330233">
        <w:rPr>
          <w:rFonts w:ascii="David" w:hAnsi="David" w:cs="David" w:hint="cs"/>
          <w:b/>
          <w:bCs/>
          <w:rtl/>
        </w:rPr>
        <w:t>2</w:t>
      </w:r>
      <w:r w:rsidR="00AE4E40">
        <w:rPr>
          <w:rFonts w:ascii="David" w:hAnsi="David" w:cs="David" w:hint="cs"/>
          <w:b/>
          <w:bCs/>
          <w:rtl/>
        </w:rPr>
        <w:t xml:space="preserve"> </w:t>
      </w:r>
      <w:r w:rsidR="00F33267" w:rsidRPr="00AE4E40">
        <w:rPr>
          <w:rStyle w:val="QuoteChar"/>
          <w:rFonts w:hint="cs"/>
          <w:rtl/>
        </w:rPr>
        <w:t>ר' ש' פ' נ' א' י' ז' (2020)</w:t>
      </w:r>
      <w:r w:rsidR="00F33267">
        <w:rPr>
          <w:rFonts w:ascii="David" w:hAnsi="David" w:cs="David" w:hint="cs"/>
          <w:rtl/>
        </w:rPr>
        <w:t xml:space="preserve"> </w:t>
      </w:r>
      <w:r w:rsidR="00F33267">
        <w:rPr>
          <w:rFonts w:ascii="David" w:hAnsi="David" w:cs="David"/>
          <w:rtl/>
        </w:rPr>
        <w:t>–</w:t>
      </w:r>
      <w:r w:rsidR="00F33267">
        <w:rPr>
          <w:rFonts w:ascii="David" w:hAnsi="David" w:cs="David" w:hint="cs"/>
          <w:rtl/>
        </w:rPr>
        <w:t xml:space="preserve"> תביעה </w:t>
      </w:r>
      <w:r w:rsidR="00F33267" w:rsidRPr="00F825DE">
        <w:rPr>
          <w:rFonts w:ascii="David" w:hAnsi="David" w:cs="David" w:hint="cs"/>
          <w:b/>
          <w:bCs/>
          <w:highlight w:val="yellow"/>
          <w:rtl/>
        </w:rPr>
        <w:t>נזיקית</w:t>
      </w:r>
      <w:r w:rsidR="00F33267">
        <w:rPr>
          <w:rFonts w:ascii="David" w:hAnsi="David" w:cs="David" w:hint="cs"/>
          <w:b/>
          <w:bCs/>
          <w:rtl/>
        </w:rPr>
        <w:t xml:space="preserve"> </w:t>
      </w:r>
      <w:r w:rsidR="00F33267">
        <w:rPr>
          <w:rFonts w:ascii="David" w:hAnsi="David" w:cs="David" w:hint="cs"/>
          <w:rtl/>
        </w:rPr>
        <w:t>של אישה נגד בעלה על סירוב להמשיך בטיפולי פוריות. הביצית כבר הופרתה, בשונה מהמקרה הקודם (אך גם כאן הביציות של תורמת). עשרה ימים לפני מועד ההשתלה, הצדדים הגישו בקשה לגירושין. יומיים לפני</w:t>
      </w:r>
      <w:r w:rsidR="00277CE8">
        <w:rPr>
          <w:rFonts w:ascii="David" w:hAnsi="David" w:cs="David" w:hint="cs"/>
          <w:rtl/>
        </w:rPr>
        <w:t xml:space="preserve"> מועד הטיפול</w:t>
      </w:r>
      <w:r w:rsidR="00F33267">
        <w:rPr>
          <w:rFonts w:ascii="David" w:hAnsi="David" w:cs="David" w:hint="cs"/>
          <w:rtl/>
        </w:rPr>
        <w:t xml:space="preserve">, האישה החליפה </w:t>
      </w:r>
      <w:r w:rsidR="00F825DE">
        <w:rPr>
          <w:rFonts w:ascii="David" w:hAnsi="David" w:cs="David" w:hint="cs"/>
          <w:rtl/>
        </w:rPr>
        <w:t xml:space="preserve"> את המנעול לביתם</w:t>
      </w:r>
      <w:r w:rsidR="00F33267">
        <w:rPr>
          <w:rFonts w:ascii="David" w:hAnsi="David" w:cs="David" w:hint="cs"/>
          <w:rtl/>
        </w:rPr>
        <w:t>, ובאותו יום הודיע הנתבע למכון על הפסקת הטיפול, ושילם עבור הקפאת הביצ</w:t>
      </w:r>
      <w:r w:rsidR="00277CE8">
        <w:rPr>
          <w:rFonts w:ascii="David" w:hAnsi="David" w:cs="David" w:hint="cs"/>
          <w:rtl/>
        </w:rPr>
        <w:t>י</w:t>
      </w:r>
      <w:r w:rsidR="00F33267">
        <w:rPr>
          <w:rFonts w:ascii="David" w:hAnsi="David" w:cs="David" w:hint="cs"/>
          <w:rtl/>
        </w:rPr>
        <w:t xml:space="preserve">ת המופרית. </w:t>
      </w:r>
    </w:p>
    <w:p w14:paraId="1241C0C3" w14:textId="79891907" w:rsidR="00AE4E40" w:rsidRDefault="00865169" w:rsidP="005A4479">
      <w:pPr>
        <w:bidi/>
        <w:spacing w:line="276" w:lineRule="auto"/>
        <w:jc w:val="both"/>
        <w:rPr>
          <w:rFonts w:ascii="David" w:hAnsi="David" w:cs="David"/>
          <w:rtl/>
        </w:rPr>
      </w:pPr>
      <w:r w:rsidRPr="00F825DE">
        <w:rPr>
          <w:rFonts w:ascii="David" w:hAnsi="David" w:cs="David" w:hint="cs"/>
          <w:u w:val="single"/>
          <w:rtl/>
        </w:rPr>
        <w:t>פסק הדין:</w:t>
      </w:r>
      <w:r>
        <w:rPr>
          <w:rFonts w:ascii="David" w:hAnsi="David" w:cs="David" w:hint="cs"/>
          <w:rtl/>
        </w:rPr>
        <w:t xml:space="preserve"> ניתן לראות במקרה "הסכם רופף", אולם זה נגמר משנפרדו הצדדים. זכותו של הנתבע </w:t>
      </w:r>
      <w:r w:rsidR="00E33A24">
        <w:rPr>
          <w:rFonts w:ascii="David" w:hAnsi="David" w:cs="David" w:hint="cs"/>
          <w:rtl/>
        </w:rPr>
        <w:t>להימנ</w:t>
      </w:r>
      <w:r w:rsidR="00E33A24">
        <w:rPr>
          <w:rFonts w:ascii="David" w:hAnsi="David" w:cs="David" w:hint="eastAsia"/>
          <w:rtl/>
        </w:rPr>
        <w:t>ע</w:t>
      </w:r>
      <w:r>
        <w:rPr>
          <w:rFonts w:ascii="David" w:hAnsi="David" w:cs="David" w:hint="cs"/>
          <w:rtl/>
        </w:rPr>
        <w:t xml:space="preserve"> מהבאת ילדים בנסיבות של מערכת זוגית שנסתיימה. בכך, מגשים ביהמ"ש את ההיבט השלילי של הזכות ולא מחיל כלל קנייני נגד הנתבע. רק לגבי הטיפול האחרון נפסק שניתן היה למנוע מוקדם יותר ולחסוך את התשלום, </w:t>
      </w:r>
      <w:r w:rsidR="00277CE8">
        <w:rPr>
          <w:rFonts w:ascii="David" w:hAnsi="David" w:cs="David" w:hint="cs"/>
          <w:rtl/>
        </w:rPr>
        <w:t>ונפסק</w:t>
      </w:r>
      <w:r>
        <w:rPr>
          <w:rFonts w:ascii="David" w:hAnsi="David" w:cs="David" w:hint="cs"/>
          <w:rtl/>
        </w:rPr>
        <w:t xml:space="preserve"> פיצוי </w:t>
      </w:r>
      <w:r w:rsidR="00277CE8">
        <w:rPr>
          <w:rFonts w:ascii="David" w:hAnsi="David" w:cs="David" w:hint="cs"/>
          <w:rtl/>
        </w:rPr>
        <w:t xml:space="preserve"> בשווי </w:t>
      </w:r>
      <w:r>
        <w:rPr>
          <w:rFonts w:ascii="David" w:hAnsi="David" w:cs="David" w:hint="cs"/>
          <w:rtl/>
        </w:rPr>
        <w:t xml:space="preserve">22,000 ש"ח (חצי מההחזר הכספי שהיה ניתן אם ההודעה הייתה מוקדמת). </w:t>
      </w:r>
    </w:p>
    <w:p w14:paraId="6E5F9652" w14:textId="7644DE67" w:rsidR="00865169" w:rsidRDefault="00865169" w:rsidP="00372AEE">
      <w:pPr>
        <w:bidi/>
        <w:spacing w:after="0" w:line="276" w:lineRule="auto"/>
        <w:jc w:val="both"/>
        <w:rPr>
          <w:rFonts w:ascii="David" w:hAnsi="David" w:cs="David"/>
          <w:rtl/>
        </w:rPr>
      </w:pPr>
      <w:r>
        <w:rPr>
          <w:rFonts w:ascii="David" w:hAnsi="David" w:cs="David" w:hint="cs"/>
          <w:u w:val="single"/>
          <w:rtl/>
        </w:rPr>
        <w:t>ניתוח הפסיקה</w:t>
      </w:r>
    </w:p>
    <w:p w14:paraId="4B14FD0B" w14:textId="5CF6EF5B" w:rsidR="00865169" w:rsidRDefault="00865169" w:rsidP="00372AEE">
      <w:pPr>
        <w:bidi/>
        <w:spacing w:after="0" w:line="276" w:lineRule="auto"/>
        <w:jc w:val="both"/>
        <w:rPr>
          <w:rFonts w:ascii="David" w:hAnsi="David" w:cs="David"/>
          <w:rtl/>
        </w:rPr>
      </w:pPr>
      <w:r w:rsidRPr="005A4479">
        <w:rPr>
          <w:rFonts w:ascii="David" w:hAnsi="David" w:cs="David" w:hint="cs"/>
          <w:b/>
          <w:bCs/>
          <w:rtl/>
        </w:rPr>
        <w:t>אותה מסגרת תיאורטית:</w:t>
      </w:r>
      <w:r>
        <w:rPr>
          <w:rFonts w:ascii="David" w:hAnsi="David" w:cs="David" w:hint="cs"/>
          <w:rtl/>
        </w:rPr>
        <w:t xml:space="preserve"> האם זכות האישה להורות חיובית תעניק לה פיצוי, או שתגבור הזכות השלילית</w:t>
      </w:r>
      <w:r w:rsidR="00372AEE">
        <w:rPr>
          <w:rFonts w:ascii="David" w:hAnsi="David" w:cs="David" w:hint="cs"/>
          <w:rtl/>
        </w:rPr>
        <w:t>?</w:t>
      </w:r>
      <w:r>
        <w:rPr>
          <w:rFonts w:ascii="David" w:hAnsi="David" w:cs="David" w:hint="cs"/>
          <w:rtl/>
        </w:rPr>
        <w:t xml:space="preserve"> ביהמ"ש פוסק בדרך השנייה. ביהמ"ש אף לא פוסק פיצויים בגין הפרת הבטחת הורות, כיוון שההיקש להבטחת נישואין תקף לעילה חוזית ולא נזיקית (כפי שהיה בפרשה זו). גם השוואה למקרה נחמני נדחית עקב היעדר מצב ה"</w:t>
      </w:r>
      <w:r>
        <w:rPr>
          <w:rFonts w:ascii="David" w:hAnsi="David" w:cs="David" w:hint="cs"/>
          <w:b/>
          <w:bCs/>
          <w:rtl/>
        </w:rPr>
        <w:t>אל חזור</w:t>
      </w:r>
      <w:r>
        <w:rPr>
          <w:rFonts w:ascii="David" w:hAnsi="David" w:cs="David" w:hint="cs"/>
          <w:rtl/>
        </w:rPr>
        <w:t>" וחלופות בדמות תורמת אחרת.</w:t>
      </w:r>
    </w:p>
    <w:p w14:paraId="563D8C50" w14:textId="77777777" w:rsidR="00097EEB" w:rsidRDefault="00865169" w:rsidP="00097EEB">
      <w:pPr>
        <w:bidi/>
        <w:spacing w:after="0" w:line="276" w:lineRule="auto"/>
        <w:jc w:val="both"/>
        <w:rPr>
          <w:rFonts w:ascii="David" w:hAnsi="David" w:cs="David"/>
          <w:rtl/>
        </w:rPr>
      </w:pPr>
      <w:r>
        <w:rPr>
          <w:rFonts w:ascii="David" w:hAnsi="David" w:cs="David" w:hint="cs"/>
          <w:rtl/>
        </w:rPr>
        <w:t xml:space="preserve">גם טענות לגבי העלות הכספית לאורך השנים נדחות. כל עוד הפרוייקט היה משותף, אין לדון בקניין של הכספים. רק הטיפול האחרון זיכה בתשלום, וניתן לראות זאת כשיקול של </w:t>
      </w:r>
      <w:r>
        <w:rPr>
          <w:rFonts w:ascii="David" w:hAnsi="David" w:cs="David" w:hint="cs"/>
          <w:b/>
          <w:bCs/>
          <w:rtl/>
        </w:rPr>
        <w:t xml:space="preserve">מונע הנזק הזול </w:t>
      </w:r>
      <w:r>
        <w:rPr>
          <w:rFonts w:ascii="David" w:hAnsi="David" w:cs="David" w:hint="cs"/>
          <w:rtl/>
        </w:rPr>
        <w:t>ו</w:t>
      </w:r>
      <w:r>
        <w:rPr>
          <w:rFonts w:ascii="David" w:hAnsi="David" w:cs="David" w:hint="cs"/>
          <w:b/>
          <w:bCs/>
          <w:rtl/>
        </w:rPr>
        <w:t>השוקל הטוב</w:t>
      </w:r>
      <w:r>
        <w:rPr>
          <w:rFonts w:ascii="David" w:hAnsi="David" w:cs="David" w:hint="cs"/>
          <w:rtl/>
        </w:rPr>
        <w:t xml:space="preserve">. הבעל היה בעמדה הטובה יותר למנוע את הנזק מול המכון ולמזערו (אולם לפי </w:t>
      </w:r>
      <w:r w:rsidRPr="00097EEB">
        <w:rPr>
          <w:rStyle w:val="Strong"/>
          <w:rFonts w:hint="cs"/>
          <w:rtl/>
        </w:rPr>
        <w:t>קלברזי והירשוף</w:t>
      </w:r>
      <w:r>
        <w:rPr>
          <w:rFonts w:ascii="David" w:hAnsi="David" w:cs="David" w:hint="cs"/>
          <w:rtl/>
        </w:rPr>
        <w:t xml:space="preserve"> האחריות מוחלטת ואין לפצות בגין חצי </w:t>
      </w:r>
      <w:r w:rsidR="006A4926">
        <w:rPr>
          <w:rFonts w:ascii="David" w:hAnsi="David" w:cs="David" w:hint="cs"/>
          <w:rtl/>
        </w:rPr>
        <w:t>עלות הטיפול)</w:t>
      </w:r>
      <w:r w:rsidR="00097EEB">
        <w:rPr>
          <w:rFonts w:ascii="David" w:hAnsi="David" w:cs="David" w:hint="cs"/>
          <w:rtl/>
        </w:rPr>
        <w:t>.</w:t>
      </w:r>
    </w:p>
    <w:p w14:paraId="2A842D27" w14:textId="6D439F27" w:rsidR="006A4926" w:rsidRDefault="006A4926" w:rsidP="00097EEB">
      <w:pPr>
        <w:bidi/>
        <w:spacing w:after="0" w:line="276" w:lineRule="auto"/>
        <w:jc w:val="both"/>
        <w:rPr>
          <w:rFonts w:ascii="David" w:hAnsi="David" w:cs="David"/>
          <w:rtl/>
        </w:rPr>
      </w:pPr>
      <w:r>
        <w:rPr>
          <w:rFonts w:ascii="David" w:hAnsi="David" w:cs="David" w:hint="cs"/>
          <w:rtl/>
        </w:rPr>
        <w:t xml:space="preserve">לכאורה דווקא כאן </w:t>
      </w:r>
      <w:r w:rsidRPr="006A4926">
        <w:rPr>
          <w:rFonts w:ascii="David" w:hAnsi="David" w:cs="David" w:hint="cs"/>
          <w:b/>
          <w:bCs/>
          <w:rtl/>
        </w:rPr>
        <w:t>התביעה</w:t>
      </w:r>
      <w:r>
        <w:rPr>
          <w:rFonts w:ascii="David" w:hAnsi="David" w:cs="David" w:hint="cs"/>
          <w:rtl/>
        </w:rPr>
        <w:t xml:space="preserve"> </w:t>
      </w:r>
      <w:r>
        <w:rPr>
          <w:rFonts w:ascii="David" w:hAnsi="David" w:cs="David" w:hint="cs"/>
          <w:b/>
          <w:bCs/>
          <w:rtl/>
        </w:rPr>
        <w:t>החוזית הייתה עדיפה</w:t>
      </w:r>
      <w:r>
        <w:rPr>
          <w:rFonts w:ascii="David" w:hAnsi="David" w:cs="David" w:hint="cs"/>
          <w:rtl/>
        </w:rPr>
        <w:t xml:space="preserve">, כי לא היה מקום לטענה 'טרור פוריות' כלעיל, כיוון שהזוג היה נשוי, ונראה </w:t>
      </w:r>
      <w:r w:rsidR="00331D85">
        <w:rPr>
          <w:rFonts w:ascii="David" w:hAnsi="David" w:cs="David" w:hint="cs"/>
          <w:rtl/>
        </w:rPr>
        <w:t>שההסכם היה יציב יותר</w:t>
      </w:r>
      <w:r>
        <w:rPr>
          <w:rFonts w:ascii="David" w:hAnsi="David" w:cs="David" w:hint="cs"/>
          <w:rtl/>
        </w:rPr>
        <w:t xml:space="preserve">. אולם, גם דרך חוזים לא בהכרח היה מקום לפיצויים על טיפול הפוריות שכשל. כלומר, </w:t>
      </w:r>
      <w:r>
        <w:rPr>
          <w:rFonts w:ascii="David" w:hAnsi="David" w:cs="David" w:hint="cs"/>
          <w:b/>
          <w:bCs/>
          <w:rtl/>
        </w:rPr>
        <w:t>ייתכן והתוצאה לבסוף הייתה זהה</w:t>
      </w:r>
      <w:r>
        <w:rPr>
          <w:rFonts w:ascii="David" w:hAnsi="David" w:cs="David" w:hint="cs"/>
          <w:rtl/>
        </w:rPr>
        <w:t>, ואין עדיפות לחוזים.</w:t>
      </w:r>
    </w:p>
    <w:p w14:paraId="39374742" w14:textId="77777777" w:rsidR="00500618" w:rsidRDefault="00500618" w:rsidP="00500618">
      <w:pPr>
        <w:bidi/>
        <w:spacing w:after="0" w:line="276" w:lineRule="auto"/>
        <w:jc w:val="both"/>
        <w:rPr>
          <w:rFonts w:ascii="David" w:hAnsi="David" w:cs="David"/>
          <w:rtl/>
        </w:rPr>
      </w:pPr>
    </w:p>
    <w:p w14:paraId="2220FE6B" w14:textId="77777777" w:rsidR="00B67628" w:rsidRPr="00B67628" w:rsidRDefault="00B67628" w:rsidP="00CC7DF2">
      <w:pPr>
        <w:bidi/>
        <w:spacing w:line="276" w:lineRule="auto"/>
        <w:jc w:val="both"/>
        <w:rPr>
          <w:rFonts w:ascii="David" w:hAnsi="David" w:cs="David"/>
          <w:b/>
          <w:bCs/>
          <w:rtl/>
        </w:rPr>
      </w:pPr>
    </w:p>
    <w:p w14:paraId="0E209214" w14:textId="01559D1E" w:rsidR="006A4926" w:rsidRDefault="006A4926" w:rsidP="00A42CCF">
      <w:pPr>
        <w:bidi/>
        <w:spacing w:after="0" w:line="276" w:lineRule="auto"/>
        <w:jc w:val="both"/>
        <w:rPr>
          <w:rFonts w:ascii="David" w:hAnsi="David" w:cs="David"/>
          <w:rtl/>
        </w:rPr>
      </w:pPr>
      <w:r>
        <w:rPr>
          <w:rFonts w:ascii="David" w:hAnsi="David" w:cs="David" w:hint="cs"/>
          <w:b/>
          <w:bCs/>
          <w:rtl/>
        </w:rPr>
        <w:t xml:space="preserve">מקרה 2 </w:t>
      </w:r>
      <w:r>
        <w:rPr>
          <w:rFonts w:ascii="David" w:hAnsi="David" w:cs="David"/>
          <w:b/>
          <w:bCs/>
          <w:rtl/>
        </w:rPr>
        <w:t>–</w:t>
      </w:r>
      <w:r>
        <w:rPr>
          <w:rFonts w:ascii="David" w:hAnsi="David" w:cs="David" w:hint="cs"/>
          <w:b/>
          <w:bCs/>
          <w:rtl/>
        </w:rPr>
        <w:t xml:space="preserve"> חזרת </w:t>
      </w:r>
      <w:r>
        <w:rPr>
          <w:rFonts w:ascii="David" w:hAnsi="David" w:cs="David" w:hint="cs"/>
          <w:b/>
          <w:bCs/>
          <w:u w:val="single"/>
          <w:rtl/>
        </w:rPr>
        <w:t>תורם</w:t>
      </w:r>
      <w:r>
        <w:rPr>
          <w:rFonts w:ascii="David" w:hAnsi="David" w:cs="David" w:hint="cs"/>
          <w:b/>
          <w:bCs/>
          <w:rtl/>
        </w:rPr>
        <w:t xml:space="preserve"> מהסכמה לתרומת זרע</w:t>
      </w:r>
    </w:p>
    <w:p w14:paraId="4C7939F3" w14:textId="5E7E6809" w:rsidR="006A4926" w:rsidRDefault="006A4926" w:rsidP="00A42CCF">
      <w:pPr>
        <w:bidi/>
        <w:spacing w:after="0" w:line="276" w:lineRule="auto"/>
        <w:jc w:val="both"/>
        <w:rPr>
          <w:rFonts w:ascii="David" w:hAnsi="David" w:cs="David"/>
          <w:rtl/>
        </w:rPr>
      </w:pPr>
      <w:r>
        <w:rPr>
          <w:rFonts w:ascii="David" w:hAnsi="David" w:cs="David" w:hint="cs"/>
          <w:rtl/>
        </w:rPr>
        <w:t xml:space="preserve">במקרים אלו הנתבע הוא הבנק, אך ההיבט השלילי של הזכות שייך לצד ג' </w:t>
      </w:r>
      <w:r>
        <w:rPr>
          <w:rFonts w:ascii="David" w:hAnsi="David" w:cs="David"/>
          <w:rtl/>
        </w:rPr>
        <w:t>–</w:t>
      </w:r>
      <w:r>
        <w:rPr>
          <w:rFonts w:ascii="David" w:hAnsi="David" w:cs="David" w:hint="cs"/>
          <w:rtl/>
        </w:rPr>
        <w:t xml:space="preserve"> לתורם האנונימי. </w:t>
      </w:r>
    </w:p>
    <w:p w14:paraId="3E34B13B" w14:textId="77777777" w:rsidR="00A42CCF" w:rsidRDefault="00A42CCF" w:rsidP="00A42CCF">
      <w:pPr>
        <w:bidi/>
        <w:spacing w:after="0" w:line="276" w:lineRule="auto"/>
        <w:jc w:val="both"/>
        <w:rPr>
          <w:rFonts w:ascii="David" w:hAnsi="David" w:cs="David"/>
          <w:rtl/>
        </w:rPr>
      </w:pPr>
    </w:p>
    <w:p w14:paraId="16137E5A" w14:textId="77777777" w:rsidR="009B64D0" w:rsidRPr="00DA54AE" w:rsidRDefault="009B64D0" w:rsidP="009B64D0">
      <w:pPr>
        <w:bidi/>
        <w:spacing w:line="276" w:lineRule="auto"/>
        <w:jc w:val="both"/>
        <w:rPr>
          <w:rFonts w:ascii="David" w:hAnsi="David" w:cs="David"/>
          <w:rtl/>
        </w:rPr>
      </w:pPr>
      <w:r w:rsidRPr="009B64D0">
        <w:rPr>
          <w:rFonts w:ascii="David" w:hAnsi="David" w:cs="David" w:hint="cs"/>
          <w:b/>
          <w:bCs/>
          <w:rtl/>
        </w:rPr>
        <w:t>הקדמה:</w:t>
      </w:r>
      <w:r>
        <w:rPr>
          <w:rFonts w:ascii="David" w:hAnsi="David" w:cs="David" w:hint="cs"/>
        </w:rPr>
        <w:t xml:space="preserve"> </w:t>
      </w:r>
      <w:r>
        <w:rPr>
          <w:rFonts w:ascii="David" w:hAnsi="David" w:cs="David" w:hint="cs"/>
          <w:rtl/>
        </w:rPr>
        <w:t xml:space="preserve">במקרים של חזרת התורם, המקרה היותר נפוץ הוא </w:t>
      </w:r>
      <w:r w:rsidRPr="009B64D0">
        <w:rPr>
          <w:rFonts w:ascii="David" w:hAnsi="David" w:cs="David" w:hint="cs"/>
          <w:b/>
          <w:bCs/>
          <w:rtl/>
        </w:rPr>
        <w:t>2.2.</w:t>
      </w:r>
      <w:r>
        <w:rPr>
          <w:rFonts w:ascii="David" w:hAnsi="David" w:cs="David" w:hint="cs"/>
          <w:rtl/>
        </w:rPr>
        <w:t xml:space="preserve"> המקרה יחסית קל ונראה שאין מקום לתביעה במשפט הפרטי. במקרה </w:t>
      </w:r>
      <w:r w:rsidRPr="009B64D0">
        <w:rPr>
          <w:rFonts w:ascii="David" w:hAnsi="David" w:cs="David" w:hint="cs"/>
          <w:b/>
          <w:bCs/>
          <w:rtl/>
        </w:rPr>
        <w:t>2.1</w:t>
      </w:r>
      <w:r>
        <w:rPr>
          <w:rFonts w:ascii="David" w:hAnsi="David" w:cs="David" w:hint="cs"/>
          <w:rtl/>
        </w:rPr>
        <w:t xml:space="preserve"> יש ייחודיות של רצון לקבלת מטען גנטי זהה לילד נוסף. </w:t>
      </w:r>
      <w:r w:rsidRPr="009B64D0">
        <w:rPr>
          <w:rStyle w:val="Strong"/>
          <w:rFonts w:hint="cs"/>
          <w:rtl/>
        </w:rPr>
        <w:t>השופט עמית</w:t>
      </w:r>
      <w:r>
        <w:rPr>
          <w:rFonts w:ascii="David" w:hAnsi="David" w:cs="David" w:hint="cs"/>
          <w:rtl/>
        </w:rPr>
        <w:t xml:space="preserve"> מביע דעה מחודשת לגבי האפשרות בסחירות בזרע (שהופך את החוזה לחוזה מכר שלכאורה לא מאפשר הפרה), אך לבסוף משיקולים נוספים מצטרף לדעת הרוב. </w:t>
      </w:r>
      <w:r w:rsidRPr="009B64D0">
        <w:rPr>
          <w:rStyle w:val="Strong"/>
          <w:rFonts w:hint="cs"/>
          <w:rtl/>
        </w:rPr>
        <w:t>פורת ושוגרמן</w:t>
      </w:r>
      <w:r>
        <w:rPr>
          <w:rFonts w:ascii="David" w:hAnsi="David" w:cs="David" w:hint="cs"/>
          <w:rtl/>
        </w:rPr>
        <w:t xml:space="preserve"> מיישמים את כלל הביניים שלהם על אותו מקרה של </w:t>
      </w:r>
      <w:r w:rsidRPr="009B64D0">
        <w:rPr>
          <w:rStyle w:val="QuoteChar"/>
          <w:rFonts w:hint="cs"/>
          <w:rtl/>
        </w:rPr>
        <w:t>בג"ץ פלונית</w:t>
      </w:r>
      <w:r>
        <w:rPr>
          <w:rFonts w:ascii="David" w:hAnsi="David" w:cs="David" w:hint="cs"/>
          <w:rtl/>
        </w:rPr>
        <w:t>.</w:t>
      </w:r>
    </w:p>
    <w:p w14:paraId="73F2E95A" w14:textId="04E2EF95" w:rsidR="009B64D0" w:rsidRDefault="009B64D0" w:rsidP="009B64D0">
      <w:pPr>
        <w:bidi/>
        <w:spacing w:after="0" w:line="276" w:lineRule="auto"/>
        <w:jc w:val="both"/>
        <w:rPr>
          <w:rFonts w:ascii="David" w:hAnsi="David" w:cs="David"/>
          <w:rtl/>
        </w:rPr>
      </w:pPr>
    </w:p>
    <w:p w14:paraId="7D44C0A8" w14:textId="016E38EC" w:rsidR="006A4926" w:rsidRDefault="006A4926" w:rsidP="00A42CCF">
      <w:pPr>
        <w:bidi/>
        <w:spacing w:after="0" w:line="276" w:lineRule="auto"/>
        <w:jc w:val="both"/>
        <w:rPr>
          <w:rFonts w:ascii="David" w:hAnsi="David" w:cs="David"/>
          <w:rtl/>
        </w:rPr>
      </w:pPr>
      <w:r>
        <w:rPr>
          <w:rFonts w:ascii="David" w:hAnsi="David" w:cs="David" w:hint="cs"/>
          <w:b/>
          <w:bCs/>
          <w:rtl/>
        </w:rPr>
        <w:t>מקרה 2.1</w:t>
      </w:r>
      <w:r w:rsidR="00A42CCF">
        <w:rPr>
          <w:rFonts w:ascii="David" w:hAnsi="David" w:cs="David" w:hint="cs"/>
          <w:rtl/>
        </w:rPr>
        <w:t xml:space="preserve"> </w:t>
      </w:r>
      <w:r w:rsidR="00F746F0" w:rsidRPr="00A42CCF">
        <w:rPr>
          <w:rStyle w:val="QuoteChar"/>
          <w:rFonts w:hint="cs"/>
          <w:rtl/>
        </w:rPr>
        <w:t>פלונית נ' משרד הבריאות (2013)</w:t>
      </w:r>
      <w:r w:rsidR="00F746F0">
        <w:rPr>
          <w:rFonts w:ascii="David" w:hAnsi="David" w:cs="David" w:hint="cs"/>
          <w:rtl/>
        </w:rPr>
        <w:t xml:space="preserve"> </w:t>
      </w:r>
      <w:r w:rsidR="006B3328">
        <w:rPr>
          <w:rFonts w:ascii="David" w:hAnsi="David" w:cs="David"/>
          <w:rtl/>
        </w:rPr>
        <w:t>–</w:t>
      </w:r>
      <w:r w:rsidR="00A42CCF">
        <w:rPr>
          <w:rFonts w:ascii="David" w:hAnsi="David" w:cs="David" w:hint="cs"/>
          <w:rtl/>
        </w:rPr>
        <w:t xml:space="preserve"> </w:t>
      </w:r>
      <w:r w:rsidR="00AF1058">
        <w:rPr>
          <w:rFonts w:ascii="David" w:hAnsi="David" w:cs="David" w:hint="cs"/>
          <w:rtl/>
        </w:rPr>
        <w:t xml:space="preserve">אישה מעוניינת בזרע ספציפי שכבר הולידה ממנו, כדי שילדיה יהיו אחים </w:t>
      </w:r>
      <w:r w:rsidR="00170178">
        <w:rPr>
          <w:rFonts w:ascii="David" w:hAnsi="David" w:cs="David" w:hint="cs"/>
          <w:rtl/>
        </w:rPr>
        <w:t>ביולוגיים</w:t>
      </w:r>
      <w:r w:rsidR="00AF1058">
        <w:rPr>
          <w:rFonts w:ascii="David" w:hAnsi="David" w:cs="David" w:hint="cs"/>
          <w:rtl/>
        </w:rPr>
        <w:t xml:space="preserve"> לגמרי</w:t>
      </w:r>
      <w:r w:rsidR="00C60AFD">
        <w:rPr>
          <w:rFonts w:ascii="David" w:hAnsi="David" w:cs="David" w:hint="cs"/>
          <w:rtl/>
        </w:rPr>
        <w:t xml:space="preserve">, </w:t>
      </w:r>
      <w:r w:rsidR="00AF1058">
        <w:rPr>
          <w:rFonts w:ascii="David" w:hAnsi="David" w:cs="David" w:hint="cs"/>
          <w:rtl/>
        </w:rPr>
        <w:t>אלא שבינתיים התורם חזר בתשובה ודרש את הפסקת השימוש ב</w:t>
      </w:r>
      <w:r w:rsidR="006111AC">
        <w:rPr>
          <w:rFonts w:ascii="David" w:hAnsi="David" w:cs="David" w:hint="cs"/>
          <w:rtl/>
        </w:rPr>
        <w:t>זרעו. יש לדייק שהזכות שעומדת לאישה</w:t>
      </w:r>
      <w:r w:rsidR="00AF1058">
        <w:rPr>
          <w:rFonts w:ascii="David" w:hAnsi="David" w:cs="David" w:hint="cs"/>
          <w:rtl/>
        </w:rPr>
        <w:t xml:space="preserve"> אינה הזכות להורות, אלא זכות ספציפית יותר לאותו זרע מאותן סיבות שצויינו.</w:t>
      </w:r>
    </w:p>
    <w:p w14:paraId="01B30D5E" w14:textId="7A215B38" w:rsidR="00AF1058" w:rsidRDefault="00C60AFD" w:rsidP="00A42CCF">
      <w:pPr>
        <w:bidi/>
        <w:spacing w:after="0" w:line="276" w:lineRule="auto"/>
        <w:jc w:val="both"/>
        <w:rPr>
          <w:rFonts w:ascii="David" w:hAnsi="David" w:cs="David"/>
          <w:rtl/>
        </w:rPr>
      </w:pPr>
      <w:r w:rsidRPr="00C60AFD">
        <w:rPr>
          <w:rFonts w:ascii="David" w:hAnsi="David" w:cs="David" w:hint="cs"/>
          <w:u w:val="single"/>
          <w:rtl/>
        </w:rPr>
        <w:t>הכרעה:</w:t>
      </w:r>
      <w:r w:rsidR="00AF1058">
        <w:rPr>
          <w:rFonts w:ascii="David" w:hAnsi="David" w:cs="David" w:hint="cs"/>
          <w:rtl/>
        </w:rPr>
        <w:t xml:space="preserve"> ביהמ"ש אפשר לתורם לחזור בו. </w:t>
      </w:r>
    </w:p>
    <w:p w14:paraId="4160F960" w14:textId="4EB54541" w:rsidR="00AF1058" w:rsidRDefault="00AF1058" w:rsidP="00DF69B2">
      <w:pPr>
        <w:pStyle w:val="ListParagraph"/>
        <w:numPr>
          <w:ilvl w:val="0"/>
          <w:numId w:val="14"/>
        </w:numPr>
        <w:bidi/>
        <w:spacing w:after="0" w:line="276" w:lineRule="auto"/>
        <w:jc w:val="both"/>
        <w:rPr>
          <w:rFonts w:ascii="David" w:hAnsi="David" w:cs="David"/>
        </w:rPr>
      </w:pPr>
      <w:r w:rsidRPr="00C60AFD">
        <w:rPr>
          <w:rStyle w:val="Strong"/>
          <w:rFonts w:hint="cs"/>
          <w:rtl/>
        </w:rPr>
        <w:t>רובינשטיין:</w:t>
      </w:r>
      <w:r w:rsidRPr="00AF1058">
        <w:rPr>
          <w:rFonts w:ascii="David" w:hAnsi="David" w:cs="David" w:hint="cs"/>
          <w:rtl/>
        </w:rPr>
        <w:t xml:space="preserve"> בדרך זו הזכות הגוברת באופן פסיבי (</w:t>
      </w:r>
      <w:r w:rsidRPr="006111AC">
        <w:rPr>
          <w:rFonts w:ascii="David" w:hAnsi="David" w:cs="David" w:hint="cs"/>
          <w:u w:val="single"/>
          <w:rtl/>
        </w:rPr>
        <w:t>מניעת שימוש</w:t>
      </w:r>
      <w:r w:rsidRPr="00AF1058">
        <w:rPr>
          <w:rFonts w:ascii="David" w:hAnsi="David" w:cs="David" w:hint="cs"/>
          <w:rtl/>
        </w:rPr>
        <w:t xml:space="preserve"> של האישה), שעדיף על דריסה אקטיבית </w:t>
      </w:r>
      <w:r w:rsidR="006111AC">
        <w:rPr>
          <w:rFonts w:ascii="David" w:hAnsi="David" w:cs="David" w:hint="cs"/>
          <w:rtl/>
        </w:rPr>
        <w:t>של</w:t>
      </w:r>
      <w:r w:rsidRPr="00AF1058">
        <w:rPr>
          <w:rFonts w:ascii="David" w:hAnsi="David" w:cs="David" w:hint="cs"/>
          <w:rtl/>
        </w:rPr>
        <w:t xml:space="preserve"> זכות התורם (</w:t>
      </w:r>
      <w:r w:rsidRPr="006111AC">
        <w:rPr>
          <w:rFonts w:ascii="David" w:hAnsi="David" w:cs="David" w:hint="cs"/>
          <w:u w:val="single"/>
          <w:rtl/>
        </w:rPr>
        <w:t>שימוש אקטיבי</w:t>
      </w:r>
      <w:r w:rsidRPr="00AF1058">
        <w:rPr>
          <w:rFonts w:ascii="David" w:hAnsi="David" w:cs="David" w:hint="cs"/>
          <w:rtl/>
        </w:rPr>
        <w:t xml:space="preserve"> בניגוד לרצונו). מ</w:t>
      </w:r>
      <w:r>
        <w:rPr>
          <w:rFonts w:ascii="David" w:hAnsi="David" w:cs="David" w:hint="cs"/>
          <w:rtl/>
        </w:rPr>
        <w:t>וסיף שהזכות במקרה דנן היא ב</w:t>
      </w:r>
      <w:r w:rsidR="00FE150C">
        <w:rPr>
          <w:rFonts w:ascii="David" w:hAnsi="David" w:cs="David" w:hint="cs"/>
          <w:rtl/>
        </w:rPr>
        <w:t>"</w:t>
      </w:r>
      <w:r>
        <w:rPr>
          <w:rFonts w:ascii="David" w:hAnsi="David" w:cs="David" w:hint="cs"/>
          <w:rtl/>
        </w:rPr>
        <w:t>פריפריה</w:t>
      </w:r>
      <w:r w:rsidR="00FE150C">
        <w:rPr>
          <w:rFonts w:ascii="David" w:hAnsi="David" w:cs="David" w:hint="cs"/>
          <w:rtl/>
        </w:rPr>
        <w:t>"</w:t>
      </w:r>
      <w:r>
        <w:rPr>
          <w:rFonts w:ascii="David" w:hAnsi="David" w:cs="David" w:hint="cs"/>
          <w:rtl/>
        </w:rPr>
        <w:t xml:space="preserve"> של הזכות להורות.</w:t>
      </w:r>
    </w:p>
    <w:p w14:paraId="6EED2196" w14:textId="5C346945" w:rsidR="00AF1058" w:rsidRDefault="005121C4" w:rsidP="00DF69B2">
      <w:pPr>
        <w:pStyle w:val="ListParagraph"/>
        <w:numPr>
          <w:ilvl w:val="0"/>
          <w:numId w:val="14"/>
        </w:numPr>
        <w:bidi/>
        <w:spacing w:after="0" w:line="276" w:lineRule="auto"/>
        <w:jc w:val="both"/>
        <w:rPr>
          <w:rFonts w:ascii="David" w:hAnsi="David" w:cs="David"/>
        </w:rPr>
      </w:pPr>
      <w:r w:rsidRPr="00F126AB">
        <w:rPr>
          <w:rStyle w:val="Strong"/>
          <w:rFonts w:hint="cs"/>
          <w:rtl/>
        </w:rPr>
        <w:t>ברק ארז:</w:t>
      </w:r>
      <w:r>
        <w:rPr>
          <w:rFonts w:ascii="David" w:hAnsi="David" w:cs="David" w:hint="cs"/>
          <w:rtl/>
        </w:rPr>
        <w:t xml:space="preserve"> מדובר </w:t>
      </w:r>
      <w:r w:rsidRPr="005121C4">
        <w:rPr>
          <w:rFonts w:ascii="David" w:hAnsi="David" w:cs="David" w:hint="cs"/>
          <w:b/>
          <w:bCs/>
          <w:rtl/>
        </w:rPr>
        <w:t>בחוזה מתנה</w:t>
      </w:r>
      <w:r>
        <w:rPr>
          <w:rFonts w:ascii="David" w:hAnsi="David" w:cs="David" w:hint="cs"/>
          <w:rtl/>
        </w:rPr>
        <w:t xml:space="preserve"> (התשלום הוא עבור טרחה), ולכן התורם יכול להתחרט.</w:t>
      </w:r>
    </w:p>
    <w:p w14:paraId="65959CA1" w14:textId="72B7E9DB" w:rsidR="005121C4" w:rsidRDefault="005121C4" w:rsidP="00DF69B2">
      <w:pPr>
        <w:pStyle w:val="ListParagraph"/>
        <w:numPr>
          <w:ilvl w:val="0"/>
          <w:numId w:val="14"/>
        </w:numPr>
        <w:bidi/>
        <w:spacing w:after="0" w:line="276" w:lineRule="auto"/>
        <w:jc w:val="both"/>
        <w:rPr>
          <w:rFonts w:ascii="David" w:hAnsi="David" w:cs="David"/>
        </w:rPr>
      </w:pPr>
      <w:r w:rsidRPr="00F126AB">
        <w:rPr>
          <w:rStyle w:val="Strong"/>
          <w:rFonts w:hint="cs"/>
          <w:rtl/>
        </w:rPr>
        <w:t>עמית:</w:t>
      </w:r>
      <w:r>
        <w:rPr>
          <w:rFonts w:ascii="David" w:hAnsi="David" w:cs="David" w:hint="cs"/>
          <w:rtl/>
        </w:rPr>
        <w:t xml:space="preserve"> בשונה מהאחרים, רואה בחוזה </w:t>
      </w:r>
      <w:r>
        <w:rPr>
          <w:rFonts w:ascii="David" w:hAnsi="David" w:cs="David" w:hint="cs"/>
          <w:b/>
          <w:bCs/>
          <w:rtl/>
        </w:rPr>
        <w:t>חוזה מכר</w:t>
      </w:r>
      <w:r>
        <w:rPr>
          <w:rFonts w:ascii="David" w:hAnsi="David" w:cs="David" w:hint="cs"/>
          <w:rtl/>
        </w:rPr>
        <w:t xml:space="preserve"> (חידוש), ולדידו זרע סחיר בשונה מאיברים. עם זאת, ההיבט האזרחי (שמטה לטובת התובעת) אינו חזות הכל, ומצטרף בסופו של דבר לדעת הרוב.</w:t>
      </w:r>
    </w:p>
    <w:p w14:paraId="1F3A1261" w14:textId="77777777" w:rsidR="00F126AB" w:rsidRDefault="00F126AB" w:rsidP="00F126AB">
      <w:pPr>
        <w:pStyle w:val="ListParagraph"/>
        <w:bidi/>
        <w:spacing w:after="0" w:line="276" w:lineRule="auto"/>
        <w:ind w:left="360"/>
        <w:jc w:val="both"/>
        <w:rPr>
          <w:rFonts w:ascii="David" w:hAnsi="David" w:cs="David"/>
        </w:rPr>
      </w:pPr>
    </w:p>
    <w:p w14:paraId="6CC1B3A1" w14:textId="077A98D7" w:rsidR="005121C4" w:rsidRDefault="005121C4" w:rsidP="00A42CCF">
      <w:pPr>
        <w:bidi/>
        <w:spacing w:after="0" w:line="276" w:lineRule="auto"/>
        <w:jc w:val="both"/>
        <w:rPr>
          <w:rFonts w:ascii="David" w:hAnsi="David" w:cs="David"/>
          <w:rtl/>
        </w:rPr>
      </w:pPr>
      <w:r>
        <w:rPr>
          <w:rFonts w:ascii="David" w:hAnsi="David" w:cs="David" w:hint="cs"/>
          <w:rtl/>
        </w:rPr>
        <w:t xml:space="preserve">ניתוח ע"י </w:t>
      </w:r>
      <w:r w:rsidRPr="005C4752">
        <w:rPr>
          <w:rStyle w:val="Strong"/>
          <w:rFonts w:hint="cs"/>
          <w:rtl/>
        </w:rPr>
        <w:t>פורת ושוגרמן:</w:t>
      </w:r>
      <w:r>
        <w:rPr>
          <w:rFonts w:ascii="David" w:hAnsi="David" w:cs="David" w:hint="cs"/>
          <w:rtl/>
        </w:rPr>
        <w:t xml:space="preserve"> מציגים כלל ביניים בין כלל קנייני לאי-עבירות: בעל הזכות רשאי לסחור, אך יכול לחזור בו ללא סנקציה. הדוגמא</w:t>
      </w:r>
      <w:r w:rsidR="00A36954">
        <w:rPr>
          <w:rFonts w:ascii="David" w:hAnsi="David" w:cs="David" w:hint="cs"/>
          <w:rtl/>
        </w:rPr>
        <w:t>ו</w:t>
      </w:r>
      <w:r>
        <w:rPr>
          <w:rFonts w:ascii="David" w:hAnsi="David" w:cs="David" w:hint="cs"/>
          <w:rtl/>
        </w:rPr>
        <w:t>ת הן תרומת כליה, אם פונדקאית, והמקרה הנ"ל. במדינות מסוימות אכן קיימת פרקטיקה כזו.</w:t>
      </w:r>
    </w:p>
    <w:p w14:paraId="3BE1AE69" w14:textId="77777777" w:rsidR="005C4752" w:rsidRDefault="005C4752" w:rsidP="005C4752">
      <w:pPr>
        <w:bidi/>
        <w:spacing w:after="0" w:line="276" w:lineRule="auto"/>
        <w:jc w:val="both"/>
        <w:rPr>
          <w:rFonts w:ascii="David" w:hAnsi="David" w:cs="David"/>
          <w:rtl/>
        </w:rPr>
      </w:pPr>
    </w:p>
    <w:p w14:paraId="5F3B9969" w14:textId="7E9405B5" w:rsidR="005121C4" w:rsidRDefault="005121C4" w:rsidP="005C4752">
      <w:pPr>
        <w:bidi/>
        <w:spacing w:line="276" w:lineRule="auto"/>
        <w:jc w:val="both"/>
        <w:rPr>
          <w:rFonts w:ascii="David" w:hAnsi="David" w:cs="David"/>
          <w:rtl/>
        </w:rPr>
      </w:pPr>
      <w:r>
        <w:rPr>
          <w:rFonts w:ascii="David" w:hAnsi="David" w:cs="David" w:hint="cs"/>
          <w:u w:val="single"/>
          <w:rtl/>
        </w:rPr>
        <w:lastRenderedPageBreak/>
        <w:t>מסקנות לעניין תביעת פיצויים</w:t>
      </w:r>
      <w:r w:rsidR="005C4752">
        <w:rPr>
          <w:rFonts w:ascii="David" w:hAnsi="David" w:cs="David" w:hint="cs"/>
          <w:rtl/>
        </w:rPr>
        <w:t>:</w:t>
      </w:r>
      <w:r w:rsidR="005C4752">
        <w:rPr>
          <w:rFonts w:ascii="David" w:hAnsi="David" w:cs="David" w:hint="cs"/>
        </w:rPr>
        <w:t xml:space="preserve"> </w:t>
      </w:r>
      <w:r>
        <w:rPr>
          <w:rFonts w:ascii="David" w:hAnsi="David" w:cs="David" w:hint="cs"/>
          <w:rtl/>
        </w:rPr>
        <w:t xml:space="preserve">יש מקום לפיצוי לא ממוני, גם אם פחות ממקרים בליבת הזכות להורות, בייחוד עקב דברי </w:t>
      </w:r>
      <w:r w:rsidRPr="008A07DC">
        <w:rPr>
          <w:rStyle w:val="Strong"/>
          <w:rFonts w:hint="cs"/>
          <w:rtl/>
        </w:rPr>
        <w:t>השופט רובינשטיין</w:t>
      </w:r>
      <w:r>
        <w:rPr>
          <w:rFonts w:ascii="David" w:hAnsi="David" w:cs="David" w:hint="cs"/>
          <w:rtl/>
        </w:rPr>
        <w:t xml:space="preserve"> על עוגמת הנפש. עם זאת, ישנה הגנה טובה מפני תביעת פיצוי </w:t>
      </w:r>
      <w:r>
        <w:rPr>
          <w:rFonts w:ascii="David" w:hAnsi="David" w:cs="David"/>
          <w:rtl/>
        </w:rPr>
        <w:t>–</w:t>
      </w:r>
      <w:r>
        <w:rPr>
          <w:rFonts w:ascii="David" w:hAnsi="David" w:cs="David" w:hint="cs"/>
          <w:rtl/>
        </w:rPr>
        <w:t xml:space="preserve"> העמדת חלופה סבירה לאישה</w:t>
      </w:r>
      <w:r w:rsidR="00A36954">
        <w:rPr>
          <w:rFonts w:ascii="David" w:hAnsi="David" w:cs="David" w:hint="cs"/>
          <w:rtl/>
        </w:rPr>
        <w:t>, בדמות</w:t>
      </w:r>
      <w:r>
        <w:rPr>
          <w:rFonts w:ascii="David" w:hAnsi="David" w:cs="David" w:hint="cs"/>
          <w:rtl/>
        </w:rPr>
        <w:t xml:space="preserve"> זרע אחר ללא תשלום.</w:t>
      </w:r>
    </w:p>
    <w:p w14:paraId="34472703" w14:textId="3F30FAF7" w:rsidR="005121C4" w:rsidRDefault="005121C4" w:rsidP="00CC7DF2">
      <w:pPr>
        <w:bidi/>
        <w:spacing w:line="276" w:lineRule="auto"/>
        <w:jc w:val="both"/>
        <w:rPr>
          <w:rFonts w:ascii="David" w:hAnsi="David" w:cs="David"/>
          <w:rtl/>
        </w:rPr>
      </w:pPr>
      <w:r w:rsidRPr="008A07DC">
        <w:rPr>
          <w:rFonts w:ascii="David" w:hAnsi="David" w:cs="David" w:hint="cs"/>
          <w:u w:val="single"/>
          <w:rtl/>
        </w:rPr>
        <w:t>נזיקין או חוזים?</w:t>
      </w:r>
      <w:r>
        <w:rPr>
          <w:rFonts w:ascii="David" w:hAnsi="David" w:cs="David" w:hint="cs"/>
          <w:rtl/>
        </w:rPr>
        <w:t xml:space="preserve"> לכאורה עדיף </w:t>
      </w:r>
      <w:r w:rsidRPr="008A07DC">
        <w:rPr>
          <w:rFonts w:ascii="David" w:hAnsi="David" w:cs="David" w:hint="cs"/>
          <w:b/>
          <w:bCs/>
          <w:rtl/>
        </w:rPr>
        <w:t>נזיקין,</w:t>
      </w:r>
      <w:r>
        <w:rPr>
          <w:rFonts w:ascii="David" w:hAnsi="David" w:cs="David" w:hint="cs"/>
          <w:rtl/>
        </w:rPr>
        <w:t xml:space="preserve"> כי קביעת היחסים ה</w:t>
      </w:r>
      <w:r w:rsidR="00ED7357">
        <w:rPr>
          <w:rFonts w:ascii="David" w:hAnsi="David" w:cs="David" w:hint="cs"/>
          <w:rtl/>
        </w:rPr>
        <w:t>חוזיים מורכבים ושונים בכל מקרה (למרות שבמקרה זה מול הבנק היחסים לא היו של חוזה רופף</w:t>
      </w:r>
      <w:r w:rsidR="008A07DC">
        <w:rPr>
          <w:rFonts w:ascii="David" w:hAnsi="David" w:cs="David" w:hint="cs"/>
          <w:rtl/>
        </w:rPr>
        <w:t>, אלא חוזה של ממש</w:t>
      </w:r>
      <w:r w:rsidR="00ED7357">
        <w:rPr>
          <w:rFonts w:ascii="David" w:hAnsi="David" w:cs="David" w:hint="cs"/>
          <w:rtl/>
        </w:rPr>
        <w:t>). מצד שני, בתביעה נ</w:t>
      </w:r>
      <w:r w:rsidR="00DA7284">
        <w:rPr>
          <w:rFonts w:ascii="David" w:hAnsi="David" w:cs="David" w:hint="cs"/>
          <w:rtl/>
        </w:rPr>
        <w:t>זיקית (ברשלנות) נכנסים שיקולים משלימים</w:t>
      </w:r>
      <w:r w:rsidR="00ED7357">
        <w:rPr>
          <w:rFonts w:ascii="David" w:hAnsi="David" w:cs="David" w:hint="cs"/>
          <w:rtl/>
        </w:rPr>
        <w:t xml:space="preserve"> (אם כי אולי אלה דווקא היו מיטיבים עם התובעת).</w:t>
      </w:r>
    </w:p>
    <w:p w14:paraId="46EFD677" w14:textId="588BEE2D" w:rsidR="00ED7357" w:rsidRDefault="00ED7357" w:rsidP="007C5196">
      <w:pPr>
        <w:bidi/>
        <w:spacing w:after="0" w:line="276" w:lineRule="auto"/>
        <w:jc w:val="both"/>
        <w:rPr>
          <w:rFonts w:ascii="David" w:hAnsi="David" w:cs="David"/>
          <w:rtl/>
        </w:rPr>
      </w:pPr>
      <w:r>
        <w:rPr>
          <w:rFonts w:ascii="David" w:hAnsi="David" w:cs="David" w:hint="cs"/>
          <w:u w:val="single"/>
          <w:rtl/>
        </w:rPr>
        <w:t>שיקולים לתביעה נגד בנק הזרע</w:t>
      </w:r>
    </w:p>
    <w:p w14:paraId="137892E9" w14:textId="1DD45CCF" w:rsidR="00ED7357" w:rsidRPr="00ED7357" w:rsidRDefault="00ED7357" w:rsidP="00DF69B2">
      <w:pPr>
        <w:pStyle w:val="ListParagraph"/>
        <w:numPr>
          <w:ilvl w:val="0"/>
          <w:numId w:val="16"/>
        </w:numPr>
        <w:bidi/>
        <w:spacing w:after="0" w:line="276" w:lineRule="auto"/>
        <w:jc w:val="both"/>
        <w:rPr>
          <w:rFonts w:ascii="David" w:hAnsi="David" w:cs="David"/>
          <w:rtl/>
        </w:rPr>
      </w:pPr>
      <w:r w:rsidRPr="003F2865">
        <w:rPr>
          <w:rFonts w:ascii="David" w:hAnsi="David" w:cs="David" w:hint="cs"/>
          <w:b/>
          <w:bCs/>
          <w:rtl/>
        </w:rPr>
        <w:t>כיס עמוק</w:t>
      </w:r>
      <w:r w:rsidRPr="00ED7357">
        <w:rPr>
          <w:rFonts w:ascii="David" w:hAnsi="David" w:cs="David" w:hint="cs"/>
          <w:rtl/>
        </w:rPr>
        <w:t xml:space="preserve"> (הן הבנק והן המדינה המפקחת), כך גם תימנע כניסה ל</w:t>
      </w:r>
      <w:r w:rsidR="00F36D94">
        <w:rPr>
          <w:rFonts w:ascii="David" w:hAnsi="David" w:cs="David" w:hint="cs"/>
          <w:rtl/>
        </w:rPr>
        <w:t>תחומי ה</w:t>
      </w:r>
      <w:r w:rsidRPr="00ED7357">
        <w:rPr>
          <w:rFonts w:ascii="David" w:hAnsi="David" w:cs="David" w:hint="cs"/>
          <w:rtl/>
        </w:rPr>
        <w:t>משפט הפרטי</w:t>
      </w:r>
      <w:r w:rsidR="001840EA">
        <w:rPr>
          <w:rFonts w:ascii="David" w:hAnsi="David" w:cs="David" w:hint="cs"/>
          <w:rtl/>
        </w:rPr>
        <w:t xml:space="preserve"> (דרך גופים דו מהותיים)</w:t>
      </w:r>
      <w:r w:rsidRPr="00ED7357">
        <w:rPr>
          <w:rFonts w:ascii="David" w:hAnsi="David" w:cs="David" w:hint="cs"/>
          <w:rtl/>
        </w:rPr>
        <w:t xml:space="preserve">. </w:t>
      </w:r>
    </w:p>
    <w:p w14:paraId="6939424A" w14:textId="27F4C8E6" w:rsidR="007C5196" w:rsidRDefault="00ED7357" w:rsidP="00DF69B2">
      <w:pPr>
        <w:pStyle w:val="ListParagraph"/>
        <w:numPr>
          <w:ilvl w:val="0"/>
          <w:numId w:val="16"/>
        </w:numPr>
        <w:bidi/>
        <w:spacing w:after="0" w:line="276" w:lineRule="auto"/>
        <w:jc w:val="both"/>
        <w:rPr>
          <w:rFonts w:ascii="David" w:hAnsi="David" w:cs="David"/>
        </w:rPr>
      </w:pPr>
      <w:r w:rsidRPr="00ED7357">
        <w:rPr>
          <w:rFonts w:ascii="David" w:hAnsi="David" w:cs="David" w:hint="cs"/>
          <w:rtl/>
        </w:rPr>
        <w:t>אפשרות לסדר</w:t>
      </w:r>
      <w:r w:rsidR="001840EA">
        <w:rPr>
          <w:rFonts w:ascii="David" w:hAnsi="David" w:cs="David" w:hint="cs"/>
          <w:rtl/>
        </w:rPr>
        <w:t>,</w:t>
      </w:r>
      <w:r w:rsidRPr="00ED7357">
        <w:rPr>
          <w:rFonts w:ascii="David" w:hAnsi="David" w:cs="David" w:hint="cs"/>
          <w:rtl/>
        </w:rPr>
        <w:t xml:space="preserve"> וחוזים אחידים מתאימים. למעשה הוא </w:t>
      </w:r>
      <w:r w:rsidRPr="003F2865">
        <w:rPr>
          <w:rFonts w:ascii="David" w:hAnsi="David" w:cs="David" w:hint="cs"/>
          <w:b/>
          <w:bCs/>
          <w:rtl/>
        </w:rPr>
        <w:t>מונע הנזק הזול והשוקל הטוב</w:t>
      </w:r>
      <w:r w:rsidRPr="00ED7357">
        <w:rPr>
          <w:rFonts w:ascii="David" w:hAnsi="David" w:cs="David" w:hint="cs"/>
          <w:rtl/>
        </w:rPr>
        <w:t>, בעמדה טובה למנוע נזק</w:t>
      </w:r>
      <w:r w:rsidR="00500618">
        <w:rPr>
          <w:rFonts w:ascii="David" w:hAnsi="David" w:cs="David" w:hint="cs"/>
          <w:rtl/>
        </w:rPr>
        <w:t>.</w:t>
      </w:r>
    </w:p>
    <w:p w14:paraId="6A6E0073" w14:textId="77777777" w:rsidR="004D32C6" w:rsidRDefault="004D32C6" w:rsidP="004D32C6">
      <w:pPr>
        <w:pStyle w:val="ListParagraph"/>
        <w:bidi/>
        <w:spacing w:after="0" w:line="276" w:lineRule="auto"/>
        <w:ind w:left="450"/>
        <w:jc w:val="both"/>
        <w:rPr>
          <w:rFonts w:ascii="David" w:hAnsi="David" w:cs="David"/>
          <w:rtl/>
        </w:rPr>
      </w:pPr>
    </w:p>
    <w:p w14:paraId="364B5501" w14:textId="77777777" w:rsidR="004D32C6" w:rsidRPr="00500618" w:rsidRDefault="004D32C6" w:rsidP="004D32C6">
      <w:pPr>
        <w:pStyle w:val="ListParagraph"/>
        <w:bidi/>
        <w:spacing w:after="0" w:line="276" w:lineRule="auto"/>
        <w:ind w:left="450"/>
        <w:jc w:val="both"/>
        <w:rPr>
          <w:rFonts w:ascii="David" w:hAnsi="David" w:cs="David"/>
        </w:rPr>
      </w:pPr>
    </w:p>
    <w:p w14:paraId="246C787E" w14:textId="5E80CBB6" w:rsidR="003F2865" w:rsidRDefault="003F2865" w:rsidP="00CC7DF2">
      <w:pPr>
        <w:bidi/>
        <w:spacing w:line="276" w:lineRule="auto"/>
        <w:jc w:val="both"/>
        <w:rPr>
          <w:rFonts w:ascii="David" w:hAnsi="David" w:cs="David"/>
          <w:rtl/>
        </w:rPr>
      </w:pPr>
      <w:r>
        <w:rPr>
          <w:rFonts w:ascii="David" w:hAnsi="David" w:cs="David" w:hint="cs"/>
          <w:b/>
          <w:bCs/>
          <w:rtl/>
        </w:rPr>
        <w:t>מקרה 2.2</w:t>
      </w:r>
    </w:p>
    <w:p w14:paraId="0E13E973" w14:textId="0E49E81D" w:rsidR="003F2865" w:rsidRDefault="008E5F97" w:rsidP="00CC7DF2">
      <w:pPr>
        <w:bidi/>
        <w:spacing w:line="276" w:lineRule="auto"/>
        <w:jc w:val="both"/>
        <w:rPr>
          <w:rFonts w:ascii="David" w:hAnsi="David" w:cs="David"/>
          <w:rtl/>
        </w:rPr>
      </w:pPr>
      <w:r>
        <w:rPr>
          <w:rFonts w:ascii="David" w:hAnsi="David" w:cs="David" w:hint="cs"/>
          <w:rtl/>
        </w:rPr>
        <w:t xml:space="preserve">נתרמת בוחרת זרע, ובטרם השימוש התורם חוזר בו (אין פסיקה, אך המקרה על פניו אמור להיות נפוץ יותר). המקרה קל יותר מהקודם, כי אין עניין של אח </w:t>
      </w:r>
      <w:r w:rsidR="001840EA">
        <w:rPr>
          <w:rFonts w:ascii="David" w:hAnsi="David" w:cs="David" w:hint="cs"/>
          <w:rtl/>
        </w:rPr>
        <w:t>ביולוגי</w:t>
      </w:r>
      <w:r>
        <w:rPr>
          <w:rFonts w:ascii="David" w:hAnsi="David" w:cs="David" w:hint="cs"/>
          <w:rtl/>
        </w:rPr>
        <w:t xml:space="preserve">. כל </w:t>
      </w:r>
      <w:r w:rsidRPr="008E5F97">
        <w:rPr>
          <w:rFonts w:ascii="David" w:hAnsi="David" w:cs="David" w:hint="cs"/>
          <w:b/>
          <w:bCs/>
          <w:rtl/>
        </w:rPr>
        <w:t>חלופה</w:t>
      </w:r>
      <w:r>
        <w:rPr>
          <w:rFonts w:ascii="David" w:hAnsi="David" w:cs="David" w:hint="cs"/>
          <w:rtl/>
        </w:rPr>
        <w:t xml:space="preserve"> פשוטה יכולה לאיין תביעה במשפט הפרטי, ולתת את ידו של בעל ההיבט השלילי של הזכות על העליונה. יש מעין יישום של הכלל של פורת ושוגרמן (התורם יכול לחזור בו).</w:t>
      </w:r>
    </w:p>
    <w:p w14:paraId="27567544" w14:textId="4819CE61" w:rsidR="008E5F97" w:rsidRDefault="008E5F97" w:rsidP="00CC7DF2">
      <w:pPr>
        <w:bidi/>
        <w:spacing w:line="276" w:lineRule="auto"/>
        <w:jc w:val="both"/>
        <w:rPr>
          <w:rFonts w:ascii="David" w:hAnsi="David" w:cs="David"/>
          <w:rtl/>
        </w:rPr>
      </w:pPr>
      <w:r>
        <w:rPr>
          <w:rFonts w:ascii="David" w:hAnsi="David" w:cs="David" w:hint="cs"/>
          <w:rtl/>
        </w:rPr>
        <w:t>ניתן להשוות (בזהירות) לחוזים מסחריים: הזמנת מוצר שלאחר מכן אוזל מהמלאי. בהינתן חלופות (החזר, זיכוי ועוד), אין עילה לתביעה. כמובן שיש שוני בין המקרים, אך בהינתן בדמיון משותף (קיום חלופות, היעדר 'אל חזור', ונזק לא משמעותי), ניתן להסיק מההשוואה שלא יהיה מקום לתביעה.</w:t>
      </w:r>
    </w:p>
    <w:p w14:paraId="210F3914" w14:textId="645EC2F7" w:rsidR="008E5F97" w:rsidRDefault="008E5F97" w:rsidP="00CC7DF2">
      <w:pPr>
        <w:bidi/>
        <w:spacing w:line="276" w:lineRule="auto"/>
        <w:jc w:val="both"/>
        <w:rPr>
          <w:rFonts w:ascii="David" w:hAnsi="David" w:cs="David"/>
          <w:rtl/>
        </w:rPr>
      </w:pPr>
      <w:r>
        <w:rPr>
          <w:rFonts w:ascii="David" w:hAnsi="David" w:cs="David" w:hint="cs"/>
          <w:rtl/>
        </w:rPr>
        <w:t>טענות בעד קבלת התביעה ופסיקת פיצויים סמליים, צריכות לקחת בחשבון שיקולים משלימים כגון מדרון חלקלק והצפת בימ"ש.</w:t>
      </w:r>
    </w:p>
    <w:p w14:paraId="226A74DE" w14:textId="2F0C8BE2" w:rsidR="00DA54AE" w:rsidRPr="00DA54AE" w:rsidRDefault="00DA54AE" w:rsidP="00CC7DF2">
      <w:pPr>
        <w:bidi/>
        <w:spacing w:line="276" w:lineRule="auto"/>
        <w:jc w:val="both"/>
        <w:rPr>
          <w:rFonts w:ascii="David" w:hAnsi="David" w:cs="David"/>
          <w:rtl/>
        </w:rPr>
      </w:pPr>
    </w:p>
    <w:p w14:paraId="0034AA88" w14:textId="3B3E63D7" w:rsidR="008E5F97" w:rsidRPr="008E5F97" w:rsidRDefault="008E5F97" w:rsidP="004D32C6">
      <w:pPr>
        <w:bidi/>
        <w:spacing w:after="0" w:line="276" w:lineRule="auto"/>
        <w:jc w:val="both"/>
        <w:rPr>
          <w:rFonts w:ascii="David" w:hAnsi="David" w:cs="David"/>
          <w:b/>
          <w:bCs/>
          <w:rtl/>
        </w:rPr>
      </w:pPr>
      <w:r w:rsidRPr="008E5F97">
        <w:rPr>
          <w:rFonts w:ascii="David" w:hAnsi="David" w:cs="David" w:hint="cs"/>
          <w:b/>
          <w:bCs/>
          <w:rtl/>
        </w:rPr>
        <w:t>סיכום ביניים</w:t>
      </w:r>
      <w:r w:rsidR="00357C9F">
        <w:rPr>
          <w:rFonts w:ascii="David" w:hAnsi="David" w:cs="David" w:hint="cs"/>
          <w:b/>
          <w:bCs/>
          <w:rtl/>
        </w:rPr>
        <w:t xml:space="preserve"> כולל</w:t>
      </w:r>
    </w:p>
    <w:p w14:paraId="02AFF5F5" w14:textId="781B403A" w:rsidR="00ED7357" w:rsidRDefault="007A0603" w:rsidP="004D32C6">
      <w:pPr>
        <w:bidi/>
        <w:spacing w:after="0" w:line="276" w:lineRule="auto"/>
        <w:jc w:val="both"/>
        <w:rPr>
          <w:rFonts w:ascii="David" w:hAnsi="David" w:cs="David"/>
          <w:rtl/>
        </w:rPr>
      </w:pPr>
      <w:r>
        <w:rPr>
          <w:rFonts w:ascii="David" w:hAnsi="David" w:cs="David" w:hint="cs"/>
          <w:rtl/>
        </w:rPr>
        <w:t>ביהמ"ש לא מאשר סעד של אכיפה אלא במקרי קיצון (</w:t>
      </w:r>
      <w:r w:rsidRPr="00DC6ECD">
        <w:rPr>
          <w:rStyle w:val="QuoteChar"/>
          <w:rFonts w:hint="cs"/>
          <w:rtl/>
        </w:rPr>
        <w:t>נחמני</w:t>
      </w:r>
      <w:r w:rsidR="00CE3F24">
        <w:rPr>
          <w:rFonts w:ascii="David" w:hAnsi="David" w:cs="David" w:hint="cs"/>
          <w:rtl/>
        </w:rPr>
        <w:t>), מפני שמדובר בחוזה ורופף ומקרה שאינו מתאים לאכיפה. תחת זאת יש לבחון את מקומו של כלל 2 ומעבר לפיצוי חוזי או נזיקי. מסגרת תיאורטית לדיון היא העמדת הזכות החיובית מול השלילית להורות.</w:t>
      </w:r>
    </w:p>
    <w:p w14:paraId="487BF6E4" w14:textId="52917519" w:rsidR="00CE3F24" w:rsidRDefault="00CE3F24" w:rsidP="00DC6ECD">
      <w:pPr>
        <w:bidi/>
        <w:spacing w:after="0" w:line="276" w:lineRule="auto"/>
        <w:jc w:val="both"/>
        <w:rPr>
          <w:rFonts w:ascii="David" w:hAnsi="David" w:cs="David"/>
          <w:rtl/>
        </w:rPr>
      </w:pPr>
      <w:r w:rsidRPr="00DC6ECD">
        <w:rPr>
          <w:rStyle w:val="QuoteChar"/>
          <w:rFonts w:hint="cs"/>
          <w:rtl/>
        </w:rPr>
        <w:t>נחמני</w:t>
      </w:r>
      <w:r>
        <w:rPr>
          <w:rFonts w:ascii="David" w:hAnsi="David" w:cs="David" w:hint="cs"/>
          <w:b/>
          <w:bCs/>
          <w:rtl/>
        </w:rPr>
        <w:t xml:space="preserve"> </w:t>
      </w:r>
      <w:r>
        <w:rPr>
          <w:rFonts w:ascii="David" w:hAnsi="David" w:cs="David" w:hint="cs"/>
          <w:rtl/>
        </w:rPr>
        <w:t>הוא ה'מגדלור'. בעקבותיו ניתן להציע מדרג בסדר יורד של חומרה לגבי סיכויי תביעת פיצויים:</w:t>
      </w:r>
    </w:p>
    <w:p w14:paraId="31462FBA" w14:textId="4C96A989" w:rsidR="00CE3F24" w:rsidRDefault="00CE3F24" w:rsidP="00DF69B2">
      <w:pPr>
        <w:pStyle w:val="ListParagraph"/>
        <w:numPr>
          <w:ilvl w:val="0"/>
          <w:numId w:val="16"/>
        </w:numPr>
        <w:bidi/>
        <w:spacing w:after="0" w:line="276" w:lineRule="auto"/>
        <w:jc w:val="both"/>
        <w:rPr>
          <w:rFonts w:ascii="David" w:hAnsi="David" w:cs="David"/>
        </w:rPr>
      </w:pPr>
      <w:r>
        <w:rPr>
          <w:rFonts w:ascii="David" w:hAnsi="David" w:cs="David" w:hint="cs"/>
          <w:rtl/>
        </w:rPr>
        <w:t>חזרה מהסכמה בנקודת 'אל חזור'.</w:t>
      </w:r>
    </w:p>
    <w:p w14:paraId="544665A6" w14:textId="4AF2D9F1" w:rsidR="00CE3F24" w:rsidRDefault="00CE3F24" w:rsidP="00DF69B2">
      <w:pPr>
        <w:pStyle w:val="ListParagraph"/>
        <w:numPr>
          <w:ilvl w:val="0"/>
          <w:numId w:val="16"/>
        </w:numPr>
        <w:bidi/>
        <w:spacing w:after="0" w:line="276" w:lineRule="auto"/>
        <w:jc w:val="both"/>
        <w:rPr>
          <w:rFonts w:ascii="David" w:hAnsi="David" w:cs="David"/>
        </w:rPr>
      </w:pPr>
      <w:r>
        <w:rPr>
          <w:rFonts w:ascii="David" w:hAnsi="David" w:cs="David" w:hint="cs"/>
          <w:rtl/>
        </w:rPr>
        <w:t>חזרה מהסכמה של תורם שנעשה בו שימוש, ויש רצון למטען גנטי זהה לאחים.</w:t>
      </w:r>
    </w:p>
    <w:p w14:paraId="619FBEFA" w14:textId="3C0E3153" w:rsidR="00CE3F24" w:rsidRDefault="00CE3F24" w:rsidP="00DF69B2">
      <w:pPr>
        <w:pStyle w:val="ListParagraph"/>
        <w:numPr>
          <w:ilvl w:val="0"/>
          <w:numId w:val="16"/>
        </w:numPr>
        <w:bidi/>
        <w:spacing w:after="0" w:line="276" w:lineRule="auto"/>
        <w:jc w:val="both"/>
        <w:rPr>
          <w:rFonts w:ascii="David" w:hAnsi="David" w:cs="David"/>
        </w:rPr>
      </w:pPr>
      <w:r>
        <w:rPr>
          <w:rFonts w:ascii="David" w:hAnsi="David" w:cs="David" w:hint="cs"/>
          <w:rtl/>
        </w:rPr>
        <w:t>חזרה מהסכמה של תורם טרם שימוש בזרע.</w:t>
      </w:r>
    </w:p>
    <w:p w14:paraId="1C7A3762" w14:textId="77777777" w:rsidR="00DC6ECD" w:rsidRPr="00DC6ECD" w:rsidRDefault="00DC6ECD" w:rsidP="00DC6ECD">
      <w:pPr>
        <w:bidi/>
        <w:spacing w:after="0" w:line="276" w:lineRule="auto"/>
        <w:ind w:left="90"/>
        <w:jc w:val="both"/>
        <w:rPr>
          <w:rFonts w:ascii="David" w:hAnsi="David" w:cs="David"/>
        </w:rPr>
      </w:pPr>
    </w:p>
    <w:p w14:paraId="07870876" w14:textId="2FBAFE5F" w:rsidR="00CE3F24" w:rsidRPr="00DC6ECD" w:rsidRDefault="00CE3F24" w:rsidP="00CC7DF2">
      <w:pPr>
        <w:bidi/>
        <w:spacing w:line="276" w:lineRule="auto"/>
        <w:jc w:val="both"/>
        <w:rPr>
          <w:rFonts w:ascii="David" w:hAnsi="David" w:cs="David"/>
          <w:u w:val="single"/>
          <w:rtl/>
        </w:rPr>
      </w:pPr>
      <w:r w:rsidRPr="00DC6ECD">
        <w:rPr>
          <w:rFonts w:ascii="David" w:hAnsi="David" w:cs="David" w:hint="cs"/>
          <w:b/>
          <w:bCs/>
          <w:u w:val="single"/>
          <w:rtl/>
        </w:rPr>
        <w:t>הצעות לדין ראוי במקרי הבוחן</w:t>
      </w:r>
    </w:p>
    <w:p w14:paraId="6DCFD14E" w14:textId="368ED416" w:rsidR="00127D08" w:rsidRPr="00127D08" w:rsidRDefault="00CE3F24" w:rsidP="00DF69B2">
      <w:pPr>
        <w:pStyle w:val="ListParagraph"/>
        <w:numPr>
          <w:ilvl w:val="0"/>
          <w:numId w:val="17"/>
        </w:numPr>
        <w:bidi/>
        <w:spacing w:before="240" w:after="0" w:line="276" w:lineRule="auto"/>
        <w:jc w:val="both"/>
        <w:rPr>
          <w:rFonts w:ascii="David" w:hAnsi="David" w:cs="David"/>
          <w:u w:val="single"/>
        </w:rPr>
      </w:pPr>
      <w:r w:rsidRPr="00BF4332">
        <w:rPr>
          <w:rFonts w:ascii="David" w:hAnsi="David" w:cs="David" w:hint="cs"/>
          <w:u w:val="single"/>
          <w:rtl/>
        </w:rPr>
        <w:t xml:space="preserve">תביעה חוזית/נזיקית נגד התורם, בן/בת הזוג או הבנק </w:t>
      </w:r>
      <w:r w:rsidR="0008057F">
        <w:rPr>
          <w:rFonts w:ascii="David" w:hAnsi="David" w:cs="David" w:hint="cs"/>
          <w:u w:val="single"/>
          <w:rtl/>
        </w:rPr>
        <w:t>כ</w:t>
      </w:r>
      <w:r w:rsidRPr="00BF4332">
        <w:rPr>
          <w:rFonts w:ascii="David" w:hAnsi="David" w:cs="David" w:hint="cs"/>
          <w:u w:val="single"/>
          <w:rtl/>
        </w:rPr>
        <w:t>שאין אפשרות לאכיפה</w:t>
      </w:r>
    </w:p>
    <w:p w14:paraId="7F5F8F73" w14:textId="44E4E26B" w:rsidR="00931982" w:rsidRDefault="00CE3F24" w:rsidP="00127D08">
      <w:pPr>
        <w:pStyle w:val="ListParagraph"/>
        <w:bidi/>
        <w:spacing w:before="240" w:after="0" w:line="276" w:lineRule="auto"/>
        <w:ind w:left="360"/>
        <w:jc w:val="both"/>
        <w:rPr>
          <w:rFonts w:ascii="David" w:hAnsi="David" w:cs="David"/>
          <w:rtl/>
        </w:rPr>
      </w:pPr>
      <w:r w:rsidRPr="00931982">
        <w:rPr>
          <w:rFonts w:ascii="David" w:hAnsi="David" w:cs="David" w:hint="cs"/>
          <w:rtl/>
        </w:rPr>
        <w:t xml:space="preserve">רוח כלל 2 של </w:t>
      </w:r>
      <w:r w:rsidRPr="00840847">
        <w:rPr>
          <w:rStyle w:val="Strong"/>
          <w:rFonts w:hint="cs"/>
          <w:rtl/>
        </w:rPr>
        <w:t>קלברזי ומלמד</w:t>
      </w:r>
      <w:r w:rsidRPr="00931982">
        <w:rPr>
          <w:rFonts w:ascii="David" w:hAnsi="David" w:cs="David" w:hint="cs"/>
          <w:rtl/>
        </w:rPr>
        <w:t xml:space="preserve">. לא תינתן אכיפה בהתאם </w:t>
      </w:r>
      <w:r w:rsidRPr="00840847">
        <w:rPr>
          <w:rStyle w:val="SubtleReference"/>
          <w:rFonts w:hint="cs"/>
          <w:rtl/>
        </w:rPr>
        <w:t>לס' 3 לחוה"ז</w:t>
      </w:r>
      <w:r w:rsidRPr="00931982">
        <w:rPr>
          <w:rFonts w:ascii="David" w:hAnsi="David" w:cs="David" w:hint="cs"/>
          <w:rtl/>
        </w:rPr>
        <w:t xml:space="preserve"> שמונע אכיפה בשירות אישי ו</w:t>
      </w:r>
      <w:r w:rsidR="0008057F" w:rsidRPr="00931982">
        <w:rPr>
          <w:rFonts w:ascii="David" w:hAnsi="David" w:cs="David" w:hint="cs"/>
          <w:rtl/>
        </w:rPr>
        <w:t>ב</w:t>
      </w:r>
      <w:r w:rsidRPr="00931982">
        <w:rPr>
          <w:rFonts w:ascii="David" w:hAnsi="David" w:cs="David" w:hint="cs"/>
          <w:rtl/>
        </w:rPr>
        <w:t xml:space="preserve">עוד מצבים. אך אין משמעות הדבר שלא ניתן לתבוע </w:t>
      </w:r>
      <w:r w:rsidRPr="00931982">
        <w:rPr>
          <w:rFonts w:ascii="David" w:hAnsi="David" w:cs="David"/>
          <w:rtl/>
        </w:rPr>
        <w:t>–</w:t>
      </w:r>
      <w:r w:rsidRPr="00931982">
        <w:rPr>
          <w:rFonts w:ascii="David" w:hAnsi="David" w:cs="David" w:hint="cs"/>
          <w:rtl/>
        </w:rPr>
        <w:t xml:space="preserve"> אדרבה, זהו במיוחד המקום לפיצויים. למעשה, הנתבע קונה את אפשרותו הקניינית לחזור בו מהסכמה. לגבי </w:t>
      </w:r>
      <w:r w:rsidRPr="00931982">
        <w:rPr>
          <w:rFonts w:ascii="David" w:hAnsi="David" w:cs="David" w:hint="cs"/>
          <w:u w:val="single"/>
          <w:rtl/>
        </w:rPr>
        <w:t>שיעור</w:t>
      </w:r>
      <w:r w:rsidRPr="00931982">
        <w:rPr>
          <w:rFonts w:ascii="David" w:hAnsi="David" w:cs="David" w:hint="cs"/>
          <w:rtl/>
        </w:rPr>
        <w:t xml:space="preserve"> הפיצוי, שאר השיקולים שהועלו (כובד הזכות השלילית והחיובית) יהוו פרמטרים.</w:t>
      </w:r>
    </w:p>
    <w:p w14:paraId="45B87FAF" w14:textId="77777777" w:rsidR="00931982" w:rsidRDefault="00CE3F24" w:rsidP="00931982">
      <w:pPr>
        <w:pStyle w:val="ListParagraph"/>
        <w:bidi/>
        <w:spacing w:after="0" w:line="276" w:lineRule="auto"/>
        <w:ind w:left="360"/>
        <w:jc w:val="both"/>
        <w:rPr>
          <w:rFonts w:ascii="David" w:hAnsi="David" w:cs="David"/>
          <w:rtl/>
        </w:rPr>
      </w:pPr>
      <w:r>
        <w:rPr>
          <w:rFonts w:ascii="David" w:hAnsi="David" w:cs="David" w:hint="cs"/>
          <w:u w:val="single"/>
          <w:rtl/>
        </w:rPr>
        <w:t>ביקורת</w:t>
      </w:r>
      <w:r>
        <w:rPr>
          <w:rFonts w:ascii="David" w:hAnsi="David" w:cs="David" w:hint="cs"/>
          <w:rtl/>
        </w:rPr>
        <w:t xml:space="preserve">: תורמים לא ירצו לתרום אם ידעו שחזרה כרוכה בפיצוי. </w:t>
      </w:r>
    </w:p>
    <w:p w14:paraId="15EC6DDA" w14:textId="5EA6F2AB" w:rsidR="00CE3F24" w:rsidRPr="00931982" w:rsidRDefault="00CE3F24" w:rsidP="00931982">
      <w:pPr>
        <w:pStyle w:val="ListParagraph"/>
        <w:bidi/>
        <w:spacing w:after="0" w:line="276" w:lineRule="auto"/>
        <w:ind w:left="360"/>
        <w:jc w:val="both"/>
        <w:rPr>
          <w:rFonts w:ascii="David" w:hAnsi="David" w:cs="David"/>
          <w:u w:val="single"/>
          <w:rtl/>
        </w:rPr>
      </w:pPr>
      <w:r>
        <w:rPr>
          <w:rFonts w:ascii="David" w:hAnsi="David" w:cs="David" w:hint="cs"/>
          <w:u w:val="single"/>
          <w:rtl/>
        </w:rPr>
        <w:t>מענה</w:t>
      </w:r>
      <w:r>
        <w:rPr>
          <w:rFonts w:ascii="David" w:hAnsi="David" w:cs="David" w:hint="cs"/>
          <w:rtl/>
        </w:rPr>
        <w:t xml:space="preserve">: </w:t>
      </w:r>
    </w:p>
    <w:p w14:paraId="38088D23" w14:textId="5553AFCB" w:rsidR="00CE3F24" w:rsidRDefault="00CE3F24" w:rsidP="00DF69B2">
      <w:pPr>
        <w:pStyle w:val="ListParagraph"/>
        <w:numPr>
          <w:ilvl w:val="0"/>
          <w:numId w:val="18"/>
        </w:numPr>
        <w:bidi/>
        <w:spacing w:after="0" w:line="276" w:lineRule="auto"/>
        <w:jc w:val="both"/>
        <w:rPr>
          <w:rFonts w:ascii="David" w:hAnsi="David" w:cs="David"/>
        </w:rPr>
      </w:pPr>
      <w:r>
        <w:rPr>
          <w:rFonts w:ascii="David" w:hAnsi="David" w:cs="David" w:hint="cs"/>
          <w:rtl/>
        </w:rPr>
        <w:t xml:space="preserve">התרומה אנונימית, ולכן הדרך היחידה שהתורם ייכנס </w:t>
      </w:r>
      <w:r w:rsidR="0008057F">
        <w:rPr>
          <w:rFonts w:ascii="David" w:hAnsi="David" w:cs="David" w:hint="cs"/>
          <w:rtl/>
        </w:rPr>
        <w:t>לתביעה</w:t>
      </w:r>
      <w:r>
        <w:rPr>
          <w:rFonts w:ascii="David" w:hAnsi="David" w:cs="David" w:hint="cs"/>
          <w:rtl/>
        </w:rPr>
        <w:t xml:space="preserve"> הוא דרך הודעת צד ג' שיקבל מהבנק. אך הבנק לא ירצה</w:t>
      </w:r>
      <w:r w:rsidR="0008057F">
        <w:rPr>
          <w:rFonts w:ascii="David" w:hAnsi="David" w:cs="David" w:hint="cs"/>
          <w:rtl/>
        </w:rPr>
        <w:t xml:space="preserve"> לעשות זאת כיוון שבטווח הארוך זה</w:t>
      </w:r>
      <w:r>
        <w:rPr>
          <w:rFonts w:ascii="David" w:hAnsi="David" w:cs="David" w:hint="cs"/>
          <w:rtl/>
        </w:rPr>
        <w:t xml:space="preserve"> ידכא תרומות</w:t>
      </w:r>
      <w:r w:rsidR="00D806A4">
        <w:rPr>
          <w:rFonts w:ascii="David" w:hAnsi="David" w:cs="David" w:hint="cs"/>
          <w:rtl/>
        </w:rPr>
        <w:t xml:space="preserve"> </w:t>
      </w:r>
      <w:r w:rsidR="00D806A4">
        <w:rPr>
          <w:rFonts w:ascii="David" w:hAnsi="David" w:cs="David"/>
          <w:rtl/>
        </w:rPr>
        <w:t>–</w:t>
      </w:r>
      <w:r w:rsidR="00D806A4">
        <w:rPr>
          <w:rFonts w:ascii="David" w:hAnsi="David" w:cs="David" w:hint="cs"/>
          <w:rtl/>
        </w:rPr>
        <w:t xml:space="preserve"> "אפקט צינון"</w:t>
      </w:r>
      <w:r>
        <w:rPr>
          <w:rFonts w:ascii="David" w:hAnsi="David" w:cs="David" w:hint="cs"/>
          <w:rtl/>
        </w:rPr>
        <w:t>. בנוסף הוא בטח מבוטח ויוכל לשאת בתשלום.</w:t>
      </w:r>
    </w:p>
    <w:p w14:paraId="5BF97F0D" w14:textId="34184B08" w:rsidR="00CE3F24" w:rsidRDefault="00CE3F24" w:rsidP="00DF69B2">
      <w:pPr>
        <w:pStyle w:val="ListParagraph"/>
        <w:numPr>
          <w:ilvl w:val="0"/>
          <w:numId w:val="18"/>
        </w:numPr>
        <w:bidi/>
        <w:spacing w:after="0" w:line="276" w:lineRule="auto"/>
        <w:jc w:val="both"/>
        <w:rPr>
          <w:rFonts w:ascii="David" w:hAnsi="David" w:cs="David"/>
        </w:rPr>
      </w:pPr>
      <w:r>
        <w:rPr>
          <w:rFonts w:ascii="David" w:hAnsi="David" w:cs="David" w:hint="cs"/>
          <w:rtl/>
        </w:rPr>
        <w:t>המקרים האלו אינם נפוצים.</w:t>
      </w:r>
    </w:p>
    <w:p w14:paraId="23033305" w14:textId="53B390E9" w:rsidR="00CE3F24" w:rsidRDefault="00201F51" w:rsidP="00DF69B2">
      <w:pPr>
        <w:pStyle w:val="ListParagraph"/>
        <w:numPr>
          <w:ilvl w:val="0"/>
          <w:numId w:val="18"/>
        </w:numPr>
        <w:bidi/>
        <w:spacing w:after="0" w:line="276" w:lineRule="auto"/>
        <w:jc w:val="both"/>
        <w:rPr>
          <w:rFonts w:ascii="David" w:hAnsi="David" w:cs="David"/>
        </w:rPr>
      </w:pPr>
      <w:r>
        <w:rPr>
          <w:rFonts w:ascii="David" w:hAnsi="David" w:cs="David" w:hint="cs"/>
          <w:rtl/>
        </w:rPr>
        <w:t xml:space="preserve">סייגים/הגבלות: </w:t>
      </w:r>
      <w:r w:rsidR="00CE3F24">
        <w:rPr>
          <w:rFonts w:ascii="David" w:hAnsi="David" w:cs="David" w:hint="cs"/>
          <w:rtl/>
        </w:rPr>
        <w:t xml:space="preserve">שיקולי מדיניות משפטית בעוולות המסגרת </w:t>
      </w:r>
      <w:r>
        <w:rPr>
          <w:rFonts w:ascii="David" w:hAnsi="David" w:cs="David" w:hint="cs"/>
          <w:rtl/>
        </w:rPr>
        <w:t>ושיקול דעת לגבי נזק רגשי בחוזים.</w:t>
      </w:r>
    </w:p>
    <w:p w14:paraId="2A6E5988" w14:textId="77777777" w:rsidR="00BF4332" w:rsidRDefault="00BF4332" w:rsidP="00840847">
      <w:pPr>
        <w:pStyle w:val="ListParagraph"/>
        <w:bidi/>
        <w:spacing w:after="0" w:line="276" w:lineRule="auto"/>
        <w:ind w:left="990"/>
        <w:jc w:val="both"/>
        <w:rPr>
          <w:rFonts w:ascii="David" w:hAnsi="David" w:cs="David"/>
          <w:rtl/>
        </w:rPr>
      </w:pPr>
    </w:p>
    <w:p w14:paraId="74FF953F" w14:textId="77777777" w:rsidR="00127D08" w:rsidRDefault="00127D08" w:rsidP="00127D08">
      <w:pPr>
        <w:pStyle w:val="ListParagraph"/>
        <w:bidi/>
        <w:spacing w:after="0" w:line="276" w:lineRule="auto"/>
        <w:ind w:left="990"/>
        <w:jc w:val="both"/>
        <w:rPr>
          <w:rFonts w:ascii="David" w:hAnsi="David" w:cs="David"/>
          <w:rtl/>
        </w:rPr>
      </w:pPr>
    </w:p>
    <w:p w14:paraId="7F655134" w14:textId="77777777" w:rsidR="00127D08" w:rsidRDefault="00127D08" w:rsidP="00127D08">
      <w:pPr>
        <w:pStyle w:val="ListParagraph"/>
        <w:bidi/>
        <w:spacing w:after="0" w:line="276" w:lineRule="auto"/>
        <w:ind w:left="990"/>
        <w:jc w:val="both"/>
        <w:rPr>
          <w:rFonts w:ascii="David" w:hAnsi="David" w:cs="David"/>
          <w:rtl/>
        </w:rPr>
      </w:pPr>
    </w:p>
    <w:p w14:paraId="48A6F339" w14:textId="77777777" w:rsidR="00127D08" w:rsidRDefault="00127D08" w:rsidP="00127D08">
      <w:pPr>
        <w:pStyle w:val="ListParagraph"/>
        <w:bidi/>
        <w:spacing w:after="0" w:line="276" w:lineRule="auto"/>
        <w:ind w:left="990"/>
        <w:jc w:val="both"/>
        <w:rPr>
          <w:rFonts w:ascii="David" w:hAnsi="David" w:cs="David"/>
          <w:rtl/>
        </w:rPr>
      </w:pPr>
    </w:p>
    <w:p w14:paraId="39715D91" w14:textId="77777777" w:rsidR="00127D08" w:rsidRDefault="00127D08" w:rsidP="00127D08">
      <w:pPr>
        <w:pStyle w:val="ListParagraph"/>
        <w:bidi/>
        <w:spacing w:after="0" w:line="276" w:lineRule="auto"/>
        <w:ind w:left="990"/>
        <w:jc w:val="both"/>
        <w:rPr>
          <w:rFonts w:ascii="David" w:hAnsi="David" w:cs="David"/>
        </w:rPr>
      </w:pPr>
    </w:p>
    <w:p w14:paraId="57A1E731" w14:textId="72F2F81A" w:rsidR="00CE3F24" w:rsidRPr="00BF4332" w:rsidRDefault="00BF4332" w:rsidP="00DF69B2">
      <w:pPr>
        <w:pStyle w:val="ListParagraph"/>
        <w:numPr>
          <w:ilvl w:val="0"/>
          <w:numId w:val="17"/>
        </w:numPr>
        <w:bidi/>
        <w:spacing w:after="0" w:line="276" w:lineRule="auto"/>
        <w:jc w:val="both"/>
        <w:rPr>
          <w:rFonts w:ascii="David" w:hAnsi="David" w:cs="David"/>
          <w:u w:val="single"/>
        </w:rPr>
      </w:pPr>
      <w:r w:rsidRPr="00BF4332">
        <w:rPr>
          <w:rFonts w:ascii="David" w:hAnsi="David" w:cs="David" w:hint="cs"/>
          <w:u w:val="single"/>
          <w:rtl/>
        </w:rPr>
        <w:t>פירוד כסיכול ההסכמה להביא ילדים לעולם (תנאי מכללא)</w:t>
      </w:r>
    </w:p>
    <w:p w14:paraId="6E2504FD" w14:textId="32FCBE66" w:rsidR="00BF4332" w:rsidRDefault="00BF4332" w:rsidP="00840847">
      <w:pPr>
        <w:bidi/>
        <w:spacing w:after="0" w:line="276" w:lineRule="auto"/>
        <w:jc w:val="both"/>
        <w:rPr>
          <w:rFonts w:ascii="David" w:hAnsi="David" w:cs="David"/>
          <w:b/>
          <w:rtl/>
        </w:rPr>
      </w:pPr>
      <w:r>
        <w:rPr>
          <w:rFonts w:ascii="David" w:hAnsi="David" w:cs="David" w:hint="cs"/>
          <w:rtl/>
        </w:rPr>
        <w:t xml:space="preserve">בהמשך לפס"ד </w:t>
      </w:r>
      <w:r w:rsidRPr="00127D08">
        <w:rPr>
          <w:rStyle w:val="QuoteChar"/>
          <w:rFonts w:hint="cs"/>
          <w:rtl/>
        </w:rPr>
        <w:t>ר' ש' פ' נ' א' י' ז</w:t>
      </w:r>
      <w:r w:rsidRPr="00BF4332">
        <w:rPr>
          <w:rFonts w:ascii="David" w:hAnsi="David" w:cs="David" w:hint="cs"/>
          <w:b/>
          <w:rtl/>
        </w:rPr>
        <w:t>:</w:t>
      </w:r>
      <w:r>
        <w:rPr>
          <w:rFonts w:ascii="David" w:hAnsi="David" w:cs="David" w:hint="cs"/>
          <w:b/>
          <w:rtl/>
        </w:rPr>
        <w:t xml:space="preserve"> יש לבחון א</w:t>
      </w:r>
      <w:r w:rsidR="003B788A">
        <w:rPr>
          <w:rFonts w:ascii="David" w:hAnsi="David" w:cs="David" w:hint="cs"/>
          <w:b/>
          <w:rtl/>
        </w:rPr>
        <w:t>ם</w:t>
      </w:r>
      <w:r>
        <w:rPr>
          <w:rFonts w:ascii="David" w:hAnsi="David" w:cs="David" w:hint="cs"/>
          <w:b/>
          <w:rtl/>
        </w:rPr>
        <w:t xml:space="preserve"> יש הסכמה משתמעת להביא ילדים לעולם גם בפירוד. הדיון לא נערך בכל המקרים. ניתן להציע ברירת מחדל שכל עוד לא נאמר אחרת </w:t>
      </w:r>
      <w:r>
        <w:rPr>
          <w:rFonts w:ascii="David" w:hAnsi="David" w:cs="David"/>
          <w:b/>
          <w:rtl/>
        </w:rPr>
        <w:t>–</w:t>
      </w:r>
      <w:r>
        <w:rPr>
          <w:rFonts w:ascii="David" w:hAnsi="David" w:cs="David" w:hint="cs"/>
          <w:b/>
          <w:rtl/>
        </w:rPr>
        <w:t xml:space="preserve"> בעת פירוד ההסכם כבר לא תקף. כלומר, אם ברור שהזוג נפרד ולא ניתן להסיק שהיו כוונות אחרות, </w:t>
      </w:r>
      <w:r w:rsidRPr="00E80120">
        <w:rPr>
          <w:rFonts w:ascii="David" w:hAnsi="David" w:cs="David" w:hint="cs"/>
          <w:bCs/>
          <w:rtl/>
        </w:rPr>
        <w:t>אין מקום לכלל קנייני של אכיפה</w:t>
      </w:r>
      <w:r>
        <w:rPr>
          <w:rFonts w:ascii="David" w:hAnsi="David" w:cs="David" w:hint="cs"/>
          <w:b/>
          <w:rtl/>
        </w:rPr>
        <w:t xml:space="preserve">. במקום, יש מקום לפיצוי כל רכיבים שנוצרו אחרי היווצרות הקרע (בעניין הפס"ד </w:t>
      </w:r>
      <w:r>
        <w:rPr>
          <w:rFonts w:ascii="David" w:hAnsi="David" w:cs="David"/>
          <w:b/>
          <w:rtl/>
        </w:rPr>
        <w:t>–</w:t>
      </w:r>
      <w:r>
        <w:rPr>
          <w:rFonts w:ascii="David" w:hAnsi="David" w:cs="David" w:hint="cs"/>
          <w:b/>
          <w:rtl/>
        </w:rPr>
        <w:t xml:space="preserve"> תשלום הטיפול האחרון).</w:t>
      </w:r>
    </w:p>
    <w:p w14:paraId="74D0D86A" w14:textId="653A40BF" w:rsidR="00BF4332" w:rsidRDefault="00BF4332" w:rsidP="00840847">
      <w:pPr>
        <w:bidi/>
        <w:spacing w:after="0" w:line="276" w:lineRule="auto"/>
        <w:jc w:val="both"/>
        <w:rPr>
          <w:rFonts w:ascii="David" w:hAnsi="David" w:cs="David"/>
          <w:b/>
          <w:rtl/>
        </w:rPr>
      </w:pPr>
      <w:r>
        <w:rPr>
          <w:rFonts w:ascii="David" w:hAnsi="David" w:cs="David" w:hint="cs"/>
          <w:b/>
          <w:rtl/>
        </w:rPr>
        <w:t xml:space="preserve">אפשרות נוספת להגיע לרעיון זה: דרך חוזה על תנאי (או תנאי מתלה), </w:t>
      </w:r>
      <w:r w:rsidRPr="00E80120">
        <w:rPr>
          <w:rStyle w:val="SubtleReference"/>
          <w:rFonts w:hint="cs"/>
          <w:rtl/>
        </w:rPr>
        <w:t>ס' 27 לחוה"ז</w:t>
      </w:r>
      <w:r>
        <w:rPr>
          <w:rFonts w:ascii="David" w:hAnsi="David" w:cs="David" w:hint="cs"/>
          <w:b/>
          <w:rtl/>
        </w:rPr>
        <w:t xml:space="preserve">. </w:t>
      </w:r>
      <w:r>
        <w:rPr>
          <w:rFonts w:ascii="David" w:hAnsi="David" w:cs="David" w:hint="cs"/>
          <w:bCs/>
          <w:rtl/>
        </w:rPr>
        <w:t>תנאי</w:t>
      </w:r>
      <w:r w:rsidRPr="00BF4332">
        <w:rPr>
          <w:rFonts w:ascii="David" w:hAnsi="David" w:cs="David" w:hint="cs"/>
          <w:bCs/>
          <w:rtl/>
        </w:rPr>
        <w:t xml:space="preserve"> </w:t>
      </w:r>
      <w:r w:rsidR="003B788A">
        <w:rPr>
          <w:rFonts w:ascii="David" w:hAnsi="David" w:cs="David" w:hint="cs"/>
          <w:bCs/>
          <w:rtl/>
        </w:rPr>
        <w:t xml:space="preserve">מתלה </w:t>
      </w:r>
      <w:r w:rsidRPr="00BF4332">
        <w:rPr>
          <w:rFonts w:ascii="David" w:hAnsi="David" w:cs="David" w:hint="cs"/>
          <w:bCs/>
          <w:rtl/>
        </w:rPr>
        <w:t>מכללא שפירוד יפקיע את החוזה.</w:t>
      </w:r>
      <w:r>
        <w:rPr>
          <w:rFonts w:ascii="David" w:hAnsi="David" w:cs="David" w:hint="cs"/>
          <w:b/>
          <w:rtl/>
        </w:rPr>
        <w:t xml:space="preserve"> </w:t>
      </w:r>
    </w:p>
    <w:p w14:paraId="18E27C97" w14:textId="7AF1F40E" w:rsidR="00914B24" w:rsidRDefault="00BF4332" w:rsidP="00DF69B2">
      <w:pPr>
        <w:pStyle w:val="ListParagraph"/>
        <w:numPr>
          <w:ilvl w:val="0"/>
          <w:numId w:val="19"/>
        </w:numPr>
        <w:bidi/>
        <w:spacing w:after="0" w:line="276" w:lineRule="auto"/>
        <w:jc w:val="both"/>
        <w:rPr>
          <w:rFonts w:ascii="David" w:hAnsi="David" w:cs="David"/>
          <w:b/>
        </w:rPr>
      </w:pPr>
      <w:r w:rsidRPr="00BF4332">
        <w:rPr>
          <w:rFonts w:ascii="David" w:hAnsi="David" w:cs="David" w:hint="cs"/>
          <w:b/>
          <w:rtl/>
        </w:rPr>
        <w:t>דילמה: האם חוזה רופף יכול להכיל יותר או פחות תנאים מכללא?</w:t>
      </w:r>
    </w:p>
    <w:p w14:paraId="2F2CAC6E" w14:textId="77777777" w:rsidR="00914B24" w:rsidRDefault="00914B24" w:rsidP="00840847">
      <w:pPr>
        <w:pStyle w:val="ListParagraph"/>
        <w:bidi/>
        <w:spacing w:after="0" w:line="276" w:lineRule="auto"/>
        <w:jc w:val="both"/>
        <w:rPr>
          <w:rFonts w:ascii="David" w:hAnsi="David" w:cs="David"/>
          <w:b/>
        </w:rPr>
      </w:pPr>
    </w:p>
    <w:p w14:paraId="310CD1DD" w14:textId="5DDB45F5" w:rsidR="00914B24" w:rsidRDefault="00914B24" w:rsidP="00DF69B2">
      <w:pPr>
        <w:pStyle w:val="ListParagraph"/>
        <w:numPr>
          <w:ilvl w:val="0"/>
          <w:numId w:val="17"/>
        </w:numPr>
        <w:bidi/>
        <w:spacing w:after="0" w:line="276" w:lineRule="auto"/>
        <w:jc w:val="both"/>
        <w:rPr>
          <w:rFonts w:ascii="David" w:hAnsi="David" w:cs="David"/>
          <w:b/>
        </w:rPr>
      </w:pPr>
      <w:r>
        <w:rPr>
          <w:rFonts w:ascii="David" w:hAnsi="David" w:cs="David" w:hint="cs"/>
          <w:b/>
          <w:u w:val="single"/>
          <w:rtl/>
        </w:rPr>
        <w:t>בהירות הסכמים</w:t>
      </w:r>
      <w:r w:rsidR="00F537A9">
        <w:rPr>
          <w:rFonts w:ascii="David" w:hAnsi="David" w:cs="David" w:hint="cs"/>
          <w:b/>
          <w:u w:val="single"/>
          <w:rtl/>
        </w:rPr>
        <w:t>,</w:t>
      </w:r>
      <w:r>
        <w:rPr>
          <w:rFonts w:ascii="David" w:hAnsi="David" w:cs="David" w:hint="cs"/>
          <w:b/>
          <w:u w:val="single"/>
          <w:rtl/>
        </w:rPr>
        <w:t xml:space="preserve"> וקריאה ליצירת "הסכם קדם הורות"</w:t>
      </w:r>
      <w:r>
        <w:rPr>
          <w:rFonts w:ascii="David" w:hAnsi="David" w:cs="David" w:hint="cs"/>
          <w:b/>
          <w:rtl/>
        </w:rPr>
        <w:t xml:space="preserve"> </w:t>
      </w:r>
      <w:r>
        <w:rPr>
          <w:rFonts w:ascii="David" w:hAnsi="David" w:cs="David"/>
          <w:b/>
          <w:rtl/>
        </w:rPr>
        <w:t>–</w:t>
      </w:r>
      <w:r>
        <w:rPr>
          <w:rFonts w:ascii="David" w:hAnsi="David" w:cs="David" w:hint="cs"/>
          <w:b/>
          <w:rtl/>
        </w:rPr>
        <w:t xml:space="preserve"> רשות</w:t>
      </w:r>
      <w:r w:rsidR="0034236E">
        <w:rPr>
          <w:rFonts w:ascii="David" w:hAnsi="David" w:cs="David" w:hint="cs"/>
          <w:b/>
          <w:rtl/>
        </w:rPr>
        <w:t>.</w:t>
      </w:r>
    </w:p>
    <w:p w14:paraId="21BF127C" w14:textId="77777777" w:rsidR="00914B24" w:rsidRDefault="00914B24" w:rsidP="00840847">
      <w:pPr>
        <w:pStyle w:val="ListParagraph"/>
        <w:bidi/>
        <w:spacing w:after="0" w:line="276" w:lineRule="auto"/>
        <w:jc w:val="both"/>
        <w:rPr>
          <w:rFonts w:ascii="David" w:hAnsi="David" w:cs="David"/>
          <w:b/>
        </w:rPr>
      </w:pPr>
    </w:p>
    <w:p w14:paraId="1E71A90E" w14:textId="7E0BB9BA" w:rsidR="00914B24" w:rsidRPr="00F537A9" w:rsidRDefault="00914B24" w:rsidP="00DF69B2">
      <w:pPr>
        <w:pStyle w:val="ListParagraph"/>
        <w:numPr>
          <w:ilvl w:val="0"/>
          <w:numId w:val="17"/>
        </w:numPr>
        <w:bidi/>
        <w:spacing w:after="0" w:line="276" w:lineRule="auto"/>
        <w:jc w:val="both"/>
        <w:rPr>
          <w:rFonts w:ascii="David" w:hAnsi="David" w:cs="David"/>
          <w:b/>
        </w:rPr>
      </w:pPr>
      <w:r>
        <w:rPr>
          <w:rFonts w:ascii="David" w:hAnsi="David" w:cs="David" w:hint="cs"/>
          <w:b/>
          <w:u w:val="single"/>
          <w:rtl/>
        </w:rPr>
        <w:t xml:space="preserve">פיצויים בתנאי אי וודאות </w:t>
      </w:r>
      <w:r>
        <w:rPr>
          <w:rFonts w:ascii="David" w:hAnsi="David" w:cs="David"/>
          <w:b/>
          <w:u w:val="single"/>
          <w:rtl/>
        </w:rPr>
        <w:t>–</w:t>
      </w:r>
      <w:r>
        <w:rPr>
          <w:rFonts w:ascii="David" w:hAnsi="David" w:cs="David" w:hint="cs"/>
          <w:b/>
          <w:u w:val="single"/>
          <w:rtl/>
        </w:rPr>
        <w:t xml:space="preserve"> הסתמכות מול קיום</w:t>
      </w:r>
    </w:p>
    <w:p w14:paraId="496E3129" w14:textId="77777777" w:rsidR="0070201C" w:rsidRDefault="0070201C" w:rsidP="00840847">
      <w:pPr>
        <w:bidi/>
        <w:spacing w:after="0" w:line="276" w:lineRule="auto"/>
        <w:jc w:val="both"/>
        <w:rPr>
          <w:rFonts w:ascii="David" w:hAnsi="David" w:cs="David"/>
          <w:b/>
          <w:rtl/>
        </w:rPr>
      </w:pPr>
      <w:r>
        <w:rPr>
          <w:rFonts w:ascii="David" w:hAnsi="David" w:cs="David" w:hint="cs"/>
          <w:b/>
          <w:rtl/>
        </w:rPr>
        <w:t xml:space="preserve">במקרים אלו נפסקים פיצויי הסתמכות ולא קיום, כיוון שאין וודאות להצלחת הליך הפריה (בשונא מהבטחה להינשא), ומשיקולי מדיניות נוספים, כאמור. אך לו היו נותנים פיצויי קיום, הדרך הנכונה הייתה ע"פ הסתברות. </w:t>
      </w:r>
    </w:p>
    <w:p w14:paraId="22E11E11" w14:textId="48E01EF6" w:rsidR="00F537A9" w:rsidRDefault="0070201C" w:rsidP="00840847">
      <w:pPr>
        <w:bidi/>
        <w:spacing w:after="0" w:line="276" w:lineRule="auto"/>
        <w:jc w:val="both"/>
        <w:rPr>
          <w:rFonts w:ascii="David" w:hAnsi="David" w:cs="David"/>
          <w:b/>
          <w:rtl/>
        </w:rPr>
      </w:pPr>
      <w:r>
        <w:rPr>
          <w:rFonts w:ascii="David" w:hAnsi="David" w:cs="David" w:hint="cs"/>
          <w:b/>
          <w:rtl/>
        </w:rPr>
        <w:t xml:space="preserve">לחישוב זה יש יותר טענות בעד ונגד הן בנזקים נפשיים והן בממוניים. בנזק </w:t>
      </w:r>
      <w:r w:rsidRPr="0070201C">
        <w:rPr>
          <w:rFonts w:ascii="David" w:hAnsi="David" w:cs="David" w:hint="cs"/>
          <w:bCs/>
          <w:rtl/>
        </w:rPr>
        <w:t>ממוני</w:t>
      </w:r>
      <w:r>
        <w:rPr>
          <w:rFonts w:ascii="David" w:hAnsi="David" w:cs="David" w:hint="cs"/>
          <w:b/>
          <w:rtl/>
        </w:rPr>
        <w:t xml:space="preserve">, הוצאות ההסתמכות הושקעו בהתאם לסיכוי של 100 אחוז הצלחה, ולכן אולי אין מקום להסתברות. בנזק </w:t>
      </w:r>
      <w:r w:rsidRPr="0070201C">
        <w:rPr>
          <w:rFonts w:ascii="David" w:hAnsi="David" w:cs="David" w:hint="cs"/>
          <w:bCs/>
          <w:rtl/>
        </w:rPr>
        <w:t>נפשי</w:t>
      </w:r>
      <w:r>
        <w:rPr>
          <w:rFonts w:ascii="David" w:hAnsi="David" w:cs="David" w:hint="cs"/>
          <w:b/>
          <w:rtl/>
        </w:rPr>
        <w:t xml:space="preserve">, מצד אחד עוגמת הנפש היא על כלל האובדן ואולי אין מקום </w:t>
      </w:r>
      <w:r w:rsidR="0034236E">
        <w:rPr>
          <w:rFonts w:ascii="David" w:hAnsi="David" w:cs="David" w:hint="cs"/>
          <w:b/>
          <w:rtl/>
        </w:rPr>
        <w:t>להסתברות</w:t>
      </w:r>
      <w:r>
        <w:rPr>
          <w:rFonts w:ascii="David" w:hAnsi="David" w:cs="David" w:hint="cs"/>
          <w:b/>
          <w:rtl/>
        </w:rPr>
        <w:t xml:space="preserve">, אך מצד שני אין לשלול זאת לגמרי, כיוון שניתן להעריך נזק רגשי דרך הסיכוי שהלך לאיבוד או הופחת (היינו, הסתברות). בראיה נוספת, פיצויי הסתמכות, שניתנים על העבר, מגיעים במלואם, בעוד נזק נפשי </w:t>
      </w:r>
      <w:r w:rsidR="005A441F">
        <w:rPr>
          <w:rFonts w:ascii="David" w:hAnsi="David" w:cs="David" w:hint="cs"/>
          <w:b/>
          <w:rtl/>
        </w:rPr>
        <w:t>שהוא על העתיד, ניתן לפצות בהסתברות.</w:t>
      </w:r>
    </w:p>
    <w:p w14:paraId="6A43CE86" w14:textId="77777777" w:rsidR="00E146BC" w:rsidRDefault="00E146BC" w:rsidP="00E146BC">
      <w:pPr>
        <w:bidi/>
        <w:spacing w:after="0" w:line="276" w:lineRule="auto"/>
        <w:jc w:val="both"/>
        <w:rPr>
          <w:rFonts w:ascii="David" w:hAnsi="David" w:cs="David"/>
          <w:b/>
          <w:rtl/>
        </w:rPr>
      </w:pPr>
    </w:p>
    <w:p w14:paraId="7AE6BEA7" w14:textId="7AA6FA3A" w:rsidR="00A035D4" w:rsidRDefault="00A035D4" w:rsidP="00E146BC">
      <w:pPr>
        <w:bidi/>
        <w:spacing w:line="276" w:lineRule="auto"/>
        <w:jc w:val="both"/>
        <w:rPr>
          <w:rFonts w:ascii="David" w:hAnsi="David" w:cs="David"/>
          <w:b/>
          <w:rtl/>
        </w:rPr>
      </w:pPr>
      <w:r>
        <w:rPr>
          <w:rFonts w:ascii="David" w:hAnsi="David" w:cs="David" w:hint="cs"/>
          <w:bCs/>
          <w:rtl/>
        </w:rPr>
        <w:t>מחשבה לסיום</w:t>
      </w:r>
      <w:r w:rsidR="00E146BC">
        <w:rPr>
          <w:rFonts w:ascii="David" w:hAnsi="David" w:cs="David" w:hint="cs"/>
          <w:b/>
          <w:rtl/>
        </w:rPr>
        <w:t xml:space="preserve">: </w:t>
      </w:r>
      <w:r>
        <w:rPr>
          <w:rFonts w:ascii="David" w:hAnsi="David" w:cs="David" w:hint="cs"/>
          <w:b/>
          <w:rtl/>
        </w:rPr>
        <w:t xml:space="preserve">ייתכן בכלל וכל הנושא לא רלוונטי, והדיון צריך להיות "שחור או לבן" </w:t>
      </w:r>
      <w:r>
        <w:rPr>
          <w:rFonts w:ascii="David" w:hAnsi="David" w:cs="David"/>
          <w:b/>
          <w:rtl/>
        </w:rPr>
        <w:t>–</w:t>
      </w:r>
      <w:r>
        <w:rPr>
          <w:rFonts w:ascii="David" w:hAnsi="David" w:cs="David" w:hint="cs"/>
          <w:b/>
          <w:rtl/>
        </w:rPr>
        <w:t xml:space="preserve"> 'אכיפה או כלום'. הפסיקה לא הלכה בכיוון זה באופן רשמי. אולם, ייתכן וישנה התקרבות לא מודעת </w:t>
      </w:r>
      <w:r w:rsidR="0034236E">
        <w:rPr>
          <w:rFonts w:ascii="David" w:hAnsi="David" w:cs="David" w:hint="cs"/>
          <w:b/>
          <w:rtl/>
        </w:rPr>
        <w:t>לגישה זו</w:t>
      </w:r>
      <w:r>
        <w:rPr>
          <w:rFonts w:ascii="David" w:hAnsi="David" w:cs="David" w:hint="cs"/>
          <w:b/>
          <w:rtl/>
        </w:rPr>
        <w:t xml:space="preserve">, </w:t>
      </w:r>
      <w:r w:rsidR="0034236E">
        <w:rPr>
          <w:rFonts w:ascii="David" w:hAnsi="David" w:cs="David" w:hint="cs"/>
          <w:b/>
          <w:rtl/>
        </w:rPr>
        <w:t>הבאה לידי ביטוי ב</w:t>
      </w:r>
      <w:r>
        <w:rPr>
          <w:rFonts w:ascii="David" w:hAnsi="David" w:cs="David" w:hint="cs"/>
          <w:b/>
          <w:rtl/>
        </w:rPr>
        <w:t>צמצום הכניסה לשער הפיצויים.</w:t>
      </w:r>
    </w:p>
    <w:p w14:paraId="4F7ECB37" w14:textId="4E46EC19" w:rsidR="00D50674" w:rsidRDefault="00D50674" w:rsidP="00CC7DF2">
      <w:pPr>
        <w:spacing w:line="276" w:lineRule="auto"/>
        <w:jc w:val="both"/>
        <w:rPr>
          <w:rFonts w:ascii="David" w:hAnsi="David" w:cs="David"/>
          <w:b/>
          <w:rtl/>
        </w:rPr>
      </w:pPr>
      <w:r>
        <w:rPr>
          <w:rFonts w:ascii="David" w:hAnsi="David" w:cs="David"/>
          <w:b/>
          <w:rtl/>
        </w:rPr>
        <w:br w:type="page"/>
      </w:r>
    </w:p>
    <w:p w14:paraId="4ED7BAB4" w14:textId="3C767B99" w:rsidR="00D50674" w:rsidRPr="00E146BC" w:rsidRDefault="00D50674" w:rsidP="00E146BC">
      <w:pPr>
        <w:pStyle w:val="Title"/>
        <w:bidi/>
        <w:jc w:val="center"/>
        <w:rPr>
          <w:rStyle w:val="IntenseEmphasis"/>
          <w:rFonts w:ascii="David" w:hAnsi="David" w:cs="David"/>
          <w:i w:val="0"/>
          <w:iCs w:val="0"/>
          <w:color w:val="auto"/>
          <w:sz w:val="48"/>
          <w:szCs w:val="48"/>
          <w:rtl/>
        </w:rPr>
      </w:pPr>
      <w:r w:rsidRPr="00E146BC">
        <w:rPr>
          <w:rStyle w:val="IntenseEmphasis"/>
          <w:rFonts w:ascii="David" w:hAnsi="David" w:cs="David"/>
          <w:i w:val="0"/>
          <w:iCs w:val="0"/>
          <w:color w:val="auto"/>
          <w:sz w:val="48"/>
          <w:szCs w:val="48"/>
          <w:rtl/>
        </w:rPr>
        <w:lastRenderedPageBreak/>
        <w:t>נזיקין, חוזים, משפחה, חוקתי</w:t>
      </w:r>
    </w:p>
    <w:p w14:paraId="736E68A1" w14:textId="2D9E5498" w:rsidR="00602378" w:rsidRDefault="00602378" w:rsidP="00E146BC">
      <w:pPr>
        <w:pStyle w:val="IntenseQuote"/>
      </w:pPr>
      <w:r>
        <w:rPr>
          <w:rFonts w:hint="cs"/>
          <w:rtl/>
        </w:rPr>
        <w:t>תביעה לפיצוי בגין סירוב להמיר דת כדי להתגרש</w:t>
      </w:r>
    </w:p>
    <w:p w14:paraId="2E200F08" w14:textId="77166B18" w:rsidR="00602378" w:rsidRDefault="00602378" w:rsidP="00CC7DF2">
      <w:pPr>
        <w:bidi/>
        <w:spacing w:line="276" w:lineRule="auto"/>
        <w:jc w:val="both"/>
        <w:rPr>
          <w:rFonts w:ascii="David" w:hAnsi="David" w:cs="David"/>
          <w:rtl/>
        </w:rPr>
      </w:pPr>
      <w:r>
        <w:rPr>
          <w:rFonts w:ascii="David" w:hAnsi="David" w:cs="David" w:hint="cs"/>
          <w:rtl/>
        </w:rPr>
        <w:t>המקרה בו נדון יעסוק בתביעה נגד בן זוג שסירב להמיר דתו כדי להתגרש במגזר הקתולי, לאחר שהבטיח לעשות כן.</w:t>
      </w:r>
    </w:p>
    <w:p w14:paraId="32176283" w14:textId="0E93F474" w:rsidR="00602378" w:rsidRDefault="00881746" w:rsidP="00CC7DF2">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48352" behindDoc="0" locked="0" layoutInCell="1" allowOverlap="1" wp14:anchorId="6C01B663" wp14:editId="7B616C02">
                <wp:simplePos x="0" y="0"/>
                <wp:positionH relativeFrom="margin">
                  <wp:posOffset>-302309</wp:posOffset>
                </wp:positionH>
                <wp:positionV relativeFrom="paragraph">
                  <wp:posOffset>268117</wp:posOffset>
                </wp:positionV>
                <wp:extent cx="1229995" cy="1406525"/>
                <wp:effectExtent l="0" t="0" r="27305" b="22225"/>
                <wp:wrapNone/>
                <wp:docPr id="57" name="Text Box 57"/>
                <wp:cNvGraphicFramePr/>
                <a:graphic xmlns:a="http://schemas.openxmlformats.org/drawingml/2006/main">
                  <a:graphicData uri="http://schemas.microsoft.com/office/word/2010/wordprocessingShape">
                    <wps:wsp>
                      <wps:cNvSpPr txBox="1"/>
                      <wps:spPr>
                        <a:xfrm>
                          <a:off x="0" y="0"/>
                          <a:ext cx="1229995" cy="1406525"/>
                        </a:xfrm>
                        <a:prstGeom prst="rect">
                          <a:avLst/>
                        </a:prstGeom>
                        <a:solidFill>
                          <a:schemeClr val="lt1"/>
                        </a:solidFill>
                        <a:ln w="6350">
                          <a:solidFill>
                            <a:prstClr val="black"/>
                          </a:solidFill>
                        </a:ln>
                      </wps:spPr>
                      <wps:txbx>
                        <w:txbxContent>
                          <w:p w14:paraId="07B73961" w14:textId="77777777" w:rsidR="00881746" w:rsidRPr="00881746" w:rsidRDefault="00881746" w:rsidP="00881746">
                            <w:pPr>
                              <w:bidi/>
                              <w:spacing w:line="276" w:lineRule="auto"/>
                              <w:jc w:val="both"/>
                              <w:rPr>
                                <w:rFonts w:ascii="David" w:hAnsi="David" w:cs="David"/>
                              </w:rPr>
                            </w:pPr>
                            <w:r w:rsidRPr="00881746">
                              <w:rPr>
                                <w:rFonts w:ascii="David" w:hAnsi="David" w:cs="David" w:hint="cs"/>
                                <w:rtl/>
                              </w:rPr>
                              <w:t xml:space="preserve">אינטראקציה </w:t>
                            </w:r>
                            <w:r w:rsidRPr="00881746">
                              <w:rPr>
                                <w:rFonts w:ascii="David" w:hAnsi="David" w:cs="David" w:hint="cs"/>
                                <w:b/>
                                <w:bCs/>
                                <w:rtl/>
                              </w:rPr>
                              <w:t>טעונה/בעייתית</w:t>
                            </w:r>
                            <w:r w:rsidRPr="00881746">
                              <w:rPr>
                                <w:rFonts w:ascii="David" w:hAnsi="David" w:cs="David" w:hint="cs"/>
                                <w:rtl/>
                              </w:rPr>
                              <w:t xml:space="preserve">. </w:t>
                            </w:r>
                          </w:p>
                          <w:p w14:paraId="13B4ABD7" w14:textId="77777777" w:rsidR="00881746" w:rsidRDefault="00881746" w:rsidP="00881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B663" id="Text Box 57" o:spid="_x0000_s1055" type="#_x0000_t202" style="position:absolute;left:0;text-align:left;margin-left:-23.8pt;margin-top:21.1pt;width:96.85pt;height:11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" fillcolor="white [3201]" strokeweight=".5pt">
                <v:textbox>
                  <w:txbxContent>
                    <w:p w14:paraId="07B73961" w14:textId="77777777" w:rsidR="00881746" w:rsidRPr="00881746" w:rsidRDefault="00881746" w:rsidP="00881746">
                      <w:pPr>
                        <w:bidi/>
                        <w:spacing w:line="276" w:lineRule="auto"/>
                        <w:jc w:val="both"/>
                        <w:rPr>
                          <w:rFonts w:ascii="David" w:hAnsi="David" w:cs="David"/>
                        </w:rPr>
                      </w:pPr>
                      <w:r w:rsidRPr="00881746">
                        <w:rPr>
                          <w:rFonts w:ascii="David" w:hAnsi="David" w:cs="David" w:hint="cs"/>
                          <w:rtl/>
                        </w:rPr>
                        <w:t xml:space="preserve">אינטראקציה </w:t>
                      </w:r>
                      <w:r w:rsidRPr="00881746">
                        <w:rPr>
                          <w:rFonts w:ascii="David" w:hAnsi="David" w:cs="David" w:hint="cs"/>
                          <w:b/>
                          <w:bCs/>
                          <w:rtl/>
                        </w:rPr>
                        <w:t>טעונה/בעייתית</w:t>
                      </w:r>
                      <w:r w:rsidRPr="00881746">
                        <w:rPr>
                          <w:rFonts w:ascii="David" w:hAnsi="David" w:cs="David" w:hint="cs"/>
                          <w:rtl/>
                        </w:rPr>
                        <w:t xml:space="preserve">. </w:t>
                      </w:r>
                    </w:p>
                    <w:p w14:paraId="13B4ABD7" w14:textId="77777777" w:rsidR="00881746" w:rsidRDefault="00881746" w:rsidP="00881746"/>
                  </w:txbxContent>
                </v:textbox>
                <w10:wrap anchorx="margin"/>
              </v:shape>
            </w:pict>
          </mc:Fallback>
        </mc:AlternateContent>
      </w:r>
      <w:r w:rsidR="00602378" w:rsidRPr="00BC14FF">
        <w:rPr>
          <w:rFonts w:ascii="David" w:hAnsi="David" w:cs="David" w:hint="cs"/>
          <w:b/>
          <w:bCs/>
          <w:rtl/>
        </w:rPr>
        <w:t>הקדמה</w:t>
      </w:r>
      <w:r w:rsidR="00602378">
        <w:rPr>
          <w:rFonts w:ascii="David" w:hAnsi="David" w:cs="David" w:hint="cs"/>
          <w:rtl/>
        </w:rPr>
        <w:t xml:space="preserve"> </w:t>
      </w:r>
      <w:r w:rsidR="00602378">
        <w:rPr>
          <w:rFonts w:ascii="David" w:hAnsi="David" w:cs="David"/>
          <w:rtl/>
        </w:rPr>
        <w:t>–</w:t>
      </w:r>
      <w:r w:rsidR="00602378">
        <w:rPr>
          <w:rFonts w:ascii="David" w:hAnsi="David" w:cs="David" w:hint="cs"/>
          <w:rtl/>
        </w:rPr>
        <w:t xml:space="preserve"> </w:t>
      </w:r>
      <w:r w:rsidR="00602378" w:rsidRPr="0098448A">
        <w:rPr>
          <w:rFonts w:ascii="David" w:hAnsi="David" w:cs="David" w:hint="cs"/>
          <w:u w:val="single"/>
          <w:rtl/>
        </w:rPr>
        <w:t>סוגי אינטראקציות בתביעות נזיקין ומשפחה:</w:t>
      </w:r>
    </w:p>
    <w:p w14:paraId="7435E0B3" w14:textId="1AC665D8" w:rsidR="00B43A1E" w:rsidRPr="00881746" w:rsidRDefault="00130310" w:rsidP="00881746">
      <w:pPr>
        <w:bidi/>
        <w:spacing w:line="276" w:lineRule="auto"/>
        <w:jc w:val="both"/>
        <w:rPr>
          <w:rFonts w:ascii="David" w:hAnsi="David" w:cs="David"/>
        </w:rPr>
      </w:pPr>
      <w:r>
        <w:rPr>
          <w:noProof/>
          <w:rtl/>
          <w:lang w:val="he-IL"/>
        </w:rPr>
        <mc:AlternateContent>
          <mc:Choice Requires="wps">
            <w:drawing>
              <wp:anchor distT="0" distB="0" distL="114300" distR="114300" simplePos="0" relativeHeight="251744256" behindDoc="0" locked="0" layoutInCell="1" allowOverlap="1" wp14:anchorId="2B5DA004" wp14:editId="4F84942F">
                <wp:simplePos x="0" y="0"/>
                <wp:positionH relativeFrom="column">
                  <wp:posOffset>4767287</wp:posOffset>
                </wp:positionH>
                <wp:positionV relativeFrom="paragraph">
                  <wp:posOffset>9525</wp:posOffset>
                </wp:positionV>
                <wp:extent cx="1863676" cy="1406769"/>
                <wp:effectExtent l="0" t="0" r="22860" b="22225"/>
                <wp:wrapNone/>
                <wp:docPr id="55" name="Text Box 55"/>
                <wp:cNvGraphicFramePr/>
                <a:graphic xmlns:a="http://schemas.openxmlformats.org/drawingml/2006/main">
                  <a:graphicData uri="http://schemas.microsoft.com/office/word/2010/wordprocessingShape">
                    <wps:wsp>
                      <wps:cNvSpPr txBox="1"/>
                      <wps:spPr>
                        <a:xfrm>
                          <a:off x="0" y="0"/>
                          <a:ext cx="1863676" cy="1406769"/>
                        </a:xfrm>
                        <a:prstGeom prst="rect">
                          <a:avLst/>
                        </a:prstGeom>
                        <a:solidFill>
                          <a:schemeClr val="lt1"/>
                        </a:solidFill>
                        <a:ln w="6350">
                          <a:solidFill>
                            <a:prstClr val="black"/>
                          </a:solidFill>
                        </a:ln>
                      </wps:spPr>
                      <wps:txbx>
                        <w:txbxContent>
                          <w:p w14:paraId="0A1BC3C1" w14:textId="77777777" w:rsidR="00881746" w:rsidRPr="00881746" w:rsidRDefault="00881746" w:rsidP="00881746">
                            <w:pPr>
                              <w:bidi/>
                              <w:spacing w:line="276" w:lineRule="auto"/>
                              <w:jc w:val="both"/>
                              <w:rPr>
                                <w:rFonts w:ascii="David" w:hAnsi="David" w:cs="David"/>
                              </w:rPr>
                            </w:pPr>
                            <w:r w:rsidRPr="00881746">
                              <w:rPr>
                                <w:rFonts w:ascii="David" w:hAnsi="David" w:cs="David" w:hint="cs"/>
                                <w:rtl/>
                              </w:rPr>
                              <w:t xml:space="preserve">מקרים בהם </w:t>
                            </w:r>
                            <w:r w:rsidRPr="00881746">
                              <w:rPr>
                                <w:rFonts w:ascii="David" w:hAnsi="David" w:cs="David" w:hint="cs"/>
                                <w:b/>
                                <w:bCs/>
                                <w:rtl/>
                              </w:rPr>
                              <w:t>אין כל אינטאקציה</w:t>
                            </w:r>
                            <w:r w:rsidRPr="00881746">
                              <w:rPr>
                                <w:rFonts w:ascii="David" w:hAnsi="David" w:cs="David" w:hint="cs"/>
                                <w:rtl/>
                              </w:rPr>
                              <w:t>. כלומר, התביעה נזיקית לחלוטין, ונדרשת רגישות כללית למסגרת המשפחתית. דוגמאות: אלימות והתעללות, הזנחה, אי דיווח, לשון הרע, פרטיות. התביעות יכולות לשמש לקנטור, להשפיע על חלוקת רכוש, ועל הסדרי ראייה.</w:t>
                            </w:r>
                          </w:p>
                          <w:p w14:paraId="71304751" w14:textId="77777777" w:rsidR="00881746" w:rsidRDefault="00881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A004" id="Text Box 55" o:spid="_x0000_s1056" type="#_x0000_t202" style="position:absolute;left:0;text-align:left;margin-left:375.4pt;margin-top:.75pt;width:146.75pt;height:1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" fillcolor="white [3201]" strokeweight=".5pt">
                <v:textbox>
                  <w:txbxContent>
                    <w:p w14:paraId="0A1BC3C1" w14:textId="77777777" w:rsidR="00881746" w:rsidRPr="00881746" w:rsidRDefault="00881746" w:rsidP="00881746">
                      <w:pPr>
                        <w:bidi/>
                        <w:spacing w:line="276" w:lineRule="auto"/>
                        <w:jc w:val="both"/>
                        <w:rPr>
                          <w:rFonts w:ascii="David" w:hAnsi="David" w:cs="David"/>
                        </w:rPr>
                      </w:pPr>
                      <w:r w:rsidRPr="00881746">
                        <w:rPr>
                          <w:rFonts w:ascii="David" w:hAnsi="David" w:cs="David" w:hint="cs"/>
                          <w:rtl/>
                        </w:rPr>
                        <w:t xml:space="preserve">מקרים בהם </w:t>
                      </w:r>
                      <w:r w:rsidRPr="00881746">
                        <w:rPr>
                          <w:rFonts w:ascii="David" w:hAnsi="David" w:cs="David" w:hint="cs"/>
                          <w:b/>
                          <w:bCs/>
                          <w:rtl/>
                        </w:rPr>
                        <w:t>אין כל אינטאקציה</w:t>
                      </w:r>
                      <w:r w:rsidRPr="00881746">
                        <w:rPr>
                          <w:rFonts w:ascii="David" w:hAnsi="David" w:cs="David" w:hint="cs"/>
                          <w:rtl/>
                        </w:rPr>
                        <w:t>. כלומר, התביעה נזיקית לחלוטין, ונדרשת רגישות כללית למסגרת המשפחתית. דוגמאות: אלימות והתעללות, הזנחה, אי דיווח, לשון הרע, פרטיות. התביעות יכולות לשמש לקנטור, להשפיע על חלוקת רכוש, ועל הסדרי ראייה.</w:t>
                      </w:r>
                    </w:p>
                    <w:p w14:paraId="71304751" w14:textId="77777777" w:rsidR="00881746" w:rsidRDefault="00881746"/>
                  </w:txbxContent>
                </v:textbox>
              </v:shape>
            </w:pict>
          </mc:Fallback>
        </mc:AlternateContent>
      </w:r>
      <w:r>
        <w:rPr>
          <w:noProof/>
          <w:rtl/>
          <w:lang w:val="he-IL"/>
        </w:rPr>
        <mc:AlternateContent>
          <mc:Choice Requires="wps">
            <w:drawing>
              <wp:anchor distT="0" distB="0" distL="114300" distR="114300" simplePos="0" relativeHeight="251746304" behindDoc="0" locked="0" layoutInCell="1" allowOverlap="1" wp14:anchorId="2096E018" wp14:editId="4A37D44C">
                <wp:simplePos x="0" y="0"/>
                <wp:positionH relativeFrom="column">
                  <wp:posOffset>2806798</wp:posOffset>
                </wp:positionH>
                <wp:positionV relativeFrom="paragraph">
                  <wp:posOffset>8890</wp:posOffset>
                </wp:positionV>
                <wp:extent cx="1863676" cy="1406769"/>
                <wp:effectExtent l="0" t="0" r="22860" b="22225"/>
                <wp:wrapNone/>
                <wp:docPr id="56" name="Text Box 56"/>
                <wp:cNvGraphicFramePr/>
                <a:graphic xmlns:a="http://schemas.openxmlformats.org/drawingml/2006/main">
                  <a:graphicData uri="http://schemas.microsoft.com/office/word/2010/wordprocessingShape">
                    <wps:wsp>
                      <wps:cNvSpPr txBox="1"/>
                      <wps:spPr>
                        <a:xfrm>
                          <a:off x="0" y="0"/>
                          <a:ext cx="1863676" cy="1406769"/>
                        </a:xfrm>
                        <a:prstGeom prst="rect">
                          <a:avLst/>
                        </a:prstGeom>
                        <a:solidFill>
                          <a:schemeClr val="lt1"/>
                        </a:solidFill>
                        <a:ln w="6350">
                          <a:solidFill>
                            <a:prstClr val="black"/>
                          </a:solidFill>
                        </a:ln>
                      </wps:spPr>
                      <wps:txbx>
                        <w:txbxContent>
                          <w:p w14:paraId="16E44856" w14:textId="77777777" w:rsidR="00881746" w:rsidRPr="00881746" w:rsidRDefault="00881746" w:rsidP="00881746">
                            <w:pPr>
                              <w:bidi/>
                              <w:spacing w:line="276" w:lineRule="auto"/>
                              <w:jc w:val="both"/>
                              <w:rPr>
                                <w:rFonts w:ascii="David" w:hAnsi="David" w:cs="David"/>
                              </w:rPr>
                            </w:pPr>
                            <w:r w:rsidRPr="00881746">
                              <w:rPr>
                                <w:rFonts w:ascii="David" w:hAnsi="David" w:cs="David" w:hint="cs"/>
                                <w:b/>
                                <w:bCs/>
                                <w:rtl/>
                              </w:rPr>
                              <w:t>אינטרקאציה חיובית</w:t>
                            </w:r>
                            <w:r w:rsidRPr="00881746">
                              <w:rPr>
                                <w:rFonts w:ascii="David" w:hAnsi="David" w:cs="David" w:hint="cs"/>
                                <w:rtl/>
                              </w:rPr>
                              <w:t>. דיני נזיקין משמשים כ</w:t>
                            </w:r>
                            <w:r w:rsidRPr="00881746">
                              <w:rPr>
                                <w:rFonts w:ascii="David" w:hAnsi="David" w:cs="David" w:hint="cs"/>
                                <w:b/>
                                <w:bCs/>
                                <w:rtl/>
                              </w:rPr>
                              <w:t>קבלן מבצע</w:t>
                            </w:r>
                            <w:r w:rsidRPr="00881746">
                              <w:rPr>
                                <w:rFonts w:ascii="David" w:hAnsi="David" w:cs="David" w:hint="cs"/>
                                <w:rtl/>
                              </w:rPr>
                              <w:t>, ובעצם נותנים מענה הולם לפרצות בדיני משפחה. דוגמאות: הפרת זמני שהות (במשפחה אין אפשרתות פיצוי), חטיפות ילדים, הונאת אבהות, חזרה מהסכם פוריות.</w:t>
                            </w:r>
                          </w:p>
                          <w:p w14:paraId="27B701DD" w14:textId="77777777" w:rsidR="00881746" w:rsidRDefault="00881746" w:rsidP="00881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E018" id="Text Box 56" o:spid="_x0000_s1057" type="#_x0000_t202" style="position:absolute;left:0;text-align:left;margin-left:221pt;margin-top:.7pt;width:146.75pt;height:11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" fillcolor="white [3201]" strokeweight=".5pt">
                <v:textbox>
                  <w:txbxContent>
                    <w:p w14:paraId="16E44856" w14:textId="77777777" w:rsidR="00881746" w:rsidRPr="00881746" w:rsidRDefault="00881746" w:rsidP="00881746">
                      <w:pPr>
                        <w:bidi/>
                        <w:spacing w:line="276" w:lineRule="auto"/>
                        <w:jc w:val="both"/>
                        <w:rPr>
                          <w:rFonts w:ascii="David" w:hAnsi="David" w:cs="David"/>
                        </w:rPr>
                      </w:pPr>
                      <w:r w:rsidRPr="00881746">
                        <w:rPr>
                          <w:rFonts w:ascii="David" w:hAnsi="David" w:cs="David" w:hint="cs"/>
                          <w:b/>
                          <w:bCs/>
                          <w:rtl/>
                        </w:rPr>
                        <w:t>אינטרקאציה חיובית</w:t>
                      </w:r>
                      <w:r w:rsidRPr="00881746">
                        <w:rPr>
                          <w:rFonts w:ascii="David" w:hAnsi="David" w:cs="David" w:hint="cs"/>
                          <w:rtl/>
                        </w:rPr>
                        <w:t>. דיני נזיקין משמשים כ</w:t>
                      </w:r>
                      <w:r w:rsidRPr="00881746">
                        <w:rPr>
                          <w:rFonts w:ascii="David" w:hAnsi="David" w:cs="David" w:hint="cs"/>
                          <w:b/>
                          <w:bCs/>
                          <w:rtl/>
                        </w:rPr>
                        <w:t>קבלן מבצע</w:t>
                      </w:r>
                      <w:r w:rsidRPr="00881746">
                        <w:rPr>
                          <w:rFonts w:ascii="David" w:hAnsi="David" w:cs="David" w:hint="cs"/>
                          <w:rtl/>
                        </w:rPr>
                        <w:t>, ובעצם נותנים מענה הולם לפרצות בדיני משפחה. דוגמאות: הפרת זמני שהות (במשפחה אין אפשרתות פיצוי), חטיפות ילדים, הונאת אבהות, חזרה מהסכם פוריות.</w:t>
                      </w:r>
                    </w:p>
                    <w:p w14:paraId="27B701DD" w14:textId="77777777" w:rsidR="00881746" w:rsidRDefault="00881746" w:rsidP="00881746"/>
                  </w:txbxContent>
                </v:textbox>
              </v:shape>
            </w:pict>
          </mc:Fallback>
        </mc:AlternateContent>
      </w:r>
      <w:r w:rsidR="00881746">
        <w:rPr>
          <w:rFonts w:ascii="David" w:hAnsi="David" w:cs="David"/>
          <w:noProof/>
          <w:rtl/>
          <w:lang w:val="he-IL"/>
        </w:rPr>
        <mc:AlternateContent>
          <mc:Choice Requires="wps">
            <w:drawing>
              <wp:anchor distT="0" distB="0" distL="114300" distR="114300" simplePos="0" relativeHeight="251750400" behindDoc="0" locked="0" layoutInCell="1" allowOverlap="1" wp14:anchorId="5266CFFD" wp14:editId="083A08C7">
                <wp:simplePos x="0" y="0"/>
                <wp:positionH relativeFrom="column">
                  <wp:posOffset>1068803</wp:posOffset>
                </wp:positionH>
                <wp:positionV relativeFrom="paragraph">
                  <wp:posOffset>8890</wp:posOffset>
                </wp:positionV>
                <wp:extent cx="1630826" cy="1406525"/>
                <wp:effectExtent l="0" t="0" r="26670" b="22225"/>
                <wp:wrapNone/>
                <wp:docPr id="58" name="Text Box 58"/>
                <wp:cNvGraphicFramePr/>
                <a:graphic xmlns:a="http://schemas.openxmlformats.org/drawingml/2006/main">
                  <a:graphicData uri="http://schemas.microsoft.com/office/word/2010/wordprocessingShape">
                    <wps:wsp>
                      <wps:cNvSpPr txBox="1"/>
                      <wps:spPr>
                        <a:xfrm>
                          <a:off x="0" y="0"/>
                          <a:ext cx="1630826" cy="1406525"/>
                        </a:xfrm>
                        <a:prstGeom prst="rect">
                          <a:avLst/>
                        </a:prstGeom>
                        <a:solidFill>
                          <a:schemeClr val="lt1"/>
                        </a:solidFill>
                        <a:ln w="6350">
                          <a:solidFill>
                            <a:prstClr val="black"/>
                          </a:solidFill>
                        </a:ln>
                      </wps:spPr>
                      <wps:txbx>
                        <w:txbxContent>
                          <w:p w14:paraId="4A403FA9" w14:textId="77777777" w:rsidR="00881746" w:rsidRDefault="00881746" w:rsidP="003628D8">
                            <w:pPr>
                              <w:bidi/>
                              <w:spacing w:after="0"/>
                              <w:rPr>
                                <w:rFonts w:ascii="David" w:hAnsi="David" w:cs="David"/>
                                <w:rtl/>
                              </w:rPr>
                            </w:pPr>
                            <w:r>
                              <w:rPr>
                                <w:rFonts w:ascii="David" w:hAnsi="David" w:cs="David" w:hint="cs"/>
                                <w:rtl/>
                              </w:rPr>
                              <w:t xml:space="preserve">אינטראקציה </w:t>
                            </w:r>
                            <w:r>
                              <w:rPr>
                                <w:rFonts w:ascii="David" w:hAnsi="David" w:cs="David" w:hint="cs"/>
                                <w:b/>
                                <w:bCs/>
                                <w:rtl/>
                              </w:rPr>
                              <w:t>שלילית</w:t>
                            </w:r>
                            <w:r>
                              <w:rPr>
                                <w:rFonts w:ascii="David" w:hAnsi="David" w:cs="David" w:hint="cs"/>
                                <w:rtl/>
                              </w:rPr>
                              <w:t>.</w:t>
                            </w:r>
                          </w:p>
                          <w:p w14:paraId="731434C4" w14:textId="5CE87821" w:rsidR="00881746" w:rsidRPr="00AF5BE0" w:rsidRDefault="00881746" w:rsidP="003628D8">
                            <w:pPr>
                              <w:bidi/>
                              <w:spacing w:after="0"/>
                              <w:rPr>
                                <w:rFonts w:ascii="David" w:hAnsi="David" w:cs="David"/>
                              </w:rPr>
                            </w:pPr>
                            <w:r w:rsidRPr="003628D8">
                              <w:rPr>
                                <w:rFonts w:ascii="David" w:hAnsi="David" w:cs="David" w:hint="cs"/>
                                <w:b/>
                                <w:bCs/>
                                <w:rtl/>
                              </w:rPr>
                              <w:t>דוגמא:</w:t>
                            </w:r>
                            <w:r>
                              <w:rPr>
                                <w:rFonts w:ascii="David" w:hAnsi="David" w:cs="David" w:hint="cs"/>
                                <w:rtl/>
                              </w:rPr>
                              <w:t xml:space="preserve"> תביעה אזרחית בגין סרבנות גט.</w:t>
                            </w:r>
                            <w:r w:rsidR="00AF5BE0">
                              <w:rPr>
                                <w:rFonts w:ascii="David" w:hAnsi="David" w:cs="David" w:hint="cs"/>
                                <w:rtl/>
                              </w:rPr>
                              <w:t xml:space="preserve"> </w:t>
                            </w:r>
                            <w:r>
                              <w:rPr>
                                <w:rFonts w:ascii="David" w:hAnsi="David" w:cs="David" w:hint="cs"/>
                                <w:u w:val="single"/>
                                <w:rtl/>
                              </w:rPr>
                              <w:t>הלכתית</w:t>
                            </w:r>
                            <w:r>
                              <w:rPr>
                                <w:rFonts w:ascii="David" w:hAnsi="David" w:cs="David" w:hint="cs"/>
                                <w:rtl/>
                              </w:rPr>
                              <w:t>, יש</w:t>
                            </w:r>
                            <w:r w:rsidR="00AF5BE0">
                              <w:rPr>
                                <w:rFonts w:ascii="David" w:hAnsi="David" w:cs="David" w:hint="cs"/>
                                <w:rtl/>
                              </w:rPr>
                              <w:t xml:space="preserve"> </w:t>
                            </w:r>
                            <w:r>
                              <w:rPr>
                                <w:rFonts w:ascii="David" w:hAnsi="David" w:cs="David" w:hint="cs"/>
                                <w:rtl/>
                              </w:rPr>
                              <w:t>סיכון לגט</w:t>
                            </w:r>
                            <w:r w:rsidR="00AF5BE0">
                              <w:rPr>
                                <w:rFonts w:ascii="David" w:hAnsi="David" w:cs="David" w:hint="cs"/>
                                <w:rtl/>
                              </w:rPr>
                              <w:t xml:space="preserve"> </w:t>
                            </w:r>
                            <w:r>
                              <w:rPr>
                                <w:rFonts w:ascii="David" w:hAnsi="David" w:cs="David" w:hint="cs"/>
                                <w:rtl/>
                              </w:rPr>
                              <w:t>מעושה.</w:t>
                            </w:r>
                            <w:r w:rsidR="003628D8">
                              <w:rPr>
                                <w:rFonts w:ascii="David" w:hAnsi="David" w:cs="David" w:hint="cs"/>
                                <w:rtl/>
                              </w:rPr>
                              <w:t xml:space="preserve"> </w:t>
                            </w:r>
                            <w:r>
                              <w:rPr>
                                <w:rFonts w:ascii="David" w:hAnsi="David" w:cs="David" w:hint="cs"/>
                                <w:u w:val="single"/>
                                <w:rtl/>
                              </w:rPr>
                              <w:t>פרוצדורלית</w:t>
                            </w:r>
                            <w:r>
                              <w:rPr>
                                <w:rFonts w:ascii="David" w:hAnsi="David" w:cs="David" w:hint="cs"/>
                                <w:rtl/>
                              </w:rPr>
                              <w:t>, סמכות ביהמ"ש לענייני משפחה בענייני ביד"ר, ו</w:t>
                            </w:r>
                            <w:r>
                              <w:rPr>
                                <w:rFonts w:ascii="David" w:hAnsi="David" w:cs="David" w:hint="cs"/>
                                <w:u w:val="single"/>
                                <w:rtl/>
                              </w:rPr>
                              <w:t>מהותית</w:t>
                            </w:r>
                            <w:r>
                              <w:rPr>
                                <w:rFonts w:ascii="David" w:hAnsi="David" w:cs="David" w:hint="cs"/>
                                <w:rtl/>
                              </w:rPr>
                              <w:t>, כיצד ניתן לקבוע 'אזרחית' שקיימת סרבנות?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CFFD" id="Text Box 58" o:spid="_x0000_s1058" type="#_x0000_t202" style="position:absolute;left:0;text-align:left;margin-left:84.15pt;margin-top:.7pt;width:128.4pt;height:11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f3PgIAAIU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" fillcolor="white [3201]" strokeweight=".5pt">
                <v:textbox>
                  <w:txbxContent>
                    <w:p w14:paraId="4A403FA9" w14:textId="77777777" w:rsidR="00881746" w:rsidRDefault="00881746" w:rsidP="003628D8">
                      <w:pPr>
                        <w:bidi/>
                        <w:spacing w:after="0"/>
                        <w:rPr>
                          <w:rFonts w:ascii="David" w:hAnsi="David" w:cs="David"/>
                          <w:rtl/>
                        </w:rPr>
                      </w:pPr>
                      <w:r>
                        <w:rPr>
                          <w:rFonts w:ascii="David" w:hAnsi="David" w:cs="David" w:hint="cs"/>
                          <w:rtl/>
                        </w:rPr>
                        <w:t xml:space="preserve">אינטראקציה </w:t>
                      </w:r>
                      <w:r>
                        <w:rPr>
                          <w:rFonts w:ascii="David" w:hAnsi="David" w:cs="David" w:hint="cs"/>
                          <w:b/>
                          <w:bCs/>
                          <w:rtl/>
                        </w:rPr>
                        <w:t>שלילית</w:t>
                      </w:r>
                      <w:r>
                        <w:rPr>
                          <w:rFonts w:ascii="David" w:hAnsi="David" w:cs="David" w:hint="cs"/>
                          <w:rtl/>
                        </w:rPr>
                        <w:t>.</w:t>
                      </w:r>
                    </w:p>
                    <w:p w14:paraId="731434C4" w14:textId="5CE87821" w:rsidR="00881746" w:rsidRPr="00AF5BE0" w:rsidRDefault="00881746" w:rsidP="003628D8">
                      <w:pPr>
                        <w:bidi/>
                        <w:spacing w:after="0"/>
                        <w:rPr>
                          <w:rFonts w:ascii="David" w:hAnsi="David" w:cs="David"/>
                        </w:rPr>
                      </w:pPr>
                      <w:r w:rsidRPr="003628D8">
                        <w:rPr>
                          <w:rFonts w:ascii="David" w:hAnsi="David" w:cs="David" w:hint="cs"/>
                          <w:b/>
                          <w:bCs/>
                          <w:rtl/>
                        </w:rPr>
                        <w:t>דוגמא:</w:t>
                      </w:r>
                      <w:r>
                        <w:rPr>
                          <w:rFonts w:ascii="David" w:hAnsi="David" w:cs="David" w:hint="cs"/>
                          <w:rtl/>
                        </w:rPr>
                        <w:t xml:space="preserve"> תביעה אזרחית בגין סרבנות גט.</w:t>
                      </w:r>
                      <w:r w:rsidR="00AF5BE0">
                        <w:rPr>
                          <w:rFonts w:ascii="David" w:hAnsi="David" w:cs="David" w:hint="cs"/>
                          <w:rtl/>
                        </w:rPr>
                        <w:t xml:space="preserve"> </w:t>
                      </w:r>
                      <w:r>
                        <w:rPr>
                          <w:rFonts w:ascii="David" w:hAnsi="David" w:cs="David" w:hint="cs"/>
                          <w:u w:val="single"/>
                          <w:rtl/>
                        </w:rPr>
                        <w:t>הלכתית</w:t>
                      </w:r>
                      <w:r>
                        <w:rPr>
                          <w:rFonts w:ascii="David" w:hAnsi="David" w:cs="David" w:hint="cs"/>
                          <w:rtl/>
                        </w:rPr>
                        <w:t>, יש</w:t>
                      </w:r>
                      <w:r w:rsidR="00AF5BE0">
                        <w:rPr>
                          <w:rFonts w:ascii="David" w:hAnsi="David" w:cs="David" w:hint="cs"/>
                          <w:rtl/>
                        </w:rPr>
                        <w:t xml:space="preserve"> </w:t>
                      </w:r>
                      <w:r>
                        <w:rPr>
                          <w:rFonts w:ascii="David" w:hAnsi="David" w:cs="David" w:hint="cs"/>
                          <w:rtl/>
                        </w:rPr>
                        <w:t>סיכון לגט</w:t>
                      </w:r>
                      <w:r w:rsidR="00AF5BE0">
                        <w:rPr>
                          <w:rFonts w:ascii="David" w:hAnsi="David" w:cs="David" w:hint="cs"/>
                          <w:rtl/>
                        </w:rPr>
                        <w:t xml:space="preserve"> </w:t>
                      </w:r>
                      <w:r>
                        <w:rPr>
                          <w:rFonts w:ascii="David" w:hAnsi="David" w:cs="David" w:hint="cs"/>
                          <w:rtl/>
                        </w:rPr>
                        <w:t>מעושה.</w:t>
                      </w:r>
                      <w:r w:rsidR="003628D8">
                        <w:rPr>
                          <w:rFonts w:ascii="David" w:hAnsi="David" w:cs="David" w:hint="cs"/>
                          <w:rtl/>
                        </w:rPr>
                        <w:t xml:space="preserve"> </w:t>
                      </w:r>
                      <w:r>
                        <w:rPr>
                          <w:rFonts w:ascii="David" w:hAnsi="David" w:cs="David" w:hint="cs"/>
                          <w:u w:val="single"/>
                          <w:rtl/>
                        </w:rPr>
                        <w:t>פרוצדורלית</w:t>
                      </w:r>
                      <w:r>
                        <w:rPr>
                          <w:rFonts w:ascii="David" w:hAnsi="David" w:cs="David" w:hint="cs"/>
                          <w:rtl/>
                        </w:rPr>
                        <w:t>, סמכות ביהמ"ש לענייני משפחה בענייני ביד"ר, ו</w:t>
                      </w:r>
                      <w:r>
                        <w:rPr>
                          <w:rFonts w:ascii="David" w:hAnsi="David" w:cs="David" w:hint="cs"/>
                          <w:u w:val="single"/>
                          <w:rtl/>
                        </w:rPr>
                        <w:t>מהותית</w:t>
                      </w:r>
                      <w:r>
                        <w:rPr>
                          <w:rFonts w:ascii="David" w:hAnsi="David" w:cs="David" w:hint="cs"/>
                          <w:rtl/>
                        </w:rPr>
                        <w:t>, כיצד ניתן לקבוע 'אזרחית' שקיימת סרבנות?</w:t>
                      </w:r>
                    </w:p>
                  </w:txbxContent>
                </v:textbox>
              </v:shape>
            </w:pict>
          </mc:Fallback>
        </mc:AlternateContent>
      </w:r>
    </w:p>
    <w:p w14:paraId="78656950" w14:textId="3C024842" w:rsidR="00881746" w:rsidRPr="00881746" w:rsidRDefault="00881746" w:rsidP="00CC7DF2">
      <w:pPr>
        <w:bidi/>
        <w:spacing w:line="276" w:lineRule="auto"/>
        <w:jc w:val="both"/>
        <w:rPr>
          <w:rFonts w:ascii="David" w:hAnsi="David" w:cs="David"/>
          <w:rtl/>
        </w:rPr>
      </w:pPr>
    </w:p>
    <w:p w14:paraId="65D4C84D" w14:textId="4D89A58D" w:rsidR="00881746" w:rsidRDefault="00881746" w:rsidP="00881746">
      <w:pPr>
        <w:bidi/>
        <w:spacing w:line="276" w:lineRule="auto"/>
        <w:jc w:val="both"/>
        <w:rPr>
          <w:rFonts w:ascii="David" w:hAnsi="David" w:cs="David"/>
          <w:rtl/>
        </w:rPr>
      </w:pPr>
    </w:p>
    <w:p w14:paraId="5C510C1D" w14:textId="3D0FDA56" w:rsidR="00881746" w:rsidRDefault="00881746" w:rsidP="00881746">
      <w:pPr>
        <w:bidi/>
        <w:spacing w:line="276" w:lineRule="auto"/>
        <w:jc w:val="both"/>
        <w:rPr>
          <w:rFonts w:ascii="David" w:hAnsi="David" w:cs="David"/>
          <w:rtl/>
        </w:rPr>
      </w:pPr>
    </w:p>
    <w:p w14:paraId="66F1C21F" w14:textId="77777777" w:rsidR="00881746" w:rsidRDefault="00881746" w:rsidP="00881746">
      <w:pPr>
        <w:bidi/>
        <w:spacing w:line="276" w:lineRule="auto"/>
        <w:jc w:val="both"/>
        <w:rPr>
          <w:rFonts w:ascii="David" w:hAnsi="David" w:cs="David"/>
          <w:rtl/>
        </w:rPr>
      </w:pPr>
    </w:p>
    <w:p w14:paraId="1A2B4B45" w14:textId="57B64737" w:rsidR="00881746" w:rsidRDefault="00881746" w:rsidP="00881746">
      <w:pPr>
        <w:bidi/>
        <w:spacing w:line="276" w:lineRule="auto"/>
        <w:jc w:val="both"/>
        <w:rPr>
          <w:rFonts w:ascii="David" w:hAnsi="David" w:cs="David"/>
          <w:rtl/>
        </w:rPr>
      </w:pPr>
    </w:p>
    <w:p w14:paraId="43154098" w14:textId="644DE361" w:rsidR="00AA01FD" w:rsidRDefault="00BC14FF" w:rsidP="00AA01FD">
      <w:pPr>
        <w:bidi/>
        <w:spacing w:line="276" w:lineRule="auto"/>
        <w:jc w:val="both"/>
        <w:rPr>
          <w:rFonts w:ascii="David" w:hAnsi="David" w:cs="David"/>
          <w:rtl/>
        </w:rPr>
      </w:pPr>
      <w:r>
        <w:rPr>
          <w:rFonts w:ascii="David" w:hAnsi="David" w:cs="David" w:hint="cs"/>
          <w:rtl/>
        </w:rPr>
        <w:t xml:space="preserve">מכאן נשוב למקרה הבוחן, שנכנס גם הוא </w:t>
      </w:r>
      <w:r w:rsidRPr="00130310">
        <w:rPr>
          <w:rFonts w:ascii="David" w:hAnsi="David" w:cs="David" w:hint="cs"/>
          <w:b/>
          <w:bCs/>
          <w:rtl/>
        </w:rPr>
        <w:t>לסוג הרביעי</w:t>
      </w:r>
      <w:r>
        <w:rPr>
          <w:rFonts w:ascii="David" w:hAnsi="David" w:cs="David" w:hint="cs"/>
          <w:rtl/>
        </w:rPr>
        <w:t>. בשנים האחרונות עלו בבימ"ש מעין סרבנות גט במגזר הקתולי. כמעט ולא ניתן להתגרש במגזר, אלא בתנאים חריגים (אי קיום יחסים, מחלת נפש, מחלת מין, ניאוף), או ע"י המרת דת ולאחר הגירושין לשוב אל הדת</w:t>
      </w:r>
      <w:r w:rsidR="00AA01FD">
        <w:rPr>
          <w:rFonts w:ascii="David" w:hAnsi="David" w:cs="David" w:hint="cs"/>
          <w:rtl/>
        </w:rPr>
        <w:t>.</w:t>
      </w:r>
    </w:p>
    <w:p w14:paraId="7E9E4C32" w14:textId="699C3A85" w:rsidR="00AA01FD" w:rsidRPr="00E67672" w:rsidRDefault="00E67672" w:rsidP="00AA01FD">
      <w:pPr>
        <w:bidi/>
        <w:spacing w:line="276" w:lineRule="auto"/>
        <w:jc w:val="both"/>
        <w:rPr>
          <w:rFonts w:ascii="David" w:hAnsi="David" w:cs="David"/>
          <w:b/>
          <w:bCs/>
          <w:rtl/>
        </w:rPr>
      </w:pPr>
      <w:r>
        <w:rPr>
          <w:rFonts w:ascii="David" w:hAnsi="David" w:cs="David"/>
          <w:noProof/>
          <w:rtl/>
          <w:lang w:val="he-IL"/>
        </w:rPr>
        <w:drawing>
          <wp:anchor distT="0" distB="0" distL="114300" distR="114300" simplePos="0" relativeHeight="251751424" behindDoc="1" locked="0" layoutInCell="1" allowOverlap="1" wp14:anchorId="59D5EF19" wp14:editId="3D594817">
            <wp:simplePos x="0" y="0"/>
            <wp:positionH relativeFrom="margin">
              <wp:posOffset>-360973</wp:posOffset>
            </wp:positionH>
            <wp:positionV relativeFrom="paragraph">
              <wp:posOffset>217414</wp:posOffset>
            </wp:positionV>
            <wp:extent cx="6908800" cy="1230630"/>
            <wp:effectExtent l="19050" t="0" r="25400" b="0"/>
            <wp:wrapTight wrapText="bothSides">
              <wp:wrapPolygon edited="0">
                <wp:start x="-60" y="3009"/>
                <wp:lineTo x="-60" y="18390"/>
                <wp:lineTo x="21620" y="18390"/>
                <wp:lineTo x="21620" y="3009"/>
                <wp:lineTo x="-60" y="3009"/>
              </wp:wrapPolygon>
            </wp:wrapTight>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AA01FD" w:rsidRPr="00E67672">
        <w:rPr>
          <w:rFonts w:ascii="David" w:hAnsi="David" w:cs="David" w:hint="cs"/>
          <w:b/>
          <w:bCs/>
          <w:rtl/>
        </w:rPr>
        <w:t xml:space="preserve">המהלך של </w:t>
      </w:r>
      <w:r w:rsidRPr="00E67672">
        <w:rPr>
          <w:rFonts w:ascii="David" w:hAnsi="David" w:cs="David" w:hint="cs"/>
          <w:b/>
          <w:bCs/>
          <w:rtl/>
        </w:rPr>
        <w:t>פרופסור שמואלי:</w:t>
      </w:r>
      <w:r w:rsidRPr="00E67672">
        <w:rPr>
          <w:rFonts w:ascii="David" w:hAnsi="David" w:cs="David" w:hint="cs"/>
          <w:b/>
          <w:bCs/>
        </w:rPr>
        <w:t xml:space="preserve"> </w:t>
      </w:r>
    </w:p>
    <w:p w14:paraId="1F032E51" w14:textId="3BAE8AA6" w:rsidR="00FA1D3C" w:rsidRDefault="005F0E9E" w:rsidP="00E11526">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62688" behindDoc="0" locked="0" layoutInCell="1" allowOverlap="1" wp14:anchorId="188BE2D6" wp14:editId="119F992F">
                <wp:simplePos x="0" y="0"/>
                <wp:positionH relativeFrom="column">
                  <wp:posOffset>-513471</wp:posOffset>
                </wp:positionH>
                <wp:positionV relativeFrom="paragraph">
                  <wp:posOffset>1104753</wp:posOffset>
                </wp:positionV>
                <wp:extent cx="963637" cy="1315329"/>
                <wp:effectExtent l="0" t="0" r="27305" b="18415"/>
                <wp:wrapNone/>
                <wp:docPr id="114946945" name="Text Box 114946945"/>
                <wp:cNvGraphicFramePr/>
                <a:graphic xmlns:a="http://schemas.openxmlformats.org/drawingml/2006/main">
                  <a:graphicData uri="http://schemas.microsoft.com/office/word/2010/wordprocessingShape">
                    <wps:wsp>
                      <wps:cNvSpPr txBox="1"/>
                      <wps:spPr>
                        <a:xfrm>
                          <a:off x="0" y="0"/>
                          <a:ext cx="963637" cy="1315329"/>
                        </a:xfrm>
                        <a:prstGeom prst="rect">
                          <a:avLst/>
                        </a:prstGeom>
                        <a:solidFill>
                          <a:schemeClr val="lt1"/>
                        </a:solidFill>
                        <a:ln w="6350">
                          <a:solidFill>
                            <a:prstClr val="black"/>
                          </a:solidFill>
                        </a:ln>
                      </wps:spPr>
                      <wps:txbx>
                        <w:txbxContent>
                          <w:p w14:paraId="68B3A707" w14:textId="07B2C4C3" w:rsidR="005979F3" w:rsidRPr="005F0E9E" w:rsidRDefault="005979F3" w:rsidP="005979F3">
                            <w:pPr>
                              <w:bidi/>
                              <w:rPr>
                                <w:rFonts w:ascii="David" w:hAnsi="David" w:cs="David"/>
                                <w:sz w:val="14"/>
                                <w:szCs w:val="14"/>
                              </w:rPr>
                            </w:pPr>
                            <w:r w:rsidRPr="005F0E9E">
                              <w:rPr>
                                <w:rFonts w:ascii="David" w:hAnsi="David" w:cs="David"/>
                                <w:sz w:val="18"/>
                                <w:szCs w:val="18"/>
                                <w:rtl/>
                              </w:rPr>
                              <w:t>כשההמרה רצויה מבחינה חברתית ודתית (כלומר יש הסכמה של חכמי הדת שמוטב שיתגרשו) ובן הזוג חזר בו מהסכמה, צריך לשקול לתת פיצויים נזיקיים.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BE2D6" id="Text Box 114946945" o:spid="_x0000_s1059" type="#_x0000_t202" style="position:absolute;left:0;text-align:left;margin-left:-40.45pt;margin-top:87pt;width:75.9pt;height:10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" fillcolor="white [3201]" strokeweight=".5pt">
                <v:textbox>
                  <w:txbxContent>
                    <w:p w14:paraId="68B3A707" w14:textId="07B2C4C3" w:rsidR="005979F3" w:rsidRPr="005F0E9E" w:rsidRDefault="005979F3" w:rsidP="005979F3">
                      <w:pPr>
                        <w:bidi/>
                        <w:rPr>
                          <w:rFonts w:ascii="David" w:hAnsi="David" w:cs="David"/>
                          <w:sz w:val="14"/>
                          <w:szCs w:val="14"/>
                        </w:rPr>
                      </w:pPr>
                      <w:r w:rsidRPr="005F0E9E">
                        <w:rPr>
                          <w:rFonts w:ascii="David" w:hAnsi="David" w:cs="David"/>
                          <w:sz w:val="18"/>
                          <w:szCs w:val="18"/>
                          <w:rtl/>
                        </w:rPr>
                        <w:t>כשההמרה רצויה מבחינה חברתית ודתית (כלומר יש הסכמה של חכמי הדת שמוטב שיתגרשו) ובן הזוג חזר בו מהסכמה, צריך לשקול לתת פיצויים נזיקיים.</w:t>
                      </w:r>
                    </w:p>
                  </w:txbxContent>
                </v:textbox>
              </v:shape>
            </w:pict>
          </mc:Fallback>
        </mc:AlternateContent>
      </w:r>
      <w:r w:rsidR="00AD5E68">
        <w:rPr>
          <w:rFonts w:ascii="David" w:hAnsi="David" w:cs="David"/>
          <w:noProof/>
          <w:rtl/>
          <w:lang w:val="he-IL"/>
        </w:rPr>
        <mc:AlternateContent>
          <mc:Choice Requires="wps">
            <w:drawing>
              <wp:anchor distT="0" distB="0" distL="114300" distR="114300" simplePos="0" relativeHeight="251758592" behindDoc="0" locked="0" layoutInCell="1" allowOverlap="1" wp14:anchorId="0E58D818" wp14:editId="30B023B3">
                <wp:simplePos x="0" y="0"/>
                <wp:positionH relativeFrom="column">
                  <wp:posOffset>1644211</wp:posOffset>
                </wp:positionH>
                <wp:positionV relativeFrom="paragraph">
                  <wp:posOffset>1169035</wp:posOffset>
                </wp:positionV>
                <wp:extent cx="914400" cy="710418"/>
                <wp:effectExtent l="0" t="0" r="19050" b="13970"/>
                <wp:wrapNone/>
                <wp:docPr id="63" name="Text Box 63"/>
                <wp:cNvGraphicFramePr/>
                <a:graphic xmlns:a="http://schemas.openxmlformats.org/drawingml/2006/main">
                  <a:graphicData uri="http://schemas.microsoft.com/office/word/2010/wordprocessingShape">
                    <wps:wsp>
                      <wps:cNvSpPr txBox="1"/>
                      <wps:spPr>
                        <a:xfrm>
                          <a:off x="0" y="0"/>
                          <a:ext cx="914400" cy="710418"/>
                        </a:xfrm>
                        <a:prstGeom prst="rect">
                          <a:avLst/>
                        </a:prstGeom>
                        <a:solidFill>
                          <a:schemeClr val="lt1"/>
                        </a:solidFill>
                        <a:ln w="6350">
                          <a:solidFill>
                            <a:prstClr val="black"/>
                          </a:solidFill>
                        </a:ln>
                      </wps:spPr>
                      <wps:txbx>
                        <w:txbxContent>
                          <w:p w14:paraId="03DDF168" w14:textId="7833A7FE" w:rsidR="00AF58B8" w:rsidRPr="00FC01D1" w:rsidRDefault="00AF58B8" w:rsidP="00AF58B8">
                            <w:pPr>
                              <w:bidi/>
                              <w:rPr>
                                <w:rFonts w:ascii="David" w:hAnsi="David" w:cs="David"/>
                                <w:sz w:val="18"/>
                                <w:szCs w:val="18"/>
                              </w:rPr>
                            </w:pPr>
                            <w:r w:rsidRPr="00DF1C1A">
                              <w:rPr>
                                <w:rStyle w:val="QuoteChar"/>
                                <w:rFonts w:hint="cs"/>
                                <w:sz w:val="20"/>
                                <w:szCs w:val="20"/>
                                <w:rtl/>
                              </w:rPr>
                              <w:t>ע.נ</w:t>
                            </w:r>
                            <w:r w:rsidR="007A4E18" w:rsidRPr="00DF1C1A">
                              <w:rPr>
                                <w:rStyle w:val="QuoteChar"/>
                                <w:rFonts w:hint="cs"/>
                                <w:sz w:val="20"/>
                                <w:szCs w:val="20"/>
                                <w:rtl/>
                              </w:rPr>
                              <w:t>' ע.</w:t>
                            </w:r>
                            <w:r w:rsidR="007A4E18" w:rsidRPr="00DF1C1A">
                              <w:rPr>
                                <w:rFonts w:ascii="David" w:hAnsi="David" w:cs="David" w:hint="cs"/>
                                <w:sz w:val="16"/>
                                <w:szCs w:val="16"/>
                                <w:rtl/>
                              </w:rPr>
                              <w:t xml:space="preserve"> </w:t>
                            </w:r>
                            <w:r w:rsidR="007A4E18">
                              <w:rPr>
                                <w:rFonts w:ascii="David" w:hAnsi="David" w:cs="David" w:hint="cs"/>
                                <w:sz w:val="18"/>
                                <w:szCs w:val="18"/>
                                <w:rtl/>
                              </w:rPr>
                              <w:t>- מקרה בו התקבלה תביעה לפיצויים בגין סרבנות גט במגזר הקתולי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8D818" id="Text Box 63" o:spid="_x0000_s1060" type="#_x0000_t202" style="position:absolute;left:0;text-align:left;margin-left:129.45pt;margin-top:92.05pt;width:1in;height:55.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" fillcolor="white [3201]" strokeweight=".5pt">
                <v:textbox>
                  <w:txbxContent>
                    <w:p w14:paraId="03DDF168" w14:textId="7833A7FE" w:rsidR="00AF58B8" w:rsidRPr="00FC01D1" w:rsidRDefault="00AF58B8" w:rsidP="00AF58B8">
                      <w:pPr>
                        <w:bidi/>
                        <w:rPr>
                          <w:rFonts w:ascii="David" w:hAnsi="David" w:cs="David"/>
                          <w:sz w:val="18"/>
                          <w:szCs w:val="18"/>
                        </w:rPr>
                      </w:pPr>
                      <w:r w:rsidRPr="00DF1C1A">
                        <w:rPr>
                          <w:rStyle w:val="QuoteChar"/>
                          <w:rFonts w:hint="cs"/>
                          <w:sz w:val="20"/>
                          <w:szCs w:val="20"/>
                          <w:rtl/>
                        </w:rPr>
                        <w:t>ע.נ</w:t>
                      </w:r>
                      <w:r w:rsidR="007A4E18" w:rsidRPr="00DF1C1A">
                        <w:rPr>
                          <w:rStyle w:val="QuoteChar"/>
                          <w:rFonts w:hint="cs"/>
                          <w:sz w:val="20"/>
                          <w:szCs w:val="20"/>
                          <w:rtl/>
                        </w:rPr>
                        <w:t>' ע.</w:t>
                      </w:r>
                      <w:r w:rsidR="007A4E18" w:rsidRPr="00DF1C1A">
                        <w:rPr>
                          <w:rFonts w:ascii="David" w:hAnsi="David" w:cs="David" w:hint="cs"/>
                          <w:sz w:val="16"/>
                          <w:szCs w:val="16"/>
                          <w:rtl/>
                        </w:rPr>
                        <w:t xml:space="preserve"> </w:t>
                      </w:r>
                      <w:r w:rsidR="007A4E18">
                        <w:rPr>
                          <w:rFonts w:ascii="David" w:hAnsi="David" w:cs="David" w:hint="cs"/>
                          <w:sz w:val="18"/>
                          <w:szCs w:val="18"/>
                          <w:rtl/>
                        </w:rPr>
                        <w:t>- מקרה בו התקבלה תביעה לפיצויים בגין סרבנות גט במגזר הקתולי</w:t>
                      </w:r>
                    </w:p>
                  </w:txbxContent>
                </v:textbox>
              </v:shape>
            </w:pict>
          </mc:Fallback>
        </mc:AlternateContent>
      </w:r>
      <w:r w:rsidR="00AD5E68">
        <w:rPr>
          <w:rFonts w:ascii="David" w:hAnsi="David" w:cs="David"/>
          <w:noProof/>
          <w:rtl/>
          <w:lang w:val="he-IL"/>
        </w:rPr>
        <mc:AlternateContent>
          <mc:Choice Requires="wps">
            <w:drawing>
              <wp:anchor distT="0" distB="0" distL="114300" distR="114300" simplePos="0" relativeHeight="251760640" behindDoc="0" locked="0" layoutInCell="1" allowOverlap="1" wp14:anchorId="08C5992A" wp14:editId="6A710785">
                <wp:simplePos x="0" y="0"/>
                <wp:positionH relativeFrom="column">
                  <wp:posOffset>520505</wp:posOffset>
                </wp:positionH>
                <wp:positionV relativeFrom="paragraph">
                  <wp:posOffset>1118821</wp:posOffset>
                </wp:positionV>
                <wp:extent cx="1054735" cy="3059723"/>
                <wp:effectExtent l="0" t="0" r="12065" b="26670"/>
                <wp:wrapNone/>
                <wp:docPr id="114946944" name="Text Box 114946944"/>
                <wp:cNvGraphicFramePr/>
                <a:graphic xmlns:a="http://schemas.openxmlformats.org/drawingml/2006/main">
                  <a:graphicData uri="http://schemas.microsoft.com/office/word/2010/wordprocessingShape">
                    <wps:wsp>
                      <wps:cNvSpPr txBox="1"/>
                      <wps:spPr>
                        <a:xfrm>
                          <a:off x="0" y="0"/>
                          <a:ext cx="1054735" cy="3059723"/>
                        </a:xfrm>
                        <a:prstGeom prst="rect">
                          <a:avLst/>
                        </a:prstGeom>
                        <a:solidFill>
                          <a:schemeClr val="lt1"/>
                        </a:solidFill>
                        <a:ln w="6350">
                          <a:solidFill>
                            <a:prstClr val="black"/>
                          </a:solidFill>
                        </a:ln>
                      </wps:spPr>
                      <wps:txbx>
                        <w:txbxContent>
                          <w:p w14:paraId="677D9CB7" w14:textId="3D5342EE" w:rsidR="00B01FE7" w:rsidRPr="008B738A" w:rsidRDefault="008B738A" w:rsidP="00B01FE7">
                            <w:pPr>
                              <w:bidi/>
                              <w:rPr>
                                <w:rStyle w:val="QuoteChar"/>
                                <w:b w:val="0"/>
                                <w:bCs w:val="0"/>
                                <w:color w:val="auto"/>
                                <w:sz w:val="18"/>
                                <w:szCs w:val="18"/>
                                <w:rtl/>
                              </w:rPr>
                            </w:pPr>
                            <w:r w:rsidRPr="008B738A">
                              <w:rPr>
                                <w:rStyle w:val="QuoteChar"/>
                                <w:rFonts w:hint="cs"/>
                                <w:b w:val="0"/>
                                <w:bCs w:val="0"/>
                                <w:color w:val="auto"/>
                                <w:sz w:val="18"/>
                                <w:szCs w:val="18"/>
                                <w:rtl/>
                              </w:rPr>
                              <w:t>על מי נטל ההוכחה להוכחת המניע מחזרה להבטחה להתגרש?</w:t>
                            </w:r>
                          </w:p>
                          <w:p w14:paraId="0D3ACCB2" w14:textId="54EBF161" w:rsidR="008B738A" w:rsidRDefault="008B738A" w:rsidP="008B738A">
                            <w:pPr>
                              <w:bidi/>
                              <w:rPr>
                                <w:rStyle w:val="QuoteChar"/>
                                <w:b w:val="0"/>
                                <w:bCs w:val="0"/>
                                <w:color w:val="auto"/>
                                <w:sz w:val="18"/>
                                <w:szCs w:val="18"/>
                                <w:rtl/>
                              </w:rPr>
                            </w:pPr>
                            <w:r w:rsidRPr="008B738A">
                              <w:rPr>
                                <w:rStyle w:val="QuoteChar"/>
                                <w:rFonts w:hint="cs"/>
                                <w:b w:val="0"/>
                                <w:bCs w:val="0"/>
                                <w:color w:val="auto"/>
                                <w:sz w:val="18"/>
                                <w:szCs w:val="18"/>
                                <w:rtl/>
                              </w:rPr>
                              <w:t>מה עושים במקרה בו לא הייתה הבטחה? (שתיקה)</w:t>
                            </w:r>
                          </w:p>
                          <w:p w14:paraId="5538FCD7" w14:textId="27BB997E" w:rsidR="008B738A" w:rsidRDefault="008B738A" w:rsidP="008B738A">
                            <w:pPr>
                              <w:bidi/>
                              <w:rPr>
                                <w:rStyle w:val="QuoteChar"/>
                                <w:b w:val="0"/>
                                <w:bCs w:val="0"/>
                                <w:color w:val="auto"/>
                                <w:sz w:val="18"/>
                                <w:szCs w:val="18"/>
                                <w:rtl/>
                              </w:rPr>
                            </w:pPr>
                            <w:r>
                              <w:rPr>
                                <w:rStyle w:val="QuoteChar"/>
                                <w:rFonts w:hint="cs"/>
                                <w:b w:val="0"/>
                                <w:bCs w:val="0"/>
                                <w:color w:val="auto"/>
                                <w:sz w:val="18"/>
                                <w:szCs w:val="18"/>
                                <w:rtl/>
                              </w:rPr>
                              <w:t xml:space="preserve">הצגת </w:t>
                            </w:r>
                            <w:r w:rsidR="00CB009B">
                              <w:rPr>
                                <w:rStyle w:val="QuoteChar"/>
                                <w:rFonts w:hint="cs"/>
                                <w:b w:val="0"/>
                                <w:bCs w:val="0"/>
                                <w:color w:val="auto"/>
                                <w:sz w:val="18"/>
                                <w:szCs w:val="18"/>
                                <w:rtl/>
                              </w:rPr>
                              <w:t>עימותים בתביעה:</w:t>
                            </w:r>
                            <w:r w:rsidR="00CB009B">
                              <w:rPr>
                                <w:rStyle w:val="QuoteChar"/>
                                <w:rFonts w:hint="cs"/>
                                <w:b w:val="0"/>
                                <w:bCs w:val="0"/>
                                <w:color w:val="auto"/>
                                <w:sz w:val="18"/>
                                <w:szCs w:val="18"/>
                              </w:rPr>
                              <w:t xml:space="preserve"> </w:t>
                            </w:r>
                            <w:r w:rsidR="00CB009B">
                              <w:rPr>
                                <w:rStyle w:val="QuoteChar"/>
                                <w:rFonts w:hint="cs"/>
                                <w:b w:val="0"/>
                                <w:bCs w:val="0"/>
                                <w:color w:val="auto"/>
                                <w:sz w:val="18"/>
                                <w:szCs w:val="18"/>
                                <w:rtl/>
                              </w:rPr>
                              <w:t xml:space="preserve">לא רק דין דתי מול אזרחי, גם התנגשות בין אזרחי לאזרחי </w:t>
                            </w:r>
                            <w:r w:rsidR="00CB009B">
                              <w:rPr>
                                <w:rStyle w:val="QuoteChar"/>
                                <w:b w:val="0"/>
                                <w:bCs w:val="0"/>
                                <w:color w:val="auto"/>
                                <w:sz w:val="18"/>
                                <w:szCs w:val="18"/>
                                <w:rtl/>
                              </w:rPr>
                              <w:t>–</w:t>
                            </w:r>
                            <w:r w:rsidR="00CB009B">
                              <w:rPr>
                                <w:rStyle w:val="QuoteChar"/>
                                <w:rFonts w:hint="cs"/>
                                <w:b w:val="0"/>
                                <w:bCs w:val="0"/>
                                <w:color w:val="auto"/>
                                <w:sz w:val="18"/>
                                <w:szCs w:val="18"/>
                                <w:rtl/>
                              </w:rPr>
                              <w:t xml:space="preserve"> התנגשות בין ערכים חילוניים ליברליים (אוטונומיה מול אוטונומיה)</w:t>
                            </w:r>
                          </w:p>
                          <w:p w14:paraId="30A9CB1A" w14:textId="7A2676EF" w:rsidR="00CB009B" w:rsidRDefault="00CB009B" w:rsidP="00CB009B">
                            <w:pPr>
                              <w:bidi/>
                              <w:rPr>
                                <w:rStyle w:val="QuoteChar"/>
                                <w:b w:val="0"/>
                                <w:bCs w:val="0"/>
                                <w:color w:val="auto"/>
                                <w:sz w:val="18"/>
                                <w:szCs w:val="18"/>
                                <w:rtl/>
                              </w:rPr>
                            </w:pPr>
                            <w:r>
                              <w:rPr>
                                <w:rStyle w:val="QuoteChar"/>
                                <w:rFonts w:hint="cs"/>
                                <w:b w:val="0"/>
                                <w:bCs w:val="0"/>
                                <w:color w:val="auto"/>
                                <w:sz w:val="18"/>
                                <w:szCs w:val="18"/>
                                <w:rtl/>
                              </w:rPr>
                              <w:t>האם נכון להשוות למגזר היהודי?</w:t>
                            </w:r>
                          </w:p>
                          <w:p w14:paraId="62E7C9B5" w14:textId="590F2B65" w:rsidR="00AD5E68" w:rsidRPr="008B738A" w:rsidRDefault="00AD5E68" w:rsidP="00AD5E68">
                            <w:pPr>
                              <w:bidi/>
                              <w:rPr>
                                <w:rFonts w:ascii="David" w:hAnsi="David" w:cs="David"/>
                                <w:b/>
                                <w:bCs/>
                                <w:sz w:val="16"/>
                                <w:szCs w:val="16"/>
                              </w:rPr>
                            </w:pPr>
                            <w:r>
                              <w:rPr>
                                <w:rStyle w:val="QuoteChar"/>
                                <w:rFonts w:hint="cs"/>
                                <w:b w:val="0"/>
                                <w:bCs w:val="0"/>
                                <w:color w:val="auto"/>
                                <w:sz w:val="18"/>
                                <w:szCs w:val="18"/>
                                <w:rtl/>
                              </w:rPr>
                              <w:t xml:space="preserve">מה המניע להסכמה? חופש דת מול נקמנות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992A" id="Text Box 114946944" o:spid="_x0000_s1061" type="#_x0000_t202" style="position:absolute;left:0;text-align:left;margin-left:41pt;margin-top:88.1pt;width:83.05pt;height:2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PcPQIAAIU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" fillcolor="white [3201]" strokeweight=".5pt">
                <v:textbox>
                  <w:txbxContent>
                    <w:p w14:paraId="677D9CB7" w14:textId="3D5342EE" w:rsidR="00B01FE7" w:rsidRPr="008B738A" w:rsidRDefault="008B738A" w:rsidP="00B01FE7">
                      <w:pPr>
                        <w:bidi/>
                        <w:rPr>
                          <w:rStyle w:val="QuoteChar"/>
                          <w:b w:val="0"/>
                          <w:bCs w:val="0"/>
                          <w:color w:val="auto"/>
                          <w:sz w:val="18"/>
                          <w:szCs w:val="18"/>
                          <w:rtl/>
                        </w:rPr>
                      </w:pPr>
                      <w:r w:rsidRPr="008B738A">
                        <w:rPr>
                          <w:rStyle w:val="QuoteChar"/>
                          <w:rFonts w:hint="cs"/>
                          <w:b w:val="0"/>
                          <w:bCs w:val="0"/>
                          <w:color w:val="auto"/>
                          <w:sz w:val="18"/>
                          <w:szCs w:val="18"/>
                          <w:rtl/>
                        </w:rPr>
                        <w:t>על מי נטל ההוכחה להוכחת המניע מחזרה להבטחה להתגרש?</w:t>
                      </w:r>
                    </w:p>
                    <w:p w14:paraId="0D3ACCB2" w14:textId="54EBF161" w:rsidR="008B738A" w:rsidRDefault="008B738A" w:rsidP="008B738A">
                      <w:pPr>
                        <w:bidi/>
                        <w:rPr>
                          <w:rStyle w:val="QuoteChar"/>
                          <w:b w:val="0"/>
                          <w:bCs w:val="0"/>
                          <w:color w:val="auto"/>
                          <w:sz w:val="18"/>
                          <w:szCs w:val="18"/>
                          <w:rtl/>
                        </w:rPr>
                      </w:pPr>
                      <w:r w:rsidRPr="008B738A">
                        <w:rPr>
                          <w:rStyle w:val="QuoteChar"/>
                          <w:rFonts w:hint="cs"/>
                          <w:b w:val="0"/>
                          <w:bCs w:val="0"/>
                          <w:color w:val="auto"/>
                          <w:sz w:val="18"/>
                          <w:szCs w:val="18"/>
                          <w:rtl/>
                        </w:rPr>
                        <w:t>מה עושים במקרה בו לא הייתה הבטחה? (שתיקה)</w:t>
                      </w:r>
                    </w:p>
                    <w:p w14:paraId="5538FCD7" w14:textId="27BB997E" w:rsidR="008B738A" w:rsidRDefault="008B738A" w:rsidP="008B738A">
                      <w:pPr>
                        <w:bidi/>
                        <w:rPr>
                          <w:rStyle w:val="QuoteChar"/>
                          <w:b w:val="0"/>
                          <w:bCs w:val="0"/>
                          <w:color w:val="auto"/>
                          <w:sz w:val="18"/>
                          <w:szCs w:val="18"/>
                          <w:rtl/>
                        </w:rPr>
                      </w:pPr>
                      <w:r>
                        <w:rPr>
                          <w:rStyle w:val="QuoteChar"/>
                          <w:rFonts w:hint="cs"/>
                          <w:b w:val="0"/>
                          <w:bCs w:val="0"/>
                          <w:color w:val="auto"/>
                          <w:sz w:val="18"/>
                          <w:szCs w:val="18"/>
                          <w:rtl/>
                        </w:rPr>
                        <w:t xml:space="preserve">הצגת </w:t>
                      </w:r>
                      <w:r w:rsidR="00CB009B">
                        <w:rPr>
                          <w:rStyle w:val="QuoteChar"/>
                          <w:rFonts w:hint="cs"/>
                          <w:b w:val="0"/>
                          <w:bCs w:val="0"/>
                          <w:color w:val="auto"/>
                          <w:sz w:val="18"/>
                          <w:szCs w:val="18"/>
                          <w:rtl/>
                        </w:rPr>
                        <w:t>עימותים בתביעה:</w:t>
                      </w:r>
                      <w:r w:rsidR="00CB009B">
                        <w:rPr>
                          <w:rStyle w:val="QuoteChar"/>
                          <w:rFonts w:hint="cs"/>
                          <w:b w:val="0"/>
                          <w:bCs w:val="0"/>
                          <w:color w:val="auto"/>
                          <w:sz w:val="18"/>
                          <w:szCs w:val="18"/>
                        </w:rPr>
                        <w:t xml:space="preserve"> </w:t>
                      </w:r>
                      <w:r w:rsidR="00CB009B">
                        <w:rPr>
                          <w:rStyle w:val="QuoteChar"/>
                          <w:rFonts w:hint="cs"/>
                          <w:b w:val="0"/>
                          <w:bCs w:val="0"/>
                          <w:color w:val="auto"/>
                          <w:sz w:val="18"/>
                          <w:szCs w:val="18"/>
                          <w:rtl/>
                        </w:rPr>
                        <w:t xml:space="preserve">לא רק דין דתי מול אזרחי, גם התנגשות בין אזרחי לאזרחי </w:t>
                      </w:r>
                      <w:r w:rsidR="00CB009B">
                        <w:rPr>
                          <w:rStyle w:val="QuoteChar"/>
                          <w:b w:val="0"/>
                          <w:bCs w:val="0"/>
                          <w:color w:val="auto"/>
                          <w:sz w:val="18"/>
                          <w:szCs w:val="18"/>
                          <w:rtl/>
                        </w:rPr>
                        <w:t>–</w:t>
                      </w:r>
                      <w:r w:rsidR="00CB009B">
                        <w:rPr>
                          <w:rStyle w:val="QuoteChar"/>
                          <w:rFonts w:hint="cs"/>
                          <w:b w:val="0"/>
                          <w:bCs w:val="0"/>
                          <w:color w:val="auto"/>
                          <w:sz w:val="18"/>
                          <w:szCs w:val="18"/>
                          <w:rtl/>
                        </w:rPr>
                        <w:t xml:space="preserve"> התנגשות בין ערכים חילוניים ליברליים (אוטונומיה מול אוטונומיה)</w:t>
                      </w:r>
                    </w:p>
                    <w:p w14:paraId="30A9CB1A" w14:textId="7A2676EF" w:rsidR="00CB009B" w:rsidRDefault="00CB009B" w:rsidP="00CB009B">
                      <w:pPr>
                        <w:bidi/>
                        <w:rPr>
                          <w:rStyle w:val="QuoteChar"/>
                          <w:b w:val="0"/>
                          <w:bCs w:val="0"/>
                          <w:color w:val="auto"/>
                          <w:sz w:val="18"/>
                          <w:szCs w:val="18"/>
                          <w:rtl/>
                        </w:rPr>
                      </w:pPr>
                      <w:r>
                        <w:rPr>
                          <w:rStyle w:val="QuoteChar"/>
                          <w:rFonts w:hint="cs"/>
                          <w:b w:val="0"/>
                          <w:bCs w:val="0"/>
                          <w:color w:val="auto"/>
                          <w:sz w:val="18"/>
                          <w:szCs w:val="18"/>
                          <w:rtl/>
                        </w:rPr>
                        <w:t>האם נכון להשוות למגזר היהודי?</w:t>
                      </w:r>
                    </w:p>
                    <w:p w14:paraId="62E7C9B5" w14:textId="590F2B65" w:rsidR="00AD5E68" w:rsidRPr="008B738A" w:rsidRDefault="00AD5E68" w:rsidP="00AD5E68">
                      <w:pPr>
                        <w:bidi/>
                        <w:rPr>
                          <w:rFonts w:ascii="David" w:hAnsi="David" w:cs="David"/>
                          <w:b/>
                          <w:bCs/>
                          <w:sz w:val="16"/>
                          <w:szCs w:val="16"/>
                        </w:rPr>
                      </w:pPr>
                      <w:r>
                        <w:rPr>
                          <w:rStyle w:val="QuoteChar"/>
                          <w:rFonts w:hint="cs"/>
                          <w:b w:val="0"/>
                          <w:bCs w:val="0"/>
                          <w:color w:val="auto"/>
                          <w:sz w:val="18"/>
                          <w:szCs w:val="18"/>
                          <w:rtl/>
                        </w:rPr>
                        <w:t xml:space="preserve">מה המניע להסכמה? חופש דת מול נקמנות </w:t>
                      </w:r>
                    </w:p>
                  </w:txbxContent>
                </v:textbox>
              </v:shape>
            </w:pict>
          </mc:Fallback>
        </mc:AlternateContent>
      </w:r>
      <w:r w:rsidR="00B01FE7">
        <w:rPr>
          <w:rFonts w:ascii="David" w:hAnsi="David" w:cs="David"/>
          <w:noProof/>
          <w:rtl/>
          <w:lang w:val="he-IL"/>
        </w:rPr>
        <mc:AlternateContent>
          <mc:Choice Requires="wps">
            <w:drawing>
              <wp:anchor distT="0" distB="0" distL="114300" distR="114300" simplePos="0" relativeHeight="251752448" behindDoc="0" locked="0" layoutInCell="1" allowOverlap="1" wp14:anchorId="13E24DEE" wp14:editId="6BFE09B6">
                <wp:simplePos x="0" y="0"/>
                <wp:positionH relativeFrom="column">
                  <wp:posOffset>2664802</wp:posOffset>
                </wp:positionH>
                <wp:positionV relativeFrom="paragraph">
                  <wp:posOffset>1189746</wp:posOffset>
                </wp:positionV>
                <wp:extent cx="914400" cy="689317"/>
                <wp:effectExtent l="0" t="0" r="19050" b="15875"/>
                <wp:wrapNone/>
                <wp:docPr id="60" name="Text Box 60"/>
                <wp:cNvGraphicFramePr/>
                <a:graphic xmlns:a="http://schemas.openxmlformats.org/drawingml/2006/main">
                  <a:graphicData uri="http://schemas.microsoft.com/office/word/2010/wordprocessingShape">
                    <wps:wsp>
                      <wps:cNvSpPr txBox="1"/>
                      <wps:spPr>
                        <a:xfrm>
                          <a:off x="0" y="0"/>
                          <a:ext cx="914400" cy="689317"/>
                        </a:xfrm>
                        <a:prstGeom prst="rect">
                          <a:avLst/>
                        </a:prstGeom>
                        <a:solidFill>
                          <a:schemeClr val="lt1"/>
                        </a:solidFill>
                        <a:ln w="6350">
                          <a:solidFill>
                            <a:prstClr val="black"/>
                          </a:solidFill>
                        </a:ln>
                      </wps:spPr>
                      <wps:txbx>
                        <w:txbxContent>
                          <w:p w14:paraId="6285957E" w14:textId="062F79D1" w:rsidR="00F9040C" w:rsidRPr="00FC01D1" w:rsidRDefault="00FC01D1" w:rsidP="00FC01D1">
                            <w:pPr>
                              <w:bidi/>
                              <w:rPr>
                                <w:rFonts w:ascii="David" w:hAnsi="David" w:cs="David"/>
                                <w:sz w:val="18"/>
                                <w:szCs w:val="18"/>
                              </w:rPr>
                            </w:pPr>
                            <w:r w:rsidRPr="00FC01D1">
                              <w:rPr>
                                <w:rFonts w:ascii="David" w:hAnsi="David" w:cs="David"/>
                                <w:sz w:val="18"/>
                                <w:szCs w:val="18"/>
                                <w:rtl/>
                              </w:rPr>
                              <w:t>קשיים בתביעה נזיקית:  הוכחת אשם, קש"ס ושיקולי מדיניות (המרת דת)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24DEE" id="Text Box 60" o:spid="_x0000_s1062" type="#_x0000_t202" style="position:absolute;left:0;text-align:left;margin-left:209.85pt;margin-top:93.7pt;width:1in;height:54.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" fillcolor="white [3201]" strokeweight=".5pt">
                <v:textbox>
                  <w:txbxContent>
                    <w:p w14:paraId="6285957E" w14:textId="062F79D1" w:rsidR="00F9040C" w:rsidRPr="00FC01D1" w:rsidRDefault="00FC01D1" w:rsidP="00FC01D1">
                      <w:pPr>
                        <w:bidi/>
                        <w:rPr>
                          <w:rFonts w:ascii="David" w:hAnsi="David" w:cs="David"/>
                          <w:sz w:val="18"/>
                          <w:szCs w:val="18"/>
                        </w:rPr>
                      </w:pPr>
                      <w:r w:rsidRPr="00FC01D1">
                        <w:rPr>
                          <w:rFonts w:ascii="David" w:hAnsi="David" w:cs="David"/>
                          <w:sz w:val="18"/>
                          <w:szCs w:val="18"/>
                          <w:rtl/>
                        </w:rPr>
                        <w:t>קשיים בתביעה נזיקית:  הוכחת אשם, קש"ס ושיקולי מדיניות (המרת דת)</w:t>
                      </w:r>
                    </w:p>
                  </w:txbxContent>
                </v:textbox>
              </v:shape>
            </w:pict>
          </mc:Fallback>
        </mc:AlternateContent>
      </w:r>
    </w:p>
    <w:p w14:paraId="281DA3B4" w14:textId="4333D99A" w:rsidR="00FA1D3C" w:rsidRDefault="00FA1D3C" w:rsidP="00FA1D3C">
      <w:pPr>
        <w:bidi/>
        <w:spacing w:line="276" w:lineRule="auto"/>
        <w:jc w:val="both"/>
        <w:rPr>
          <w:rFonts w:ascii="David" w:hAnsi="David" w:cs="David"/>
          <w:rtl/>
        </w:rPr>
      </w:pPr>
    </w:p>
    <w:p w14:paraId="4B256021" w14:textId="2415B38F" w:rsidR="00E67672" w:rsidRDefault="00E67672" w:rsidP="00FA1D3C">
      <w:pPr>
        <w:bidi/>
        <w:spacing w:line="276" w:lineRule="auto"/>
        <w:jc w:val="both"/>
        <w:rPr>
          <w:rFonts w:ascii="David" w:hAnsi="David" w:cs="David"/>
          <w:rtl/>
        </w:rPr>
      </w:pPr>
    </w:p>
    <w:p w14:paraId="055FB214" w14:textId="2FC457D3" w:rsidR="00E67672" w:rsidRDefault="00B01FE7" w:rsidP="00E67672">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56544" behindDoc="0" locked="0" layoutInCell="1" allowOverlap="1" wp14:anchorId="4ECE1B43" wp14:editId="468EB35B">
                <wp:simplePos x="0" y="0"/>
                <wp:positionH relativeFrom="column">
                  <wp:posOffset>1658815</wp:posOffset>
                </wp:positionH>
                <wp:positionV relativeFrom="paragraph">
                  <wp:posOffset>79961</wp:posOffset>
                </wp:positionV>
                <wp:extent cx="914400" cy="618979"/>
                <wp:effectExtent l="0" t="0" r="19050" b="10160"/>
                <wp:wrapNone/>
                <wp:docPr id="62" name="Text Box 62"/>
                <wp:cNvGraphicFramePr/>
                <a:graphic xmlns:a="http://schemas.openxmlformats.org/drawingml/2006/main">
                  <a:graphicData uri="http://schemas.microsoft.com/office/word/2010/wordprocessingShape">
                    <wps:wsp>
                      <wps:cNvSpPr txBox="1"/>
                      <wps:spPr>
                        <a:xfrm>
                          <a:off x="0" y="0"/>
                          <a:ext cx="914400" cy="618979"/>
                        </a:xfrm>
                        <a:prstGeom prst="rect">
                          <a:avLst/>
                        </a:prstGeom>
                        <a:solidFill>
                          <a:schemeClr val="lt1"/>
                        </a:solidFill>
                        <a:ln w="6350">
                          <a:solidFill>
                            <a:prstClr val="black"/>
                          </a:solidFill>
                        </a:ln>
                      </wps:spPr>
                      <wps:txbx>
                        <w:txbxContent>
                          <w:p w14:paraId="36CA3C0F" w14:textId="4C7B2F9E" w:rsidR="00AF58B8" w:rsidRPr="00FC01D1" w:rsidRDefault="007A4E18" w:rsidP="00AF58B8">
                            <w:pPr>
                              <w:bidi/>
                              <w:rPr>
                                <w:rFonts w:ascii="David" w:hAnsi="David" w:cs="David"/>
                                <w:sz w:val="18"/>
                                <w:szCs w:val="18"/>
                              </w:rPr>
                            </w:pPr>
                            <w:r w:rsidRPr="00DF1C1A">
                              <w:rPr>
                                <w:rStyle w:val="QuoteChar"/>
                                <w:rFonts w:hint="cs"/>
                                <w:sz w:val="20"/>
                                <w:szCs w:val="20"/>
                                <w:rtl/>
                              </w:rPr>
                              <w:t>פלונית נ' אלמוני</w:t>
                            </w:r>
                            <w:r w:rsidR="00DF1C1A" w:rsidRPr="00DF1C1A">
                              <w:rPr>
                                <w:rFonts w:ascii="David" w:hAnsi="David" w:cs="David" w:hint="cs"/>
                                <w:sz w:val="16"/>
                                <w:szCs w:val="16"/>
                                <w:rtl/>
                              </w:rPr>
                              <w:t xml:space="preserve"> </w:t>
                            </w:r>
                            <w:r w:rsidR="00DF1C1A">
                              <w:rPr>
                                <w:rFonts w:ascii="David" w:hAnsi="David" w:cs="David"/>
                                <w:sz w:val="18"/>
                                <w:szCs w:val="18"/>
                                <w:rtl/>
                              </w:rPr>
                              <w:t>–</w:t>
                            </w:r>
                            <w:r w:rsidR="00DF1C1A">
                              <w:rPr>
                                <w:rFonts w:ascii="David" w:hAnsi="David" w:cs="David" w:hint="cs"/>
                                <w:sz w:val="18"/>
                                <w:szCs w:val="18"/>
                                <w:rtl/>
                              </w:rPr>
                              <w:t xml:space="preserve"> התביעה נדחתה משיקולי מדיניות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E1B43" id="Text Box 62" o:spid="_x0000_s1063" type="#_x0000_t202" style="position:absolute;left:0;text-align:left;margin-left:130.6pt;margin-top:6.3pt;width:1in;height:48.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" fillcolor="white [3201]" strokeweight=".5pt">
                <v:textbox>
                  <w:txbxContent>
                    <w:p w14:paraId="36CA3C0F" w14:textId="4C7B2F9E" w:rsidR="00AF58B8" w:rsidRPr="00FC01D1" w:rsidRDefault="007A4E18" w:rsidP="00AF58B8">
                      <w:pPr>
                        <w:bidi/>
                        <w:rPr>
                          <w:rFonts w:ascii="David" w:hAnsi="David" w:cs="David"/>
                          <w:sz w:val="18"/>
                          <w:szCs w:val="18"/>
                        </w:rPr>
                      </w:pPr>
                      <w:r w:rsidRPr="00DF1C1A">
                        <w:rPr>
                          <w:rStyle w:val="QuoteChar"/>
                          <w:rFonts w:hint="cs"/>
                          <w:sz w:val="20"/>
                          <w:szCs w:val="20"/>
                          <w:rtl/>
                        </w:rPr>
                        <w:t>פלונית נ' אלמוני</w:t>
                      </w:r>
                      <w:r w:rsidR="00DF1C1A" w:rsidRPr="00DF1C1A">
                        <w:rPr>
                          <w:rFonts w:ascii="David" w:hAnsi="David" w:cs="David" w:hint="cs"/>
                          <w:sz w:val="16"/>
                          <w:szCs w:val="16"/>
                          <w:rtl/>
                        </w:rPr>
                        <w:t xml:space="preserve"> </w:t>
                      </w:r>
                      <w:r w:rsidR="00DF1C1A">
                        <w:rPr>
                          <w:rFonts w:ascii="David" w:hAnsi="David" w:cs="David"/>
                          <w:sz w:val="18"/>
                          <w:szCs w:val="18"/>
                          <w:rtl/>
                        </w:rPr>
                        <w:t>–</w:t>
                      </w:r>
                      <w:r w:rsidR="00DF1C1A">
                        <w:rPr>
                          <w:rFonts w:ascii="David" w:hAnsi="David" w:cs="David" w:hint="cs"/>
                          <w:sz w:val="18"/>
                          <w:szCs w:val="18"/>
                          <w:rtl/>
                        </w:rPr>
                        <w:t xml:space="preserve"> התביעה נדחתה משיקולי מדיניות</w:t>
                      </w:r>
                    </w:p>
                  </w:txbxContent>
                </v:textbox>
              </v:shape>
            </w:pict>
          </mc:Fallback>
        </mc:AlternateContent>
      </w:r>
      <w:r>
        <w:rPr>
          <w:rFonts w:ascii="David" w:hAnsi="David" w:cs="David"/>
          <w:noProof/>
          <w:rtl/>
          <w:lang w:val="he-IL"/>
        </w:rPr>
        <mc:AlternateContent>
          <mc:Choice Requires="wps">
            <w:drawing>
              <wp:anchor distT="0" distB="0" distL="114300" distR="114300" simplePos="0" relativeHeight="251754496" behindDoc="0" locked="0" layoutInCell="1" allowOverlap="1" wp14:anchorId="122D83BF" wp14:editId="51578899">
                <wp:simplePos x="0" y="0"/>
                <wp:positionH relativeFrom="column">
                  <wp:posOffset>2679114</wp:posOffset>
                </wp:positionH>
                <wp:positionV relativeFrom="paragraph">
                  <wp:posOffset>101062</wp:posOffset>
                </wp:positionV>
                <wp:extent cx="914400" cy="1610360"/>
                <wp:effectExtent l="0" t="0" r="19050" b="27940"/>
                <wp:wrapNone/>
                <wp:docPr id="61" name="Text Box 61"/>
                <wp:cNvGraphicFramePr/>
                <a:graphic xmlns:a="http://schemas.openxmlformats.org/drawingml/2006/main">
                  <a:graphicData uri="http://schemas.microsoft.com/office/word/2010/wordprocessingShape">
                    <wps:wsp>
                      <wps:cNvSpPr txBox="1"/>
                      <wps:spPr>
                        <a:xfrm>
                          <a:off x="0" y="0"/>
                          <a:ext cx="914400" cy="1610360"/>
                        </a:xfrm>
                        <a:prstGeom prst="rect">
                          <a:avLst/>
                        </a:prstGeom>
                        <a:solidFill>
                          <a:schemeClr val="lt1"/>
                        </a:solidFill>
                        <a:ln w="6350">
                          <a:solidFill>
                            <a:prstClr val="black"/>
                          </a:solidFill>
                        </a:ln>
                      </wps:spPr>
                      <wps:txbx>
                        <w:txbxContent>
                          <w:p w14:paraId="327FCC02" w14:textId="58E692C8" w:rsidR="00EB0EA1" w:rsidRPr="00FC01D1" w:rsidRDefault="00FC01D1" w:rsidP="00B30237">
                            <w:pPr>
                              <w:bidi/>
                              <w:rPr>
                                <w:rFonts w:ascii="David" w:hAnsi="David" w:cs="David"/>
                                <w:sz w:val="18"/>
                                <w:szCs w:val="18"/>
                              </w:rPr>
                            </w:pPr>
                            <w:r w:rsidRPr="00FC01D1">
                              <w:rPr>
                                <w:rFonts w:ascii="David" w:hAnsi="David" w:cs="David"/>
                                <w:sz w:val="18"/>
                                <w:szCs w:val="18"/>
                                <w:rtl/>
                              </w:rPr>
                              <w:t xml:space="preserve">קשיים בתביעה </w:t>
                            </w:r>
                            <w:r>
                              <w:rPr>
                                <w:rFonts w:ascii="David" w:hAnsi="David" w:cs="David" w:hint="cs"/>
                                <w:sz w:val="18"/>
                                <w:szCs w:val="18"/>
                                <w:rtl/>
                              </w:rPr>
                              <w:t>חוזית</w:t>
                            </w:r>
                            <w:r w:rsidRPr="00FC01D1">
                              <w:rPr>
                                <w:rFonts w:ascii="David" w:hAnsi="David" w:cs="David"/>
                                <w:sz w:val="18"/>
                                <w:szCs w:val="18"/>
                                <w:rtl/>
                              </w:rPr>
                              <w:t xml:space="preserve">:  </w:t>
                            </w:r>
                            <w:r>
                              <w:rPr>
                                <w:rFonts w:ascii="David" w:hAnsi="David" w:cs="David" w:hint="cs"/>
                                <w:sz w:val="18"/>
                                <w:szCs w:val="18"/>
                                <w:rtl/>
                              </w:rPr>
                              <w:t xml:space="preserve">האם יש חוזה? </w:t>
                            </w:r>
                            <w:r w:rsidR="00EB0EA1">
                              <w:rPr>
                                <w:rFonts w:ascii="David" w:hAnsi="David" w:cs="David" w:hint="cs"/>
                                <w:sz w:val="18"/>
                                <w:szCs w:val="18"/>
                                <w:rtl/>
                              </w:rPr>
                              <w:t xml:space="preserve">אם כן </w:t>
                            </w:r>
                            <w:r w:rsidR="00EB0EA1">
                              <w:rPr>
                                <w:rFonts w:ascii="David" w:hAnsi="David" w:cs="David"/>
                                <w:sz w:val="18"/>
                                <w:szCs w:val="18"/>
                                <w:rtl/>
                              </w:rPr>
                              <w:t>–</w:t>
                            </w:r>
                            <w:r w:rsidR="00EB0EA1">
                              <w:rPr>
                                <w:rFonts w:ascii="David" w:hAnsi="David" w:cs="David" w:hint="cs"/>
                                <w:sz w:val="18"/>
                                <w:szCs w:val="18"/>
                                <w:rtl/>
                              </w:rPr>
                              <w:t xml:space="preserve"> האם הוא רופף ומה ניתן לקרוא לתוכו?</w:t>
                            </w:r>
                            <w:r w:rsidR="00B30237">
                              <w:rPr>
                                <w:rFonts w:ascii="David" w:hAnsi="David" w:cs="David" w:hint="cs"/>
                                <w:sz w:val="18"/>
                                <w:szCs w:val="18"/>
                                <w:rtl/>
                              </w:rPr>
                              <w:t xml:space="preserve"> </w:t>
                            </w:r>
                            <w:r w:rsidR="00B30237">
                              <w:rPr>
                                <w:rFonts w:ascii="David" w:hAnsi="David" w:cs="David"/>
                                <w:sz w:val="18"/>
                                <w:szCs w:val="18"/>
                                <w:rtl/>
                              </w:rPr>
                              <w:br/>
                            </w:r>
                            <w:r w:rsidR="00B30237">
                              <w:rPr>
                                <w:rFonts w:ascii="David" w:hAnsi="David" w:cs="David" w:hint="cs"/>
                                <w:sz w:val="18"/>
                                <w:szCs w:val="18"/>
                                <w:rtl/>
                              </w:rPr>
                              <w:t>בחוזים</w:t>
                            </w:r>
                            <w:r w:rsidR="00AF58B8">
                              <w:rPr>
                                <w:rFonts w:ascii="David" w:hAnsi="David" w:cs="David" w:hint="cs"/>
                                <w:sz w:val="18"/>
                                <w:szCs w:val="18"/>
                                <w:rtl/>
                              </w:rPr>
                              <w:t>,</w:t>
                            </w:r>
                            <w:r w:rsidR="00EB0EA1">
                              <w:rPr>
                                <w:rFonts w:ascii="David" w:hAnsi="David" w:cs="David" w:hint="cs"/>
                                <w:sz w:val="18"/>
                                <w:szCs w:val="18"/>
                                <w:rtl/>
                              </w:rPr>
                              <w:t xml:space="preserve"> פיצויים בגין נזק לא ממוני </w:t>
                            </w:r>
                            <w:r w:rsidR="00B30237">
                              <w:rPr>
                                <w:rFonts w:ascii="David" w:hAnsi="David" w:cs="David" w:hint="cs"/>
                                <w:sz w:val="18"/>
                                <w:szCs w:val="18"/>
                                <w:rtl/>
                              </w:rPr>
                              <w:t>תלויים בהחלטת השופט, הם אינם עניין שבחובה.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D83BF" id="Text Box 61" o:spid="_x0000_s1064" type="#_x0000_t202" style="position:absolute;left:0;text-align:left;margin-left:210.95pt;margin-top:7.95pt;width:1in;height:126.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oAOgIAAIQEAAAOAAAAZHJzL2Uyb0RvYy54bWysVE1v2zAMvQ/YfxB0X2wna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" fillcolor="white [3201]" strokeweight=".5pt">
                <v:textbox>
                  <w:txbxContent>
                    <w:p w14:paraId="327FCC02" w14:textId="58E692C8" w:rsidR="00EB0EA1" w:rsidRPr="00FC01D1" w:rsidRDefault="00FC01D1" w:rsidP="00B30237">
                      <w:pPr>
                        <w:bidi/>
                        <w:rPr>
                          <w:rFonts w:ascii="David" w:hAnsi="David" w:cs="David"/>
                          <w:sz w:val="18"/>
                          <w:szCs w:val="18"/>
                        </w:rPr>
                      </w:pPr>
                      <w:r w:rsidRPr="00FC01D1">
                        <w:rPr>
                          <w:rFonts w:ascii="David" w:hAnsi="David" w:cs="David"/>
                          <w:sz w:val="18"/>
                          <w:szCs w:val="18"/>
                          <w:rtl/>
                        </w:rPr>
                        <w:t xml:space="preserve">קשיים בתביעה </w:t>
                      </w:r>
                      <w:r>
                        <w:rPr>
                          <w:rFonts w:ascii="David" w:hAnsi="David" w:cs="David" w:hint="cs"/>
                          <w:sz w:val="18"/>
                          <w:szCs w:val="18"/>
                          <w:rtl/>
                        </w:rPr>
                        <w:t>חוזית</w:t>
                      </w:r>
                      <w:r w:rsidRPr="00FC01D1">
                        <w:rPr>
                          <w:rFonts w:ascii="David" w:hAnsi="David" w:cs="David"/>
                          <w:sz w:val="18"/>
                          <w:szCs w:val="18"/>
                          <w:rtl/>
                        </w:rPr>
                        <w:t xml:space="preserve">:  </w:t>
                      </w:r>
                      <w:r>
                        <w:rPr>
                          <w:rFonts w:ascii="David" w:hAnsi="David" w:cs="David" w:hint="cs"/>
                          <w:sz w:val="18"/>
                          <w:szCs w:val="18"/>
                          <w:rtl/>
                        </w:rPr>
                        <w:t xml:space="preserve">האם יש חוזה? </w:t>
                      </w:r>
                      <w:r w:rsidR="00EB0EA1">
                        <w:rPr>
                          <w:rFonts w:ascii="David" w:hAnsi="David" w:cs="David" w:hint="cs"/>
                          <w:sz w:val="18"/>
                          <w:szCs w:val="18"/>
                          <w:rtl/>
                        </w:rPr>
                        <w:t xml:space="preserve">אם כן </w:t>
                      </w:r>
                      <w:r w:rsidR="00EB0EA1">
                        <w:rPr>
                          <w:rFonts w:ascii="David" w:hAnsi="David" w:cs="David"/>
                          <w:sz w:val="18"/>
                          <w:szCs w:val="18"/>
                          <w:rtl/>
                        </w:rPr>
                        <w:t>–</w:t>
                      </w:r>
                      <w:r w:rsidR="00EB0EA1">
                        <w:rPr>
                          <w:rFonts w:ascii="David" w:hAnsi="David" w:cs="David" w:hint="cs"/>
                          <w:sz w:val="18"/>
                          <w:szCs w:val="18"/>
                          <w:rtl/>
                        </w:rPr>
                        <w:t xml:space="preserve"> האם הוא רופף ומה ניתן לקרוא לתוכו?</w:t>
                      </w:r>
                      <w:r w:rsidR="00B30237">
                        <w:rPr>
                          <w:rFonts w:ascii="David" w:hAnsi="David" w:cs="David" w:hint="cs"/>
                          <w:sz w:val="18"/>
                          <w:szCs w:val="18"/>
                          <w:rtl/>
                        </w:rPr>
                        <w:t xml:space="preserve"> </w:t>
                      </w:r>
                      <w:r w:rsidR="00B30237">
                        <w:rPr>
                          <w:rFonts w:ascii="David" w:hAnsi="David" w:cs="David"/>
                          <w:sz w:val="18"/>
                          <w:szCs w:val="18"/>
                          <w:rtl/>
                        </w:rPr>
                        <w:br/>
                      </w:r>
                      <w:r w:rsidR="00B30237">
                        <w:rPr>
                          <w:rFonts w:ascii="David" w:hAnsi="David" w:cs="David" w:hint="cs"/>
                          <w:sz w:val="18"/>
                          <w:szCs w:val="18"/>
                          <w:rtl/>
                        </w:rPr>
                        <w:t>בחוזים</w:t>
                      </w:r>
                      <w:r w:rsidR="00AF58B8">
                        <w:rPr>
                          <w:rFonts w:ascii="David" w:hAnsi="David" w:cs="David" w:hint="cs"/>
                          <w:sz w:val="18"/>
                          <w:szCs w:val="18"/>
                          <w:rtl/>
                        </w:rPr>
                        <w:t>,</w:t>
                      </w:r>
                      <w:r w:rsidR="00EB0EA1">
                        <w:rPr>
                          <w:rFonts w:ascii="David" w:hAnsi="David" w:cs="David" w:hint="cs"/>
                          <w:sz w:val="18"/>
                          <w:szCs w:val="18"/>
                          <w:rtl/>
                        </w:rPr>
                        <w:t xml:space="preserve"> פיצויים בגין נזק לא ממוני </w:t>
                      </w:r>
                      <w:r w:rsidR="00B30237">
                        <w:rPr>
                          <w:rFonts w:ascii="David" w:hAnsi="David" w:cs="David" w:hint="cs"/>
                          <w:sz w:val="18"/>
                          <w:szCs w:val="18"/>
                          <w:rtl/>
                        </w:rPr>
                        <w:t>תלויים בהחלטת השופט, הם אינם עניין שבחובה.</w:t>
                      </w:r>
                    </w:p>
                  </w:txbxContent>
                </v:textbox>
              </v:shape>
            </w:pict>
          </mc:Fallback>
        </mc:AlternateContent>
      </w:r>
    </w:p>
    <w:p w14:paraId="00477BD7" w14:textId="0820D2DF" w:rsidR="00E67672" w:rsidRDefault="00E67672" w:rsidP="00E67672">
      <w:pPr>
        <w:bidi/>
        <w:spacing w:line="276" w:lineRule="auto"/>
        <w:jc w:val="both"/>
        <w:rPr>
          <w:rFonts w:ascii="David" w:hAnsi="David" w:cs="David"/>
          <w:rtl/>
        </w:rPr>
      </w:pPr>
    </w:p>
    <w:p w14:paraId="659EB652" w14:textId="7EDC091D" w:rsidR="00E67672" w:rsidRDefault="005663A7" w:rsidP="00E67672">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64736" behindDoc="0" locked="0" layoutInCell="1" allowOverlap="1" wp14:anchorId="272205B3" wp14:editId="4960FCA6">
                <wp:simplePos x="0" y="0"/>
                <wp:positionH relativeFrom="column">
                  <wp:posOffset>-513471</wp:posOffset>
                </wp:positionH>
                <wp:positionV relativeFrom="paragraph">
                  <wp:posOffset>99695</wp:posOffset>
                </wp:positionV>
                <wp:extent cx="963295" cy="1287194"/>
                <wp:effectExtent l="0" t="0" r="27305" b="27305"/>
                <wp:wrapNone/>
                <wp:docPr id="114946946" name="Text Box 114946946"/>
                <wp:cNvGraphicFramePr/>
                <a:graphic xmlns:a="http://schemas.openxmlformats.org/drawingml/2006/main">
                  <a:graphicData uri="http://schemas.microsoft.com/office/word/2010/wordprocessingShape">
                    <wps:wsp>
                      <wps:cNvSpPr txBox="1"/>
                      <wps:spPr>
                        <a:xfrm>
                          <a:off x="0" y="0"/>
                          <a:ext cx="963295" cy="1287194"/>
                        </a:xfrm>
                        <a:prstGeom prst="rect">
                          <a:avLst/>
                        </a:prstGeom>
                        <a:solidFill>
                          <a:schemeClr val="lt1"/>
                        </a:solidFill>
                        <a:ln w="6350">
                          <a:solidFill>
                            <a:prstClr val="black"/>
                          </a:solidFill>
                        </a:ln>
                      </wps:spPr>
                      <wps:txbx>
                        <w:txbxContent>
                          <w:p w14:paraId="68B11A25" w14:textId="4C9620B7" w:rsidR="005F0E9E" w:rsidRPr="005663A7" w:rsidRDefault="005663A7" w:rsidP="005F0E9E">
                            <w:pPr>
                              <w:bidi/>
                              <w:rPr>
                                <w:rFonts w:ascii="David" w:hAnsi="David" w:cs="David"/>
                                <w:sz w:val="10"/>
                                <w:szCs w:val="10"/>
                              </w:rPr>
                            </w:pPr>
                            <w:r>
                              <w:rPr>
                                <w:rFonts w:ascii="David" w:hAnsi="David" w:cs="David" w:hint="cs"/>
                                <w:sz w:val="18"/>
                                <w:szCs w:val="18"/>
                                <w:rtl/>
                              </w:rPr>
                              <w:t>ייתכן</w:t>
                            </w:r>
                            <w:r w:rsidRPr="005663A7">
                              <w:rPr>
                                <w:rFonts w:ascii="David" w:hAnsi="David" w:cs="David"/>
                                <w:sz w:val="18"/>
                                <w:szCs w:val="18"/>
                                <w:rtl/>
                              </w:rPr>
                              <w:t xml:space="preserve"> שאפילו במקרה שמההתחלה בן הזוג מסרב ממניעים לא לגיטימיים, יש לחייב אותו במתן פיצויים, גם אם לא הייתה חזרה מהסכמה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05B3" id="Text Box 114946946" o:spid="_x0000_s1065" type="#_x0000_t202" style="position:absolute;left:0;text-align:left;margin-left:-40.45pt;margin-top:7.85pt;width:75.85pt;height:10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" fillcolor="white [3201]" strokeweight=".5pt">
                <v:textbox>
                  <w:txbxContent>
                    <w:p w14:paraId="68B11A25" w14:textId="4C9620B7" w:rsidR="005F0E9E" w:rsidRPr="005663A7" w:rsidRDefault="005663A7" w:rsidP="005F0E9E">
                      <w:pPr>
                        <w:bidi/>
                        <w:rPr>
                          <w:rFonts w:ascii="David" w:hAnsi="David" w:cs="David"/>
                          <w:sz w:val="10"/>
                          <w:szCs w:val="10"/>
                        </w:rPr>
                      </w:pPr>
                      <w:r>
                        <w:rPr>
                          <w:rFonts w:ascii="David" w:hAnsi="David" w:cs="David" w:hint="cs"/>
                          <w:sz w:val="18"/>
                          <w:szCs w:val="18"/>
                          <w:rtl/>
                        </w:rPr>
                        <w:t>ייתכן</w:t>
                      </w:r>
                      <w:r w:rsidRPr="005663A7">
                        <w:rPr>
                          <w:rFonts w:ascii="David" w:hAnsi="David" w:cs="David"/>
                          <w:sz w:val="18"/>
                          <w:szCs w:val="18"/>
                          <w:rtl/>
                        </w:rPr>
                        <w:t xml:space="preserve"> שאפילו במקרה שמההתחלה בן הזוג מסרב ממניעים לא לגיטימיים, יש לחייב אותו במתן פיצויים, גם אם לא הייתה חזרה מהסכמה </w:t>
                      </w:r>
                    </w:p>
                  </w:txbxContent>
                </v:textbox>
              </v:shape>
            </w:pict>
          </mc:Fallback>
        </mc:AlternateContent>
      </w:r>
    </w:p>
    <w:p w14:paraId="0568A3EC" w14:textId="7317D3A0" w:rsidR="00B30237" w:rsidRDefault="00B30237" w:rsidP="00B30237">
      <w:pPr>
        <w:bidi/>
        <w:spacing w:line="276" w:lineRule="auto"/>
        <w:jc w:val="both"/>
        <w:rPr>
          <w:rFonts w:ascii="David" w:hAnsi="David" w:cs="David"/>
          <w:rtl/>
        </w:rPr>
      </w:pPr>
    </w:p>
    <w:p w14:paraId="3AE08DAB" w14:textId="652DBF51" w:rsidR="00B30237" w:rsidRDefault="00B30237" w:rsidP="00B30237">
      <w:pPr>
        <w:bidi/>
        <w:spacing w:line="276" w:lineRule="auto"/>
        <w:jc w:val="both"/>
        <w:rPr>
          <w:rFonts w:ascii="David" w:hAnsi="David" w:cs="David"/>
          <w:rtl/>
        </w:rPr>
      </w:pPr>
    </w:p>
    <w:p w14:paraId="636C9A55" w14:textId="7FFEC6AA" w:rsidR="00B30237" w:rsidRDefault="00B30237" w:rsidP="00B30237">
      <w:pPr>
        <w:bidi/>
        <w:spacing w:line="276" w:lineRule="auto"/>
        <w:jc w:val="both"/>
        <w:rPr>
          <w:rFonts w:ascii="David" w:hAnsi="David" w:cs="David"/>
          <w:rtl/>
        </w:rPr>
      </w:pPr>
    </w:p>
    <w:p w14:paraId="640AC860" w14:textId="0A263D79" w:rsidR="00B30237" w:rsidRDefault="00B30237" w:rsidP="00B30237">
      <w:pPr>
        <w:bidi/>
        <w:spacing w:line="276" w:lineRule="auto"/>
        <w:jc w:val="both"/>
        <w:rPr>
          <w:rFonts w:ascii="David" w:hAnsi="David" w:cs="David"/>
          <w:rtl/>
        </w:rPr>
      </w:pPr>
    </w:p>
    <w:p w14:paraId="477D8FE8" w14:textId="10550C52" w:rsidR="00AF58B8" w:rsidRDefault="00E67202" w:rsidP="00E11526">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66784" behindDoc="0" locked="0" layoutInCell="1" allowOverlap="1" wp14:anchorId="433C9589" wp14:editId="3C693433">
                <wp:simplePos x="0" y="0"/>
                <wp:positionH relativeFrom="column">
                  <wp:posOffset>-513715</wp:posOffset>
                </wp:positionH>
                <wp:positionV relativeFrom="paragraph">
                  <wp:posOffset>172574</wp:posOffset>
                </wp:positionV>
                <wp:extent cx="963295" cy="682283"/>
                <wp:effectExtent l="0" t="0" r="27305" b="22860"/>
                <wp:wrapNone/>
                <wp:docPr id="114946947" name="Text Box 114946947"/>
                <wp:cNvGraphicFramePr/>
                <a:graphic xmlns:a="http://schemas.openxmlformats.org/drawingml/2006/main">
                  <a:graphicData uri="http://schemas.microsoft.com/office/word/2010/wordprocessingShape">
                    <wps:wsp>
                      <wps:cNvSpPr txBox="1"/>
                      <wps:spPr>
                        <a:xfrm>
                          <a:off x="0" y="0"/>
                          <a:ext cx="963295" cy="682283"/>
                        </a:xfrm>
                        <a:prstGeom prst="rect">
                          <a:avLst/>
                        </a:prstGeom>
                        <a:solidFill>
                          <a:schemeClr val="lt1"/>
                        </a:solidFill>
                        <a:ln w="6350">
                          <a:solidFill>
                            <a:prstClr val="black"/>
                          </a:solidFill>
                        </a:ln>
                      </wps:spPr>
                      <wps:txbx>
                        <w:txbxContent>
                          <w:p w14:paraId="0262F310" w14:textId="627BD33A" w:rsidR="00C34620" w:rsidRPr="005F0E9E" w:rsidRDefault="00C34620" w:rsidP="00C34620">
                            <w:pPr>
                              <w:bidi/>
                              <w:rPr>
                                <w:rFonts w:ascii="David" w:hAnsi="David" w:cs="David"/>
                                <w:sz w:val="14"/>
                                <w:szCs w:val="14"/>
                              </w:rPr>
                            </w:pPr>
                            <w:r>
                              <w:rPr>
                                <w:rFonts w:ascii="David" w:hAnsi="David" w:cs="David" w:hint="cs"/>
                                <w:sz w:val="18"/>
                                <w:szCs w:val="18"/>
                                <w:rtl/>
                              </w:rPr>
                              <w:t xml:space="preserve">לא ניתן להשתמש בכלל קנייני, אבל ניתן להשתמש בכלל אחריות </w:t>
                            </w:r>
                            <w:r w:rsidR="00E67202">
                              <w:rPr>
                                <w:rFonts w:ascii="David" w:hAnsi="David" w:cs="David"/>
                                <w:sz w:val="18"/>
                                <w:szCs w:val="18"/>
                                <w:rtl/>
                              </w:rPr>
                              <w:t>–</w:t>
                            </w:r>
                            <w:r w:rsidR="00E67202">
                              <w:rPr>
                                <w:rFonts w:ascii="David" w:hAnsi="David" w:cs="David" w:hint="cs"/>
                                <w:sz w:val="18"/>
                                <w:szCs w:val="18"/>
                                <w:rtl/>
                              </w:rPr>
                              <w:t xml:space="preserve"> פסיקת פיצויים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9589" id="Text Box 114946947" o:spid="_x0000_s1066" type="#_x0000_t202" style="position:absolute;left:0;text-align:left;margin-left:-40.45pt;margin-top:13.6pt;width:75.85pt;height:5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" fillcolor="white [3201]" strokeweight=".5pt">
                <v:textbox>
                  <w:txbxContent>
                    <w:p w14:paraId="0262F310" w14:textId="627BD33A" w:rsidR="00C34620" w:rsidRPr="005F0E9E" w:rsidRDefault="00C34620" w:rsidP="00C34620">
                      <w:pPr>
                        <w:bidi/>
                        <w:rPr>
                          <w:rFonts w:ascii="David" w:hAnsi="David" w:cs="David"/>
                          <w:sz w:val="14"/>
                          <w:szCs w:val="14"/>
                        </w:rPr>
                      </w:pPr>
                      <w:r>
                        <w:rPr>
                          <w:rFonts w:ascii="David" w:hAnsi="David" w:cs="David" w:hint="cs"/>
                          <w:sz w:val="18"/>
                          <w:szCs w:val="18"/>
                          <w:rtl/>
                        </w:rPr>
                        <w:t xml:space="preserve">לא ניתן להשתמש בכלל קנייני, אבל ניתן להשתמש בכלל אחריות </w:t>
                      </w:r>
                      <w:r w:rsidR="00E67202">
                        <w:rPr>
                          <w:rFonts w:ascii="David" w:hAnsi="David" w:cs="David"/>
                          <w:sz w:val="18"/>
                          <w:szCs w:val="18"/>
                          <w:rtl/>
                        </w:rPr>
                        <w:t>–</w:t>
                      </w:r>
                      <w:r w:rsidR="00E67202">
                        <w:rPr>
                          <w:rFonts w:ascii="David" w:hAnsi="David" w:cs="David" w:hint="cs"/>
                          <w:sz w:val="18"/>
                          <w:szCs w:val="18"/>
                          <w:rtl/>
                        </w:rPr>
                        <w:t xml:space="preserve"> פסיקת פיצויים</w:t>
                      </w:r>
                    </w:p>
                  </w:txbxContent>
                </v:textbox>
              </v:shape>
            </w:pict>
          </mc:Fallback>
        </mc:AlternateContent>
      </w:r>
    </w:p>
    <w:p w14:paraId="5D6EA884" w14:textId="5F6D8C30" w:rsidR="00AD5E68" w:rsidRDefault="00AD5E68" w:rsidP="00AD5E68">
      <w:pPr>
        <w:bidi/>
        <w:spacing w:line="276" w:lineRule="auto"/>
        <w:jc w:val="both"/>
        <w:rPr>
          <w:rFonts w:ascii="David" w:hAnsi="David" w:cs="David"/>
          <w:rtl/>
        </w:rPr>
      </w:pPr>
    </w:p>
    <w:p w14:paraId="44BDC9F4" w14:textId="4D56FAF4" w:rsidR="00AD5E68" w:rsidRDefault="00AD5E68" w:rsidP="00AD5E68">
      <w:pPr>
        <w:bidi/>
        <w:spacing w:line="276" w:lineRule="auto"/>
        <w:jc w:val="both"/>
        <w:rPr>
          <w:rFonts w:ascii="David" w:hAnsi="David" w:cs="David"/>
          <w:rtl/>
        </w:rPr>
      </w:pPr>
    </w:p>
    <w:p w14:paraId="57835C8F" w14:textId="7810EEB2" w:rsidR="00AD5E68" w:rsidRDefault="00E67202" w:rsidP="00AD5E68">
      <w:pPr>
        <w:bidi/>
        <w:spacing w:line="276" w:lineRule="auto"/>
        <w:jc w:val="both"/>
        <w:rPr>
          <w:rFonts w:ascii="David" w:hAnsi="David" w:cs="David"/>
          <w:rtl/>
        </w:rPr>
      </w:pPr>
      <w:r>
        <w:rPr>
          <w:rFonts w:ascii="David" w:hAnsi="David" w:cs="David"/>
          <w:noProof/>
          <w:rtl/>
          <w:lang w:val="he-IL"/>
        </w:rPr>
        <mc:AlternateContent>
          <mc:Choice Requires="wps">
            <w:drawing>
              <wp:anchor distT="0" distB="0" distL="114300" distR="114300" simplePos="0" relativeHeight="251768832" behindDoc="0" locked="0" layoutInCell="1" allowOverlap="1" wp14:anchorId="79105BF5" wp14:editId="5E023D27">
                <wp:simplePos x="0" y="0"/>
                <wp:positionH relativeFrom="column">
                  <wp:posOffset>-640129</wp:posOffset>
                </wp:positionH>
                <wp:positionV relativeFrom="paragraph">
                  <wp:posOffset>153181</wp:posOffset>
                </wp:positionV>
                <wp:extent cx="1273663" cy="710418"/>
                <wp:effectExtent l="0" t="0" r="22225" b="13970"/>
                <wp:wrapNone/>
                <wp:docPr id="114946948" name="Text Box 114946948"/>
                <wp:cNvGraphicFramePr/>
                <a:graphic xmlns:a="http://schemas.openxmlformats.org/drawingml/2006/main">
                  <a:graphicData uri="http://schemas.microsoft.com/office/word/2010/wordprocessingShape">
                    <wps:wsp>
                      <wps:cNvSpPr txBox="1"/>
                      <wps:spPr>
                        <a:xfrm>
                          <a:off x="0" y="0"/>
                          <a:ext cx="1273663" cy="710418"/>
                        </a:xfrm>
                        <a:prstGeom prst="rect">
                          <a:avLst/>
                        </a:prstGeom>
                        <a:solidFill>
                          <a:schemeClr val="lt1"/>
                        </a:solidFill>
                        <a:ln w="6350">
                          <a:solidFill>
                            <a:prstClr val="black"/>
                          </a:solidFill>
                        </a:ln>
                      </wps:spPr>
                      <wps:txbx>
                        <w:txbxContent>
                          <w:p w14:paraId="29929AE3" w14:textId="77777777" w:rsidR="00E67202" w:rsidRPr="00E67202" w:rsidRDefault="00E67202" w:rsidP="00E67202">
                            <w:pPr>
                              <w:bidi/>
                              <w:spacing w:line="276" w:lineRule="auto"/>
                              <w:rPr>
                                <w:rFonts w:ascii="David" w:hAnsi="David" w:cs="David"/>
                                <w:sz w:val="18"/>
                                <w:szCs w:val="18"/>
                                <w:rtl/>
                              </w:rPr>
                            </w:pPr>
                            <w:r w:rsidRPr="00E67202">
                              <w:rPr>
                                <w:rFonts w:ascii="David" w:hAnsi="David" w:cs="David"/>
                                <w:sz w:val="18"/>
                                <w:szCs w:val="18"/>
                                <w:rtl/>
                              </w:rPr>
                              <w:t>זכויות שנובעות מחוק יסוד כבוד האדם וחירותו, ישתמשו בפסקת ההגבלה לאזן ולבחון את הזכויות שמתנגשות</w:t>
                            </w:r>
                          </w:p>
                          <w:p w14:paraId="36439BD6" w14:textId="33DCA6C1" w:rsidR="00E67202" w:rsidRPr="00E67202" w:rsidRDefault="00E67202" w:rsidP="00E67202">
                            <w:pPr>
                              <w:bidi/>
                              <w:rPr>
                                <w:rFonts w:ascii="David" w:hAnsi="David" w:cs="David"/>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5BF5" id="Text Box 114946948" o:spid="_x0000_s1067" type="#_x0000_t202" style="position:absolute;left:0;text-align:left;margin-left:-50.4pt;margin-top:12.05pt;width:100.3pt;height:5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jUPA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" fillcolor="white [3201]" strokeweight=".5pt">
                <v:textbox>
                  <w:txbxContent>
                    <w:p w14:paraId="29929AE3" w14:textId="77777777" w:rsidR="00E67202" w:rsidRPr="00E67202" w:rsidRDefault="00E67202" w:rsidP="00E67202">
                      <w:pPr>
                        <w:bidi/>
                        <w:spacing w:line="276" w:lineRule="auto"/>
                        <w:rPr>
                          <w:rFonts w:ascii="David" w:hAnsi="David" w:cs="David"/>
                          <w:sz w:val="18"/>
                          <w:szCs w:val="18"/>
                          <w:rtl/>
                        </w:rPr>
                      </w:pPr>
                      <w:r w:rsidRPr="00E67202">
                        <w:rPr>
                          <w:rFonts w:ascii="David" w:hAnsi="David" w:cs="David"/>
                          <w:sz w:val="18"/>
                          <w:szCs w:val="18"/>
                          <w:rtl/>
                        </w:rPr>
                        <w:t>זכויות שנובעות מחוק יסוד כבוד האדם וחירותו, ישתמשו בפסקת ההגבלה לאזן ולבחון את הזכויות שמתנגשות</w:t>
                      </w:r>
                    </w:p>
                    <w:p w14:paraId="36439BD6" w14:textId="33DCA6C1" w:rsidR="00E67202" w:rsidRPr="00E67202" w:rsidRDefault="00E67202" w:rsidP="00E67202">
                      <w:pPr>
                        <w:bidi/>
                        <w:rPr>
                          <w:rFonts w:ascii="David" w:hAnsi="David" w:cs="David"/>
                          <w:sz w:val="10"/>
                          <w:szCs w:val="10"/>
                        </w:rPr>
                      </w:pPr>
                    </w:p>
                  </w:txbxContent>
                </v:textbox>
              </v:shape>
            </w:pict>
          </mc:Fallback>
        </mc:AlternateContent>
      </w:r>
    </w:p>
    <w:p w14:paraId="380D3FC3" w14:textId="77777777" w:rsidR="00162746" w:rsidRDefault="00181F1F" w:rsidP="003A3A6D">
      <w:pPr>
        <w:bidi/>
        <w:spacing w:after="0" w:line="276" w:lineRule="auto"/>
        <w:jc w:val="both"/>
        <w:rPr>
          <w:rFonts w:ascii="David" w:hAnsi="David" w:cs="David"/>
          <w:rtl/>
        </w:rPr>
      </w:pPr>
      <w:r>
        <w:rPr>
          <w:rFonts w:ascii="David" w:hAnsi="David" w:cs="David" w:hint="cs"/>
          <w:b/>
          <w:bCs/>
          <w:rtl/>
        </w:rPr>
        <w:lastRenderedPageBreak/>
        <w:t>הסוגיות</w:t>
      </w:r>
      <w:r>
        <w:rPr>
          <w:rFonts w:ascii="David" w:hAnsi="David" w:cs="David" w:hint="cs"/>
          <w:rtl/>
        </w:rPr>
        <w:t xml:space="preserve"> </w:t>
      </w:r>
      <w:r w:rsidR="00162746">
        <w:rPr>
          <w:rFonts w:ascii="David" w:hAnsi="David" w:cs="David" w:hint="cs"/>
          <w:rtl/>
        </w:rPr>
        <w:t xml:space="preserve">: </w:t>
      </w:r>
    </w:p>
    <w:p w14:paraId="034BD095" w14:textId="5AEF0000" w:rsidR="00BC14FF" w:rsidRPr="00162746" w:rsidRDefault="00181F1F" w:rsidP="00DF69B2">
      <w:pPr>
        <w:pStyle w:val="ListParagraph"/>
        <w:numPr>
          <w:ilvl w:val="0"/>
          <w:numId w:val="18"/>
        </w:numPr>
        <w:bidi/>
        <w:spacing w:after="0" w:line="276" w:lineRule="auto"/>
        <w:jc w:val="both"/>
        <w:rPr>
          <w:rFonts w:ascii="David" w:hAnsi="David" w:cs="David"/>
          <w:rtl/>
        </w:rPr>
      </w:pPr>
      <w:r w:rsidRPr="00162746">
        <w:rPr>
          <w:rFonts w:ascii="David" w:hAnsi="David" w:cs="David" w:hint="cs"/>
          <w:rtl/>
        </w:rPr>
        <w:t xml:space="preserve">עימות בין חופש דת לבין אפשרות יציאה מנישואים דתיים. האם פיצויים מהווים בגין נזקים יהוו פגיעה בחופש הדת? </w:t>
      </w:r>
    </w:p>
    <w:p w14:paraId="2465B265" w14:textId="77777777" w:rsidR="00162746" w:rsidRDefault="00181F1F" w:rsidP="00DF69B2">
      <w:pPr>
        <w:pStyle w:val="ListParagraph"/>
        <w:numPr>
          <w:ilvl w:val="0"/>
          <w:numId w:val="18"/>
        </w:numPr>
        <w:bidi/>
        <w:spacing w:after="0" w:line="276" w:lineRule="auto"/>
        <w:jc w:val="both"/>
        <w:rPr>
          <w:rFonts w:ascii="David" w:hAnsi="David" w:cs="David"/>
        </w:rPr>
      </w:pPr>
      <w:r w:rsidRPr="00162746">
        <w:rPr>
          <w:rFonts w:ascii="David" w:hAnsi="David" w:cs="David" w:hint="cs"/>
          <w:b/>
          <w:bCs/>
          <w:rtl/>
        </w:rPr>
        <w:t>האם יש להשוות לסרבנות במגזר היהודי?</w:t>
      </w:r>
      <w:r w:rsidRPr="00162746">
        <w:rPr>
          <w:rFonts w:ascii="David" w:hAnsi="David" w:cs="David" w:hint="cs"/>
          <w:rtl/>
        </w:rPr>
        <w:t xml:space="preserve"> במגזר היהודי אין חולק </w:t>
      </w:r>
      <w:r w:rsidRPr="00162746">
        <w:rPr>
          <w:rFonts w:ascii="David" w:hAnsi="David" w:cs="David"/>
          <w:rtl/>
        </w:rPr>
        <w:t>–</w:t>
      </w:r>
      <w:r w:rsidRPr="00162746">
        <w:rPr>
          <w:rFonts w:ascii="David" w:hAnsi="David" w:cs="David" w:hint="cs"/>
          <w:rtl/>
        </w:rPr>
        <w:t xml:space="preserve"> במשפט העברי והאזרחי </w:t>
      </w:r>
      <w:r w:rsidRPr="00162746">
        <w:rPr>
          <w:rFonts w:ascii="David" w:hAnsi="David" w:cs="David"/>
          <w:rtl/>
        </w:rPr>
        <w:t>–</w:t>
      </w:r>
      <w:r w:rsidRPr="00162746">
        <w:rPr>
          <w:rFonts w:ascii="David" w:hAnsi="David" w:cs="David" w:hint="cs"/>
          <w:rtl/>
        </w:rPr>
        <w:t xml:space="preserve"> כי הדבר הנכון הוא למנוע ולסכל את הסירוב, והחשש הוא רק לגרימת גט מעושה. לעומת זאת, במגזר הקתולי נראה כי הדרך לגירושין כרוכה בפגיעה קשה באוטונומיה ובחופש הדת </w:t>
      </w:r>
      <w:r w:rsidRPr="00162746">
        <w:rPr>
          <w:rFonts w:ascii="David" w:hAnsi="David" w:cs="David"/>
          <w:rtl/>
        </w:rPr>
        <w:t>–</w:t>
      </w:r>
      <w:r w:rsidRPr="00162746">
        <w:rPr>
          <w:rFonts w:ascii="David" w:hAnsi="David" w:cs="David" w:hint="cs"/>
          <w:rtl/>
        </w:rPr>
        <w:t xml:space="preserve"> עצם ההמרה. נראה שלכל הפחות נדרש איזון עדין יותר מהמגזר היהודי.</w:t>
      </w:r>
    </w:p>
    <w:p w14:paraId="4E9B3030" w14:textId="344DB6AC" w:rsidR="00181F1F" w:rsidRDefault="00181F1F" w:rsidP="00DF69B2">
      <w:pPr>
        <w:pStyle w:val="ListParagraph"/>
        <w:numPr>
          <w:ilvl w:val="0"/>
          <w:numId w:val="18"/>
        </w:numPr>
        <w:bidi/>
        <w:spacing w:after="0" w:line="276" w:lineRule="auto"/>
        <w:jc w:val="both"/>
        <w:rPr>
          <w:rFonts w:ascii="David" w:hAnsi="David" w:cs="David"/>
        </w:rPr>
      </w:pPr>
      <w:r w:rsidRPr="00162746">
        <w:rPr>
          <w:rFonts w:ascii="David" w:hAnsi="David" w:cs="David" w:hint="cs"/>
          <w:b/>
          <w:bCs/>
          <w:rtl/>
        </w:rPr>
        <w:t>סוגיית ההסכמה</w:t>
      </w:r>
      <w:r w:rsidR="00C5702C" w:rsidRPr="00162746">
        <w:rPr>
          <w:rFonts w:ascii="David" w:hAnsi="David" w:cs="David" w:hint="cs"/>
          <w:rtl/>
        </w:rPr>
        <w:t xml:space="preserve"> רלוונטית אף היא להשוואה</w:t>
      </w:r>
      <w:r w:rsidRPr="00162746">
        <w:rPr>
          <w:rFonts w:ascii="David" w:hAnsi="David" w:cs="David" w:hint="cs"/>
          <w:rtl/>
        </w:rPr>
        <w:t xml:space="preserve">. אם הייתה הסכמה שלא נבעה מאיום, המקרה פשוט. יש לבדוק גם את </w:t>
      </w:r>
      <w:r w:rsidRPr="00162746">
        <w:rPr>
          <w:rFonts w:ascii="David" w:hAnsi="David" w:cs="David" w:hint="cs"/>
          <w:b/>
          <w:bCs/>
          <w:rtl/>
        </w:rPr>
        <w:t>המניע לחזרה מההסכמה</w:t>
      </w:r>
      <w:r w:rsidRPr="00162746">
        <w:rPr>
          <w:rFonts w:ascii="David" w:hAnsi="David" w:cs="David" w:hint="cs"/>
          <w:rtl/>
        </w:rPr>
        <w:t>.</w:t>
      </w:r>
      <w:r w:rsidR="00ED64B0" w:rsidRPr="00162746">
        <w:rPr>
          <w:rFonts w:ascii="David" w:hAnsi="David" w:cs="David" w:hint="cs"/>
          <w:rtl/>
        </w:rPr>
        <w:t xml:space="preserve"> אינה דומה חזרה מטעמי דת, לחזרה מטעמיים נקמניים. </w:t>
      </w:r>
      <w:r w:rsidR="00C5702C" w:rsidRPr="00162746">
        <w:rPr>
          <w:rFonts w:ascii="David" w:hAnsi="David" w:cs="David" w:hint="cs"/>
          <w:rtl/>
        </w:rPr>
        <w:t xml:space="preserve">כמו כן, אם לא הייתה הסכמה להמרת דת, לא בטוח שניתן להשוות זאת בהכרח לסרבנות, על אף התוצאה הזהה </w:t>
      </w:r>
      <w:r w:rsidR="00C5702C" w:rsidRPr="00162746">
        <w:rPr>
          <w:rFonts w:ascii="David" w:hAnsi="David" w:cs="David"/>
          <w:rtl/>
        </w:rPr>
        <w:t>–</w:t>
      </w:r>
      <w:r w:rsidR="00C5702C" w:rsidRPr="00162746">
        <w:rPr>
          <w:rFonts w:ascii="David" w:hAnsi="David" w:cs="David" w:hint="cs"/>
          <w:rtl/>
        </w:rPr>
        <w:t xml:space="preserve"> שלילת אפשרות בן הזוג לגירושין.</w:t>
      </w:r>
    </w:p>
    <w:p w14:paraId="134EE1B3" w14:textId="77777777" w:rsidR="003A3A6D" w:rsidRPr="00162746" w:rsidRDefault="003A3A6D" w:rsidP="003A3A6D">
      <w:pPr>
        <w:pStyle w:val="ListParagraph"/>
        <w:bidi/>
        <w:spacing w:after="0" w:line="276" w:lineRule="auto"/>
        <w:ind w:left="360"/>
        <w:jc w:val="both"/>
        <w:rPr>
          <w:rFonts w:ascii="David" w:hAnsi="David" w:cs="David"/>
          <w:rtl/>
        </w:rPr>
      </w:pPr>
    </w:p>
    <w:p w14:paraId="232123C7" w14:textId="28BEA670" w:rsidR="001761F1" w:rsidRDefault="001761F1" w:rsidP="003A3A6D">
      <w:pPr>
        <w:bidi/>
        <w:spacing w:after="0" w:line="276" w:lineRule="auto"/>
        <w:jc w:val="both"/>
        <w:rPr>
          <w:rFonts w:ascii="David" w:hAnsi="David" w:cs="David"/>
          <w:b/>
          <w:bCs/>
          <w:rtl/>
        </w:rPr>
      </w:pPr>
      <w:r>
        <w:rPr>
          <w:rFonts w:ascii="David" w:hAnsi="David" w:cs="David" w:hint="cs"/>
          <w:b/>
          <w:bCs/>
          <w:rtl/>
        </w:rPr>
        <w:t xml:space="preserve">המצב הרצוי </w:t>
      </w:r>
      <w:r>
        <w:rPr>
          <w:rFonts w:ascii="David" w:hAnsi="David" w:cs="David"/>
          <w:b/>
          <w:bCs/>
          <w:rtl/>
        </w:rPr>
        <w:t>–</w:t>
      </w:r>
      <w:r>
        <w:rPr>
          <w:rFonts w:ascii="David" w:hAnsi="David" w:cs="David" w:hint="cs"/>
          <w:b/>
          <w:bCs/>
          <w:rtl/>
        </w:rPr>
        <w:t xml:space="preserve"> תביעה לפיצוי כאיזון בין כלל קנייני לכלל אחריות?</w:t>
      </w:r>
    </w:p>
    <w:p w14:paraId="3503EAAF" w14:textId="0A8E9D1E" w:rsidR="00C74855" w:rsidRDefault="00C74855" w:rsidP="003A3A6D">
      <w:pPr>
        <w:bidi/>
        <w:spacing w:after="0" w:line="276" w:lineRule="auto"/>
        <w:jc w:val="both"/>
        <w:rPr>
          <w:rFonts w:ascii="David" w:hAnsi="David" w:cs="David"/>
          <w:rtl/>
        </w:rPr>
      </w:pPr>
      <w:r>
        <w:rPr>
          <w:rFonts w:ascii="David" w:hAnsi="David" w:cs="David" w:hint="cs"/>
          <w:rtl/>
        </w:rPr>
        <w:t>כשההמרה אפשרית ורצויה חברתית ודתית, ייתכן שיש מקום לאפשרות פיצוי. האיזון בין הזכויות המתנגשות אמנם לא יוביל לסעד של צו, אך פיצוי עלול להתאים.</w:t>
      </w:r>
    </w:p>
    <w:p w14:paraId="293F02C8" w14:textId="77777777" w:rsidR="003A3A6D" w:rsidRDefault="003A3A6D" w:rsidP="003A3A6D">
      <w:pPr>
        <w:bidi/>
        <w:spacing w:after="0" w:line="276" w:lineRule="auto"/>
        <w:jc w:val="both"/>
        <w:rPr>
          <w:rFonts w:ascii="David" w:hAnsi="David" w:cs="David"/>
          <w:rtl/>
        </w:rPr>
      </w:pPr>
    </w:p>
    <w:p w14:paraId="7E2BDA91" w14:textId="77777777" w:rsidR="00C74855" w:rsidRDefault="00C74855" w:rsidP="003A3A6D">
      <w:pPr>
        <w:bidi/>
        <w:spacing w:after="0" w:line="276" w:lineRule="auto"/>
        <w:jc w:val="both"/>
        <w:rPr>
          <w:rFonts w:ascii="David" w:hAnsi="David" w:cs="David"/>
          <w:rtl/>
        </w:rPr>
      </w:pPr>
      <w:r>
        <w:rPr>
          <w:rFonts w:ascii="David" w:hAnsi="David" w:cs="David" w:hint="cs"/>
          <w:b/>
          <w:bCs/>
          <w:rtl/>
        </w:rPr>
        <w:t>חוזים או נזיקין?</w:t>
      </w:r>
      <w:r>
        <w:rPr>
          <w:rFonts w:ascii="David" w:hAnsi="David" w:cs="David" w:hint="cs"/>
          <w:rtl/>
        </w:rPr>
        <w:t xml:space="preserve"> </w:t>
      </w:r>
    </w:p>
    <w:p w14:paraId="507BA69C" w14:textId="09670E90" w:rsidR="00C74855" w:rsidRDefault="00C74855" w:rsidP="003A3A6D">
      <w:pPr>
        <w:bidi/>
        <w:spacing w:after="0" w:line="276" w:lineRule="auto"/>
        <w:jc w:val="both"/>
        <w:rPr>
          <w:rFonts w:ascii="David" w:hAnsi="David" w:cs="David"/>
          <w:rtl/>
        </w:rPr>
      </w:pPr>
      <w:r>
        <w:rPr>
          <w:rFonts w:ascii="David" w:hAnsi="David" w:cs="David" w:hint="cs"/>
          <w:rtl/>
        </w:rPr>
        <w:t>לכאורה מסלול חוזי נוח יותר, כיוון שלא דורש אשם/תורם, קש"ס, ואין שיקולי מדיניות כמו בעוולות מסגרת. ניתן לתבוע על הפרת תו"ל (ס' 39), ואם לא היו יחסים חוזיים מלאים, על הפרת תו"ל במו"מ (ס' 12). אך לא בטוח שלתביעה נזיקית תהיה תוצאה פחות טובה.</w:t>
      </w:r>
    </w:p>
    <w:p w14:paraId="6A1A20FE" w14:textId="77777777" w:rsidR="003A3A6D" w:rsidRDefault="003A3A6D" w:rsidP="003A3A6D">
      <w:pPr>
        <w:bidi/>
        <w:spacing w:after="0" w:line="276" w:lineRule="auto"/>
        <w:jc w:val="both"/>
        <w:rPr>
          <w:rFonts w:ascii="David" w:hAnsi="David" w:cs="David"/>
        </w:rPr>
      </w:pPr>
    </w:p>
    <w:p w14:paraId="51A651CD" w14:textId="67800D72" w:rsidR="00C74855" w:rsidRDefault="00C74855" w:rsidP="00CC7DF2">
      <w:pPr>
        <w:bidi/>
        <w:spacing w:line="276" w:lineRule="auto"/>
        <w:jc w:val="both"/>
        <w:rPr>
          <w:rFonts w:ascii="David" w:hAnsi="David" w:cs="David"/>
          <w:rtl/>
        </w:rPr>
      </w:pPr>
      <w:r>
        <w:rPr>
          <w:rFonts w:ascii="David" w:hAnsi="David" w:cs="David" w:hint="cs"/>
          <w:u w:val="single"/>
          <w:rtl/>
        </w:rPr>
        <w:t>הנטל להוכחת המניע</w:t>
      </w:r>
      <w:r>
        <w:rPr>
          <w:rFonts w:ascii="David" w:hAnsi="David" w:cs="David" w:hint="cs"/>
          <w:rtl/>
        </w:rPr>
        <w:t xml:space="preserve"> </w:t>
      </w:r>
      <w:r>
        <w:rPr>
          <w:rFonts w:ascii="David" w:hAnsi="David" w:cs="David"/>
          <w:rtl/>
        </w:rPr>
        <w:t>–</w:t>
      </w:r>
      <w:r>
        <w:rPr>
          <w:rFonts w:ascii="David" w:hAnsi="David" w:cs="David" w:hint="cs"/>
          <w:rtl/>
        </w:rPr>
        <w:t xml:space="preserve"> האם נניח שהחזרה היא לגיטמית ומטעמי דת, או שעל החוזר להוכיח זאת? מה לגבי מצבי שתיקה?</w:t>
      </w:r>
    </w:p>
    <w:p w14:paraId="4EDF5E3E" w14:textId="77777777" w:rsidR="00CF3001" w:rsidRDefault="00B53EFD" w:rsidP="00E35CF1">
      <w:pPr>
        <w:bidi/>
        <w:spacing w:after="0" w:line="276" w:lineRule="auto"/>
        <w:jc w:val="both"/>
        <w:rPr>
          <w:rFonts w:ascii="David" w:hAnsi="David" w:cs="David"/>
          <w:b/>
          <w:bCs/>
          <w:rtl/>
        </w:rPr>
      </w:pPr>
      <w:r>
        <w:rPr>
          <w:rFonts w:ascii="David" w:hAnsi="David" w:cs="David" w:hint="cs"/>
          <w:b/>
          <w:bCs/>
          <w:rtl/>
        </w:rPr>
        <w:t>התנגשות ערכים חילוניים-ליברליים</w:t>
      </w:r>
    </w:p>
    <w:p w14:paraId="03F6451D" w14:textId="36F7706F" w:rsidR="00B53EFD" w:rsidRDefault="00B53EFD" w:rsidP="00E35CF1">
      <w:pPr>
        <w:bidi/>
        <w:spacing w:after="0" w:line="276" w:lineRule="auto"/>
        <w:jc w:val="both"/>
        <w:rPr>
          <w:rFonts w:ascii="David" w:hAnsi="David" w:cs="David"/>
        </w:rPr>
      </w:pPr>
      <w:r>
        <w:rPr>
          <w:rFonts w:ascii="David" w:hAnsi="David" w:cs="David" w:hint="cs"/>
          <w:rtl/>
        </w:rPr>
        <w:t>ישנם עימותים נוספים סביב המקרה</w:t>
      </w:r>
      <w:r w:rsidR="00CF3001">
        <w:rPr>
          <w:rFonts w:ascii="David" w:hAnsi="David" w:cs="David" w:hint="cs"/>
          <w:rtl/>
        </w:rPr>
        <w:t xml:space="preserve"> (ולא רק בין הדין הדתי לאזרחי). פגיעה באוטונומיה לחזור מהבטחה מול השתחררות מנישואים שנגמרו. בשני הצדדים יש פגיעה בזכויות אדם ואוטונומיה אישית. יש לבחון את כלי ההתמודדות למקרים שהמדינה מספקת, ולהביא לשוויון בין יהודים לתושבים לא יהודים.</w:t>
      </w:r>
    </w:p>
    <w:p w14:paraId="386ED6B7" w14:textId="77777777" w:rsidR="00E35CF1" w:rsidRDefault="00E35CF1" w:rsidP="00E35CF1">
      <w:pPr>
        <w:bidi/>
        <w:spacing w:after="0" w:line="276" w:lineRule="auto"/>
        <w:jc w:val="both"/>
        <w:rPr>
          <w:rFonts w:ascii="David" w:hAnsi="David" w:cs="David"/>
          <w:rtl/>
        </w:rPr>
      </w:pPr>
    </w:p>
    <w:p w14:paraId="4DA1208D" w14:textId="494555F0" w:rsidR="00CF3001" w:rsidRDefault="00CF3001" w:rsidP="00CC7DF2">
      <w:pPr>
        <w:bidi/>
        <w:spacing w:line="276" w:lineRule="auto"/>
        <w:jc w:val="both"/>
        <w:rPr>
          <w:rFonts w:ascii="David" w:hAnsi="David" w:cs="David"/>
        </w:rPr>
      </w:pPr>
      <w:r>
        <w:rPr>
          <w:rFonts w:ascii="David" w:hAnsi="David" w:cs="David" w:hint="cs"/>
          <w:b/>
          <w:bCs/>
          <w:rtl/>
        </w:rPr>
        <w:t>לסיכום</w:t>
      </w:r>
      <w:r>
        <w:rPr>
          <w:rFonts w:ascii="David" w:hAnsi="David" w:cs="David" w:hint="cs"/>
          <w:rtl/>
        </w:rPr>
        <w:t>, זהו היבט נוסף של מעין סרבנות גט במדינה, שאינה יהודית. כאן גם המשפט הפרטי ממלא תפקיד במאבק בתופעה. ייתכן שגם במקרה זה יש מקום להסדרת העניין דרך הסכמי קדם נישואין.</w:t>
      </w:r>
    </w:p>
    <w:p w14:paraId="03FEB0C2" w14:textId="5CCFAA69" w:rsidR="00590C90" w:rsidRDefault="00590C90" w:rsidP="00CC7DF2">
      <w:pPr>
        <w:spacing w:line="276" w:lineRule="auto"/>
        <w:jc w:val="both"/>
        <w:rPr>
          <w:rFonts w:ascii="David" w:hAnsi="David" w:cs="David"/>
        </w:rPr>
      </w:pPr>
      <w:r>
        <w:rPr>
          <w:rFonts w:ascii="David" w:hAnsi="David" w:cs="David"/>
        </w:rPr>
        <w:br w:type="page"/>
      </w:r>
    </w:p>
    <w:p w14:paraId="04686E9F" w14:textId="356889D4" w:rsidR="00590C90" w:rsidRPr="006F0E2B" w:rsidRDefault="00590C90" w:rsidP="006F0E2B">
      <w:pPr>
        <w:pStyle w:val="Title"/>
        <w:bidi/>
        <w:jc w:val="center"/>
        <w:rPr>
          <w:rFonts w:ascii="David" w:hAnsi="David" w:cs="David"/>
          <w:sz w:val="52"/>
          <w:szCs w:val="52"/>
          <w:rtl/>
        </w:rPr>
      </w:pPr>
      <w:r w:rsidRPr="006F0E2B">
        <w:rPr>
          <w:rStyle w:val="IntenseEmphasis"/>
          <w:rFonts w:ascii="David" w:hAnsi="David" w:cs="David"/>
          <w:i w:val="0"/>
          <w:iCs w:val="0"/>
          <w:color w:val="auto"/>
          <w:sz w:val="52"/>
          <w:szCs w:val="52"/>
          <w:rtl/>
        </w:rPr>
        <w:lastRenderedPageBreak/>
        <w:t>נזיקין וחוזים במשפחה</w:t>
      </w:r>
    </w:p>
    <w:p w14:paraId="4BD24D82" w14:textId="307C739D" w:rsidR="0015128B" w:rsidRDefault="0015128B" w:rsidP="006F0E2B">
      <w:pPr>
        <w:pStyle w:val="IntenseQuote"/>
      </w:pPr>
      <w:r>
        <w:rPr>
          <w:rFonts w:hint="cs"/>
          <w:rtl/>
        </w:rPr>
        <w:t>סרבנות גט</w:t>
      </w:r>
    </w:p>
    <w:p w14:paraId="316C1944" w14:textId="39B00BA6" w:rsidR="0015128B" w:rsidRDefault="0015128B" w:rsidP="00CC7DF2">
      <w:pPr>
        <w:bidi/>
        <w:spacing w:line="276" w:lineRule="auto"/>
        <w:jc w:val="both"/>
        <w:rPr>
          <w:rFonts w:ascii="David" w:hAnsi="David" w:cs="David"/>
          <w:rtl/>
        </w:rPr>
      </w:pPr>
      <w:r>
        <w:rPr>
          <w:rFonts w:ascii="David" w:hAnsi="David" w:cs="David" w:hint="cs"/>
          <w:rtl/>
        </w:rPr>
        <w:t xml:space="preserve">תופעה של סחיטה חד צדדית של בעל כלפי אשתו, שלא רוצה לשלם מופקעים לקנות את חירותה. תביעות אזרחיות יכולות להוות מעין </w:t>
      </w:r>
      <w:r>
        <w:rPr>
          <w:rFonts w:ascii="David" w:hAnsi="David" w:cs="David" w:hint="cs"/>
          <w:b/>
          <w:bCs/>
          <w:rtl/>
        </w:rPr>
        <w:t>שובר שוויון</w:t>
      </w:r>
      <w:r>
        <w:rPr>
          <w:rFonts w:ascii="David" w:hAnsi="David" w:cs="David" w:hint="cs"/>
          <w:rtl/>
        </w:rPr>
        <w:t xml:space="preserve"> לטובת האישה, ולאפשר לה לסחור בגט: </w:t>
      </w:r>
      <w:r w:rsidR="004546F8">
        <w:rPr>
          <w:rFonts w:ascii="David" w:hAnsi="David" w:cs="David" w:hint="cs"/>
          <w:rtl/>
        </w:rPr>
        <w:t>גט תמורת ויתור על פיצויים.</w:t>
      </w:r>
    </w:p>
    <w:p w14:paraId="37BD40CC" w14:textId="504C9252" w:rsidR="00B04B7B" w:rsidRDefault="007054A8" w:rsidP="00CC7DF2">
      <w:pPr>
        <w:bidi/>
        <w:spacing w:line="276" w:lineRule="auto"/>
        <w:jc w:val="both"/>
        <w:rPr>
          <w:rFonts w:ascii="David" w:hAnsi="David" w:cs="David"/>
          <w:rtl/>
        </w:rPr>
      </w:pPr>
      <w:r>
        <w:rPr>
          <w:rFonts w:ascii="David" w:hAnsi="David" w:cs="David" w:hint="cs"/>
          <w:noProof/>
          <w:rtl/>
          <w:lang w:val="he-IL"/>
        </w:rPr>
        <mc:AlternateContent>
          <mc:Choice Requires="wps">
            <w:drawing>
              <wp:anchor distT="0" distB="0" distL="114300" distR="114300" simplePos="0" relativeHeight="251769856" behindDoc="0" locked="0" layoutInCell="1" allowOverlap="1" wp14:anchorId="292AEF1F" wp14:editId="2F6C914C">
                <wp:simplePos x="0" y="0"/>
                <wp:positionH relativeFrom="margin">
                  <wp:posOffset>2342233</wp:posOffset>
                </wp:positionH>
                <wp:positionV relativeFrom="paragraph">
                  <wp:posOffset>3440</wp:posOffset>
                </wp:positionV>
                <wp:extent cx="3755390" cy="1858139"/>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3755390" cy="1858139"/>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6EF558" w14:textId="4FD6C326" w:rsidR="00B04B7B" w:rsidRPr="007054A8" w:rsidRDefault="00B04B7B" w:rsidP="00B04B7B">
                            <w:pPr>
                              <w:bidi/>
                              <w:spacing w:after="0" w:line="276" w:lineRule="auto"/>
                              <w:jc w:val="both"/>
                              <w:rPr>
                                <w:rFonts w:ascii="David" w:hAnsi="David" w:cs="David"/>
                                <w:b/>
                                <w:bCs/>
                                <w:color w:val="000000" w:themeColor="text1"/>
                                <w:sz w:val="18"/>
                                <w:szCs w:val="18"/>
                                <w:rtl/>
                              </w:rPr>
                            </w:pPr>
                            <w:r w:rsidRPr="007054A8">
                              <w:rPr>
                                <w:rFonts w:ascii="David" w:hAnsi="David" w:cs="David" w:hint="cs"/>
                                <w:b/>
                                <w:bCs/>
                                <w:color w:val="000000" w:themeColor="text1"/>
                                <w:sz w:val="18"/>
                                <w:szCs w:val="18"/>
                                <w:rtl/>
                              </w:rPr>
                              <w:t>פתרונות הלכתיים:</w:t>
                            </w:r>
                          </w:p>
                          <w:p w14:paraId="2AE7A011" w14:textId="27F585DE"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הפקעת קידושין רטרואקטיבית ("מקח טעות") = פגם בכריתה</w:t>
                            </w:r>
                          </w:p>
                          <w:p w14:paraId="12F4869E"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הפקעת קידושין ("אדעתא דרבנן")</w:t>
                            </w:r>
                          </w:p>
                          <w:p w14:paraId="49DD1817" w14:textId="0DDEDFF0"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ביטול קידושין עקב בעיה בכשרותם</w:t>
                            </w:r>
                            <w:r w:rsidR="008E4F61" w:rsidRPr="007054A8">
                              <w:rPr>
                                <w:rFonts w:ascii="David" w:hAnsi="David" w:cs="David" w:hint="cs"/>
                                <w:color w:val="000000" w:themeColor="text1"/>
                                <w:sz w:val="18"/>
                                <w:szCs w:val="18"/>
                                <w:rtl/>
                              </w:rPr>
                              <w:t xml:space="preserve"> (דרך העד)</w:t>
                            </w:r>
                          </w:p>
                          <w:p w14:paraId="41F20924" w14:textId="2E12DF66"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קידושין על תנאי וגט על תנאי</w:t>
                            </w:r>
                            <w:r w:rsidR="00BE1FEB" w:rsidRPr="007054A8">
                              <w:rPr>
                                <w:rFonts w:ascii="David" w:hAnsi="David" w:cs="David" w:hint="cs"/>
                                <w:color w:val="000000" w:themeColor="text1"/>
                                <w:sz w:val="18"/>
                                <w:szCs w:val="18"/>
                                <w:rtl/>
                              </w:rPr>
                              <w:t xml:space="preserve">- הקידושין בטלים אם </w:t>
                            </w:r>
                            <w:r w:rsidR="002B70C3" w:rsidRPr="007054A8">
                              <w:rPr>
                                <w:rFonts w:ascii="David" w:hAnsi="David" w:cs="David" w:hint="cs"/>
                                <w:color w:val="000000" w:themeColor="text1"/>
                                <w:sz w:val="18"/>
                                <w:szCs w:val="18"/>
                                <w:rtl/>
                              </w:rPr>
                              <w:t>מישהו מסרב/ כל עוד יש שלום בית הגט לא מופעל, ברגע שמישהו רוצה להתגרש, הקידושין פוקעים</w:t>
                            </w:r>
                          </w:p>
                          <w:p w14:paraId="7D557B4C"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תקנת גאונים לכפות נתינת גט</w:t>
                            </w:r>
                          </w:p>
                          <w:p w14:paraId="53680EEA" w14:textId="17DF32BD"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גט זיכוי</w:t>
                            </w:r>
                            <w:r w:rsidR="002B70C3" w:rsidRPr="007054A8">
                              <w:rPr>
                                <w:rFonts w:ascii="David" w:hAnsi="David" w:cs="David" w:hint="cs"/>
                                <w:color w:val="000000" w:themeColor="text1"/>
                                <w:sz w:val="18"/>
                                <w:szCs w:val="18"/>
                                <w:rtl/>
                              </w:rPr>
                              <w:t xml:space="preserve"> </w:t>
                            </w:r>
                            <w:r w:rsidR="002B70C3" w:rsidRPr="007054A8">
                              <w:rPr>
                                <w:rFonts w:ascii="David" w:hAnsi="David" w:cs="David"/>
                                <w:color w:val="000000" w:themeColor="text1"/>
                                <w:sz w:val="18"/>
                                <w:szCs w:val="18"/>
                                <w:rtl/>
                              </w:rPr>
                              <w:t>–</w:t>
                            </w:r>
                            <w:r w:rsidR="002B70C3" w:rsidRPr="007054A8">
                              <w:rPr>
                                <w:rFonts w:ascii="David" w:hAnsi="David" w:cs="David" w:hint="cs"/>
                                <w:color w:val="000000" w:themeColor="text1"/>
                                <w:sz w:val="18"/>
                                <w:szCs w:val="18"/>
                                <w:rtl/>
                              </w:rPr>
                              <w:t xml:space="preserve"> </w:t>
                            </w:r>
                            <w:r w:rsidR="00770B90" w:rsidRPr="007054A8">
                              <w:rPr>
                                <w:rFonts w:ascii="David" w:hAnsi="David" w:cs="David" w:hint="cs"/>
                                <w:color w:val="000000" w:themeColor="text1"/>
                                <w:sz w:val="18"/>
                                <w:szCs w:val="18"/>
                                <w:rtl/>
                              </w:rPr>
                              <w:t xml:space="preserve">מותר לעשות מצווה עבור אנשים גם אם הם לא רוצים (פטרנליסטי) </w:t>
                            </w:r>
                            <w:r w:rsidR="00770B90" w:rsidRPr="007054A8">
                              <w:rPr>
                                <w:rFonts w:ascii="David" w:hAnsi="David" w:cs="David"/>
                                <w:color w:val="000000" w:themeColor="text1"/>
                                <w:sz w:val="18"/>
                                <w:szCs w:val="18"/>
                                <w:rtl/>
                              </w:rPr>
                              <w:t>–</w:t>
                            </w:r>
                            <w:r w:rsidR="00770B90" w:rsidRPr="007054A8">
                              <w:rPr>
                                <w:rFonts w:ascii="David" w:hAnsi="David" w:cs="David" w:hint="cs"/>
                                <w:color w:val="000000" w:themeColor="text1"/>
                                <w:sz w:val="18"/>
                                <w:szCs w:val="18"/>
                                <w:rtl/>
                              </w:rPr>
                              <w:t xml:space="preserve"> ביה"ד בעצם עושה מצווה לבעל </w:t>
                            </w:r>
                            <w:r w:rsidR="00750C50" w:rsidRPr="007054A8">
                              <w:rPr>
                                <w:rFonts w:ascii="David" w:hAnsi="David" w:cs="David" w:hint="cs"/>
                                <w:color w:val="000000" w:themeColor="text1"/>
                                <w:sz w:val="18"/>
                                <w:szCs w:val="18"/>
                                <w:rtl/>
                              </w:rPr>
                              <w:t>בכך שהוא חותם על הגט בשמו</w:t>
                            </w:r>
                          </w:p>
                          <w:p w14:paraId="5A110E08"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הסכם קדם נישואין</w:t>
                            </w:r>
                          </w:p>
                          <w:p w14:paraId="37D7929D" w14:textId="77777777" w:rsidR="00B04B7B" w:rsidRPr="007054A8" w:rsidRDefault="00B04B7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EF1F" id="Text Box 13" o:spid="_x0000_s1068" type="#_x0000_t202" style="position:absolute;left:0;text-align:left;margin-left:184.45pt;margin-top:.25pt;width:295.7pt;height:146.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" fillcolor="#7cca62 [3208]" stroked="f">
                <v:fill opacity="32896f"/>
                <v:textbox>
                  <w:txbxContent>
                    <w:p w14:paraId="116EF558" w14:textId="4FD6C326" w:rsidR="00B04B7B" w:rsidRPr="007054A8" w:rsidRDefault="00B04B7B" w:rsidP="00B04B7B">
                      <w:pPr>
                        <w:bidi/>
                        <w:spacing w:after="0" w:line="276" w:lineRule="auto"/>
                        <w:jc w:val="both"/>
                        <w:rPr>
                          <w:rFonts w:ascii="David" w:hAnsi="David" w:cs="David"/>
                          <w:b/>
                          <w:bCs/>
                          <w:color w:val="000000" w:themeColor="text1"/>
                          <w:sz w:val="18"/>
                          <w:szCs w:val="18"/>
                          <w:rtl/>
                        </w:rPr>
                      </w:pPr>
                      <w:r w:rsidRPr="007054A8">
                        <w:rPr>
                          <w:rFonts w:ascii="David" w:hAnsi="David" w:cs="David" w:hint="cs"/>
                          <w:b/>
                          <w:bCs/>
                          <w:color w:val="000000" w:themeColor="text1"/>
                          <w:sz w:val="18"/>
                          <w:szCs w:val="18"/>
                          <w:rtl/>
                        </w:rPr>
                        <w:t>פתרונות הלכתיים:</w:t>
                      </w:r>
                    </w:p>
                    <w:p w14:paraId="2AE7A011" w14:textId="27F585DE"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הפקעת קידושין רטרואקטיבית ("מקח טעות") = פגם בכריתה</w:t>
                      </w:r>
                    </w:p>
                    <w:p w14:paraId="12F4869E"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הפקעת קידושין ("אדעתא דרבנן")</w:t>
                      </w:r>
                    </w:p>
                    <w:p w14:paraId="49DD1817" w14:textId="0DDEDFF0"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ביטול קידושין עקב בעיה בכשרותם</w:t>
                      </w:r>
                      <w:r w:rsidR="008E4F61" w:rsidRPr="007054A8">
                        <w:rPr>
                          <w:rFonts w:ascii="David" w:hAnsi="David" w:cs="David" w:hint="cs"/>
                          <w:color w:val="000000" w:themeColor="text1"/>
                          <w:sz w:val="18"/>
                          <w:szCs w:val="18"/>
                          <w:rtl/>
                        </w:rPr>
                        <w:t xml:space="preserve"> (דרך העד)</w:t>
                      </w:r>
                    </w:p>
                    <w:p w14:paraId="41F20924" w14:textId="2E12DF66"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קידושין על תנאי וגט על תנאי</w:t>
                      </w:r>
                      <w:r w:rsidR="00BE1FEB" w:rsidRPr="007054A8">
                        <w:rPr>
                          <w:rFonts w:ascii="David" w:hAnsi="David" w:cs="David" w:hint="cs"/>
                          <w:color w:val="000000" w:themeColor="text1"/>
                          <w:sz w:val="18"/>
                          <w:szCs w:val="18"/>
                          <w:rtl/>
                        </w:rPr>
                        <w:t xml:space="preserve">- הקידושין בטלים אם </w:t>
                      </w:r>
                      <w:r w:rsidR="002B70C3" w:rsidRPr="007054A8">
                        <w:rPr>
                          <w:rFonts w:ascii="David" w:hAnsi="David" w:cs="David" w:hint="cs"/>
                          <w:color w:val="000000" w:themeColor="text1"/>
                          <w:sz w:val="18"/>
                          <w:szCs w:val="18"/>
                          <w:rtl/>
                        </w:rPr>
                        <w:t>מישהו מסרב/ כל עוד יש שלום בית הגט לא מופעל, ברגע שמישהו רוצה להתגרש, הקידושין פוקעים</w:t>
                      </w:r>
                    </w:p>
                    <w:p w14:paraId="7D557B4C"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תקנת גאונים לכפות נתינת גט</w:t>
                      </w:r>
                    </w:p>
                    <w:p w14:paraId="53680EEA" w14:textId="17DF32BD"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גט זיכוי</w:t>
                      </w:r>
                      <w:r w:rsidR="002B70C3" w:rsidRPr="007054A8">
                        <w:rPr>
                          <w:rFonts w:ascii="David" w:hAnsi="David" w:cs="David" w:hint="cs"/>
                          <w:color w:val="000000" w:themeColor="text1"/>
                          <w:sz w:val="18"/>
                          <w:szCs w:val="18"/>
                          <w:rtl/>
                        </w:rPr>
                        <w:t xml:space="preserve"> </w:t>
                      </w:r>
                      <w:r w:rsidR="002B70C3" w:rsidRPr="007054A8">
                        <w:rPr>
                          <w:rFonts w:ascii="David" w:hAnsi="David" w:cs="David"/>
                          <w:color w:val="000000" w:themeColor="text1"/>
                          <w:sz w:val="18"/>
                          <w:szCs w:val="18"/>
                          <w:rtl/>
                        </w:rPr>
                        <w:t>–</w:t>
                      </w:r>
                      <w:r w:rsidR="002B70C3" w:rsidRPr="007054A8">
                        <w:rPr>
                          <w:rFonts w:ascii="David" w:hAnsi="David" w:cs="David" w:hint="cs"/>
                          <w:color w:val="000000" w:themeColor="text1"/>
                          <w:sz w:val="18"/>
                          <w:szCs w:val="18"/>
                          <w:rtl/>
                        </w:rPr>
                        <w:t xml:space="preserve"> </w:t>
                      </w:r>
                      <w:r w:rsidR="00770B90" w:rsidRPr="007054A8">
                        <w:rPr>
                          <w:rFonts w:ascii="David" w:hAnsi="David" w:cs="David" w:hint="cs"/>
                          <w:color w:val="000000" w:themeColor="text1"/>
                          <w:sz w:val="18"/>
                          <w:szCs w:val="18"/>
                          <w:rtl/>
                        </w:rPr>
                        <w:t xml:space="preserve">מותר לעשות מצווה עבור אנשים גם אם הם לא רוצים (פטרנליסטי) </w:t>
                      </w:r>
                      <w:r w:rsidR="00770B90" w:rsidRPr="007054A8">
                        <w:rPr>
                          <w:rFonts w:ascii="David" w:hAnsi="David" w:cs="David"/>
                          <w:color w:val="000000" w:themeColor="text1"/>
                          <w:sz w:val="18"/>
                          <w:szCs w:val="18"/>
                          <w:rtl/>
                        </w:rPr>
                        <w:t>–</w:t>
                      </w:r>
                      <w:r w:rsidR="00770B90" w:rsidRPr="007054A8">
                        <w:rPr>
                          <w:rFonts w:ascii="David" w:hAnsi="David" w:cs="David" w:hint="cs"/>
                          <w:color w:val="000000" w:themeColor="text1"/>
                          <w:sz w:val="18"/>
                          <w:szCs w:val="18"/>
                          <w:rtl/>
                        </w:rPr>
                        <w:t xml:space="preserve"> ביה"ד בעצם עושה מצווה לבעל </w:t>
                      </w:r>
                      <w:r w:rsidR="00750C50" w:rsidRPr="007054A8">
                        <w:rPr>
                          <w:rFonts w:ascii="David" w:hAnsi="David" w:cs="David" w:hint="cs"/>
                          <w:color w:val="000000" w:themeColor="text1"/>
                          <w:sz w:val="18"/>
                          <w:szCs w:val="18"/>
                          <w:rtl/>
                        </w:rPr>
                        <w:t>בכך שהוא חותם על הגט בשמו</w:t>
                      </w:r>
                    </w:p>
                    <w:p w14:paraId="5A110E08" w14:textId="77777777" w:rsidR="00B04B7B" w:rsidRPr="007054A8" w:rsidRDefault="00B04B7B" w:rsidP="00DF69B2">
                      <w:pPr>
                        <w:pStyle w:val="ListParagraph"/>
                        <w:numPr>
                          <w:ilvl w:val="0"/>
                          <w:numId w:val="16"/>
                        </w:numPr>
                        <w:bidi/>
                        <w:spacing w:after="0" w:line="276" w:lineRule="auto"/>
                        <w:jc w:val="both"/>
                        <w:rPr>
                          <w:rFonts w:ascii="David" w:hAnsi="David" w:cs="David"/>
                          <w:color w:val="000000" w:themeColor="text1"/>
                          <w:sz w:val="18"/>
                          <w:szCs w:val="18"/>
                        </w:rPr>
                      </w:pPr>
                      <w:r w:rsidRPr="007054A8">
                        <w:rPr>
                          <w:rFonts w:ascii="David" w:hAnsi="David" w:cs="David" w:hint="cs"/>
                          <w:color w:val="000000" w:themeColor="text1"/>
                          <w:sz w:val="18"/>
                          <w:szCs w:val="18"/>
                          <w:rtl/>
                        </w:rPr>
                        <w:t>הסכם קדם נישואין</w:t>
                      </w:r>
                    </w:p>
                    <w:p w14:paraId="37D7929D" w14:textId="77777777" w:rsidR="00B04B7B" w:rsidRPr="007054A8" w:rsidRDefault="00B04B7B">
                      <w:pPr>
                        <w:rPr>
                          <w:color w:val="000000" w:themeColor="text1"/>
                        </w:rPr>
                      </w:pPr>
                    </w:p>
                  </w:txbxContent>
                </v:textbox>
                <w10:wrap anchorx="margin"/>
              </v:shape>
            </w:pict>
          </mc:Fallback>
        </mc:AlternateContent>
      </w:r>
      <w:r>
        <w:rPr>
          <w:rFonts w:ascii="David" w:hAnsi="David" w:cs="David" w:hint="cs"/>
          <w:noProof/>
          <w:rtl/>
          <w:lang w:val="he-IL"/>
        </w:rPr>
        <mc:AlternateContent>
          <mc:Choice Requires="wps">
            <w:drawing>
              <wp:anchor distT="0" distB="0" distL="114300" distR="114300" simplePos="0" relativeHeight="251771904" behindDoc="0" locked="0" layoutInCell="1" allowOverlap="1" wp14:anchorId="35DC22F2" wp14:editId="3A73EB33">
                <wp:simplePos x="0" y="0"/>
                <wp:positionH relativeFrom="margin">
                  <wp:align>left</wp:align>
                </wp:positionH>
                <wp:positionV relativeFrom="paragraph">
                  <wp:posOffset>3440</wp:posOffset>
                </wp:positionV>
                <wp:extent cx="2126615" cy="1867919"/>
                <wp:effectExtent l="0" t="0" r="6985" b="0"/>
                <wp:wrapNone/>
                <wp:docPr id="38" name="Text Box 38"/>
                <wp:cNvGraphicFramePr/>
                <a:graphic xmlns:a="http://schemas.openxmlformats.org/drawingml/2006/main">
                  <a:graphicData uri="http://schemas.microsoft.com/office/word/2010/wordprocessingShape">
                    <wps:wsp>
                      <wps:cNvSpPr txBox="1"/>
                      <wps:spPr>
                        <a:xfrm>
                          <a:off x="0" y="0"/>
                          <a:ext cx="2126615" cy="1867919"/>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E9C09D" w14:textId="77777777" w:rsidR="00750C50" w:rsidRPr="007054A8" w:rsidRDefault="00750C50" w:rsidP="007054A8">
                            <w:pPr>
                              <w:bidi/>
                              <w:spacing w:line="276" w:lineRule="auto"/>
                              <w:rPr>
                                <w:rFonts w:ascii="David" w:hAnsi="David" w:cs="David"/>
                                <w:color w:val="000000" w:themeColor="text1"/>
                                <w:sz w:val="18"/>
                                <w:szCs w:val="18"/>
                                <w:rtl/>
                              </w:rPr>
                            </w:pPr>
                            <w:r w:rsidRPr="007054A8">
                              <w:rPr>
                                <w:rFonts w:ascii="David" w:hAnsi="David" w:cs="David" w:hint="cs"/>
                                <w:b/>
                                <w:bCs/>
                                <w:color w:val="000000" w:themeColor="text1"/>
                                <w:sz w:val="18"/>
                                <w:szCs w:val="18"/>
                                <w:rtl/>
                              </w:rPr>
                              <w:t>האם תביעה נזיקית בגין סרבנות בכלל אפשרית?</w:t>
                            </w:r>
                          </w:p>
                          <w:p w14:paraId="248F24EC"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Fonts w:ascii="David" w:hAnsi="David" w:cs="David" w:hint="cs"/>
                                <w:color w:val="000000" w:themeColor="text1"/>
                                <w:sz w:val="18"/>
                                <w:szCs w:val="18"/>
                                <w:rtl/>
                              </w:rPr>
                              <w:t xml:space="preserve">הרב </w:t>
                            </w:r>
                            <w:r w:rsidRPr="007054A8">
                              <w:rPr>
                                <w:rFonts w:ascii="David" w:hAnsi="David" w:cs="David" w:hint="cs"/>
                                <w:color w:val="FFFFFF" w:themeColor="background1"/>
                                <w:sz w:val="18"/>
                                <w:szCs w:val="18"/>
                                <w:rtl/>
                              </w:rPr>
                              <w:t>אוריאל לביא</w:t>
                            </w:r>
                            <w:r w:rsidRPr="007054A8">
                              <w:rPr>
                                <w:rFonts w:ascii="David" w:hAnsi="David" w:cs="David" w:hint="cs"/>
                                <w:color w:val="000000" w:themeColor="text1"/>
                                <w:sz w:val="18"/>
                                <w:szCs w:val="18"/>
                                <w:rtl/>
                              </w:rPr>
                              <w:t>: תביעה אינה אפשרית.</w:t>
                            </w:r>
                          </w:p>
                          <w:p w14:paraId="22883C24"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Fonts w:ascii="David" w:hAnsi="David" w:cs="David" w:hint="cs"/>
                                <w:color w:val="000000" w:themeColor="text1"/>
                                <w:sz w:val="18"/>
                                <w:szCs w:val="18"/>
                                <w:rtl/>
                              </w:rPr>
                              <w:t xml:space="preserve">הרב </w:t>
                            </w:r>
                            <w:r w:rsidRPr="007054A8">
                              <w:rPr>
                                <w:rFonts w:ascii="David" w:hAnsi="David" w:cs="David" w:hint="cs"/>
                                <w:color w:val="FFFFFF" w:themeColor="background1"/>
                                <w:sz w:val="18"/>
                                <w:szCs w:val="18"/>
                                <w:rtl/>
                              </w:rPr>
                              <w:t>שלמה דיכובסקי</w:t>
                            </w:r>
                            <w:r w:rsidRPr="007054A8">
                              <w:rPr>
                                <w:rFonts w:ascii="David" w:hAnsi="David" w:cs="David" w:hint="cs"/>
                                <w:color w:val="000000" w:themeColor="text1"/>
                                <w:sz w:val="18"/>
                                <w:szCs w:val="18"/>
                                <w:rtl/>
                              </w:rPr>
                              <w:t>: אפשרית בבימ"ש למשפחה, אך יש להעביר את הסמכות לביד"ר.</w:t>
                            </w:r>
                          </w:p>
                          <w:p w14:paraId="5F77F2B7"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יחיאל קפלן ורונן פרי</w:t>
                            </w:r>
                            <w:r w:rsidRPr="007054A8">
                              <w:rPr>
                                <w:rFonts w:ascii="David" w:hAnsi="David" w:cs="David" w:hint="cs"/>
                                <w:color w:val="000000" w:themeColor="text1"/>
                                <w:sz w:val="18"/>
                                <w:szCs w:val="18"/>
                                <w:rtl/>
                              </w:rPr>
                              <w:t>" תביעה אפשרית וכפופה לסייגים בדיני משפחה וגט מעושה.</w:t>
                            </w:r>
                          </w:p>
                          <w:p w14:paraId="17A734D1"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יפעת ביטון</w:t>
                            </w:r>
                            <w:r w:rsidRPr="007054A8">
                              <w:rPr>
                                <w:rFonts w:ascii="David" w:hAnsi="David" w:cs="David" w:hint="cs"/>
                                <w:color w:val="000000" w:themeColor="text1"/>
                                <w:sz w:val="18"/>
                                <w:szCs w:val="18"/>
                                <w:rtl/>
                              </w:rPr>
                              <w:t>: דיני נזיקין לא יכולים להיות כפופים למשפחה.</w:t>
                            </w:r>
                          </w:p>
                          <w:p w14:paraId="04A203B5"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שמואלי:</w:t>
                            </w:r>
                            <w:r w:rsidRPr="007054A8">
                              <w:rPr>
                                <w:rFonts w:ascii="David" w:hAnsi="David" w:cs="David" w:hint="cs"/>
                                <w:color w:val="000000" w:themeColor="text1"/>
                                <w:sz w:val="18"/>
                                <w:szCs w:val="18"/>
                                <w:rtl/>
                              </w:rPr>
                              <w:t xml:space="preserve"> יש לקבל את התביעה מניתוח כלל מטרות דיני הנזיקין.</w:t>
                            </w:r>
                          </w:p>
                          <w:p w14:paraId="774A3CC2" w14:textId="77777777" w:rsidR="00750C50" w:rsidRPr="007054A8" w:rsidRDefault="00750C50" w:rsidP="007054A8">
                            <w:pPr>
                              <w:jc w:val="righ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22F2" id="Text Box 38" o:spid="_x0000_s1069" type="#_x0000_t202" style="position:absolute;left:0;text-align:left;margin-left:0;margin-top:.25pt;width:167.45pt;height:147.1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" fillcolor="#009dd9 [3205]" stroked="f">
                <v:fill opacity="32896f"/>
                <v:textbox>
                  <w:txbxContent>
                    <w:p w14:paraId="6AE9C09D" w14:textId="77777777" w:rsidR="00750C50" w:rsidRPr="007054A8" w:rsidRDefault="00750C50" w:rsidP="007054A8">
                      <w:pPr>
                        <w:bidi/>
                        <w:spacing w:line="276" w:lineRule="auto"/>
                        <w:rPr>
                          <w:rFonts w:ascii="David" w:hAnsi="David" w:cs="David"/>
                          <w:color w:val="000000" w:themeColor="text1"/>
                          <w:sz w:val="18"/>
                          <w:szCs w:val="18"/>
                          <w:rtl/>
                        </w:rPr>
                      </w:pPr>
                      <w:r w:rsidRPr="007054A8">
                        <w:rPr>
                          <w:rFonts w:ascii="David" w:hAnsi="David" w:cs="David" w:hint="cs"/>
                          <w:b/>
                          <w:bCs/>
                          <w:color w:val="000000" w:themeColor="text1"/>
                          <w:sz w:val="18"/>
                          <w:szCs w:val="18"/>
                          <w:rtl/>
                        </w:rPr>
                        <w:t>האם תביעה נזיקית בגין סרבנות בכלל אפשרית?</w:t>
                      </w:r>
                    </w:p>
                    <w:p w14:paraId="248F24EC"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Fonts w:ascii="David" w:hAnsi="David" w:cs="David" w:hint="cs"/>
                          <w:color w:val="000000" w:themeColor="text1"/>
                          <w:sz w:val="18"/>
                          <w:szCs w:val="18"/>
                          <w:rtl/>
                        </w:rPr>
                        <w:t xml:space="preserve">הרב </w:t>
                      </w:r>
                      <w:r w:rsidRPr="007054A8">
                        <w:rPr>
                          <w:rFonts w:ascii="David" w:hAnsi="David" w:cs="David" w:hint="cs"/>
                          <w:color w:val="FFFFFF" w:themeColor="background1"/>
                          <w:sz w:val="18"/>
                          <w:szCs w:val="18"/>
                          <w:rtl/>
                        </w:rPr>
                        <w:t>אוריאל לביא</w:t>
                      </w:r>
                      <w:r w:rsidRPr="007054A8">
                        <w:rPr>
                          <w:rFonts w:ascii="David" w:hAnsi="David" w:cs="David" w:hint="cs"/>
                          <w:color w:val="000000" w:themeColor="text1"/>
                          <w:sz w:val="18"/>
                          <w:szCs w:val="18"/>
                          <w:rtl/>
                        </w:rPr>
                        <w:t>: תביעה אינה אפשרית.</w:t>
                      </w:r>
                    </w:p>
                    <w:p w14:paraId="22883C24"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Fonts w:ascii="David" w:hAnsi="David" w:cs="David" w:hint="cs"/>
                          <w:color w:val="000000" w:themeColor="text1"/>
                          <w:sz w:val="18"/>
                          <w:szCs w:val="18"/>
                          <w:rtl/>
                        </w:rPr>
                        <w:t xml:space="preserve">הרב </w:t>
                      </w:r>
                      <w:r w:rsidRPr="007054A8">
                        <w:rPr>
                          <w:rFonts w:ascii="David" w:hAnsi="David" w:cs="David" w:hint="cs"/>
                          <w:color w:val="FFFFFF" w:themeColor="background1"/>
                          <w:sz w:val="18"/>
                          <w:szCs w:val="18"/>
                          <w:rtl/>
                        </w:rPr>
                        <w:t>שלמה דיכובסקי</w:t>
                      </w:r>
                      <w:r w:rsidRPr="007054A8">
                        <w:rPr>
                          <w:rFonts w:ascii="David" w:hAnsi="David" w:cs="David" w:hint="cs"/>
                          <w:color w:val="000000" w:themeColor="text1"/>
                          <w:sz w:val="18"/>
                          <w:szCs w:val="18"/>
                          <w:rtl/>
                        </w:rPr>
                        <w:t>: אפשרית בבימ"ש למשפחה, אך יש להעביר את הסמכות לביד"ר.</w:t>
                      </w:r>
                    </w:p>
                    <w:p w14:paraId="5F77F2B7"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יחיאל קפלן ורונן פרי</w:t>
                      </w:r>
                      <w:r w:rsidRPr="007054A8">
                        <w:rPr>
                          <w:rFonts w:ascii="David" w:hAnsi="David" w:cs="David" w:hint="cs"/>
                          <w:color w:val="000000" w:themeColor="text1"/>
                          <w:sz w:val="18"/>
                          <w:szCs w:val="18"/>
                          <w:rtl/>
                        </w:rPr>
                        <w:t>" תביעה אפשרית וכפופה לסייגים בדיני משפחה וגט מעושה.</w:t>
                      </w:r>
                    </w:p>
                    <w:p w14:paraId="17A734D1"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יפעת ביטון</w:t>
                      </w:r>
                      <w:r w:rsidRPr="007054A8">
                        <w:rPr>
                          <w:rFonts w:ascii="David" w:hAnsi="David" w:cs="David" w:hint="cs"/>
                          <w:color w:val="000000" w:themeColor="text1"/>
                          <w:sz w:val="18"/>
                          <w:szCs w:val="18"/>
                          <w:rtl/>
                        </w:rPr>
                        <w:t>: דיני נזיקין לא יכולים להיות כפופים למשפחה.</w:t>
                      </w:r>
                    </w:p>
                    <w:p w14:paraId="04A203B5" w14:textId="77777777" w:rsidR="00750C50" w:rsidRPr="007054A8" w:rsidRDefault="00750C50" w:rsidP="00DF69B2">
                      <w:pPr>
                        <w:pStyle w:val="ListParagraph"/>
                        <w:numPr>
                          <w:ilvl w:val="0"/>
                          <w:numId w:val="20"/>
                        </w:numPr>
                        <w:bidi/>
                        <w:spacing w:line="276" w:lineRule="auto"/>
                        <w:rPr>
                          <w:rFonts w:ascii="David" w:hAnsi="David" w:cs="David"/>
                          <w:color w:val="000000" w:themeColor="text1"/>
                          <w:sz w:val="18"/>
                          <w:szCs w:val="18"/>
                        </w:rPr>
                      </w:pPr>
                      <w:r w:rsidRPr="007054A8">
                        <w:rPr>
                          <w:rStyle w:val="Strong"/>
                          <w:rFonts w:hint="cs"/>
                          <w:sz w:val="18"/>
                          <w:szCs w:val="18"/>
                          <w:rtl/>
                        </w:rPr>
                        <w:t>שמואלי:</w:t>
                      </w:r>
                      <w:r w:rsidRPr="007054A8">
                        <w:rPr>
                          <w:rFonts w:ascii="David" w:hAnsi="David" w:cs="David" w:hint="cs"/>
                          <w:color w:val="000000" w:themeColor="text1"/>
                          <w:sz w:val="18"/>
                          <w:szCs w:val="18"/>
                          <w:rtl/>
                        </w:rPr>
                        <w:t xml:space="preserve"> יש לקבל את התביעה מניתוח כלל מטרות דיני הנזיקין.</w:t>
                      </w:r>
                    </w:p>
                    <w:p w14:paraId="774A3CC2" w14:textId="77777777" w:rsidR="00750C50" w:rsidRPr="007054A8" w:rsidRDefault="00750C50" w:rsidP="007054A8">
                      <w:pPr>
                        <w:jc w:val="right"/>
                        <w:rPr>
                          <w:color w:val="000000" w:themeColor="text1"/>
                          <w:sz w:val="18"/>
                          <w:szCs w:val="18"/>
                        </w:rPr>
                      </w:pPr>
                    </w:p>
                  </w:txbxContent>
                </v:textbox>
                <w10:wrap anchorx="margin"/>
              </v:shape>
            </w:pict>
          </mc:Fallback>
        </mc:AlternateContent>
      </w:r>
    </w:p>
    <w:p w14:paraId="242CA36E" w14:textId="589D7F84" w:rsidR="00B04B7B" w:rsidRDefault="00B04B7B" w:rsidP="00B04B7B">
      <w:pPr>
        <w:bidi/>
        <w:spacing w:line="276" w:lineRule="auto"/>
        <w:jc w:val="both"/>
        <w:rPr>
          <w:rFonts w:ascii="David" w:hAnsi="David" w:cs="David"/>
          <w:rtl/>
        </w:rPr>
      </w:pPr>
    </w:p>
    <w:p w14:paraId="5DF5AEAC" w14:textId="38E98CC2" w:rsidR="00B04B7B" w:rsidRDefault="00B04B7B" w:rsidP="00CC7DF2">
      <w:pPr>
        <w:bidi/>
        <w:spacing w:line="276" w:lineRule="auto"/>
        <w:jc w:val="both"/>
        <w:rPr>
          <w:rFonts w:ascii="David" w:hAnsi="David" w:cs="David"/>
          <w:rtl/>
        </w:rPr>
      </w:pPr>
    </w:p>
    <w:p w14:paraId="3178AF12" w14:textId="77777777" w:rsidR="00B04B7B" w:rsidRDefault="00B04B7B" w:rsidP="00B04B7B">
      <w:pPr>
        <w:bidi/>
        <w:spacing w:line="276" w:lineRule="auto"/>
        <w:jc w:val="both"/>
        <w:rPr>
          <w:rFonts w:ascii="David" w:hAnsi="David" w:cs="David"/>
          <w:rtl/>
        </w:rPr>
      </w:pPr>
    </w:p>
    <w:p w14:paraId="3D8F5FAA" w14:textId="77777777" w:rsidR="00B04B7B" w:rsidRDefault="00B04B7B" w:rsidP="00B04B7B">
      <w:pPr>
        <w:bidi/>
        <w:spacing w:line="276" w:lineRule="auto"/>
        <w:jc w:val="both"/>
        <w:rPr>
          <w:rFonts w:ascii="David" w:hAnsi="David" w:cs="David"/>
          <w:rtl/>
        </w:rPr>
      </w:pPr>
    </w:p>
    <w:p w14:paraId="383EBB72" w14:textId="77777777" w:rsidR="00B04B7B" w:rsidRDefault="00B04B7B" w:rsidP="00B04B7B">
      <w:pPr>
        <w:bidi/>
        <w:spacing w:line="276" w:lineRule="auto"/>
        <w:jc w:val="both"/>
        <w:rPr>
          <w:rFonts w:ascii="David" w:hAnsi="David" w:cs="David"/>
          <w:rtl/>
        </w:rPr>
      </w:pPr>
    </w:p>
    <w:p w14:paraId="41E418A9" w14:textId="77777777" w:rsidR="00750C50" w:rsidRDefault="00750C50" w:rsidP="00B04B7B">
      <w:pPr>
        <w:bidi/>
        <w:spacing w:line="276" w:lineRule="auto"/>
        <w:jc w:val="both"/>
        <w:rPr>
          <w:rFonts w:ascii="David" w:hAnsi="David" w:cs="David"/>
          <w:b/>
          <w:bCs/>
          <w:rtl/>
        </w:rPr>
      </w:pPr>
    </w:p>
    <w:p w14:paraId="2DDB302D" w14:textId="77777777" w:rsidR="00750C50" w:rsidRDefault="00750C50" w:rsidP="00750C50">
      <w:pPr>
        <w:bidi/>
        <w:spacing w:line="276" w:lineRule="auto"/>
        <w:jc w:val="both"/>
        <w:rPr>
          <w:rFonts w:ascii="David" w:hAnsi="David" w:cs="David"/>
          <w:b/>
          <w:bCs/>
          <w:rtl/>
        </w:rPr>
      </w:pPr>
    </w:p>
    <w:p w14:paraId="20213DF4" w14:textId="47BDF2B8" w:rsidR="004546F8" w:rsidRDefault="004546F8" w:rsidP="001F4B75">
      <w:pPr>
        <w:bidi/>
        <w:spacing w:line="276" w:lineRule="auto"/>
        <w:jc w:val="both"/>
        <w:rPr>
          <w:rFonts w:ascii="David" w:hAnsi="David" w:cs="David"/>
          <w:rtl/>
        </w:rPr>
      </w:pPr>
      <w:r>
        <w:rPr>
          <w:rFonts w:ascii="David" w:hAnsi="David" w:cs="David" w:hint="cs"/>
          <w:b/>
          <w:bCs/>
          <w:rtl/>
        </w:rPr>
        <w:t>בתי הדין השיבו מלחמה</w:t>
      </w:r>
      <w:r>
        <w:rPr>
          <w:rFonts w:ascii="David" w:hAnsi="David" w:cs="David" w:hint="cs"/>
          <w:rtl/>
        </w:rPr>
        <w:t>, בטענה שהתביעה הופכת את הגט למעושה. הסנקציה: הרבנות יכולה להקפיא הליך גירושין אם האישה תובעת בדין האזרחי.</w:t>
      </w:r>
    </w:p>
    <w:p w14:paraId="179D620C" w14:textId="1822FAA6" w:rsidR="004546F8" w:rsidRDefault="004546F8" w:rsidP="001F4B75">
      <w:pPr>
        <w:bidi/>
        <w:spacing w:line="276" w:lineRule="auto"/>
        <w:jc w:val="both"/>
        <w:rPr>
          <w:rFonts w:ascii="David" w:hAnsi="David" w:cs="David"/>
          <w:b/>
          <w:bCs/>
          <w:rtl/>
        </w:rPr>
      </w:pPr>
      <w:r>
        <w:rPr>
          <w:rFonts w:ascii="David" w:hAnsi="David" w:cs="David" w:hint="cs"/>
          <w:b/>
          <w:bCs/>
          <w:rtl/>
        </w:rPr>
        <w:t xml:space="preserve">התביעות החוזיות </w:t>
      </w:r>
      <w:r>
        <w:rPr>
          <w:rFonts w:ascii="David" w:hAnsi="David" w:cs="David"/>
          <w:b/>
          <w:bCs/>
          <w:rtl/>
        </w:rPr>
        <w:t>–</w:t>
      </w:r>
      <w:r>
        <w:rPr>
          <w:rFonts w:ascii="David" w:hAnsi="David" w:cs="David" w:hint="cs"/>
          <w:b/>
          <w:bCs/>
          <w:rtl/>
        </w:rPr>
        <w:t xml:space="preserve"> מסלולים</w:t>
      </w:r>
    </w:p>
    <w:p w14:paraId="10F667A8" w14:textId="0E97E017" w:rsidR="004546F8" w:rsidRDefault="004546F8" w:rsidP="00DF69B2">
      <w:pPr>
        <w:pStyle w:val="ListParagraph"/>
        <w:numPr>
          <w:ilvl w:val="0"/>
          <w:numId w:val="21"/>
        </w:numPr>
        <w:bidi/>
        <w:spacing w:line="276" w:lineRule="auto"/>
        <w:jc w:val="both"/>
        <w:rPr>
          <w:rFonts w:ascii="David" w:hAnsi="David" w:cs="David"/>
        </w:rPr>
      </w:pPr>
      <w:r>
        <w:rPr>
          <w:rFonts w:ascii="David" w:hAnsi="David" w:cs="David" w:hint="cs"/>
          <w:rtl/>
        </w:rPr>
        <w:t xml:space="preserve">תשלום מזונות מוגברים בפירוד </w:t>
      </w:r>
      <w:r w:rsidRPr="004546F8">
        <w:rPr>
          <w:rFonts w:ascii="David" w:hAnsi="David" w:cs="David" w:hint="cs"/>
          <w:b/>
          <w:bCs/>
          <w:rtl/>
        </w:rPr>
        <w:t>בהסכם קדם נישואין</w:t>
      </w:r>
      <w:r>
        <w:rPr>
          <w:rFonts w:ascii="David" w:hAnsi="David" w:cs="David" w:hint="cs"/>
          <w:rtl/>
        </w:rPr>
        <w:t xml:space="preserve">, במידה ויש הסכם כזה. בארה"ב נפוץ יותר. תחילת התשלום רק 180 יום אחר הפירוד (לאפשר שלום בית), ומותאמים לשני המינים. ניתנים להפחתה בהתאם </w:t>
      </w:r>
      <w:r w:rsidR="000310BB" w:rsidRPr="000310BB">
        <w:rPr>
          <w:rStyle w:val="SubtleReference"/>
          <w:rFonts w:hint="cs"/>
          <w:rtl/>
        </w:rPr>
        <w:t>ל</w:t>
      </w:r>
      <w:r w:rsidRPr="000310BB">
        <w:rPr>
          <w:rStyle w:val="SubtleReference"/>
          <w:rFonts w:hint="cs"/>
          <w:rtl/>
        </w:rPr>
        <w:t>ס' 15 לחוה"ח</w:t>
      </w:r>
      <w:r>
        <w:rPr>
          <w:rFonts w:ascii="David" w:hAnsi="David" w:cs="David" w:hint="cs"/>
          <w:rtl/>
        </w:rPr>
        <w:t xml:space="preserve"> (פיצויים מוסכמים).</w:t>
      </w:r>
    </w:p>
    <w:p w14:paraId="33808550" w14:textId="69CC3BB1" w:rsidR="004546F8" w:rsidRDefault="004546F8" w:rsidP="00DF69B2">
      <w:pPr>
        <w:pStyle w:val="ListParagraph"/>
        <w:numPr>
          <w:ilvl w:val="0"/>
          <w:numId w:val="21"/>
        </w:numPr>
        <w:bidi/>
        <w:spacing w:line="276" w:lineRule="auto"/>
        <w:jc w:val="both"/>
        <w:rPr>
          <w:rFonts w:ascii="David" w:hAnsi="David" w:cs="David"/>
        </w:rPr>
      </w:pPr>
      <w:r>
        <w:rPr>
          <w:rFonts w:ascii="David" w:hAnsi="David" w:cs="David" w:hint="cs"/>
          <w:rtl/>
        </w:rPr>
        <w:t xml:space="preserve">סרבנות גט </w:t>
      </w:r>
      <w:r w:rsidRPr="004546F8">
        <w:rPr>
          <w:rFonts w:ascii="David" w:hAnsi="David" w:cs="David" w:hint="cs"/>
          <w:b/>
          <w:bCs/>
          <w:rtl/>
        </w:rPr>
        <w:t>כחוסר תו"ל</w:t>
      </w:r>
      <w:r>
        <w:rPr>
          <w:rFonts w:ascii="David" w:hAnsi="David" w:cs="David" w:hint="cs"/>
          <w:rtl/>
        </w:rPr>
        <w:t>. מנגד, הכנסה של נישואין לשדה משפטי מעלה טענה הפוכה: האם החזקה בזכות להינשא אכן מהווה הפרת תו"ל?</w:t>
      </w:r>
    </w:p>
    <w:p w14:paraId="5B1AF55A" w14:textId="0E5535BB" w:rsidR="004546F8" w:rsidRDefault="004546F8" w:rsidP="00DF69B2">
      <w:pPr>
        <w:pStyle w:val="ListParagraph"/>
        <w:numPr>
          <w:ilvl w:val="0"/>
          <w:numId w:val="21"/>
        </w:numPr>
        <w:bidi/>
        <w:spacing w:line="276" w:lineRule="auto"/>
        <w:jc w:val="both"/>
        <w:rPr>
          <w:rFonts w:ascii="David" w:hAnsi="David" w:cs="David"/>
        </w:rPr>
      </w:pPr>
      <w:r>
        <w:rPr>
          <w:rFonts w:ascii="David" w:hAnsi="David" w:cs="David" w:hint="cs"/>
          <w:b/>
          <w:bCs/>
          <w:rtl/>
        </w:rPr>
        <w:t xml:space="preserve">הפרת הבטחה בע"פ או הסכם </w:t>
      </w:r>
      <w:r>
        <w:rPr>
          <w:rFonts w:ascii="David" w:hAnsi="David" w:cs="David" w:hint="cs"/>
          <w:rtl/>
        </w:rPr>
        <w:t>להתגרש במידה והייתה כזו. במקרה כזה יתרון לתביעה חוזית כיוון שאינה על עצם הסרבנות אלא הפרת הבטחה.</w:t>
      </w:r>
    </w:p>
    <w:p w14:paraId="2538710E" w14:textId="4D71E7F5" w:rsidR="00584F72" w:rsidRDefault="004546F8" w:rsidP="00DF69B2">
      <w:pPr>
        <w:pStyle w:val="ListParagraph"/>
        <w:numPr>
          <w:ilvl w:val="0"/>
          <w:numId w:val="21"/>
        </w:numPr>
        <w:bidi/>
        <w:spacing w:line="276" w:lineRule="auto"/>
        <w:jc w:val="both"/>
        <w:rPr>
          <w:rFonts w:ascii="David" w:hAnsi="David" w:cs="David"/>
        </w:rPr>
      </w:pPr>
      <w:r>
        <w:rPr>
          <w:rFonts w:ascii="David" w:hAnsi="David" w:cs="David" w:hint="cs"/>
          <w:b/>
          <w:bCs/>
          <w:rtl/>
        </w:rPr>
        <w:t>לשלם עבור הגט ולאחר מכן לתבוע</w:t>
      </w:r>
      <w:r>
        <w:rPr>
          <w:rFonts w:ascii="David" w:hAnsi="David" w:cs="David" w:hint="cs"/>
          <w:rtl/>
        </w:rPr>
        <w:t xml:space="preserve"> תביעה חוזית בעילה של </w:t>
      </w:r>
      <w:r>
        <w:rPr>
          <w:rFonts w:ascii="David" w:hAnsi="David" w:cs="David" w:hint="cs"/>
          <w:b/>
          <w:bCs/>
          <w:rtl/>
        </w:rPr>
        <w:t>כפיה ועושק</w:t>
      </w:r>
      <w:r w:rsidR="00240E18">
        <w:rPr>
          <w:rFonts w:ascii="David" w:hAnsi="David" w:cs="David" w:hint="cs"/>
          <w:rtl/>
        </w:rPr>
        <w:t xml:space="preserve">, ולבקש השבה. המסלול נראה מתאים לחוזים כאמור, אך נושא עמו סיכון (שלא תתקבל הטענה עקב הפרה או סיבה אחרת). </w:t>
      </w:r>
      <w:r w:rsidR="00240E18" w:rsidRPr="009A4A7F">
        <w:rPr>
          <w:rStyle w:val="QuoteChar"/>
          <w:rFonts w:hint="cs"/>
          <w:rtl/>
        </w:rPr>
        <w:t>בפלונית נ' אלמוני</w:t>
      </w:r>
      <w:r w:rsidR="00240E18">
        <w:rPr>
          <w:rFonts w:ascii="David" w:hAnsi="David" w:cs="David" w:hint="cs"/>
          <w:rtl/>
        </w:rPr>
        <w:t xml:space="preserve"> התובעת לוקחת סיכון ותובעת בנזיקין, ולמזלה השופט נעתר ונותן פיצוי בגין הסכום ששילמה (70,000 ש"ח), למרות </w:t>
      </w:r>
      <w:r w:rsidR="004C78C6">
        <w:rPr>
          <w:rFonts w:ascii="David" w:hAnsi="David" w:cs="David" w:hint="cs"/>
          <w:rtl/>
        </w:rPr>
        <w:t>שדרישת השבה</w:t>
      </w:r>
      <w:r w:rsidR="00240E18">
        <w:rPr>
          <w:rFonts w:ascii="David" w:hAnsi="David" w:cs="David" w:hint="cs"/>
          <w:rtl/>
        </w:rPr>
        <w:t xml:space="preserve"> בנזיקין אינה </w:t>
      </w:r>
      <w:r w:rsidR="00B57EC7">
        <w:rPr>
          <w:rFonts w:ascii="David" w:hAnsi="David" w:cs="David" w:hint="cs"/>
          <w:rtl/>
        </w:rPr>
        <w:t>טריויאלית</w:t>
      </w:r>
      <w:r w:rsidR="00584F72">
        <w:rPr>
          <w:rFonts w:ascii="David" w:hAnsi="David" w:cs="David" w:hint="cs"/>
          <w:rtl/>
        </w:rPr>
        <w:t>.</w:t>
      </w:r>
    </w:p>
    <w:p w14:paraId="75FAF2D7" w14:textId="2E31F768" w:rsidR="004546F8" w:rsidRPr="004546F8" w:rsidRDefault="00584F72" w:rsidP="00DF69B2">
      <w:pPr>
        <w:pStyle w:val="ListParagraph"/>
        <w:numPr>
          <w:ilvl w:val="0"/>
          <w:numId w:val="21"/>
        </w:numPr>
        <w:bidi/>
        <w:spacing w:line="276" w:lineRule="auto"/>
        <w:jc w:val="both"/>
        <w:rPr>
          <w:rFonts w:ascii="David" w:hAnsi="David" w:cs="David"/>
        </w:rPr>
      </w:pPr>
      <w:r>
        <w:rPr>
          <w:rFonts w:ascii="David" w:hAnsi="David" w:cs="David" w:hint="cs"/>
          <w:b/>
          <w:bCs/>
          <w:rtl/>
        </w:rPr>
        <w:t xml:space="preserve">הגעה להסכם של מתן גט תמורת תשלום כחוסר תו"ל </w:t>
      </w:r>
      <w:r>
        <w:rPr>
          <w:rFonts w:ascii="David" w:hAnsi="David" w:cs="David" w:hint="cs"/>
          <w:rtl/>
        </w:rPr>
        <w:t>במו"מ עקב הסחיטה. ההסכם אם יהיה מרצונו של המסרב יאיין חשש של גט מעושה, אך מעלה חשש של תניה מגבילת תביעה אזרחית.</w:t>
      </w:r>
    </w:p>
    <w:p w14:paraId="17483D86" w14:textId="1FB2497A" w:rsidR="00CF3001" w:rsidRPr="0015128B" w:rsidRDefault="00CF3001" w:rsidP="001F4B75">
      <w:pPr>
        <w:bidi/>
        <w:spacing w:line="276" w:lineRule="auto"/>
        <w:jc w:val="both"/>
        <w:rPr>
          <w:rFonts w:ascii="David" w:hAnsi="David" w:cs="David"/>
          <w:b/>
          <w:bCs/>
        </w:rPr>
      </w:pPr>
    </w:p>
    <w:p w14:paraId="75762DA1" w14:textId="7E536651" w:rsidR="003D2D5C" w:rsidRDefault="00EA646D" w:rsidP="001F4B75">
      <w:pPr>
        <w:bidi/>
        <w:jc w:val="both"/>
        <w:rPr>
          <w:rFonts w:ascii="David" w:hAnsi="David" w:cs="David"/>
          <w:color w:val="000000"/>
          <w:rtl/>
        </w:rPr>
      </w:pPr>
      <w:r w:rsidRPr="00EA646D">
        <w:rPr>
          <w:rStyle w:val="QuoteChar"/>
          <w:rtl/>
        </w:rPr>
        <w:t>ע.ש נ' נ.מ.ש</w:t>
      </w:r>
      <w:r w:rsidRPr="00B63344">
        <w:rPr>
          <w:rFonts w:ascii="David" w:hAnsi="David" w:cs="David"/>
          <w:color w:val="000000"/>
          <w:rtl/>
        </w:rPr>
        <w:t xml:space="preserve"> – חוסר תו"ל דרך </w:t>
      </w:r>
      <w:r w:rsidRPr="00A33C23">
        <w:rPr>
          <w:rStyle w:val="SubtleReference"/>
          <w:rtl/>
        </w:rPr>
        <w:t>ס' 61ב לחוה"ח</w:t>
      </w:r>
      <w:r w:rsidRPr="00B63344">
        <w:rPr>
          <w:rFonts w:ascii="David" w:hAnsi="David" w:cs="David"/>
          <w:color w:val="000000"/>
          <w:rtl/>
        </w:rPr>
        <w:t xml:space="preserve"> – שילמה פיצויים עבור סרבנות הגט והמגורים בדירה המשותפת</w:t>
      </w:r>
      <w:r w:rsidR="00A33C23">
        <w:rPr>
          <w:rFonts w:ascii="David" w:hAnsi="David" w:cs="David" w:hint="cs"/>
          <w:color w:val="000000"/>
          <w:rtl/>
        </w:rPr>
        <w:t>.</w:t>
      </w:r>
    </w:p>
    <w:p w14:paraId="027067DA" w14:textId="3AD5748C" w:rsidR="00EA646D" w:rsidRPr="00B63344" w:rsidRDefault="00EA646D" w:rsidP="001F4B75">
      <w:pPr>
        <w:bidi/>
        <w:jc w:val="both"/>
        <w:rPr>
          <w:rFonts w:ascii="David" w:hAnsi="David" w:cs="David"/>
          <w:color w:val="000000"/>
          <w:rtl/>
        </w:rPr>
      </w:pPr>
      <w:r w:rsidRPr="003D2D5C">
        <w:rPr>
          <w:rStyle w:val="QuoteChar"/>
          <w:rtl/>
        </w:rPr>
        <w:t>כ.ש. נ' כ.פ-</w:t>
      </w:r>
      <w:r w:rsidRPr="00B63344">
        <w:rPr>
          <w:rFonts w:ascii="David" w:hAnsi="David" w:cs="David"/>
          <w:color w:val="000000"/>
          <w:rtl/>
        </w:rPr>
        <w:t xml:space="preserve"> </w:t>
      </w:r>
      <w:r w:rsidRPr="003D2D5C">
        <w:rPr>
          <w:rFonts w:ascii="David" w:hAnsi="David" w:cs="David"/>
          <w:b/>
          <w:bCs/>
          <w:color w:val="000000"/>
          <w:rtl/>
        </w:rPr>
        <w:t>הפרת הבטחה בע"פ להסכים להתגרש</w:t>
      </w:r>
      <w:r w:rsidR="003D2D5C">
        <w:rPr>
          <w:rFonts w:ascii="David" w:hAnsi="David" w:cs="David" w:hint="cs"/>
          <w:color w:val="000000"/>
          <w:rtl/>
        </w:rPr>
        <w:t>.</w:t>
      </w:r>
      <w:r w:rsidRPr="00B63344">
        <w:rPr>
          <w:rFonts w:ascii="David" w:hAnsi="David" w:cs="David"/>
          <w:color w:val="000000"/>
          <w:rtl/>
        </w:rPr>
        <w:t xml:space="preserve"> חיוב סרבן גט בפיצוי אשתו בסך 400,000 ₪ בגין הנזקים הלא-ממוניים שגרמה לה סרבנות</w:t>
      </w:r>
      <w:r>
        <w:rPr>
          <w:rFonts w:ascii="David" w:hAnsi="David" w:cs="David"/>
          <w:color w:val="000000"/>
        </w:rPr>
        <w:t xml:space="preserve"> </w:t>
      </w:r>
      <w:r w:rsidRPr="00B63344">
        <w:rPr>
          <w:rFonts w:ascii="David" w:hAnsi="David" w:cs="David"/>
          <w:color w:val="000000"/>
          <w:rtl/>
        </w:rPr>
        <w:t>ומהתובעת, א</w:t>
      </w:r>
      <w:r w:rsidR="003D2D5C">
        <w:rPr>
          <w:rFonts w:ascii="David" w:hAnsi="David" w:cs="David" w:hint="cs"/>
          <w:color w:val="000000"/>
          <w:rtl/>
        </w:rPr>
        <w:t>י</w:t>
      </w:r>
      <w:r w:rsidRPr="00B63344">
        <w:rPr>
          <w:rFonts w:ascii="David" w:hAnsi="David" w:cs="David"/>
          <w:color w:val="000000"/>
          <w:rtl/>
        </w:rPr>
        <w:t xml:space="preserve">שה חרדית מסורבת גט מזה 12 שנה, הגישה תביעה נגד בעלה בגין הנזקים שגרמה לה סרבנותו ובהם: עוגמת נפש, בושה, סבל, בדידות וצער בשנות ההמתנה לגט, אובדן הנאות החיים ובכללם הנאה מינית, פגיעה באוטונומיה וכן אובדן הסיכוי להינשא ולהביא ילדים לעולם. גובה הפיצויים להם טענה התובעת עמד על כ-3 מיליון ₪. </w:t>
      </w:r>
      <w:r w:rsidRPr="00AA0E92">
        <w:rPr>
          <w:rFonts w:ascii="David" w:hAnsi="David" w:cs="David"/>
          <w:color w:val="000000"/>
          <w:u w:val="single"/>
          <w:rtl/>
        </w:rPr>
        <w:t xml:space="preserve">תביעה שממחישה את הכלל הרביעי של </w:t>
      </w:r>
      <w:r w:rsidRPr="00011D29">
        <w:rPr>
          <w:rStyle w:val="Strong"/>
          <w:rtl/>
        </w:rPr>
        <w:t>קלברזי ומלמד</w:t>
      </w:r>
      <w:r w:rsidRPr="00AA0E92">
        <w:rPr>
          <w:rFonts w:ascii="David" w:hAnsi="David" w:cs="David"/>
          <w:color w:val="000000"/>
          <w:u w:val="single"/>
          <w:rtl/>
        </w:rPr>
        <w:t xml:space="preserve"> (היא רכשה את הגט שלה).</w:t>
      </w:r>
      <w:r w:rsidRPr="00B63344">
        <w:rPr>
          <w:rFonts w:ascii="David" w:hAnsi="David" w:cs="David"/>
          <w:color w:val="000000"/>
          <w:rtl/>
        </w:rPr>
        <w:t xml:space="preserve"> </w:t>
      </w:r>
    </w:p>
    <w:p w14:paraId="35B7EDDC" w14:textId="77777777" w:rsidR="00011D29" w:rsidRDefault="00EA646D" w:rsidP="00011D29">
      <w:pPr>
        <w:bidi/>
        <w:spacing w:after="0"/>
        <w:jc w:val="both"/>
        <w:rPr>
          <w:rFonts w:ascii="David" w:hAnsi="David" w:cs="David"/>
          <w:color w:val="000000"/>
          <w:rtl/>
        </w:rPr>
      </w:pPr>
      <w:r w:rsidRPr="00AA0E92">
        <w:rPr>
          <w:rStyle w:val="QuoteChar"/>
          <w:rtl/>
        </w:rPr>
        <w:t>תמ"ש 7450-09-13 מ.א. נ' א.א</w:t>
      </w:r>
      <w:r w:rsidRPr="00B63344">
        <w:rPr>
          <w:rFonts w:ascii="David" w:hAnsi="David" w:cs="David"/>
          <w:color w:val="000000"/>
          <w:rtl/>
        </w:rPr>
        <w:t xml:space="preserve">.- </w:t>
      </w:r>
      <w:r w:rsidRPr="001F4B75">
        <w:rPr>
          <w:rFonts w:ascii="David" w:hAnsi="David" w:cs="David"/>
          <w:b/>
          <w:bCs/>
          <w:rtl/>
        </w:rPr>
        <w:t>תכסיסנות גט</w:t>
      </w:r>
      <w:r w:rsidR="001F4B75">
        <w:rPr>
          <w:rFonts w:ascii="David" w:hAnsi="David" w:cs="David" w:hint="cs"/>
          <w:rtl/>
        </w:rPr>
        <w:t>.</w:t>
      </w:r>
      <w:r w:rsidRPr="00B63344">
        <w:rPr>
          <w:rFonts w:ascii="David" w:hAnsi="David" w:cs="David"/>
          <w:color w:val="000000"/>
          <w:rtl/>
        </w:rPr>
        <w:t xml:space="preserve"> התקבלה תביעה לפיצויים בגין </w:t>
      </w:r>
      <w:r w:rsidRPr="00011D29">
        <w:rPr>
          <w:rFonts w:ascii="David" w:hAnsi="David" w:cs="David"/>
          <w:b/>
          <w:bCs/>
          <w:color w:val="000000"/>
          <w:rtl/>
        </w:rPr>
        <w:t>הפרת הסכם גירושין</w:t>
      </w:r>
      <w:r w:rsidRPr="00B63344">
        <w:rPr>
          <w:rFonts w:ascii="David" w:hAnsi="David" w:cs="David"/>
          <w:color w:val="000000"/>
          <w:rtl/>
        </w:rPr>
        <w:t xml:space="preserve"> שאושר בביהמ"ש, בגדרו הצהירו הצדדים על הסכמתם להתגרש זמ"ז בבית הדין הרבני, אלא שהנתבע סרב לסדר הגט משך כשנתיים. </w:t>
      </w:r>
    </w:p>
    <w:p w14:paraId="2D4CB717" w14:textId="3BEB7DD4" w:rsidR="00EA646D" w:rsidRDefault="0043738C" w:rsidP="00011D29">
      <w:pPr>
        <w:bidi/>
        <w:spacing w:after="0"/>
        <w:jc w:val="both"/>
        <w:rPr>
          <w:rFonts w:ascii="David" w:hAnsi="David" w:cs="David"/>
          <w:color w:val="000000"/>
          <w:rtl/>
        </w:rPr>
      </w:pPr>
      <w:r w:rsidRPr="0043738C">
        <w:rPr>
          <w:rFonts w:ascii="David" w:hAnsi="David" w:cs="David" w:hint="cs"/>
          <w:color w:val="000000"/>
          <w:u w:val="single"/>
          <w:rtl/>
        </w:rPr>
        <w:t>החלטה:</w:t>
      </w:r>
      <w:r>
        <w:rPr>
          <w:rFonts w:ascii="David" w:hAnsi="David" w:cs="David" w:hint="cs"/>
          <w:color w:val="000000"/>
        </w:rPr>
        <w:t xml:space="preserve"> </w:t>
      </w:r>
      <w:r w:rsidR="00EA646D" w:rsidRPr="00B63344">
        <w:rPr>
          <w:rFonts w:ascii="David" w:hAnsi="David" w:cs="David"/>
          <w:color w:val="000000"/>
          <w:rtl/>
        </w:rPr>
        <w:t xml:space="preserve">הנתבע לא רק עוול את </w:t>
      </w:r>
      <w:r w:rsidR="00EA646D" w:rsidRPr="0082034A">
        <w:rPr>
          <w:rFonts w:ascii="David" w:hAnsi="David" w:cs="David"/>
          <w:b/>
          <w:bCs/>
          <w:color w:val="000000"/>
          <w:rtl/>
        </w:rPr>
        <w:t>עוולת הרשלנות</w:t>
      </w:r>
      <w:r w:rsidR="00EA646D" w:rsidRPr="00B63344">
        <w:rPr>
          <w:rFonts w:ascii="David" w:hAnsi="David" w:cs="David"/>
          <w:color w:val="000000"/>
          <w:rtl/>
        </w:rPr>
        <w:t xml:space="preserve"> כלפי התובעת, הוא גם נהג שלא ב</w:t>
      </w:r>
      <w:r w:rsidR="00EA646D" w:rsidRPr="0082034A">
        <w:rPr>
          <w:rFonts w:ascii="David" w:hAnsi="David" w:cs="David"/>
          <w:b/>
          <w:bCs/>
          <w:color w:val="000000"/>
          <w:rtl/>
        </w:rPr>
        <w:t xml:space="preserve">תם לב </w:t>
      </w:r>
      <w:r w:rsidR="00EA646D" w:rsidRPr="00B63344">
        <w:rPr>
          <w:rFonts w:ascii="David" w:hAnsi="David" w:cs="David"/>
          <w:color w:val="000000"/>
          <w:rtl/>
        </w:rPr>
        <w:t xml:space="preserve">והפר </w:t>
      </w:r>
      <w:r w:rsidR="00EA646D" w:rsidRPr="0082034A">
        <w:rPr>
          <w:rFonts w:ascii="David" w:hAnsi="David" w:cs="David"/>
          <w:b/>
          <w:bCs/>
          <w:color w:val="000000"/>
          <w:rtl/>
        </w:rPr>
        <w:t>חיוב חוזי</w:t>
      </w:r>
      <w:r w:rsidR="00EA646D" w:rsidRPr="00B63344">
        <w:rPr>
          <w:rFonts w:ascii="David" w:hAnsi="David" w:cs="David"/>
          <w:color w:val="000000"/>
          <w:rtl/>
        </w:rPr>
        <w:t xml:space="preserve"> מוסכם ומפורש. אמנם ביהמ"ש אינו מוסמך לאשר התחייבות צדדים להתגרש. אך מוסמך הוא לדון בתביעה </w:t>
      </w:r>
      <w:r w:rsidR="00EA646D" w:rsidRPr="001F4B75">
        <w:rPr>
          <w:rFonts w:ascii="David" w:hAnsi="David" w:cs="David"/>
          <w:b/>
          <w:bCs/>
          <w:color w:val="000000"/>
          <w:rtl/>
        </w:rPr>
        <w:t>לפיצוי בגין הפרת התחייבות חוזית בחוסר תם לב להסדיר הגט בהסכמה</w:t>
      </w:r>
      <w:r w:rsidR="008921C0">
        <w:rPr>
          <w:rFonts w:ascii="David" w:hAnsi="David" w:cs="David"/>
          <w:color w:val="000000"/>
        </w:rPr>
        <w:t xml:space="preserve"> </w:t>
      </w:r>
      <w:r w:rsidR="00FA6C80">
        <w:rPr>
          <w:rFonts w:ascii="David" w:hAnsi="David" w:cs="David" w:hint="cs"/>
          <w:color w:val="000000"/>
          <w:rtl/>
        </w:rPr>
        <w:t xml:space="preserve"> </w:t>
      </w:r>
      <w:r w:rsidR="00FA6C80" w:rsidRPr="00FA6C80">
        <w:rPr>
          <w:rFonts w:ascii="David" w:hAnsi="David" w:cs="David"/>
          <w:color w:val="000000"/>
        </w:rPr>
        <w:sym w:font="Wingdings" w:char="F0DF"/>
      </w:r>
      <w:r w:rsidR="00FA6C80">
        <w:rPr>
          <w:rFonts w:ascii="David" w:hAnsi="David" w:cs="David" w:hint="cs"/>
          <w:color w:val="000000"/>
          <w:rtl/>
        </w:rPr>
        <w:t xml:space="preserve"> החמרת הפיצויים בגין תכסיסנות</w:t>
      </w:r>
      <w:r w:rsidR="00676AEA">
        <w:rPr>
          <w:rFonts w:ascii="David" w:hAnsi="David" w:cs="David" w:hint="cs"/>
          <w:color w:val="000000"/>
          <w:rtl/>
        </w:rPr>
        <w:t>.</w:t>
      </w:r>
    </w:p>
    <w:p w14:paraId="6F6B1A0A" w14:textId="77777777" w:rsidR="00797CFE" w:rsidRDefault="00797CFE" w:rsidP="00797CFE">
      <w:pPr>
        <w:bidi/>
        <w:spacing w:after="0"/>
        <w:jc w:val="both"/>
        <w:rPr>
          <w:rFonts w:ascii="David" w:hAnsi="David" w:cs="David"/>
          <w:color w:val="000000"/>
          <w:rtl/>
        </w:rPr>
      </w:pPr>
    </w:p>
    <w:p w14:paraId="1720630B" w14:textId="316D88FA" w:rsidR="00EA646D" w:rsidRDefault="00EA646D" w:rsidP="00797CFE">
      <w:pPr>
        <w:autoSpaceDE w:val="0"/>
        <w:autoSpaceDN w:val="0"/>
        <w:bidi/>
        <w:adjustRightInd w:val="0"/>
        <w:spacing w:after="0" w:line="240" w:lineRule="auto"/>
        <w:jc w:val="both"/>
        <w:rPr>
          <w:rFonts w:ascii="David" w:hAnsi="David" w:cs="David"/>
          <w:rtl/>
        </w:rPr>
      </w:pPr>
      <w:r w:rsidRPr="00797CFE">
        <w:rPr>
          <w:rStyle w:val="QuoteChar"/>
          <w:rtl/>
        </w:rPr>
        <w:t xml:space="preserve">תמ"ש </w:t>
      </w:r>
      <w:r w:rsidR="00797CFE" w:rsidRPr="00797CFE">
        <w:rPr>
          <w:rStyle w:val="QuoteChar"/>
          <w:rFonts w:hint="cs"/>
          <w:rtl/>
        </w:rPr>
        <w:t>(</w:t>
      </w:r>
      <w:r w:rsidRPr="00797CFE">
        <w:rPr>
          <w:rStyle w:val="QuoteChar"/>
          <w:rtl/>
        </w:rPr>
        <w:t>י-ם</w:t>
      </w:r>
      <w:r w:rsidR="00797CFE" w:rsidRPr="00797CFE">
        <w:rPr>
          <w:rStyle w:val="QuoteChar"/>
          <w:rFonts w:hint="cs"/>
          <w:rtl/>
        </w:rPr>
        <w:t>)</w:t>
      </w:r>
      <w:r w:rsidRPr="00797CFE">
        <w:rPr>
          <w:rStyle w:val="QuoteChar"/>
          <w:rtl/>
        </w:rPr>
        <w:t xml:space="preserve"> 9189/01 פלונית נ' </w:t>
      </w:r>
      <w:r w:rsidR="00797CFE" w:rsidRPr="00797CFE">
        <w:rPr>
          <w:rStyle w:val="QuoteChar"/>
          <w:rFonts w:hint="cs"/>
          <w:rtl/>
        </w:rPr>
        <w:t>אלמוני</w:t>
      </w:r>
      <w:r w:rsidRPr="00B63344">
        <w:rPr>
          <w:rFonts w:ascii="David" w:hAnsi="David" w:cs="David"/>
          <w:rtl/>
        </w:rPr>
        <w:t xml:space="preserve"> – </w:t>
      </w:r>
      <w:r w:rsidRPr="00797CFE">
        <w:rPr>
          <w:rFonts w:ascii="David" w:hAnsi="David" w:cs="David"/>
          <w:b/>
          <w:bCs/>
          <w:rtl/>
        </w:rPr>
        <w:t>כפייה לשלם עבור הגט במסגרת הסכם גירושין</w:t>
      </w:r>
      <w:r w:rsidR="00797CFE" w:rsidRPr="00797CFE">
        <w:rPr>
          <w:rFonts w:ascii="David" w:hAnsi="David" w:cs="David" w:hint="cs"/>
          <w:b/>
          <w:bCs/>
          <w:rtl/>
        </w:rPr>
        <w:t xml:space="preserve"> </w:t>
      </w:r>
      <w:r w:rsidRPr="00797CFE">
        <w:rPr>
          <w:rFonts w:ascii="David" w:hAnsi="David" w:cs="David"/>
          <w:b/>
          <w:bCs/>
          <w:rtl/>
        </w:rPr>
        <w:t>כבסיס לבטלות ההסכם</w:t>
      </w:r>
      <w:r w:rsidRPr="00797CFE">
        <w:rPr>
          <w:rFonts w:ascii="David" w:hAnsi="David" w:cs="David"/>
          <w:b/>
          <w:bCs/>
        </w:rPr>
        <w:t>.</w:t>
      </w:r>
      <w:r w:rsidRPr="00B63344">
        <w:rPr>
          <w:rFonts w:ascii="David" w:hAnsi="David" w:cs="David"/>
          <w:rtl/>
        </w:rPr>
        <w:t xml:space="preserve"> זוג חרדי עם 6 ילדים. הבעל תקף את האישה עם סכין. התובעת שילמה לנתבע כסף עבור גיטה וכעת ישנו דיון בטענה לכפייה לתשלום עבור מתן גט. </w:t>
      </w:r>
    </w:p>
    <w:p w14:paraId="07344E90" w14:textId="77777777" w:rsidR="008D247E" w:rsidRDefault="008D247E" w:rsidP="008D247E">
      <w:pPr>
        <w:autoSpaceDE w:val="0"/>
        <w:autoSpaceDN w:val="0"/>
        <w:bidi/>
        <w:adjustRightInd w:val="0"/>
        <w:spacing w:after="0" w:line="240" w:lineRule="auto"/>
        <w:jc w:val="both"/>
        <w:rPr>
          <w:rFonts w:ascii="David" w:hAnsi="David" w:cs="David"/>
          <w:rtl/>
        </w:rPr>
      </w:pPr>
    </w:p>
    <w:p w14:paraId="060C51D5" w14:textId="77777777" w:rsidR="008D247E" w:rsidRDefault="008D247E" w:rsidP="008D247E">
      <w:pPr>
        <w:autoSpaceDE w:val="0"/>
        <w:autoSpaceDN w:val="0"/>
        <w:bidi/>
        <w:adjustRightInd w:val="0"/>
        <w:spacing w:after="0" w:line="240" w:lineRule="auto"/>
        <w:jc w:val="both"/>
        <w:rPr>
          <w:rFonts w:ascii="David" w:hAnsi="David" w:cs="David"/>
          <w:rtl/>
        </w:rPr>
      </w:pPr>
    </w:p>
    <w:p w14:paraId="5243F133" w14:textId="77777777" w:rsidR="008D247E" w:rsidRPr="004B58B3" w:rsidRDefault="008D247E" w:rsidP="008D247E">
      <w:pPr>
        <w:bidi/>
        <w:spacing w:after="0"/>
        <w:jc w:val="both"/>
        <w:rPr>
          <w:rFonts w:ascii="David" w:hAnsi="David" w:cs="David"/>
          <w:color w:val="000000" w:themeColor="text1"/>
          <w:u w:val="single"/>
          <w:rtl/>
        </w:rPr>
      </w:pPr>
      <w:r w:rsidRPr="004B58B3">
        <w:rPr>
          <w:rFonts w:ascii="David" w:hAnsi="David" w:cs="David"/>
          <w:color w:val="000000" w:themeColor="text1"/>
          <w:u w:val="single"/>
          <w:rtl/>
        </w:rPr>
        <w:t>הרצאת אורח- מסחר בגט: בין חוזים לאי-סחירות: אורית גן</w:t>
      </w:r>
    </w:p>
    <w:p w14:paraId="138920B9" w14:textId="77777777" w:rsidR="008D247E" w:rsidRPr="004B58B3" w:rsidRDefault="008D247E" w:rsidP="008D247E">
      <w:pPr>
        <w:bidi/>
        <w:spacing w:after="0"/>
        <w:jc w:val="both"/>
        <w:rPr>
          <w:rFonts w:ascii="David" w:hAnsi="David" w:cs="David"/>
          <w:color w:val="000000" w:themeColor="text1"/>
          <w:rtl/>
        </w:rPr>
      </w:pPr>
      <w:r w:rsidRPr="004B58B3">
        <w:rPr>
          <w:rFonts w:ascii="David" w:hAnsi="David" w:cs="David"/>
          <w:b/>
          <w:bCs/>
          <w:color w:val="000000" w:themeColor="text1"/>
          <w:rtl/>
        </w:rPr>
        <w:t>הבעיות</w:t>
      </w:r>
      <w:r w:rsidRPr="004B58B3">
        <w:rPr>
          <w:rFonts w:ascii="David" w:hAnsi="David" w:cs="David"/>
          <w:color w:val="000000" w:themeColor="text1"/>
          <w:rtl/>
        </w:rPr>
        <w:t xml:space="preserve">: גירושין ונישואין לפי ההלכה. צריך להיכנס לנישואין ובהסכמה וגם גירושין הם בהסכמה. </w:t>
      </w:r>
      <w:r w:rsidRPr="004B58B3">
        <w:rPr>
          <w:rFonts w:ascii="David" w:hAnsi="David" w:cs="David"/>
          <w:b/>
          <w:bCs/>
          <w:color w:val="000000" w:themeColor="text1"/>
          <w:rtl/>
        </w:rPr>
        <w:t>אז מה קורה כשאין הסכמה</w:t>
      </w:r>
      <w:r w:rsidRPr="004B58B3">
        <w:rPr>
          <w:rFonts w:ascii="David" w:hAnsi="David" w:cs="David"/>
          <w:color w:val="000000" w:themeColor="text1"/>
          <w:rtl/>
        </w:rPr>
        <w:t xml:space="preserve">? ההסכמה אינה שוויונית- הגבר מקדש את האישה, לא האישה את הגבר. גם בגירושין, הבעל מגרש את האישה, הוא נותן את הגט היא מקבלת אותו. </w:t>
      </w:r>
      <w:r w:rsidRPr="004B58B3">
        <w:rPr>
          <w:rFonts w:ascii="David" w:hAnsi="David" w:cs="David"/>
          <w:b/>
          <w:bCs/>
          <w:color w:val="000000" w:themeColor="text1"/>
          <w:rtl/>
        </w:rPr>
        <w:t xml:space="preserve">הבעיה היא חוסר השוויון- היד של הגבר היא על העליונה! </w:t>
      </w:r>
      <w:r w:rsidRPr="004B58B3">
        <w:rPr>
          <w:rFonts w:ascii="David" w:hAnsi="David" w:cs="David"/>
          <w:color w:val="000000" w:themeColor="text1"/>
          <w:rtl/>
        </w:rPr>
        <w:t>הגבר צריך לגרש מרצונו.</w:t>
      </w:r>
    </w:p>
    <w:p w14:paraId="0EB921F7" w14:textId="77777777" w:rsidR="008D247E" w:rsidRPr="004B58B3" w:rsidRDefault="008D247E" w:rsidP="00DF69B2">
      <w:pPr>
        <w:pStyle w:val="ListParagraph"/>
        <w:numPr>
          <w:ilvl w:val="0"/>
          <w:numId w:val="35"/>
        </w:numPr>
        <w:bidi/>
        <w:spacing w:after="0" w:line="276" w:lineRule="auto"/>
        <w:jc w:val="both"/>
        <w:rPr>
          <w:rFonts w:ascii="David" w:hAnsi="David" w:cs="David"/>
          <w:color w:val="000000" w:themeColor="text1"/>
        </w:rPr>
      </w:pPr>
      <w:r w:rsidRPr="004B58B3">
        <w:rPr>
          <w:rFonts w:ascii="David" w:hAnsi="David" w:cs="David"/>
          <w:color w:val="000000" w:themeColor="text1"/>
          <w:rtl/>
        </w:rPr>
        <w:t>אז ישנה בעיה של עגינות. (גבר שברח לחו"ל, מת במלחמה).</w:t>
      </w:r>
    </w:p>
    <w:p w14:paraId="6F58C284" w14:textId="77777777" w:rsidR="008D247E" w:rsidRPr="004B58B3" w:rsidRDefault="008D247E" w:rsidP="00DF69B2">
      <w:pPr>
        <w:pStyle w:val="ListParagraph"/>
        <w:numPr>
          <w:ilvl w:val="0"/>
          <w:numId w:val="35"/>
        </w:numPr>
        <w:bidi/>
        <w:spacing w:after="0" w:line="276" w:lineRule="auto"/>
        <w:jc w:val="both"/>
        <w:rPr>
          <w:rFonts w:ascii="David" w:hAnsi="David" w:cs="David"/>
          <w:color w:val="000000" w:themeColor="text1"/>
        </w:rPr>
      </w:pPr>
      <w:r w:rsidRPr="004B58B3">
        <w:rPr>
          <w:rFonts w:ascii="David" w:hAnsi="David" w:cs="David"/>
          <w:color w:val="000000" w:themeColor="text1"/>
          <w:rtl/>
        </w:rPr>
        <w:t>סרבנות גט (הבעל נמצא, אך מסרב לתת גט, היא תלויה בחסדיו).</w:t>
      </w:r>
    </w:p>
    <w:p w14:paraId="3B2B2E3A" w14:textId="77777777" w:rsidR="008D247E" w:rsidRPr="004B58B3" w:rsidRDefault="008D247E" w:rsidP="00DF69B2">
      <w:pPr>
        <w:pStyle w:val="ListParagraph"/>
        <w:numPr>
          <w:ilvl w:val="0"/>
          <w:numId w:val="35"/>
        </w:numPr>
        <w:bidi/>
        <w:spacing w:after="0" w:line="276" w:lineRule="auto"/>
        <w:jc w:val="both"/>
        <w:rPr>
          <w:rFonts w:ascii="David" w:hAnsi="David" w:cs="David"/>
          <w:color w:val="000000" w:themeColor="text1"/>
        </w:rPr>
      </w:pPr>
      <w:r w:rsidRPr="004B58B3">
        <w:rPr>
          <w:rFonts w:ascii="David" w:hAnsi="David" w:cs="David"/>
          <w:color w:val="000000" w:themeColor="text1"/>
          <w:rtl/>
        </w:rPr>
        <w:t>סחטנות גט (האישה תלויה בגבר, ישנתם גברים שמנצלים את כוחם לרעה- תוותרי על זכויות ממוניות ותקבלי גט). אין נתונים להגיד כמה נשים נמצאות בסיטואציה הזו, אך נתונים כלליים למדי, מראים כי זה יחסית נפוץ.</w:t>
      </w:r>
    </w:p>
    <w:p w14:paraId="02992CAF" w14:textId="77777777" w:rsidR="008D247E" w:rsidRPr="004B58B3" w:rsidRDefault="008D247E" w:rsidP="008D247E">
      <w:pPr>
        <w:bidi/>
        <w:spacing w:after="0"/>
        <w:jc w:val="both"/>
        <w:rPr>
          <w:rFonts w:ascii="David" w:hAnsi="David" w:cs="David"/>
          <w:b/>
          <w:bCs/>
          <w:color w:val="000000" w:themeColor="text1"/>
          <w:rtl/>
        </w:rPr>
      </w:pPr>
      <w:r w:rsidRPr="004B58B3">
        <w:rPr>
          <w:rFonts w:ascii="David" w:hAnsi="David" w:cs="David"/>
          <w:b/>
          <w:bCs/>
          <w:color w:val="000000" w:themeColor="text1"/>
          <w:rtl/>
        </w:rPr>
        <w:t xml:space="preserve">ישנם גם גברים מסורבי גט, אך אין שוויון בין זכויות גבר המסורב גט לבין האישה המסורבת גט- גבר יכול להינשא לאישה שניה, ילד ממזר, גבר יכול להשליש גט </w:t>
      </w:r>
      <w:r w:rsidRPr="004B58B3">
        <w:rPr>
          <w:rFonts w:ascii="David" w:hAnsi="David" w:cs="David"/>
          <w:color w:val="000000" w:themeColor="text1"/>
          <w:rtl/>
        </w:rPr>
        <w:t>(לשים את הגט בבית הדין, עכשיו תורה של האישה, לא שמה? בעיה שלה)</w:t>
      </w:r>
      <w:r w:rsidRPr="004B58B3">
        <w:rPr>
          <w:rFonts w:ascii="David" w:hAnsi="David" w:cs="David"/>
          <w:b/>
          <w:bCs/>
          <w:color w:val="000000" w:themeColor="text1"/>
          <w:rtl/>
        </w:rPr>
        <w:t xml:space="preserve"> וכו'.</w:t>
      </w:r>
    </w:p>
    <w:p w14:paraId="4953DF3C" w14:textId="77777777" w:rsidR="008D247E" w:rsidRPr="004B58B3" w:rsidRDefault="008D247E" w:rsidP="008D247E">
      <w:pPr>
        <w:bidi/>
        <w:spacing w:after="0"/>
        <w:jc w:val="both"/>
        <w:rPr>
          <w:rFonts w:ascii="David" w:hAnsi="David" w:cs="David"/>
          <w:color w:val="000000" w:themeColor="text1"/>
          <w:rtl/>
        </w:rPr>
      </w:pPr>
      <w:r w:rsidRPr="004B58B3">
        <w:rPr>
          <w:rFonts w:ascii="David" w:hAnsi="David" w:cs="David"/>
          <w:b/>
          <w:bCs/>
          <w:color w:val="000000" w:themeColor="text1"/>
          <w:rtl/>
        </w:rPr>
        <w:t>הפתרונות</w:t>
      </w:r>
      <w:r w:rsidRPr="004B58B3">
        <w:rPr>
          <w:rFonts w:ascii="David" w:hAnsi="David" w:cs="David"/>
          <w:color w:val="000000" w:themeColor="text1"/>
          <w:rtl/>
        </w:rPr>
        <w:t xml:space="preserve">: </w:t>
      </w:r>
    </w:p>
    <w:p w14:paraId="31A7DA57" w14:textId="77777777" w:rsidR="008D247E" w:rsidRPr="004B58B3" w:rsidRDefault="008D247E" w:rsidP="00DF69B2">
      <w:pPr>
        <w:pStyle w:val="ListParagraph"/>
        <w:numPr>
          <w:ilvl w:val="0"/>
          <w:numId w:val="36"/>
        </w:numPr>
        <w:bidi/>
        <w:spacing w:after="0" w:line="276" w:lineRule="auto"/>
        <w:jc w:val="both"/>
        <w:rPr>
          <w:rFonts w:ascii="David" w:hAnsi="David" w:cs="David"/>
          <w:color w:val="000000" w:themeColor="text1"/>
        </w:rPr>
      </w:pPr>
      <w:r w:rsidRPr="004B58B3">
        <w:rPr>
          <w:rFonts w:ascii="David" w:hAnsi="David" w:cs="David"/>
          <w:color w:val="000000" w:themeColor="text1"/>
          <w:rtl/>
        </w:rPr>
        <w:t>הלכתי</w:t>
      </w:r>
    </w:p>
    <w:tbl>
      <w:tblPr>
        <w:tblStyle w:val="TableGrid"/>
        <w:bidiVisual/>
        <w:tblW w:w="0" w:type="auto"/>
        <w:tblInd w:w="44" w:type="dxa"/>
        <w:tblLook w:val="04A0" w:firstRow="1" w:lastRow="0" w:firstColumn="1" w:lastColumn="0" w:noHBand="0" w:noVBand="1"/>
      </w:tblPr>
      <w:tblGrid>
        <w:gridCol w:w="3407"/>
        <w:gridCol w:w="4411"/>
      </w:tblGrid>
      <w:tr w:rsidR="008D247E" w:rsidRPr="004B58B3" w14:paraId="6FE0D927" w14:textId="77777777" w:rsidTr="00E123EC">
        <w:trPr>
          <w:trHeight w:val="1179"/>
        </w:trPr>
        <w:tc>
          <w:tcPr>
            <w:tcW w:w="3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00869" w14:textId="77777777" w:rsidR="008D247E" w:rsidRPr="004B58B3" w:rsidRDefault="008D247E" w:rsidP="00DF69B2">
            <w:pPr>
              <w:pStyle w:val="ListParagraph"/>
              <w:numPr>
                <w:ilvl w:val="0"/>
                <w:numId w:val="34"/>
              </w:numPr>
              <w:bidi/>
              <w:spacing w:line="276" w:lineRule="auto"/>
              <w:jc w:val="both"/>
              <w:rPr>
                <w:rFonts w:ascii="David" w:hAnsi="David" w:cs="David"/>
                <w:color w:val="000000" w:themeColor="text1"/>
              </w:rPr>
            </w:pPr>
            <w:r w:rsidRPr="004B58B3">
              <w:rPr>
                <w:rFonts w:ascii="David" w:hAnsi="David" w:cs="David"/>
                <w:color w:val="000000" w:themeColor="text1"/>
                <w:rtl/>
              </w:rPr>
              <w:t>התרת עגונות.</w:t>
            </w:r>
          </w:p>
          <w:p w14:paraId="57FF5E96" w14:textId="77777777" w:rsidR="008D247E" w:rsidRPr="004B58B3" w:rsidRDefault="008D247E" w:rsidP="00DF69B2">
            <w:pPr>
              <w:pStyle w:val="ListParagraph"/>
              <w:numPr>
                <w:ilvl w:val="0"/>
                <w:numId w:val="34"/>
              </w:numPr>
              <w:bidi/>
              <w:spacing w:line="276" w:lineRule="auto"/>
              <w:jc w:val="both"/>
              <w:rPr>
                <w:rFonts w:ascii="David" w:hAnsi="David" w:cs="David"/>
                <w:color w:val="000000" w:themeColor="text1"/>
              </w:rPr>
            </w:pPr>
            <w:r w:rsidRPr="004B58B3">
              <w:rPr>
                <w:rFonts w:ascii="David" w:hAnsi="David" w:cs="David"/>
                <w:color w:val="000000" w:themeColor="text1"/>
                <w:rtl/>
              </w:rPr>
              <w:t>הפקעת נישואין- למצוא סיבה כלשהי שנישואין לא כשרים.</w:t>
            </w:r>
          </w:p>
          <w:p w14:paraId="7ADC9467" w14:textId="77777777" w:rsidR="008D247E" w:rsidRPr="004B58B3" w:rsidRDefault="008D247E" w:rsidP="00DF69B2">
            <w:pPr>
              <w:pStyle w:val="ListParagraph"/>
              <w:numPr>
                <w:ilvl w:val="0"/>
                <w:numId w:val="34"/>
              </w:numPr>
              <w:bidi/>
              <w:spacing w:line="276" w:lineRule="auto"/>
              <w:jc w:val="both"/>
              <w:rPr>
                <w:rFonts w:ascii="David" w:hAnsi="David" w:cs="David"/>
                <w:color w:val="000000" w:themeColor="text1"/>
              </w:rPr>
            </w:pPr>
            <w:r w:rsidRPr="004B58B3">
              <w:rPr>
                <w:rFonts w:ascii="David" w:hAnsi="David" w:cs="David"/>
                <w:color w:val="000000" w:themeColor="text1"/>
                <w:rtl/>
              </w:rPr>
              <w:t>דיינים ובתי דין פרטיים- למנות דיינים פחות שמרנים.</w:t>
            </w:r>
          </w:p>
          <w:p w14:paraId="7B36338B" w14:textId="77777777" w:rsidR="008D247E" w:rsidRPr="004B58B3" w:rsidRDefault="008D247E" w:rsidP="00E123EC">
            <w:pPr>
              <w:pStyle w:val="ListParagraph"/>
              <w:bidi/>
              <w:spacing w:line="276" w:lineRule="auto"/>
              <w:ind w:left="0"/>
              <w:jc w:val="both"/>
              <w:rPr>
                <w:rFonts w:ascii="David" w:hAnsi="David" w:cs="David"/>
                <w:color w:val="000000" w:themeColor="text1"/>
                <w:rtl/>
              </w:rPr>
            </w:pPr>
          </w:p>
        </w:tc>
        <w:tc>
          <w:tcPr>
            <w:tcW w:w="4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44CB6" w14:textId="77777777" w:rsidR="008D247E" w:rsidRPr="004B58B3" w:rsidRDefault="008D247E" w:rsidP="00DF69B2">
            <w:pPr>
              <w:pStyle w:val="ListParagraph"/>
              <w:numPr>
                <w:ilvl w:val="0"/>
                <w:numId w:val="34"/>
              </w:numPr>
              <w:bidi/>
              <w:spacing w:line="276" w:lineRule="auto"/>
              <w:jc w:val="both"/>
              <w:rPr>
                <w:rFonts w:ascii="David" w:hAnsi="David" w:cs="David"/>
                <w:color w:val="000000" w:themeColor="text1"/>
              </w:rPr>
            </w:pPr>
            <w:r w:rsidRPr="004B58B3">
              <w:rPr>
                <w:rFonts w:ascii="David" w:hAnsi="David" w:cs="David"/>
                <w:color w:val="000000" w:themeColor="text1"/>
                <w:rtl/>
              </w:rPr>
              <w:t>סנקציות- לשלול רישיון נהיגה, לעקל חשבון ועד מאסר.</w:t>
            </w:r>
          </w:p>
          <w:p w14:paraId="47DFCDA4" w14:textId="77777777" w:rsidR="008D247E" w:rsidRPr="004B58B3" w:rsidRDefault="008D247E" w:rsidP="00DF69B2">
            <w:pPr>
              <w:pStyle w:val="ListParagraph"/>
              <w:numPr>
                <w:ilvl w:val="0"/>
                <w:numId w:val="34"/>
              </w:numPr>
              <w:bidi/>
              <w:spacing w:line="276" w:lineRule="auto"/>
              <w:jc w:val="both"/>
              <w:rPr>
                <w:rFonts w:ascii="David" w:hAnsi="David" w:cs="David"/>
                <w:color w:val="000000" w:themeColor="text1"/>
                <w:rtl/>
              </w:rPr>
            </w:pPr>
            <w:r w:rsidRPr="004B58B3">
              <w:rPr>
                <w:rFonts w:ascii="David" w:hAnsi="David" w:cs="David"/>
                <w:color w:val="000000" w:themeColor="text1"/>
                <w:rtl/>
              </w:rPr>
              <w:t>הסכם לכבוד הדדי- הסכם קדם-נישואין (ניתן לראות את זה גם כפתרון חוזי) והוא גם נוגע בנושא סרבנות הגט (אם יש קרע בנישואין והגבר לא נותן גט- הוא משלם לה כל יום סכום כלשהו).</w:t>
            </w:r>
          </w:p>
        </w:tc>
      </w:tr>
    </w:tbl>
    <w:p w14:paraId="1FF79F70" w14:textId="77777777" w:rsidR="008D247E" w:rsidRPr="004B58B3" w:rsidRDefault="008D247E" w:rsidP="00DF69B2">
      <w:pPr>
        <w:pStyle w:val="ListParagraph"/>
        <w:numPr>
          <w:ilvl w:val="0"/>
          <w:numId w:val="36"/>
        </w:numPr>
        <w:bidi/>
        <w:spacing w:after="0" w:line="276" w:lineRule="auto"/>
        <w:jc w:val="both"/>
        <w:rPr>
          <w:rFonts w:ascii="David" w:hAnsi="David" w:cs="David"/>
          <w:color w:val="000000" w:themeColor="text1"/>
        </w:rPr>
      </w:pPr>
      <w:r w:rsidRPr="004B58B3">
        <w:rPr>
          <w:rFonts w:ascii="David" w:hAnsi="David" w:cs="David"/>
          <w:color w:val="000000" w:themeColor="text1"/>
          <w:rtl/>
        </w:rPr>
        <w:t>נישואין וגירושין אזרחיים</w:t>
      </w:r>
    </w:p>
    <w:p w14:paraId="79AC3F4F" w14:textId="77777777" w:rsidR="008D247E" w:rsidRPr="004B58B3" w:rsidRDefault="008D247E" w:rsidP="00DF69B2">
      <w:pPr>
        <w:pStyle w:val="ListParagraph"/>
        <w:numPr>
          <w:ilvl w:val="0"/>
          <w:numId w:val="36"/>
        </w:numPr>
        <w:bidi/>
        <w:spacing w:after="0" w:line="276" w:lineRule="auto"/>
        <w:jc w:val="both"/>
        <w:rPr>
          <w:rFonts w:ascii="David" w:hAnsi="David" w:cs="David"/>
          <w:color w:val="000000" w:themeColor="text1"/>
        </w:rPr>
      </w:pPr>
      <w:r w:rsidRPr="004B58B3">
        <w:rPr>
          <w:rFonts w:ascii="David" w:hAnsi="David" w:cs="David"/>
          <w:color w:val="000000" w:themeColor="text1"/>
          <w:rtl/>
        </w:rPr>
        <w:t xml:space="preserve">ביטוחי – ביטוח מפני הסכנה של סרבנות גט. אם יהיה סרבנות גט, החברת ביטוח תשלם פיצויים, והחברת ביטוח תתבע שיפוי מהבעל הסרבן. יכול להיות ביטוח מסחרי- כמו ביטוח חובה לרכב או ביטוח ציבורי- כמו ביטוח לאומי. </w:t>
      </w:r>
    </w:p>
    <w:p w14:paraId="6005BFAB" w14:textId="77777777" w:rsidR="008D247E" w:rsidRPr="004B58B3" w:rsidRDefault="008D247E" w:rsidP="00DF69B2">
      <w:pPr>
        <w:pStyle w:val="ListParagraph"/>
        <w:numPr>
          <w:ilvl w:val="0"/>
          <w:numId w:val="36"/>
        </w:numPr>
        <w:bidi/>
        <w:spacing w:after="0" w:line="276" w:lineRule="auto"/>
        <w:jc w:val="both"/>
        <w:rPr>
          <w:rFonts w:ascii="David" w:hAnsi="David" w:cs="David"/>
          <w:color w:val="000000" w:themeColor="text1"/>
        </w:rPr>
      </w:pPr>
      <w:r w:rsidRPr="004B58B3">
        <w:rPr>
          <w:rFonts w:ascii="David" w:hAnsi="David" w:cs="David"/>
          <w:color w:val="000000" w:themeColor="text1"/>
          <w:rtl/>
        </w:rPr>
        <w:t>נזיקי- האישה תתבע את הגבר הסרבן בהפרה חובה חקוקה, הנפוץ זה בעוולת הרשלנות. האישה תתבע בנזיקין, תקבל פיצויים ואז יבוצע מו"מ בין האישה לבעל. מגבלות: להוכיח רשלנות- חובת זהירות. ממתי היא חלה? מהקר</w:t>
      </w:r>
      <w:r>
        <w:rPr>
          <w:rFonts w:ascii="David" w:hAnsi="David" w:cs="David"/>
          <w:color w:val="000000" w:themeColor="text1"/>
          <w:rtl/>
        </w:rPr>
        <w:t>ע בנישואין? מהגשת התביעה? איך ל</w:t>
      </w:r>
      <w:r>
        <w:rPr>
          <w:rFonts w:ascii="David" w:hAnsi="David" w:cs="David" w:hint="cs"/>
          <w:color w:val="000000" w:themeColor="text1"/>
          <w:rtl/>
        </w:rPr>
        <w:t>כ</w:t>
      </w:r>
      <w:r w:rsidRPr="004B58B3">
        <w:rPr>
          <w:rFonts w:ascii="David" w:hAnsi="David" w:cs="David"/>
          <w:color w:val="000000" w:themeColor="text1"/>
          <w:rtl/>
        </w:rPr>
        <w:t>מת את הפיצויים? איך להתמודד עם ההגנות של המסרב? האם לדתייה יש נזק רב יותר מחילונית? האם לצעירה יש יותר נזק מזקנה?</w:t>
      </w:r>
    </w:p>
    <w:p w14:paraId="5796FAA1" w14:textId="77777777" w:rsidR="008D247E" w:rsidRPr="004B58B3" w:rsidRDefault="008D247E" w:rsidP="00DF69B2">
      <w:pPr>
        <w:pStyle w:val="ListParagraph"/>
        <w:numPr>
          <w:ilvl w:val="0"/>
          <w:numId w:val="36"/>
        </w:numPr>
        <w:bidi/>
        <w:spacing w:after="0" w:line="276" w:lineRule="auto"/>
        <w:jc w:val="both"/>
        <w:rPr>
          <w:rFonts w:ascii="David" w:hAnsi="David" w:cs="David"/>
          <w:b/>
          <w:bCs/>
          <w:color w:val="000000" w:themeColor="text1"/>
        </w:rPr>
      </w:pPr>
      <w:r w:rsidRPr="004B58B3">
        <w:rPr>
          <w:rFonts w:ascii="David" w:hAnsi="David" w:cs="David"/>
          <w:b/>
          <w:bCs/>
          <w:color w:val="000000" w:themeColor="text1"/>
          <w:rtl/>
        </w:rPr>
        <w:t>חוזי</w:t>
      </w:r>
    </w:p>
    <w:p w14:paraId="5619E7D3" w14:textId="77777777" w:rsidR="008D247E" w:rsidRPr="004B58B3" w:rsidRDefault="008D247E" w:rsidP="00DF69B2">
      <w:pPr>
        <w:pStyle w:val="ListParagraph"/>
        <w:numPr>
          <w:ilvl w:val="0"/>
          <w:numId w:val="36"/>
        </w:numPr>
        <w:bidi/>
        <w:spacing w:after="0" w:line="276" w:lineRule="auto"/>
        <w:jc w:val="both"/>
        <w:rPr>
          <w:rFonts w:ascii="David" w:hAnsi="David" w:cs="David"/>
          <w:b/>
          <w:bCs/>
          <w:color w:val="000000" w:themeColor="text1"/>
        </w:rPr>
      </w:pPr>
      <w:r w:rsidRPr="004B58B3">
        <w:rPr>
          <w:rFonts w:ascii="David" w:hAnsi="David" w:cs="David"/>
          <w:b/>
          <w:bCs/>
          <w:color w:val="000000" w:themeColor="text1"/>
          <w:rtl/>
        </w:rPr>
        <w:t>אי-סחירות</w:t>
      </w:r>
    </w:p>
    <w:p w14:paraId="614C96D9" w14:textId="77777777" w:rsidR="008D247E" w:rsidRPr="00797CFE" w:rsidRDefault="008D247E" w:rsidP="008D247E">
      <w:pPr>
        <w:autoSpaceDE w:val="0"/>
        <w:autoSpaceDN w:val="0"/>
        <w:bidi/>
        <w:adjustRightInd w:val="0"/>
        <w:spacing w:after="0" w:line="240" w:lineRule="auto"/>
        <w:jc w:val="both"/>
        <w:rPr>
          <w:rFonts w:ascii="David" w:hAnsi="David" w:cs="David"/>
        </w:rPr>
      </w:pPr>
    </w:p>
    <w:p w14:paraId="6F44C301" w14:textId="53290BB0" w:rsidR="00030547" w:rsidRPr="0015128B" w:rsidRDefault="00030547">
      <w:pPr>
        <w:bidi/>
        <w:spacing w:line="276" w:lineRule="auto"/>
        <w:jc w:val="both"/>
        <w:rPr>
          <w:rFonts w:ascii="David" w:hAnsi="David" w:cs="David"/>
          <w:b/>
          <w:bCs/>
        </w:rPr>
      </w:pPr>
    </w:p>
    <w:sectPr w:rsidR="00030547" w:rsidRPr="0015128B">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0659E" w14:textId="77777777" w:rsidR="000708CE" w:rsidRDefault="000708CE" w:rsidP="003F3C24">
      <w:pPr>
        <w:spacing w:after="0" w:line="240" w:lineRule="auto"/>
      </w:pPr>
      <w:r>
        <w:separator/>
      </w:r>
    </w:p>
  </w:endnote>
  <w:endnote w:type="continuationSeparator" w:id="0">
    <w:p w14:paraId="2DB39D8C" w14:textId="77777777" w:rsidR="000708CE" w:rsidRDefault="000708CE" w:rsidP="003F3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792C" w14:textId="77777777" w:rsidR="000708CE" w:rsidRDefault="000708CE" w:rsidP="003F3C24">
      <w:pPr>
        <w:spacing w:after="0" w:line="240" w:lineRule="auto"/>
      </w:pPr>
      <w:r>
        <w:separator/>
      </w:r>
    </w:p>
  </w:footnote>
  <w:footnote w:type="continuationSeparator" w:id="0">
    <w:p w14:paraId="0121C51D" w14:textId="77777777" w:rsidR="000708CE" w:rsidRDefault="000708CE" w:rsidP="003F3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753B" w14:textId="1E240978" w:rsidR="003F3C24" w:rsidRDefault="003F3C24" w:rsidP="003F3C24">
    <w:pPr>
      <w:pStyle w:val="Header"/>
      <w:bidi/>
      <w:spacing w:line="360" w:lineRule="auto"/>
      <w:rPr>
        <w:rFonts w:ascii="David" w:hAnsi="David" w:cs="David"/>
        <w:rtl/>
      </w:rPr>
    </w:pPr>
    <w:r>
      <w:rPr>
        <w:rFonts w:ascii="David" w:hAnsi="David" w:cs="David" w:hint="cs"/>
        <w:rtl/>
      </w:rPr>
      <w:t xml:space="preserve">מחברת מקוצרת </w:t>
    </w:r>
    <w:r>
      <w:rPr>
        <w:rFonts w:ascii="David" w:hAnsi="David" w:cs="David"/>
        <w:rtl/>
      </w:rPr>
      <w:t>–</w:t>
    </w:r>
    <w:r>
      <w:rPr>
        <w:rFonts w:ascii="David" w:hAnsi="David" w:cs="David" w:hint="cs"/>
        <w:rtl/>
      </w:rPr>
      <w:t xml:space="preserve"> המפגש בין דיני נזיקין למערכות דינים אחרות</w:t>
    </w:r>
  </w:p>
  <w:p w14:paraId="678BEFB9" w14:textId="47FE44C0" w:rsidR="003F3C24" w:rsidRPr="003F3C24" w:rsidRDefault="003F3C24" w:rsidP="003F3C24">
    <w:pPr>
      <w:pStyle w:val="Header"/>
      <w:bidi/>
      <w:spacing w:line="360" w:lineRule="auto"/>
      <w:rPr>
        <w:rFonts w:ascii="David" w:hAnsi="David" w:cs="David"/>
      </w:rPr>
    </w:pPr>
    <w:r>
      <w:rPr>
        <w:rFonts w:ascii="David" w:hAnsi="David" w:cs="David" w:hint="cs"/>
        <w:rtl/>
      </w:rPr>
      <w:t>נטע שרגא ואלרעי גולד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C7C5"/>
      </v:shape>
    </w:pict>
  </w:numPicBullet>
  <w:abstractNum w:abstractNumId="0" w15:restartNumberingAfterBreak="0">
    <w:nsid w:val="0A8A06E4"/>
    <w:multiLevelType w:val="hybridMultilevel"/>
    <w:tmpl w:val="BF1871A0"/>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 w15:restartNumberingAfterBreak="0">
    <w:nsid w:val="0C234C83"/>
    <w:multiLevelType w:val="hybridMultilevel"/>
    <w:tmpl w:val="01D6D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12011"/>
    <w:multiLevelType w:val="hybridMultilevel"/>
    <w:tmpl w:val="6D3E3D18"/>
    <w:lvl w:ilvl="0" w:tplc="32AE88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B2E35"/>
    <w:multiLevelType w:val="hybridMultilevel"/>
    <w:tmpl w:val="FEDABA90"/>
    <w:lvl w:ilvl="0" w:tplc="CABC2B64">
      <w:start w:val="1"/>
      <w:numFmt w:val="hebrew1"/>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246B64FC"/>
    <w:multiLevelType w:val="hybridMultilevel"/>
    <w:tmpl w:val="0190720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0B7F3D"/>
    <w:multiLevelType w:val="hybridMultilevel"/>
    <w:tmpl w:val="340C22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02888"/>
    <w:multiLevelType w:val="hybridMultilevel"/>
    <w:tmpl w:val="4948B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7B53FB"/>
    <w:multiLevelType w:val="hybridMultilevel"/>
    <w:tmpl w:val="FEC21FFE"/>
    <w:lvl w:ilvl="0" w:tplc="C95C5F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B210A"/>
    <w:multiLevelType w:val="hybridMultilevel"/>
    <w:tmpl w:val="719AB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F15570"/>
    <w:multiLevelType w:val="hybridMultilevel"/>
    <w:tmpl w:val="062AE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F01236"/>
    <w:multiLevelType w:val="hybridMultilevel"/>
    <w:tmpl w:val="928C9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B6CE7"/>
    <w:multiLevelType w:val="hybridMultilevel"/>
    <w:tmpl w:val="E638A36A"/>
    <w:lvl w:ilvl="0" w:tplc="708C47C6">
      <w:start w:val="1"/>
      <w:numFmt w:val="bullet"/>
      <w:lvlText w:val=""/>
      <w:lvlJc w:val="left"/>
      <w:pPr>
        <w:ind w:left="360" w:hanging="360"/>
      </w:pPr>
      <w:rPr>
        <w:rFonts w:ascii="Symbol" w:eastAsiaTheme="minorHAnsi" w:hAnsi="Symbol" w:cs="David"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D936E26"/>
    <w:multiLevelType w:val="hybridMultilevel"/>
    <w:tmpl w:val="5F049C76"/>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372B8"/>
    <w:multiLevelType w:val="hybridMultilevel"/>
    <w:tmpl w:val="B6A802C6"/>
    <w:lvl w:ilvl="0" w:tplc="FFFFFFF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20738AE"/>
    <w:multiLevelType w:val="hybridMultilevel"/>
    <w:tmpl w:val="34364FB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167FDF"/>
    <w:multiLevelType w:val="hybridMultilevel"/>
    <w:tmpl w:val="A5D697B0"/>
    <w:lvl w:ilvl="0" w:tplc="ADAC4230">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01026"/>
    <w:multiLevelType w:val="hybridMultilevel"/>
    <w:tmpl w:val="B3EAB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9D4AA1"/>
    <w:multiLevelType w:val="hybridMultilevel"/>
    <w:tmpl w:val="9CDAC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D104D3"/>
    <w:multiLevelType w:val="hybridMultilevel"/>
    <w:tmpl w:val="DA36FBC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5074328C"/>
    <w:multiLevelType w:val="hybridMultilevel"/>
    <w:tmpl w:val="078E4860"/>
    <w:lvl w:ilvl="0" w:tplc="9EEA088A">
      <w:start w:val="1"/>
      <w:numFmt w:val="bullet"/>
      <w:lvlText w:val="-"/>
      <w:lvlJc w:val="left"/>
      <w:pPr>
        <w:ind w:left="900" w:hanging="360"/>
      </w:pPr>
      <w:rPr>
        <w:rFonts w:ascii="David" w:eastAsiaTheme="minorHAnsi" w:hAnsi="David" w:cs="David"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0B3343C"/>
    <w:multiLevelType w:val="hybridMultilevel"/>
    <w:tmpl w:val="37366F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8639F2"/>
    <w:multiLevelType w:val="hybridMultilevel"/>
    <w:tmpl w:val="3FFAC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A392C"/>
    <w:multiLevelType w:val="hybridMultilevel"/>
    <w:tmpl w:val="A01494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47511A"/>
    <w:multiLevelType w:val="hybridMultilevel"/>
    <w:tmpl w:val="18142724"/>
    <w:lvl w:ilvl="0" w:tplc="F4806F0C">
      <w:start w:val="1"/>
      <w:numFmt w:val="bullet"/>
      <w:lvlText w:val=""/>
      <w:lvlJc w:val="left"/>
      <w:pPr>
        <w:ind w:left="630" w:hanging="360"/>
      </w:pPr>
      <w:rPr>
        <w:rFonts w:ascii="Symbol" w:eastAsiaTheme="minorHAnsi" w:hAnsi="Symbol" w:cs="David"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6E19D5"/>
    <w:multiLevelType w:val="multilevel"/>
    <w:tmpl w:val="48765B36"/>
    <w:lvl w:ilvl="0">
      <w:start w:val="1"/>
      <w:numFmt w:val="decimal"/>
      <w:lvlText w:val="%1."/>
      <w:lvlJc w:val="left"/>
      <w:pPr>
        <w:ind w:left="45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72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410" w:hanging="1440"/>
      </w:pPr>
      <w:rPr>
        <w:rFonts w:hint="default"/>
      </w:rPr>
    </w:lvl>
  </w:abstractNum>
  <w:abstractNum w:abstractNumId="25" w15:restartNumberingAfterBreak="0">
    <w:nsid w:val="56BB0C12"/>
    <w:multiLevelType w:val="hybridMultilevel"/>
    <w:tmpl w:val="139E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37BD1"/>
    <w:multiLevelType w:val="hybridMultilevel"/>
    <w:tmpl w:val="65CA6F84"/>
    <w:lvl w:ilvl="0" w:tplc="A11EA0B8">
      <w:start w:val="5"/>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C51F74"/>
    <w:multiLevelType w:val="hybridMultilevel"/>
    <w:tmpl w:val="CD1AF218"/>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FB86CD4"/>
    <w:multiLevelType w:val="hybridMultilevel"/>
    <w:tmpl w:val="B9184F1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FCD78EF"/>
    <w:multiLevelType w:val="hybridMultilevel"/>
    <w:tmpl w:val="50567DAE"/>
    <w:lvl w:ilvl="0" w:tplc="156E8DA6">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E3B35"/>
    <w:multiLevelType w:val="hybridMultilevel"/>
    <w:tmpl w:val="20025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284231"/>
    <w:multiLevelType w:val="hybridMultilevel"/>
    <w:tmpl w:val="267A6A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0663F"/>
    <w:multiLevelType w:val="multilevel"/>
    <w:tmpl w:val="8FD2FA7C"/>
    <w:lvl w:ilvl="0">
      <w:start w:val="1"/>
      <w:numFmt w:val="decimal"/>
      <w:lvlText w:val="%1."/>
      <w:lvlJc w:val="left"/>
      <w:pPr>
        <w:ind w:left="450" w:hanging="360"/>
      </w:pPr>
      <w:rPr>
        <w:rFonts w:hint="default"/>
        <w:color w:val="auto"/>
      </w:rPr>
    </w:lvl>
    <w:lvl w:ilvl="1">
      <w:start w:val="1"/>
      <w:numFmt w:val="decimal"/>
      <w:isLgl/>
      <w:lvlText w:val="%1.%2"/>
      <w:lvlJc w:val="left"/>
      <w:pPr>
        <w:ind w:left="900" w:hanging="360"/>
      </w:pPr>
      <w:rPr>
        <w:rFonts w:hint="default"/>
        <w:b/>
        <w:bCs/>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33" w15:restartNumberingAfterBreak="0">
    <w:nsid w:val="78DA142B"/>
    <w:multiLevelType w:val="hybridMultilevel"/>
    <w:tmpl w:val="596A9A6E"/>
    <w:lvl w:ilvl="0" w:tplc="FFFFFFFF">
      <w:start w:val="1"/>
      <w:numFmt w:val="decimal"/>
      <w:lvlText w:val="%1."/>
      <w:lvlJc w:val="left"/>
      <w:pPr>
        <w:ind w:left="501"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78DB4018"/>
    <w:multiLevelType w:val="hybridMultilevel"/>
    <w:tmpl w:val="CA8AC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A3DC8"/>
    <w:multiLevelType w:val="hybridMultilevel"/>
    <w:tmpl w:val="B9B048D0"/>
    <w:lvl w:ilvl="0" w:tplc="20000001">
      <w:start w:val="1"/>
      <w:numFmt w:val="bullet"/>
      <w:lvlText w:val=""/>
      <w:lvlJc w:val="left"/>
      <w:pPr>
        <w:ind w:left="785" w:hanging="360"/>
      </w:pPr>
      <w:rPr>
        <w:rFonts w:ascii="Symbol" w:hAnsi="Symbol" w:hint="default"/>
      </w:rPr>
    </w:lvl>
    <w:lvl w:ilvl="1" w:tplc="20000003" w:tentative="1">
      <w:start w:val="1"/>
      <w:numFmt w:val="bullet"/>
      <w:lvlText w:val="o"/>
      <w:lvlJc w:val="left"/>
      <w:pPr>
        <w:ind w:left="1930" w:hanging="360"/>
      </w:pPr>
      <w:rPr>
        <w:rFonts w:ascii="Courier New" w:hAnsi="Courier New" w:cs="Courier New" w:hint="default"/>
      </w:rPr>
    </w:lvl>
    <w:lvl w:ilvl="2" w:tplc="20000005" w:tentative="1">
      <w:start w:val="1"/>
      <w:numFmt w:val="bullet"/>
      <w:lvlText w:val=""/>
      <w:lvlJc w:val="left"/>
      <w:pPr>
        <w:ind w:left="2650" w:hanging="360"/>
      </w:pPr>
      <w:rPr>
        <w:rFonts w:ascii="Wingdings" w:hAnsi="Wingdings" w:hint="default"/>
      </w:rPr>
    </w:lvl>
    <w:lvl w:ilvl="3" w:tplc="20000001" w:tentative="1">
      <w:start w:val="1"/>
      <w:numFmt w:val="bullet"/>
      <w:lvlText w:val=""/>
      <w:lvlJc w:val="left"/>
      <w:pPr>
        <w:ind w:left="3370" w:hanging="360"/>
      </w:pPr>
      <w:rPr>
        <w:rFonts w:ascii="Symbol" w:hAnsi="Symbol" w:hint="default"/>
      </w:rPr>
    </w:lvl>
    <w:lvl w:ilvl="4" w:tplc="20000003" w:tentative="1">
      <w:start w:val="1"/>
      <w:numFmt w:val="bullet"/>
      <w:lvlText w:val="o"/>
      <w:lvlJc w:val="left"/>
      <w:pPr>
        <w:ind w:left="4090" w:hanging="360"/>
      </w:pPr>
      <w:rPr>
        <w:rFonts w:ascii="Courier New" w:hAnsi="Courier New" w:cs="Courier New" w:hint="default"/>
      </w:rPr>
    </w:lvl>
    <w:lvl w:ilvl="5" w:tplc="20000005" w:tentative="1">
      <w:start w:val="1"/>
      <w:numFmt w:val="bullet"/>
      <w:lvlText w:val=""/>
      <w:lvlJc w:val="left"/>
      <w:pPr>
        <w:ind w:left="4810" w:hanging="360"/>
      </w:pPr>
      <w:rPr>
        <w:rFonts w:ascii="Wingdings" w:hAnsi="Wingdings" w:hint="default"/>
      </w:rPr>
    </w:lvl>
    <w:lvl w:ilvl="6" w:tplc="20000001" w:tentative="1">
      <w:start w:val="1"/>
      <w:numFmt w:val="bullet"/>
      <w:lvlText w:val=""/>
      <w:lvlJc w:val="left"/>
      <w:pPr>
        <w:ind w:left="5530" w:hanging="360"/>
      </w:pPr>
      <w:rPr>
        <w:rFonts w:ascii="Symbol" w:hAnsi="Symbol" w:hint="default"/>
      </w:rPr>
    </w:lvl>
    <w:lvl w:ilvl="7" w:tplc="20000003" w:tentative="1">
      <w:start w:val="1"/>
      <w:numFmt w:val="bullet"/>
      <w:lvlText w:val="o"/>
      <w:lvlJc w:val="left"/>
      <w:pPr>
        <w:ind w:left="6250" w:hanging="360"/>
      </w:pPr>
      <w:rPr>
        <w:rFonts w:ascii="Courier New" w:hAnsi="Courier New" w:cs="Courier New" w:hint="default"/>
      </w:rPr>
    </w:lvl>
    <w:lvl w:ilvl="8" w:tplc="20000005" w:tentative="1">
      <w:start w:val="1"/>
      <w:numFmt w:val="bullet"/>
      <w:lvlText w:val=""/>
      <w:lvlJc w:val="left"/>
      <w:pPr>
        <w:ind w:left="6970" w:hanging="360"/>
      </w:pPr>
      <w:rPr>
        <w:rFonts w:ascii="Wingdings" w:hAnsi="Wingdings" w:hint="default"/>
      </w:rPr>
    </w:lvl>
  </w:abstractNum>
  <w:num w:numId="1" w16cid:durableId="1483084864">
    <w:abstractNumId w:val="32"/>
  </w:num>
  <w:num w:numId="2" w16cid:durableId="1402483798">
    <w:abstractNumId w:val="11"/>
  </w:num>
  <w:num w:numId="3" w16cid:durableId="2081705158">
    <w:abstractNumId w:val="14"/>
  </w:num>
  <w:num w:numId="4" w16cid:durableId="926693329">
    <w:abstractNumId w:val="6"/>
  </w:num>
  <w:num w:numId="5" w16cid:durableId="1687443629">
    <w:abstractNumId w:val="34"/>
  </w:num>
  <w:num w:numId="6" w16cid:durableId="621422032">
    <w:abstractNumId w:val="21"/>
  </w:num>
  <w:num w:numId="7" w16cid:durableId="1178349889">
    <w:abstractNumId w:val="16"/>
  </w:num>
  <w:num w:numId="8" w16cid:durableId="1004282793">
    <w:abstractNumId w:val="15"/>
  </w:num>
  <w:num w:numId="9" w16cid:durableId="569077257">
    <w:abstractNumId w:val="12"/>
  </w:num>
  <w:num w:numId="10" w16cid:durableId="1722634922">
    <w:abstractNumId w:val="31"/>
  </w:num>
  <w:num w:numId="11" w16cid:durableId="1836804517">
    <w:abstractNumId w:val="0"/>
  </w:num>
  <w:num w:numId="12" w16cid:durableId="1784112183">
    <w:abstractNumId w:val="19"/>
  </w:num>
  <w:num w:numId="13" w16cid:durableId="8454820">
    <w:abstractNumId w:val="24"/>
  </w:num>
  <w:num w:numId="14" w16cid:durableId="889265608">
    <w:abstractNumId w:val="17"/>
  </w:num>
  <w:num w:numId="15" w16cid:durableId="1923949703">
    <w:abstractNumId w:val="5"/>
  </w:num>
  <w:num w:numId="16" w16cid:durableId="2076928856">
    <w:abstractNumId w:val="8"/>
  </w:num>
  <w:num w:numId="17" w16cid:durableId="2001032849">
    <w:abstractNumId w:val="20"/>
  </w:num>
  <w:num w:numId="18" w16cid:durableId="614483365">
    <w:abstractNumId w:val="28"/>
  </w:num>
  <w:num w:numId="19" w16cid:durableId="30956285">
    <w:abstractNumId w:val="27"/>
  </w:num>
  <w:num w:numId="20" w16cid:durableId="1095787674">
    <w:abstractNumId w:val="9"/>
  </w:num>
  <w:num w:numId="21" w16cid:durableId="1182359234">
    <w:abstractNumId w:val="1"/>
  </w:num>
  <w:num w:numId="22" w16cid:durableId="1756512721">
    <w:abstractNumId w:val="2"/>
  </w:num>
  <w:num w:numId="23" w16cid:durableId="1651590530">
    <w:abstractNumId w:val="22"/>
  </w:num>
  <w:num w:numId="24" w16cid:durableId="168104905">
    <w:abstractNumId w:val="7"/>
  </w:num>
  <w:num w:numId="25" w16cid:durableId="1441802684">
    <w:abstractNumId w:val="23"/>
  </w:num>
  <w:num w:numId="26" w16cid:durableId="1463185295">
    <w:abstractNumId w:val="4"/>
  </w:num>
  <w:num w:numId="27" w16cid:durableId="220022578">
    <w:abstractNumId w:val="29"/>
  </w:num>
  <w:num w:numId="28" w16cid:durableId="2084832304">
    <w:abstractNumId w:val="26"/>
  </w:num>
  <w:num w:numId="29" w16cid:durableId="627516523">
    <w:abstractNumId w:val="18"/>
  </w:num>
  <w:num w:numId="30" w16cid:durableId="189074776">
    <w:abstractNumId w:val="30"/>
  </w:num>
  <w:num w:numId="31" w16cid:durableId="812330664">
    <w:abstractNumId w:val="25"/>
  </w:num>
  <w:num w:numId="32" w16cid:durableId="724715124">
    <w:abstractNumId w:val="10"/>
  </w:num>
  <w:num w:numId="33" w16cid:durableId="22442707">
    <w:abstractNumId w:val="3"/>
  </w:num>
  <w:num w:numId="34" w16cid:durableId="501044695">
    <w:abstractNumId w:val="35"/>
  </w:num>
  <w:num w:numId="35" w16cid:durableId="1482187582">
    <w:abstractNumId w:val="33"/>
  </w:num>
  <w:num w:numId="36" w16cid:durableId="2143501239">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79"/>
    <w:rsid w:val="00005273"/>
    <w:rsid w:val="000069BC"/>
    <w:rsid w:val="0001154D"/>
    <w:rsid w:val="00011D29"/>
    <w:rsid w:val="000159AA"/>
    <w:rsid w:val="00015EEF"/>
    <w:rsid w:val="000162A7"/>
    <w:rsid w:val="00023B93"/>
    <w:rsid w:val="00030547"/>
    <w:rsid w:val="000310BB"/>
    <w:rsid w:val="000404D9"/>
    <w:rsid w:val="00044C75"/>
    <w:rsid w:val="00062D4C"/>
    <w:rsid w:val="0006579C"/>
    <w:rsid w:val="00065B47"/>
    <w:rsid w:val="000667A4"/>
    <w:rsid w:val="000708CE"/>
    <w:rsid w:val="000717D1"/>
    <w:rsid w:val="0007238F"/>
    <w:rsid w:val="000801D7"/>
    <w:rsid w:val="0008057F"/>
    <w:rsid w:val="000816F2"/>
    <w:rsid w:val="00082D1C"/>
    <w:rsid w:val="00083A87"/>
    <w:rsid w:val="000912B1"/>
    <w:rsid w:val="0009246A"/>
    <w:rsid w:val="00096F3D"/>
    <w:rsid w:val="00097EEB"/>
    <w:rsid w:val="000C3994"/>
    <w:rsid w:val="000C4DF8"/>
    <w:rsid w:val="000D08E0"/>
    <w:rsid w:val="000D0B6F"/>
    <w:rsid w:val="000D13B4"/>
    <w:rsid w:val="000E58FE"/>
    <w:rsid w:val="000E5ACB"/>
    <w:rsid w:val="000F0800"/>
    <w:rsid w:val="000F5BC1"/>
    <w:rsid w:val="000F6FEA"/>
    <w:rsid w:val="001006A2"/>
    <w:rsid w:val="00107DCF"/>
    <w:rsid w:val="00112890"/>
    <w:rsid w:val="0011378E"/>
    <w:rsid w:val="00114DBC"/>
    <w:rsid w:val="00120932"/>
    <w:rsid w:val="00121B22"/>
    <w:rsid w:val="0012525A"/>
    <w:rsid w:val="00127D08"/>
    <w:rsid w:val="00130310"/>
    <w:rsid w:val="00134CD7"/>
    <w:rsid w:val="001420BE"/>
    <w:rsid w:val="0015128B"/>
    <w:rsid w:val="0015287C"/>
    <w:rsid w:val="00155028"/>
    <w:rsid w:val="001556CF"/>
    <w:rsid w:val="00161C52"/>
    <w:rsid w:val="0016237A"/>
    <w:rsid w:val="00162746"/>
    <w:rsid w:val="001640CA"/>
    <w:rsid w:val="00165537"/>
    <w:rsid w:val="00167D7E"/>
    <w:rsid w:val="00170178"/>
    <w:rsid w:val="00170937"/>
    <w:rsid w:val="001761F1"/>
    <w:rsid w:val="00176385"/>
    <w:rsid w:val="00181F1F"/>
    <w:rsid w:val="001840EA"/>
    <w:rsid w:val="00185608"/>
    <w:rsid w:val="00185DC8"/>
    <w:rsid w:val="001A2BCC"/>
    <w:rsid w:val="001B169E"/>
    <w:rsid w:val="001B717B"/>
    <w:rsid w:val="001C0633"/>
    <w:rsid w:val="001C47D5"/>
    <w:rsid w:val="001C4A13"/>
    <w:rsid w:val="001D3B06"/>
    <w:rsid w:val="001D44B1"/>
    <w:rsid w:val="001E105C"/>
    <w:rsid w:val="001F4B75"/>
    <w:rsid w:val="001F6900"/>
    <w:rsid w:val="00201F51"/>
    <w:rsid w:val="002214F6"/>
    <w:rsid w:val="002252E5"/>
    <w:rsid w:val="00226363"/>
    <w:rsid w:val="00240E18"/>
    <w:rsid w:val="00245A5F"/>
    <w:rsid w:val="00250371"/>
    <w:rsid w:val="00251051"/>
    <w:rsid w:val="002542A4"/>
    <w:rsid w:val="00254CB3"/>
    <w:rsid w:val="00257747"/>
    <w:rsid w:val="00260B27"/>
    <w:rsid w:val="0026131F"/>
    <w:rsid w:val="00266F8F"/>
    <w:rsid w:val="00273A15"/>
    <w:rsid w:val="00274AAB"/>
    <w:rsid w:val="00277CE8"/>
    <w:rsid w:val="00282D91"/>
    <w:rsid w:val="0028579C"/>
    <w:rsid w:val="00286CB1"/>
    <w:rsid w:val="0029223B"/>
    <w:rsid w:val="0029389C"/>
    <w:rsid w:val="002A029B"/>
    <w:rsid w:val="002A387D"/>
    <w:rsid w:val="002A5970"/>
    <w:rsid w:val="002A788E"/>
    <w:rsid w:val="002B2F73"/>
    <w:rsid w:val="002B70C3"/>
    <w:rsid w:val="002C6268"/>
    <w:rsid w:val="002C7B84"/>
    <w:rsid w:val="002C7C8E"/>
    <w:rsid w:val="002D41BF"/>
    <w:rsid w:val="002D697B"/>
    <w:rsid w:val="002E13A6"/>
    <w:rsid w:val="002F20E6"/>
    <w:rsid w:val="002F366A"/>
    <w:rsid w:val="002F6D04"/>
    <w:rsid w:val="002F7AE5"/>
    <w:rsid w:val="00300FE8"/>
    <w:rsid w:val="00303ADA"/>
    <w:rsid w:val="003174CA"/>
    <w:rsid w:val="00320D5F"/>
    <w:rsid w:val="00321946"/>
    <w:rsid w:val="00326BEF"/>
    <w:rsid w:val="00330233"/>
    <w:rsid w:val="00331D85"/>
    <w:rsid w:val="003335EC"/>
    <w:rsid w:val="003338CB"/>
    <w:rsid w:val="003356E4"/>
    <w:rsid w:val="00342022"/>
    <w:rsid w:val="0034236E"/>
    <w:rsid w:val="00352152"/>
    <w:rsid w:val="0035421B"/>
    <w:rsid w:val="00354997"/>
    <w:rsid w:val="00356094"/>
    <w:rsid w:val="00357250"/>
    <w:rsid w:val="00357C9F"/>
    <w:rsid w:val="00360531"/>
    <w:rsid w:val="003628D8"/>
    <w:rsid w:val="003646A6"/>
    <w:rsid w:val="0036532B"/>
    <w:rsid w:val="003656EE"/>
    <w:rsid w:val="00372AEE"/>
    <w:rsid w:val="003773E7"/>
    <w:rsid w:val="00382E43"/>
    <w:rsid w:val="0038332F"/>
    <w:rsid w:val="00385C68"/>
    <w:rsid w:val="003947AF"/>
    <w:rsid w:val="00394FB4"/>
    <w:rsid w:val="0039519C"/>
    <w:rsid w:val="003A06CC"/>
    <w:rsid w:val="003A3A6D"/>
    <w:rsid w:val="003B654D"/>
    <w:rsid w:val="003B788A"/>
    <w:rsid w:val="003C1402"/>
    <w:rsid w:val="003C288F"/>
    <w:rsid w:val="003C36AD"/>
    <w:rsid w:val="003C4490"/>
    <w:rsid w:val="003C5C36"/>
    <w:rsid w:val="003D164A"/>
    <w:rsid w:val="003D2D5C"/>
    <w:rsid w:val="003D5C7C"/>
    <w:rsid w:val="003D64F7"/>
    <w:rsid w:val="003D7A60"/>
    <w:rsid w:val="003E12E1"/>
    <w:rsid w:val="003E21F9"/>
    <w:rsid w:val="003F2074"/>
    <w:rsid w:val="003F2865"/>
    <w:rsid w:val="003F3C24"/>
    <w:rsid w:val="003F53C3"/>
    <w:rsid w:val="00400A0D"/>
    <w:rsid w:val="00404FB4"/>
    <w:rsid w:val="0040532C"/>
    <w:rsid w:val="0041153E"/>
    <w:rsid w:val="00413173"/>
    <w:rsid w:val="00413BD9"/>
    <w:rsid w:val="0043738C"/>
    <w:rsid w:val="004437AE"/>
    <w:rsid w:val="004511ED"/>
    <w:rsid w:val="004546F8"/>
    <w:rsid w:val="00455BF0"/>
    <w:rsid w:val="00461723"/>
    <w:rsid w:val="00461A3C"/>
    <w:rsid w:val="004669BE"/>
    <w:rsid w:val="00466EFB"/>
    <w:rsid w:val="00466FBA"/>
    <w:rsid w:val="00467906"/>
    <w:rsid w:val="00467C75"/>
    <w:rsid w:val="004748B4"/>
    <w:rsid w:val="004816B2"/>
    <w:rsid w:val="00485D07"/>
    <w:rsid w:val="0048793E"/>
    <w:rsid w:val="0049140B"/>
    <w:rsid w:val="00492EE0"/>
    <w:rsid w:val="00494CB7"/>
    <w:rsid w:val="004959E1"/>
    <w:rsid w:val="00496B72"/>
    <w:rsid w:val="004A0041"/>
    <w:rsid w:val="004A1381"/>
    <w:rsid w:val="004A757C"/>
    <w:rsid w:val="004B6BD7"/>
    <w:rsid w:val="004C130C"/>
    <w:rsid w:val="004C1ECE"/>
    <w:rsid w:val="004C78C6"/>
    <w:rsid w:val="004D1CA0"/>
    <w:rsid w:val="004D283E"/>
    <w:rsid w:val="004D32C6"/>
    <w:rsid w:val="004D6015"/>
    <w:rsid w:val="004E113A"/>
    <w:rsid w:val="004E18A6"/>
    <w:rsid w:val="004E3F7F"/>
    <w:rsid w:val="004E70EF"/>
    <w:rsid w:val="004F2CC3"/>
    <w:rsid w:val="004F506E"/>
    <w:rsid w:val="004F7E93"/>
    <w:rsid w:val="00500618"/>
    <w:rsid w:val="00500E99"/>
    <w:rsid w:val="005034D8"/>
    <w:rsid w:val="005121C4"/>
    <w:rsid w:val="00512C5E"/>
    <w:rsid w:val="00513A96"/>
    <w:rsid w:val="0053245B"/>
    <w:rsid w:val="00532E94"/>
    <w:rsid w:val="00535DF3"/>
    <w:rsid w:val="00537712"/>
    <w:rsid w:val="00551D77"/>
    <w:rsid w:val="005626EE"/>
    <w:rsid w:val="00565091"/>
    <w:rsid w:val="005663A7"/>
    <w:rsid w:val="00572E3D"/>
    <w:rsid w:val="00576A7A"/>
    <w:rsid w:val="00580131"/>
    <w:rsid w:val="00584F72"/>
    <w:rsid w:val="005855E8"/>
    <w:rsid w:val="00590C90"/>
    <w:rsid w:val="005979F3"/>
    <w:rsid w:val="005A441F"/>
    <w:rsid w:val="005A4479"/>
    <w:rsid w:val="005A5533"/>
    <w:rsid w:val="005B06CC"/>
    <w:rsid w:val="005B0B2A"/>
    <w:rsid w:val="005B20E6"/>
    <w:rsid w:val="005B37C0"/>
    <w:rsid w:val="005C125A"/>
    <w:rsid w:val="005C4752"/>
    <w:rsid w:val="005D0179"/>
    <w:rsid w:val="005D1FA2"/>
    <w:rsid w:val="005D3E1D"/>
    <w:rsid w:val="005F0E9E"/>
    <w:rsid w:val="005F124B"/>
    <w:rsid w:val="005F3749"/>
    <w:rsid w:val="005F3DE4"/>
    <w:rsid w:val="006008BF"/>
    <w:rsid w:val="00602378"/>
    <w:rsid w:val="006040FD"/>
    <w:rsid w:val="00604745"/>
    <w:rsid w:val="00604848"/>
    <w:rsid w:val="00606829"/>
    <w:rsid w:val="00610043"/>
    <w:rsid w:val="006111AC"/>
    <w:rsid w:val="006158D5"/>
    <w:rsid w:val="00617674"/>
    <w:rsid w:val="00640832"/>
    <w:rsid w:val="00641FDD"/>
    <w:rsid w:val="00646D54"/>
    <w:rsid w:val="00646D7D"/>
    <w:rsid w:val="0065697C"/>
    <w:rsid w:val="00660C5E"/>
    <w:rsid w:val="00661AA2"/>
    <w:rsid w:val="006722BB"/>
    <w:rsid w:val="00676233"/>
    <w:rsid w:val="00676AEA"/>
    <w:rsid w:val="00682EE9"/>
    <w:rsid w:val="00683D47"/>
    <w:rsid w:val="00697F22"/>
    <w:rsid w:val="006A4926"/>
    <w:rsid w:val="006A7BA0"/>
    <w:rsid w:val="006B2F53"/>
    <w:rsid w:val="006B3328"/>
    <w:rsid w:val="006B40A0"/>
    <w:rsid w:val="006B619F"/>
    <w:rsid w:val="006C0741"/>
    <w:rsid w:val="006C7678"/>
    <w:rsid w:val="006E5BE9"/>
    <w:rsid w:val="006E5F86"/>
    <w:rsid w:val="006E7D0B"/>
    <w:rsid w:val="006F0E2B"/>
    <w:rsid w:val="0070201C"/>
    <w:rsid w:val="007054A8"/>
    <w:rsid w:val="00710908"/>
    <w:rsid w:val="0071337C"/>
    <w:rsid w:val="0071507F"/>
    <w:rsid w:val="00721D94"/>
    <w:rsid w:val="00721ED3"/>
    <w:rsid w:val="0072209B"/>
    <w:rsid w:val="00723161"/>
    <w:rsid w:val="0072506F"/>
    <w:rsid w:val="00734E67"/>
    <w:rsid w:val="007416B8"/>
    <w:rsid w:val="00742DDC"/>
    <w:rsid w:val="00750C50"/>
    <w:rsid w:val="00770B90"/>
    <w:rsid w:val="007713A0"/>
    <w:rsid w:val="00772EB2"/>
    <w:rsid w:val="00773987"/>
    <w:rsid w:val="00777ED2"/>
    <w:rsid w:val="00781FF8"/>
    <w:rsid w:val="00784223"/>
    <w:rsid w:val="0079729B"/>
    <w:rsid w:val="00797CFE"/>
    <w:rsid w:val="007A0603"/>
    <w:rsid w:val="007A4E18"/>
    <w:rsid w:val="007A6D9A"/>
    <w:rsid w:val="007A7364"/>
    <w:rsid w:val="007B0623"/>
    <w:rsid w:val="007B32C0"/>
    <w:rsid w:val="007C0915"/>
    <w:rsid w:val="007C284F"/>
    <w:rsid w:val="007C394F"/>
    <w:rsid w:val="007C5196"/>
    <w:rsid w:val="007D6838"/>
    <w:rsid w:val="007D726A"/>
    <w:rsid w:val="007E49EF"/>
    <w:rsid w:val="007E67A2"/>
    <w:rsid w:val="008074C0"/>
    <w:rsid w:val="00820235"/>
    <w:rsid w:val="0082034A"/>
    <w:rsid w:val="00821331"/>
    <w:rsid w:val="00823958"/>
    <w:rsid w:val="00837BBA"/>
    <w:rsid w:val="00840847"/>
    <w:rsid w:val="00840AFD"/>
    <w:rsid w:val="00842E54"/>
    <w:rsid w:val="00843806"/>
    <w:rsid w:val="00865169"/>
    <w:rsid w:val="00865D7F"/>
    <w:rsid w:val="008706DB"/>
    <w:rsid w:val="00873697"/>
    <w:rsid w:val="00876FAA"/>
    <w:rsid w:val="008806AD"/>
    <w:rsid w:val="00881746"/>
    <w:rsid w:val="00883C51"/>
    <w:rsid w:val="008918B1"/>
    <w:rsid w:val="008921C0"/>
    <w:rsid w:val="0089749E"/>
    <w:rsid w:val="008A07DC"/>
    <w:rsid w:val="008A4CC8"/>
    <w:rsid w:val="008B35CA"/>
    <w:rsid w:val="008B738A"/>
    <w:rsid w:val="008C2F4F"/>
    <w:rsid w:val="008C50F8"/>
    <w:rsid w:val="008C6F8B"/>
    <w:rsid w:val="008D247E"/>
    <w:rsid w:val="008D43BD"/>
    <w:rsid w:val="008E05F7"/>
    <w:rsid w:val="008E4F61"/>
    <w:rsid w:val="008E5F97"/>
    <w:rsid w:val="00912F71"/>
    <w:rsid w:val="009146FB"/>
    <w:rsid w:val="00914B24"/>
    <w:rsid w:val="009159C2"/>
    <w:rsid w:val="00915AEC"/>
    <w:rsid w:val="009160C6"/>
    <w:rsid w:val="00916F43"/>
    <w:rsid w:val="00917959"/>
    <w:rsid w:val="0091798D"/>
    <w:rsid w:val="0093117C"/>
    <w:rsid w:val="009316D2"/>
    <w:rsid w:val="00931982"/>
    <w:rsid w:val="00931AA0"/>
    <w:rsid w:val="00933C72"/>
    <w:rsid w:val="00933E2F"/>
    <w:rsid w:val="00936BF3"/>
    <w:rsid w:val="009424B6"/>
    <w:rsid w:val="00944443"/>
    <w:rsid w:val="00944FB6"/>
    <w:rsid w:val="009501AC"/>
    <w:rsid w:val="00951CCB"/>
    <w:rsid w:val="00953448"/>
    <w:rsid w:val="009541E2"/>
    <w:rsid w:val="00954F5A"/>
    <w:rsid w:val="009563AC"/>
    <w:rsid w:val="00957545"/>
    <w:rsid w:val="00960770"/>
    <w:rsid w:val="009670E7"/>
    <w:rsid w:val="00970CBC"/>
    <w:rsid w:val="00974A25"/>
    <w:rsid w:val="00976256"/>
    <w:rsid w:val="00980390"/>
    <w:rsid w:val="0098448A"/>
    <w:rsid w:val="009849B6"/>
    <w:rsid w:val="00986797"/>
    <w:rsid w:val="00987391"/>
    <w:rsid w:val="009902F2"/>
    <w:rsid w:val="00996F58"/>
    <w:rsid w:val="009A00DB"/>
    <w:rsid w:val="009A3096"/>
    <w:rsid w:val="009A3C60"/>
    <w:rsid w:val="009A4A7F"/>
    <w:rsid w:val="009B59CF"/>
    <w:rsid w:val="009B64D0"/>
    <w:rsid w:val="009C1DA6"/>
    <w:rsid w:val="009C1DEA"/>
    <w:rsid w:val="009C1FAE"/>
    <w:rsid w:val="009C2024"/>
    <w:rsid w:val="009C2ADE"/>
    <w:rsid w:val="009C3FF7"/>
    <w:rsid w:val="009D1499"/>
    <w:rsid w:val="009D2694"/>
    <w:rsid w:val="009D72B4"/>
    <w:rsid w:val="009E0715"/>
    <w:rsid w:val="009E2357"/>
    <w:rsid w:val="00A003A3"/>
    <w:rsid w:val="00A0265B"/>
    <w:rsid w:val="00A035D4"/>
    <w:rsid w:val="00A114E6"/>
    <w:rsid w:val="00A1643C"/>
    <w:rsid w:val="00A33C23"/>
    <w:rsid w:val="00A36954"/>
    <w:rsid w:val="00A375F8"/>
    <w:rsid w:val="00A424A9"/>
    <w:rsid w:val="00A42CCF"/>
    <w:rsid w:val="00A43BA4"/>
    <w:rsid w:val="00A43F5A"/>
    <w:rsid w:val="00A55B2F"/>
    <w:rsid w:val="00A56C47"/>
    <w:rsid w:val="00A60F5A"/>
    <w:rsid w:val="00A61579"/>
    <w:rsid w:val="00A63900"/>
    <w:rsid w:val="00A64050"/>
    <w:rsid w:val="00A75414"/>
    <w:rsid w:val="00A8014E"/>
    <w:rsid w:val="00A82122"/>
    <w:rsid w:val="00A832D1"/>
    <w:rsid w:val="00A903C9"/>
    <w:rsid w:val="00A90429"/>
    <w:rsid w:val="00A92AF7"/>
    <w:rsid w:val="00A93D26"/>
    <w:rsid w:val="00A9750D"/>
    <w:rsid w:val="00AA01FD"/>
    <w:rsid w:val="00AA0E92"/>
    <w:rsid w:val="00AA3EE0"/>
    <w:rsid w:val="00AA5552"/>
    <w:rsid w:val="00AB218A"/>
    <w:rsid w:val="00AB34F2"/>
    <w:rsid w:val="00AB39EE"/>
    <w:rsid w:val="00AC36B4"/>
    <w:rsid w:val="00AD14AC"/>
    <w:rsid w:val="00AD406C"/>
    <w:rsid w:val="00AD5E68"/>
    <w:rsid w:val="00AD73B9"/>
    <w:rsid w:val="00AE4E40"/>
    <w:rsid w:val="00AE6671"/>
    <w:rsid w:val="00AE71B6"/>
    <w:rsid w:val="00AF07F7"/>
    <w:rsid w:val="00AF1058"/>
    <w:rsid w:val="00AF1077"/>
    <w:rsid w:val="00AF1906"/>
    <w:rsid w:val="00AF1D01"/>
    <w:rsid w:val="00AF3529"/>
    <w:rsid w:val="00AF58B8"/>
    <w:rsid w:val="00AF5BE0"/>
    <w:rsid w:val="00AF68B5"/>
    <w:rsid w:val="00B0039E"/>
    <w:rsid w:val="00B01FE7"/>
    <w:rsid w:val="00B0370F"/>
    <w:rsid w:val="00B039EC"/>
    <w:rsid w:val="00B04B7B"/>
    <w:rsid w:val="00B07883"/>
    <w:rsid w:val="00B07A0A"/>
    <w:rsid w:val="00B1032A"/>
    <w:rsid w:val="00B14822"/>
    <w:rsid w:val="00B15DB3"/>
    <w:rsid w:val="00B2348A"/>
    <w:rsid w:val="00B30237"/>
    <w:rsid w:val="00B32E8A"/>
    <w:rsid w:val="00B37034"/>
    <w:rsid w:val="00B43A1E"/>
    <w:rsid w:val="00B4418F"/>
    <w:rsid w:val="00B52458"/>
    <w:rsid w:val="00B53EFD"/>
    <w:rsid w:val="00B57EC7"/>
    <w:rsid w:val="00B62A3C"/>
    <w:rsid w:val="00B67628"/>
    <w:rsid w:val="00B678C6"/>
    <w:rsid w:val="00B70C29"/>
    <w:rsid w:val="00B731E1"/>
    <w:rsid w:val="00B73B4E"/>
    <w:rsid w:val="00B772F2"/>
    <w:rsid w:val="00B806E4"/>
    <w:rsid w:val="00B80ACA"/>
    <w:rsid w:val="00BA0416"/>
    <w:rsid w:val="00BA2B7B"/>
    <w:rsid w:val="00BA30F3"/>
    <w:rsid w:val="00BA322A"/>
    <w:rsid w:val="00BA4FF9"/>
    <w:rsid w:val="00BB6652"/>
    <w:rsid w:val="00BC14FF"/>
    <w:rsid w:val="00BC25BB"/>
    <w:rsid w:val="00BC2648"/>
    <w:rsid w:val="00BD0DDC"/>
    <w:rsid w:val="00BD1E72"/>
    <w:rsid w:val="00BD3E6F"/>
    <w:rsid w:val="00BD46D1"/>
    <w:rsid w:val="00BD5324"/>
    <w:rsid w:val="00BE1B65"/>
    <w:rsid w:val="00BE1FEB"/>
    <w:rsid w:val="00BE76AB"/>
    <w:rsid w:val="00BF02BB"/>
    <w:rsid w:val="00BF1D08"/>
    <w:rsid w:val="00BF4332"/>
    <w:rsid w:val="00C0239F"/>
    <w:rsid w:val="00C0630E"/>
    <w:rsid w:val="00C13C57"/>
    <w:rsid w:val="00C20CEF"/>
    <w:rsid w:val="00C20DCF"/>
    <w:rsid w:val="00C24770"/>
    <w:rsid w:val="00C27CC2"/>
    <w:rsid w:val="00C302AD"/>
    <w:rsid w:val="00C34620"/>
    <w:rsid w:val="00C35F51"/>
    <w:rsid w:val="00C371E1"/>
    <w:rsid w:val="00C42C58"/>
    <w:rsid w:val="00C5702C"/>
    <w:rsid w:val="00C57E74"/>
    <w:rsid w:val="00C60AFD"/>
    <w:rsid w:val="00C60B26"/>
    <w:rsid w:val="00C628C7"/>
    <w:rsid w:val="00C6519F"/>
    <w:rsid w:val="00C67C6E"/>
    <w:rsid w:val="00C72BD3"/>
    <w:rsid w:val="00C74855"/>
    <w:rsid w:val="00C84F6F"/>
    <w:rsid w:val="00C956F5"/>
    <w:rsid w:val="00C97E35"/>
    <w:rsid w:val="00CA01C7"/>
    <w:rsid w:val="00CA047E"/>
    <w:rsid w:val="00CA5E56"/>
    <w:rsid w:val="00CA7C1A"/>
    <w:rsid w:val="00CA7E4D"/>
    <w:rsid w:val="00CB009B"/>
    <w:rsid w:val="00CB0AEC"/>
    <w:rsid w:val="00CB7936"/>
    <w:rsid w:val="00CC7DF2"/>
    <w:rsid w:val="00CD2D98"/>
    <w:rsid w:val="00CD3A85"/>
    <w:rsid w:val="00CD729E"/>
    <w:rsid w:val="00CE0FF5"/>
    <w:rsid w:val="00CE15AD"/>
    <w:rsid w:val="00CE15B5"/>
    <w:rsid w:val="00CE2645"/>
    <w:rsid w:val="00CE3F24"/>
    <w:rsid w:val="00CE4844"/>
    <w:rsid w:val="00CE4A51"/>
    <w:rsid w:val="00CF3001"/>
    <w:rsid w:val="00CF737C"/>
    <w:rsid w:val="00D0407B"/>
    <w:rsid w:val="00D05007"/>
    <w:rsid w:val="00D05982"/>
    <w:rsid w:val="00D06B0C"/>
    <w:rsid w:val="00D1264B"/>
    <w:rsid w:val="00D13A9F"/>
    <w:rsid w:val="00D15D46"/>
    <w:rsid w:val="00D162AD"/>
    <w:rsid w:val="00D17CEF"/>
    <w:rsid w:val="00D2056C"/>
    <w:rsid w:val="00D21CFE"/>
    <w:rsid w:val="00D22FC4"/>
    <w:rsid w:val="00D333D0"/>
    <w:rsid w:val="00D338DE"/>
    <w:rsid w:val="00D352B5"/>
    <w:rsid w:val="00D36CF6"/>
    <w:rsid w:val="00D453C4"/>
    <w:rsid w:val="00D50674"/>
    <w:rsid w:val="00D50A59"/>
    <w:rsid w:val="00D53CAC"/>
    <w:rsid w:val="00D5506F"/>
    <w:rsid w:val="00D57369"/>
    <w:rsid w:val="00D655F2"/>
    <w:rsid w:val="00D675EA"/>
    <w:rsid w:val="00D74E36"/>
    <w:rsid w:val="00D806A4"/>
    <w:rsid w:val="00D84C22"/>
    <w:rsid w:val="00D93D72"/>
    <w:rsid w:val="00D96314"/>
    <w:rsid w:val="00D97369"/>
    <w:rsid w:val="00D9754E"/>
    <w:rsid w:val="00DA25AA"/>
    <w:rsid w:val="00DA54AE"/>
    <w:rsid w:val="00DA7284"/>
    <w:rsid w:val="00DB0234"/>
    <w:rsid w:val="00DB14FF"/>
    <w:rsid w:val="00DB1B7E"/>
    <w:rsid w:val="00DC184D"/>
    <w:rsid w:val="00DC2F7F"/>
    <w:rsid w:val="00DC6ECD"/>
    <w:rsid w:val="00DD0D01"/>
    <w:rsid w:val="00DD594F"/>
    <w:rsid w:val="00DD5E67"/>
    <w:rsid w:val="00DD710C"/>
    <w:rsid w:val="00DE196E"/>
    <w:rsid w:val="00DF054C"/>
    <w:rsid w:val="00DF1C1A"/>
    <w:rsid w:val="00DF373D"/>
    <w:rsid w:val="00DF40F3"/>
    <w:rsid w:val="00DF65BB"/>
    <w:rsid w:val="00DF69B2"/>
    <w:rsid w:val="00E02273"/>
    <w:rsid w:val="00E0681E"/>
    <w:rsid w:val="00E074DB"/>
    <w:rsid w:val="00E11526"/>
    <w:rsid w:val="00E146BC"/>
    <w:rsid w:val="00E169F0"/>
    <w:rsid w:val="00E33A24"/>
    <w:rsid w:val="00E34A5A"/>
    <w:rsid w:val="00E35CF1"/>
    <w:rsid w:val="00E371E4"/>
    <w:rsid w:val="00E37750"/>
    <w:rsid w:val="00E42343"/>
    <w:rsid w:val="00E42981"/>
    <w:rsid w:val="00E508B7"/>
    <w:rsid w:val="00E55D18"/>
    <w:rsid w:val="00E55EB3"/>
    <w:rsid w:val="00E64F76"/>
    <w:rsid w:val="00E651CF"/>
    <w:rsid w:val="00E65BBA"/>
    <w:rsid w:val="00E664D0"/>
    <w:rsid w:val="00E667A5"/>
    <w:rsid w:val="00E67202"/>
    <w:rsid w:val="00E67648"/>
    <w:rsid w:val="00E67672"/>
    <w:rsid w:val="00E71B60"/>
    <w:rsid w:val="00E75EFB"/>
    <w:rsid w:val="00E80120"/>
    <w:rsid w:val="00E86366"/>
    <w:rsid w:val="00E94E54"/>
    <w:rsid w:val="00EA08F6"/>
    <w:rsid w:val="00EA3124"/>
    <w:rsid w:val="00EA646D"/>
    <w:rsid w:val="00EB0EA1"/>
    <w:rsid w:val="00EB0EDE"/>
    <w:rsid w:val="00EB10EC"/>
    <w:rsid w:val="00ED0662"/>
    <w:rsid w:val="00ED2C1F"/>
    <w:rsid w:val="00ED64B0"/>
    <w:rsid w:val="00ED6DF4"/>
    <w:rsid w:val="00ED7357"/>
    <w:rsid w:val="00EE04FA"/>
    <w:rsid w:val="00EE0FBF"/>
    <w:rsid w:val="00EE7ACE"/>
    <w:rsid w:val="00EF4CFC"/>
    <w:rsid w:val="00F0290D"/>
    <w:rsid w:val="00F0509F"/>
    <w:rsid w:val="00F05E85"/>
    <w:rsid w:val="00F126AB"/>
    <w:rsid w:val="00F20335"/>
    <w:rsid w:val="00F33267"/>
    <w:rsid w:val="00F33E36"/>
    <w:rsid w:val="00F36D94"/>
    <w:rsid w:val="00F3702F"/>
    <w:rsid w:val="00F41F3D"/>
    <w:rsid w:val="00F44851"/>
    <w:rsid w:val="00F45918"/>
    <w:rsid w:val="00F45F31"/>
    <w:rsid w:val="00F50591"/>
    <w:rsid w:val="00F537A9"/>
    <w:rsid w:val="00F55F38"/>
    <w:rsid w:val="00F566BC"/>
    <w:rsid w:val="00F5723C"/>
    <w:rsid w:val="00F663E9"/>
    <w:rsid w:val="00F67020"/>
    <w:rsid w:val="00F746F0"/>
    <w:rsid w:val="00F825DE"/>
    <w:rsid w:val="00F84112"/>
    <w:rsid w:val="00F9040C"/>
    <w:rsid w:val="00F96514"/>
    <w:rsid w:val="00FA1D3C"/>
    <w:rsid w:val="00FA5D93"/>
    <w:rsid w:val="00FA61BB"/>
    <w:rsid w:val="00FA6C80"/>
    <w:rsid w:val="00FB0E04"/>
    <w:rsid w:val="00FB1BF8"/>
    <w:rsid w:val="00FB220C"/>
    <w:rsid w:val="00FB341C"/>
    <w:rsid w:val="00FC01D1"/>
    <w:rsid w:val="00FC3DDD"/>
    <w:rsid w:val="00FD131C"/>
    <w:rsid w:val="00FE150C"/>
    <w:rsid w:val="00FE3567"/>
    <w:rsid w:val="00FF3B44"/>
    <w:rsid w:val="00FF5F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7322D"/>
  <w15:chartTrackingRefBased/>
  <w15:docId w15:val="{4E08EC35-EA1C-4C14-B139-595F644D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06CC"/>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Spacing"/>
    <w:next w:val="Heading1"/>
    <w:link w:val="IntenseQuoteChar"/>
    <w:autoRedefine/>
    <w:uiPriority w:val="30"/>
    <w:qFormat/>
    <w:rsid w:val="00360531"/>
    <w:pPr>
      <w:shd w:val="clear" w:color="auto" w:fill="B3DDF2" w:themeFill="background2" w:themeFillShade="E6"/>
      <w:bidi/>
      <w:spacing w:before="120" w:after="120" w:line="276" w:lineRule="auto"/>
      <w:ind w:right="864"/>
    </w:pPr>
    <w:rPr>
      <w:rFonts w:ascii="David" w:hAnsi="David" w:cs="David"/>
      <w:b/>
      <w:bCs/>
      <w:color w:val="000000" w:themeColor="text1"/>
      <w:sz w:val="24"/>
      <w:szCs w:val="24"/>
    </w:rPr>
  </w:style>
  <w:style w:type="character" w:customStyle="1" w:styleId="IntenseQuoteChar">
    <w:name w:val="Intense Quote Char"/>
    <w:basedOn w:val="DefaultParagraphFont"/>
    <w:link w:val="IntenseQuote"/>
    <w:uiPriority w:val="30"/>
    <w:rsid w:val="00360531"/>
    <w:rPr>
      <w:rFonts w:ascii="David" w:hAnsi="David" w:cs="David"/>
      <w:b/>
      <w:bCs/>
      <w:color w:val="000000" w:themeColor="text1"/>
      <w:sz w:val="24"/>
      <w:szCs w:val="24"/>
      <w:shd w:val="clear" w:color="auto" w:fill="B3DDF2" w:themeFill="background2" w:themeFillShade="E6"/>
    </w:rPr>
  </w:style>
  <w:style w:type="character" w:styleId="IntenseEmphasis">
    <w:name w:val="Intense Emphasis"/>
    <w:basedOn w:val="DefaultParagraphFont"/>
    <w:uiPriority w:val="21"/>
    <w:qFormat/>
    <w:rsid w:val="00537712"/>
    <w:rPr>
      <w:i/>
      <w:iCs/>
      <w:color w:val="0F6FC6" w:themeColor="accent1"/>
    </w:rPr>
  </w:style>
  <w:style w:type="paragraph" w:styleId="ListParagraph">
    <w:name w:val="List Paragraph"/>
    <w:basedOn w:val="Normal"/>
    <w:uiPriority w:val="34"/>
    <w:qFormat/>
    <w:rsid w:val="00537712"/>
    <w:pPr>
      <w:ind w:left="720"/>
      <w:contextualSpacing/>
    </w:pPr>
  </w:style>
  <w:style w:type="character" w:styleId="IntenseReference">
    <w:name w:val="Intense Reference"/>
    <w:basedOn w:val="DefaultParagraphFont"/>
    <w:uiPriority w:val="32"/>
    <w:qFormat/>
    <w:rsid w:val="00D22FC4"/>
    <w:rPr>
      <w:b/>
      <w:bCs/>
      <w:smallCaps/>
      <w:color w:val="0F6FC6" w:themeColor="accent1"/>
      <w:spacing w:val="5"/>
    </w:rPr>
  </w:style>
  <w:style w:type="paragraph" w:styleId="Header">
    <w:name w:val="header"/>
    <w:basedOn w:val="Normal"/>
    <w:link w:val="HeaderChar"/>
    <w:uiPriority w:val="99"/>
    <w:unhideWhenUsed/>
    <w:rsid w:val="003F3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24"/>
  </w:style>
  <w:style w:type="paragraph" w:styleId="Footer">
    <w:name w:val="footer"/>
    <w:basedOn w:val="Normal"/>
    <w:link w:val="FooterChar"/>
    <w:uiPriority w:val="99"/>
    <w:unhideWhenUsed/>
    <w:rsid w:val="003F3C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24"/>
  </w:style>
  <w:style w:type="character" w:styleId="BookTitle">
    <w:name w:val="Book Title"/>
    <w:basedOn w:val="DefaultParagraphFont"/>
    <w:uiPriority w:val="33"/>
    <w:qFormat/>
    <w:rsid w:val="003A06CC"/>
    <w:rPr>
      <w:b/>
      <w:bCs/>
      <w:i/>
      <w:iCs/>
      <w:spacing w:val="5"/>
    </w:rPr>
  </w:style>
  <w:style w:type="paragraph" w:styleId="Title">
    <w:name w:val="Title"/>
    <w:basedOn w:val="Normal"/>
    <w:next w:val="Normal"/>
    <w:link w:val="TitleChar"/>
    <w:uiPriority w:val="10"/>
    <w:qFormat/>
    <w:rsid w:val="003A06CC"/>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3A06CC"/>
    <w:pPr>
      <w:spacing w:after="0" w:line="240" w:lineRule="auto"/>
    </w:pPr>
  </w:style>
  <w:style w:type="character" w:customStyle="1" w:styleId="Heading1Char">
    <w:name w:val="Heading 1 Char"/>
    <w:basedOn w:val="DefaultParagraphFont"/>
    <w:link w:val="Heading1"/>
    <w:uiPriority w:val="9"/>
    <w:rsid w:val="003A06CC"/>
    <w:rPr>
      <w:rFonts w:asciiTheme="majorHAnsi" w:eastAsiaTheme="majorEastAsia" w:hAnsiTheme="majorHAnsi" w:cstheme="majorBidi"/>
      <w:color w:val="0B5294" w:themeColor="accent1" w:themeShade="BF"/>
      <w:sz w:val="32"/>
      <w:szCs w:val="32"/>
    </w:rPr>
  </w:style>
  <w:style w:type="character" w:customStyle="1" w:styleId="TitleChar">
    <w:name w:val="Title Char"/>
    <w:basedOn w:val="DefaultParagraphFont"/>
    <w:link w:val="Title"/>
    <w:uiPriority w:val="10"/>
    <w:rsid w:val="003A06CC"/>
    <w:rPr>
      <w:rFonts w:asciiTheme="majorHAnsi" w:eastAsiaTheme="majorEastAsia" w:hAnsiTheme="majorHAnsi" w:cstheme="majorBidi"/>
      <w:spacing w:val="-10"/>
      <w:kern w:val="28"/>
      <w:sz w:val="56"/>
      <w:szCs w:val="56"/>
    </w:rPr>
  </w:style>
  <w:style w:type="character" w:styleId="SubtleReference">
    <w:name w:val="Subtle Reference"/>
    <w:aliases w:val="חקיקה"/>
    <w:basedOn w:val="DefaultParagraphFont"/>
    <w:uiPriority w:val="31"/>
    <w:qFormat/>
    <w:rsid w:val="00CB7936"/>
    <w:rPr>
      <w:rFonts w:ascii="David" w:hAnsi="David" w:cs="David"/>
      <w:b/>
      <w:bCs/>
      <w:caps w:val="0"/>
      <w:smallCaps/>
      <w:color w:val="00B050"/>
      <w:sz w:val="24"/>
    </w:rPr>
  </w:style>
  <w:style w:type="character" w:styleId="Strong">
    <w:name w:val="Strong"/>
    <w:aliases w:val="משפטנים"/>
    <w:basedOn w:val="DefaultParagraphFont"/>
    <w:uiPriority w:val="22"/>
    <w:qFormat/>
    <w:rsid w:val="00ED0662"/>
    <w:rPr>
      <w:rFonts w:ascii="David" w:hAnsi="David" w:cs="David"/>
      <w:b/>
      <w:bCs/>
      <w:i w:val="0"/>
      <w:iCs w:val="0"/>
      <w:color w:val="FFC000"/>
    </w:rPr>
  </w:style>
  <w:style w:type="paragraph" w:styleId="Quote">
    <w:name w:val="Quote"/>
    <w:aliases w:val="פסיקה"/>
    <w:basedOn w:val="Normal"/>
    <w:next w:val="Normal"/>
    <w:link w:val="QuoteChar"/>
    <w:uiPriority w:val="29"/>
    <w:qFormat/>
    <w:rsid w:val="00A43F5A"/>
    <w:pPr>
      <w:spacing w:before="200"/>
      <w:ind w:left="864" w:right="864"/>
      <w:jc w:val="center"/>
    </w:pPr>
    <w:rPr>
      <w:rFonts w:ascii="David" w:hAnsi="David" w:cs="David"/>
      <w:b/>
      <w:bCs/>
      <w:color w:val="7F84DF"/>
    </w:rPr>
  </w:style>
  <w:style w:type="character" w:customStyle="1" w:styleId="QuoteChar">
    <w:name w:val="Quote Char"/>
    <w:aliases w:val="פסיקה Char"/>
    <w:basedOn w:val="DefaultParagraphFont"/>
    <w:link w:val="Quote"/>
    <w:uiPriority w:val="29"/>
    <w:rsid w:val="00A43F5A"/>
    <w:rPr>
      <w:rFonts w:ascii="David" w:hAnsi="David" w:cs="David"/>
      <w:b/>
      <w:bCs/>
      <w:color w:val="7F84DF"/>
    </w:rPr>
  </w:style>
  <w:style w:type="table" w:styleId="TableGrid">
    <w:name w:val="Table Grid"/>
    <w:basedOn w:val="TableNormal"/>
    <w:uiPriority w:val="59"/>
    <w:rsid w:val="005B0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6053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053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F0509F"/>
    <w:rPr>
      <w:sz w:val="16"/>
      <w:szCs w:val="16"/>
    </w:rPr>
  </w:style>
  <w:style w:type="paragraph" w:styleId="CommentText">
    <w:name w:val="annotation text"/>
    <w:basedOn w:val="Normal"/>
    <w:link w:val="CommentTextChar"/>
    <w:uiPriority w:val="99"/>
    <w:semiHidden/>
    <w:unhideWhenUsed/>
    <w:rsid w:val="00F0509F"/>
    <w:pPr>
      <w:spacing w:line="240" w:lineRule="auto"/>
    </w:pPr>
    <w:rPr>
      <w:sz w:val="20"/>
      <w:szCs w:val="20"/>
    </w:rPr>
  </w:style>
  <w:style w:type="character" w:customStyle="1" w:styleId="CommentTextChar">
    <w:name w:val="Comment Text Char"/>
    <w:basedOn w:val="DefaultParagraphFont"/>
    <w:link w:val="CommentText"/>
    <w:uiPriority w:val="99"/>
    <w:semiHidden/>
    <w:rsid w:val="00F0509F"/>
    <w:rPr>
      <w:sz w:val="20"/>
      <w:szCs w:val="20"/>
    </w:rPr>
  </w:style>
  <w:style w:type="paragraph" w:styleId="CommentSubject">
    <w:name w:val="annotation subject"/>
    <w:basedOn w:val="CommentText"/>
    <w:next w:val="CommentText"/>
    <w:link w:val="CommentSubjectChar"/>
    <w:uiPriority w:val="99"/>
    <w:semiHidden/>
    <w:unhideWhenUsed/>
    <w:rsid w:val="00F0509F"/>
    <w:rPr>
      <w:b/>
      <w:bCs/>
    </w:rPr>
  </w:style>
  <w:style w:type="character" w:customStyle="1" w:styleId="CommentSubjectChar">
    <w:name w:val="Comment Subject Char"/>
    <w:basedOn w:val="CommentTextChar"/>
    <w:link w:val="CommentSubject"/>
    <w:uiPriority w:val="99"/>
    <w:semiHidden/>
    <w:rsid w:val="00F050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04">
      <w:bodyDiv w:val="1"/>
      <w:marLeft w:val="0"/>
      <w:marRight w:val="0"/>
      <w:marTop w:val="0"/>
      <w:marBottom w:val="0"/>
      <w:divBdr>
        <w:top w:val="none" w:sz="0" w:space="0" w:color="auto"/>
        <w:left w:val="none" w:sz="0" w:space="0" w:color="auto"/>
        <w:bottom w:val="none" w:sz="0" w:space="0" w:color="auto"/>
        <w:right w:val="none" w:sz="0" w:space="0" w:color="auto"/>
      </w:divBdr>
      <w:divsChild>
        <w:div w:id="257258414">
          <w:marLeft w:val="547"/>
          <w:marRight w:val="0"/>
          <w:marTop w:val="0"/>
          <w:marBottom w:val="0"/>
          <w:divBdr>
            <w:top w:val="none" w:sz="0" w:space="0" w:color="auto"/>
            <w:left w:val="none" w:sz="0" w:space="0" w:color="auto"/>
            <w:bottom w:val="none" w:sz="0" w:space="0" w:color="auto"/>
            <w:right w:val="none" w:sz="0" w:space="0" w:color="auto"/>
          </w:divBdr>
        </w:div>
        <w:div w:id="1568151253">
          <w:marLeft w:val="547"/>
          <w:marRight w:val="0"/>
          <w:marTop w:val="0"/>
          <w:marBottom w:val="0"/>
          <w:divBdr>
            <w:top w:val="none" w:sz="0" w:space="0" w:color="auto"/>
            <w:left w:val="none" w:sz="0" w:space="0" w:color="auto"/>
            <w:bottom w:val="none" w:sz="0" w:space="0" w:color="auto"/>
            <w:right w:val="none" w:sz="0" w:space="0" w:color="auto"/>
          </w:divBdr>
        </w:div>
      </w:divsChild>
    </w:div>
    <w:div w:id="14622092">
      <w:bodyDiv w:val="1"/>
      <w:marLeft w:val="0"/>
      <w:marRight w:val="0"/>
      <w:marTop w:val="0"/>
      <w:marBottom w:val="0"/>
      <w:divBdr>
        <w:top w:val="none" w:sz="0" w:space="0" w:color="auto"/>
        <w:left w:val="none" w:sz="0" w:space="0" w:color="auto"/>
        <w:bottom w:val="none" w:sz="0" w:space="0" w:color="auto"/>
        <w:right w:val="none" w:sz="0" w:space="0" w:color="auto"/>
      </w:divBdr>
    </w:div>
    <w:div w:id="86659902">
      <w:bodyDiv w:val="1"/>
      <w:marLeft w:val="0"/>
      <w:marRight w:val="0"/>
      <w:marTop w:val="0"/>
      <w:marBottom w:val="0"/>
      <w:divBdr>
        <w:top w:val="none" w:sz="0" w:space="0" w:color="auto"/>
        <w:left w:val="none" w:sz="0" w:space="0" w:color="auto"/>
        <w:bottom w:val="none" w:sz="0" w:space="0" w:color="auto"/>
        <w:right w:val="none" w:sz="0" w:space="0" w:color="auto"/>
      </w:divBdr>
    </w:div>
    <w:div w:id="187842524">
      <w:bodyDiv w:val="1"/>
      <w:marLeft w:val="0"/>
      <w:marRight w:val="0"/>
      <w:marTop w:val="0"/>
      <w:marBottom w:val="0"/>
      <w:divBdr>
        <w:top w:val="none" w:sz="0" w:space="0" w:color="auto"/>
        <w:left w:val="none" w:sz="0" w:space="0" w:color="auto"/>
        <w:bottom w:val="none" w:sz="0" w:space="0" w:color="auto"/>
        <w:right w:val="none" w:sz="0" w:space="0" w:color="auto"/>
      </w:divBdr>
      <w:divsChild>
        <w:div w:id="1645306220">
          <w:marLeft w:val="547"/>
          <w:marRight w:val="0"/>
          <w:marTop w:val="0"/>
          <w:marBottom w:val="0"/>
          <w:divBdr>
            <w:top w:val="none" w:sz="0" w:space="0" w:color="auto"/>
            <w:left w:val="none" w:sz="0" w:space="0" w:color="auto"/>
            <w:bottom w:val="none" w:sz="0" w:space="0" w:color="auto"/>
            <w:right w:val="none" w:sz="0" w:space="0" w:color="auto"/>
          </w:divBdr>
        </w:div>
      </w:divsChild>
    </w:div>
    <w:div w:id="516120572">
      <w:bodyDiv w:val="1"/>
      <w:marLeft w:val="0"/>
      <w:marRight w:val="0"/>
      <w:marTop w:val="0"/>
      <w:marBottom w:val="0"/>
      <w:divBdr>
        <w:top w:val="none" w:sz="0" w:space="0" w:color="auto"/>
        <w:left w:val="none" w:sz="0" w:space="0" w:color="auto"/>
        <w:bottom w:val="none" w:sz="0" w:space="0" w:color="auto"/>
        <w:right w:val="none" w:sz="0" w:space="0" w:color="auto"/>
      </w:divBdr>
      <w:divsChild>
        <w:div w:id="1649430748">
          <w:marLeft w:val="547"/>
          <w:marRight w:val="0"/>
          <w:marTop w:val="0"/>
          <w:marBottom w:val="0"/>
          <w:divBdr>
            <w:top w:val="none" w:sz="0" w:space="0" w:color="auto"/>
            <w:left w:val="none" w:sz="0" w:space="0" w:color="auto"/>
            <w:bottom w:val="none" w:sz="0" w:space="0" w:color="auto"/>
            <w:right w:val="none" w:sz="0" w:space="0" w:color="auto"/>
          </w:divBdr>
        </w:div>
      </w:divsChild>
    </w:div>
    <w:div w:id="526868037">
      <w:bodyDiv w:val="1"/>
      <w:marLeft w:val="0"/>
      <w:marRight w:val="0"/>
      <w:marTop w:val="0"/>
      <w:marBottom w:val="0"/>
      <w:divBdr>
        <w:top w:val="none" w:sz="0" w:space="0" w:color="auto"/>
        <w:left w:val="none" w:sz="0" w:space="0" w:color="auto"/>
        <w:bottom w:val="none" w:sz="0" w:space="0" w:color="auto"/>
        <w:right w:val="none" w:sz="0" w:space="0" w:color="auto"/>
      </w:divBdr>
      <w:divsChild>
        <w:div w:id="41097439">
          <w:marLeft w:val="547"/>
          <w:marRight w:val="0"/>
          <w:marTop w:val="0"/>
          <w:marBottom w:val="0"/>
          <w:divBdr>
            <w:top w:val="none" w:sz="0" w:space="0" w:color="auto"/>
            <w:left w:val="none" w:sz="0" w:space="0" w:color="auto"/>
            <w:bottom w:val="none" w:sz="0" w:space="0" w:color="auto"/>
            <w:right w:val="none" w:sz="0" w:space="0" w:color="auto"/>
          </w:divBdr>
        </w:div>
        <w:div w:id="282806551">
          <w:marLeft w:val="547"/>
          <w:marRight w:val="0"/>
          <w:marTop w:val="0"/>
          <w:marBottom w:val="0"/>
          <w:divBdr>
            <w:top w:val="none" w:sz="0" w:space="0" w:color="auto"/>
            <w:left w:val="none" w:sz="0" w:space="0" w:color="auto"/>
            <w:bottom w:val="none" w:sz="0" w:space="0" w:color="auto"/>
            <w:right w:val="none" w:sz="0" w:space="0" w:color="auto"/>
          </w:divBdr>
        </w:div>
      </w:divsChild>
    </w:div>
    <w:div w:id="812914997">
      <w:bodyDiv w:val="1"/>
      <w:marLeft w:val="0"/>
      <w:marRight w:val="0"/>
      <w:marTop w:val="0"/>
      <w:marBottom w:val="0"/>
      <w:divBdr>
        <w:top w:val="none" w:sz="0" w:space="0" w:color="auto"/>
        <w:left w:val="none" w:sz="0" w:space="0" w:color="auto"/>
        <w:bottom w:val="none" w:sz="0" w:space="0" w:color="auto"/>
        <w:right w:val="none" w:sz="0" w:space="0" w:color="auto"/>
      </w:divBdr>
      <w:divsChild>
        <w:div w:id="1963225421">
          <w:marLeft w:val="547"/>
          <w:marRight w:val="0"/>
          <w:marTop w:val="0"/>
          <w:marBottom w:val="0"/>
          <w:divBdr>
            <w:top w:val="none" w:sz="0" w:space="0" w:color="auto"/>
            <w:left w:val="none" w:sz="0" w:space="0" w:color="auto"/>
            <w:bottom w:val="none" w:sz="0" w:space="0" w:color="auto"/>
            <w:right w:val="none" w:sz="0" w:space="0" w:color="auto"/>
          </w:divBdr>
        </w:div>
      </w:divsChild>
    </w:div>
    <w:div w:id="855538553">
      <w:bodyDiv w:val="1"/>
      <w:marLeft w:val="0"/>
      <w:marRight w:val="0"/>
      <w:marTop w:val="0"/>
      <w:marBottom w:val="0"/>
      <w:divBdr>
        <w:top w:val="none" w:sz="0" w:space="0" w:color="auto"/>
        <w:left w:val="none" w:sz="0" w:space="0" w:color="auto"/>
        <w:bottom w:val="none" w:sz="0" w:space="0" w:color="auto"/>
        <w:right w:val="none" w:sz="0" w:space="0" w:color="auto"/>
      </w:divBdr>
    </w:div>
    <w:div w:id="1242761906">
      <w:bodyDiv w:val="1"/>
      <w:marLeft w:val="0"/>
      <w:marRight w:val="0"/>
      <w:marTop w:val="0"/>
      <w:marBottom w:val="0"/>
      <w:divBdr>
        <w:top w:val="none" w:sz="0" w:space="0" w:color="auto"/>
        <w:left w:val="none" w:sz="0" w:space="0" w:color="auto"/>
        <w:bottom w:val="none" w:sz="0" w:space="0" w:color="auto"/>
        <w:right w:val="none" w:sz="0" w:space="0" w:color="auto"/>
      </w:divBdr>
      <w:divsChild>
        <w:div w:id="206458353">
          <w:marLeft w:val="547"/>
          <w:marRight w:val="0"/>
          <w:marTop w:val="0"/>
          <w:marBottom w:val="0"/>
          <w:divBdr>
            <w:top w:val="none" w:sz="0" w:space="0" w:color="auto"/>
            <w:left w:val="none" w:sz="0" w:space="0" w:color="auto"/>
            <w:bottom w:val="none" w:sz="0" w:space="0" w:color="auto"/>
            <w:right w:val="none" w:sz="0" w:space="0" w:color="auto"/>
          </w:divBdr>
        </w:div>
        <w:div w:id="1310212725">
          <w:marLeft w:val="547"/>
          <w:marRight w:val="0"/>
          <w:marTop w:val="0"/>
          <w:marBottom w:val="0"/>
          <w:divBdr>
            <w:top w:val="none" w:sz="0" w:space="0" w:color="auto"/>
            <w:left w:val="none" w:sz="0" w:space="0" w:color="auto"/>
            <w:bottom w:val="none" w:sz="0" w:space="0" w:color="auto"/>
            <w:right w:val="none" w:sz="0" w:space="0" w:color="auto"/>
          </w:divBdr>
        </w:div>
        <w:div w:id="1735153802">
          <w:marLeft w:val="547"/>
          <w:marRight w:val="0"/>
          <w:marTop w:val="0"/>
          <w:marBottom w:val="0"/>
          <w:divBdr>
            <w:top w:val="none" w:sz="0" w:space="0" w:color="auto"/>
            <w:left w:val="none" w:sz="0" w:space="0" w:color="auto"/>
            <w:bottom w:val="none" w:sz="0" w:space="0" w:color="auto"/>
            <w:right w:val="none" w:sz="0" w:space="0" w:color="auto"/>
          </w:divBdr>
        </w:div>
        <w:div w:id="154153209">
          <w:marLeft w:val="547"/>
          <w:marRight w:val="0"/>
          <w:marTop w:val="0"/>
          <w:marBottom w:val="0"/>
          <w:divBdr>
            <w:top w:val="none" w:sz="0" w:space="0" w:color="auto"/>
            <w:left w:val="none" w:sz="0" w:space="0" w:color="auto"/>
            <w:bottom w:val="none" w:sz="0" w:space="0" w:color="auto"/>
            <w:right w:val="none" w:sz="0" w:space="0" w:color="auto"/>
          </w:divBdr>
        </w:div>
      </w:divsChild>
    </w:div>
    <w:div w:id="1272980746">
      <w:bodyDiv w:val="1"/>
      <w:marLeft w:val="0"/>
      <w:marRight w:val="0"/>
      <w:marTop w:val="0"/>
      <w:marBottom w:val="0"/>
      <w:divBdr>
        <w:top w:val="none" w:sz="0" w:space="0" w:color="auto"/>
        <w:left w:val="none" w:sz="0" w:space="0" w:color="auto"/>
        <w:bottom w:val="none" w:sz="0" w:space="0" w:color="auto"/>
        <w:right w:val="none" w:sz="0" w:space="0" w:color="auto"/>
      </w:divBdr>
      <w:divsChild>
        <w:div w:id="782112688">
          <w:marLeft w:val="547"/>
          <w:marRight w:val="0"/>
          <w:marTop w:val="0"/>
          <w:marBottom w:val="0"/>
          <w:divBdr>
            <w:top w:val="none" w:sz="0" w:space="0" w:color="auto"/>
            <w:left w:val="none" w:sz="0" w:space="0" w:color="auto"/>
            <w:bottom w:val="none" w:sz="0" w:space="0" w:color="auto"/>
            <w:right w:val="none" w:sz="0" w:space="0" w:color="auto"/>
          </w:divBdr>
        </w:div>
      </w:divsChild>
    </w:div>
    <w:div w:id="1359308843">
      <w:bodyDiv w:val="1"/>
      <w:marLeft w:val="0"/>
      <w:marRight w:val="0"/>
      <w:marTop w:val="0"/>
      <w:marBottom w:val="0"/>
      <w:divBdr>
        <w:top w:val="none" w:sz="0" w:space="0" w:color="auto"/>
        <w:left w:val="none" w:sz="0" w:space="0" w:color="auto"/>
        <w:bottom w:val="none" w:sz="0" w:space="0" w:color="auto"/>
        <w:right w:val="none" w:sz="0" w:space="0" w:color="auto"/>
      </w:divBdr>
      <w:divsChild>
        <w:div w:id="1965960901">
          <w:marLeft w:val="547"/>
          <w:marRight w:val="0"/>
          <w:marTop w:val="0"/>
          <w:marBottom w:val="0"/>
          <w:divBdr>
            <w:top w:val="none" w:sz="0" w:space="0" w:color="auto"/>
            <w:left w:val="none" w:sz="0" w:space="0" w:color="auto"/>
            <w:bottom w:val="none" w:sz="0" w:space="0" w:color="auto"/>
            <w:right w:val="none" w:sz="0" w:space="0" w:color="auto"/>
          </w:divBdr>
        </w:div>
      </w:divsChild>
    </w:div>
    <w:div w:id="1978416013">
      <w:bodyDiv w:val="1"/>
      <w:marLeft w:val="0"/>
      <w:marRight w:val="0"/>
      <w:marTop w:val="0"/>
      <w:marBottom w:val="0"/>
      <w:divBdr>
        <w:top w:val="none" w:sz="0" w:space="0" w:color="auto"/>
        <w:left w:val="none" w:sz="0" w:space="0" w:color="auto"/>
        <w:bottom w:val="none" w:sz="0" w:space="0" w:color="auto"/>
        <w:right w:val="none" w:sz="0" w:space="0" w:color="auto"/>
      </w:divBdr>
      <w:divsChild>
        <w:div w:id="7340158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microsoft.com/office/2007/relationships/diagramDrawing" Target="diagrams/drawing6.xml"/><Relationship Id="rId21" Type="http://schemas.openxmlformats.org/officeDocument/2006/relationships/diagramColors" Target="diagrams/colors3.xml"/><Relationship Id="rId34" Type="http://schemas.openxmlformats.org/officeDocument/2006/relationships/image" Target="media/image3.png"/><Relationship Id="rId42" Type="http://schemas.openxmlformats.org/officeDocument/2006/relationships/diagramQuickStyle" Target="diagrams/quickStyle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diagramColors" Target="diagrams/colors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2.png"/><Relationship Id="rId36" Type="http://schemas.openxmlformats.org/officeDocument/2006/relationships/diagramLayout" Target="diagrams/layout6.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diagramData" Target="diagrams/data6.xml"/><Relationship Id="rId43" Type="http://schemas.openxmlformats.org/officeDocument/2006/relationships/diagramColors" Target="diagrams/colors7.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microsoft.com/office/2007/relationships/diagramDrawing" Target="diagrams/drawing5.xml"/><Relationship Id="rId38" Type="http://schemas.openxmlformats.org/officeDocument/2006/relationships/diagramColors" Target="diagrams/colors6.xml"/><Relationship Id="rId46" Type="http://schemas.openxmlformats.org/officeDocument/2006/relationships/fontTable" Target="fontTable.xml"/><Relationship Id="rId20" Type="http://schemas.openxmlformats.org/officeDocument/2006/relationships/diagramQuickStyle" Target="diagrams/quickStyle3.xml"/><Relationship Id="rId41" Type="http://schemas.openxmlformats.org/officeDocument/2006/relationships/diagramLayout" Target="diagrams/layout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790D5-B5F1-46A3-A841-73D4E103AD58}" type="doc">
      <dgm:prSet loTypeId="urn:microsoft.com/office/officeart/2005/8/layout/chevron1" loCatId="process" qsTypeId="urn:microsoft.com/office/officeart/2005/8/quickstyle/simple3" qsCatId="simple" csTypeId="urn:microsoft.com/office/officeart/2005/8/colors/accent2_3" csCatId="accent2" phldr="1"/>
      <dgm:spPr/>
      <dgm:t>
        <a:bodyPr/>
        <a:lstStyle/>
        <a:p>
          <a:endParaRPr lang="en-US"/>
        </a:p>
      </dgm:t>
    </dgm:pt>
    <dgm:pt modelId="{25282868-89AB-4747-AA3F-AA129F6DA8E5}">
      <dgm:prSet phldrT="[Text]" custT="1"/>
      <dgm:spPr/>
      <dgm:t>
        <a:bodyPr/>
        <a:lstStyle/>
        <a:p>
          <a:pPr algn="ctr"/>
          <a:r>
            <a:rPr lang="he-IL" sz="1200">
              <a:latin typeface="David" panose="020E0502060401010101" pitchFamily="34" charset="-79"/>
              <a:cs typeface="David" panose="020E0502060401010101" pitchFamily="34" charset="-79"/>
            </a:rPr>
            <a:t>פס"ד גליקסמן</a:t>
          </a:r>
        </a:p>
        <a:p>
          <a:pPr algn="ctr"/>
          <a:r>
            <a:rPr lang="he-IL" sz="1200">
              <a:latin typeface="David" panose="020E0502060401010101" pitchFamily="34" charset="-79"/>
              <a:cs typeface="David" panose="020E0502060401010101" pitchFamily="34" charset="-79"/>
            </a:rPr>
            <a:t>אין לוותר על הפיצויים מטעם ס' 77 שלא לצורך </a:t>
          </a:r>
          <a:endParaRPr lang="en-US" sz="1200">
            <a:latin typeface="David" panose="020E0502060401010101" pitchFamily="34" charset="-79"/>
            <a:cs typeface="David" panose="020E0502060401010101" pitchFamily="34" charset="-79"/>
          </a:endParaRPr>
        </a:p>
      </dgm:t>
    </dgm:pt>
    <dgm:pt modelId="{2C6AF003-0C5D-41FF-89E4-6B631DDD9099}" type="parTrans" cxnId="{0939ACAD-11C1-4BA8-94DB-2E9CFC3A6A9D}">
      <dgm:prSet/>
      <dgm:spPr/>
      <dgm:t>
        <a:bodyPr/>
        <a:lstStyle/>
        <a:p>
          <a:endParaRPr lang="en-US"/>
        </a:p>
      </dgm:t>
    </dgm:pt>
    <dgm:pt modelId="{A22FC1D2-01E0-4134-AB7E-3079CDF9700E}" type="sibTrans" cxnId="{0939ACAD-11C1-4BA8-94DB-2E9CFC3A6A9D}">
      <dgm:prSet/>
      <dgm:spPr/>
      <dgm:t>
        <a:bodyPr/>
        <a:lstStyle/>
        <a:p>
          <a:endParaRPr lang="en-US"/>
        </a:p>
      </dgm:t>
    </dgm:pt>
    <dgm:pt modelId="{E9DFF745-E7B5-4BC5-8352-71C885F3D4E9}">
      <dgm:prSet phldrT="[Text]" custT="1"/>
      <dgm:spPr/>
      <dgm:t>
        <a:bodyPr/>
        <a:lstStyle/>
        <a:p>
          <a:r>
            <a:rPr lang="he-IL" sz="900">
              <a:latin typeface="David" panose="020E0502060401010101" pitchFamily="34" charset="-79"/>
              <a:cs typeface="David" panose="020E0502060401010101" pitchFamily="34" charset="-79"/>
            </a:rPr>
            <a:t>פס"ד פלוני-</a:t>
          </a:r>
          <a:br>
            <a:rPr lang="en-US" sz="900">
              <a:latin typeface="David" panose="020E0502060401010101" pitchFamily="34" charset="-79"/>
              <a:cs typeface="David" panose="020E0502060401010101" pitchFamily="34" charset="-79"/>
            </a:rPr>
          </a:br>
          <a:r>
            <a:rPr lang="he-IL" sz="900">
              <a:latin typeface="David" panose="020E0502060401010101" pitchFamily="34" charset="-79"/>
              <a:cs typeface="David" panose="020E0502060401010101" pitchFamily="34" charset="-79"/>
            </a:rPr>
            <a:t>רוב- פיצויים שלא במסגרת ס' 77 אינם עונש, אלא סיוע לנפגעת.</a:t>
          </a:r>
        </a:p>
        <a:p>
          <a:r>
            <a:rPr lang="he-IL" sz="900">
              <a:latin typeface="David" panose="020E0502060401010101" pitchFamily="34" charset="-79"/>
              <a:cs typeface="David" panose="020E0502060401010101" pitchFamily="34" charset="-79"/>
            </a:rPr>
            <a:t>מיעוט - בגזירת עונש יש להביא לידי ביטוי את כל הפגיעות. העלאת הפיצויים לא מצדיקה את הפחתת המאסר </a:t>
          </a:r>
          <a:endParaRPr lang="en-US" sz="900"/>
        </a:p>
      </dgm:t>
    </dgm:pt>
    <dgm:pt modelId="{119729A2-3013-44C5-BFD3-4ED8C5B81542}" type="parTrans" cxnId="{EACCEB8B-7A03-4B8C-AF66-ABE9C8916598}">
      <dgm:prSet/>
      <dgm:spPr/>
      <dgm:t>
        <a:bodyPr/>
        <a:lstStyle/>
        <a:p>
          <a:endParaRPr lang="en-US"/>
        </a:p>
      </dgm:t>
    </dgm:pt>
    <dgm:pt modelId="{70B6375E-51F1-46B1-B54E-4D132F59A838}" type="sibTrans" cxnId="{EACCEB8B-7A03-4B8C-AF66-ABE9C8916598}">
      <dgm:prSet/>
      <dgm:spPr/>
      <dgm:t>
        <a:bodyPr/>
        <a:lstStyle/>
        <a:p>
          <a:endParaRPr lang="en-US"/>
        </a:p>
      </dgm:t>
    </dgm:pt>
    <dgm:pt modelId="{17D0D43E-645F-40A8-A366-36BC5D795C69}">
      <dgm:prSet phldrT="[Text]" custT="1"/>
      <dgm:spPr/>
      <dgm:t>
        <a:bodyPr/>
        <a:lstStyle/>
        <a:p>
          <a:r>
            <a:rPr lang="he-IL" sz="1050">
              <a:latin typeface="David" panose="020E0502060401010101" pitchFamily="34" charset="-79"/>
              <a:cs typeface="David" panose="020E0502060401010101" pitchFamily="34" charset="-79"/>
            </a:rPr>
            <a:t>אין חובה בהרשעה אקטיבית של ממש לצורך פסיקת פיצויים לפי ס' 77</a:t>
          </a:r>
          <a:endParaRPr lang="en-US" sz="1050"/>
        </a:p>
      </dgm:t>
    </dgm:pt>
    <dgm:pt modelId="{AF0A1FAE-2E7F-4EC2-9127-B79B2E4672D8}" type="parTrans" cxnId="{B515F0AD-81C5-4CE6-AFC3-4A586593E748}">
      <dgm:prSet/>
      <dgm:spPr/>
      <dgm:t>
        <a:bodyPr/>
        <a:lstStyle/>
        <a:p>
          <a:endParaRPr lang="en-US"/>
        </a:p>
      </dgm:t>
    </dgm:pt>
    <dgm:pt modelId="{A4B3F6C8-6A4E-4186-9806-EF337F6AD675}" type="sibTrans" cxnId="{B515F0AD-81C5-4CE6-AFC3-4A586593E748}">
      <dgm:prSet/>
      <dgm:spPr/>
      <dgm:t>
        <a:bodyPr/>
        <a:lstStyle/>
        <a:p>
          <a:endParaRPr lang="en-US"/>
        </a:p>
      </dgm:t>
    </dgm:pt>
    <dgm:pt modelId="{0904F3E3-9D3E-415E-861E-52F3F6A66150}" type="pres">
      <dgm:prSet presAssocID="{FC8790D5-B5F1-46A3-A841-73D4E103AD58}" presName="Name0" presStyleCnt="0">
        <dgm:presLayoutVars>
          <dgm:dir val="rev"/>
          <dgm:animLvl val="lvl"/>
          <dgm:resizeHandles val="exact"/>
        </dgm:presLayoutVars>
      </dgm:prSet>
      <dgm:spPr/>
    </dgm:pt>
    <dgm:pt modelId="{D1FD8CEA-A95C-4782-A941-893E39FA7161}" type="pres">
      <dgm:prSet presAssocID="{25282868-89AB-4747-AA3F-AA129F6DA8E5}" presName="parTxOnly" presStyleLbl="node1" presStyleIdx="0" presStyleCnt="3">
        <dgm:presLayoutVars>
          <dgm:chMax val="0"/>
          <dgm:chPref val="0"/>
          <dgm:bulletEnabled val="1"/>
        </dgm:presLayoutVars>
      </dgm:prSet>
      <dgm:spPr/>
    </dgm:pt>
    <dgm:pt modelId="{71461B19-19B3-4658-8A20-CF6E36B23163}" type="pres">
      <dgm:prSet presAssocID="{A22FC1D2-01E0-4134-AB7E-3079CDF9700E}" presName="parTxOnlySpace" presStyleCnt="0"/>
      <dgm:spPr/>
    </dgm:pt>
    <dgm:pt modelId="{BC787E7C-DE75-4EF8-9CFE-E65A5C500246}" type="pres">
      <dgm:prSet presAssocID="{E9DFF745-E7B5-4BC5-8352-71C885F3D4E9}" presName="parTxOnly" presStyleLbl="node1" presStyleIdx="1" presStyleCnt="3">
        <dgm:presLayoutVars>
          <dgm:chMax val="0"/>
          <dgm:chPref val="0"/>
          <dgm:bulletEnabled val="1"/>
        </dgm:presLayoutVars>
      </dgm:prSet>
      <dgm:spPr/>
    </dgm:pt>
    <dgm:pt modelId="{645DBE19-F1F6-43F0-8407-50164E676E50}" type="pres">
      <dgm:prSet presAssocID="{70B6375E-51F1-46B1-B54E-4D132F59A838}" presName="parTxOnlySpace" presStyleCnt="0"/>
      <dgm:spPr/>
    </dgm:pt>
    <dgm:pt modelId="{3DFDA3CF-CE1B-4FC5-ADC0-5CAA94322745}" type="pres">
      <dgm:prSet presAssocID="{17D0D43E-645F-40A8-A366-36BC5D795C69}" presName="parTxOnly" presStyleLbl="node1" presStyleIdx="2" presStyleCnt="3">
        <dgm:presLayoutVars>
          <dgm:chMax val="0"/>
          <dgm:chPref val="0"/>
          <dgm:bulletEnabled val="1"/>
        </dgm:presLayoutVars>
      </dgm:prSet>
      <dgm:spPr/>
    </dgm:pt>
  </dgm:ptLst>
  <dgm:cxnLst>
    <dgm:cxn modelId="{25213938-2F2D-498F-86B5-8CA659D8803C}" type="presOf" srcId="{FC8790D5-B5F1-46A3-A841-73D4E103AD58}" destId="{0904F3E3-9D3E-415E-861E-52F3F6A66150}" srcOrd="0" destOrd="0" presId="urn:microsoft.com/office/officeart/2005/8/layout/chevron1"/>
    <dgm:cxn modelId="{AED3303B-A0CE-45AB-AD55-10B1886AF03B}" type="presOf" srcId="{25282868-89AB-4747-AA3F-AA129F6DA8E5}" destId="{D1FD8CEA-A95C-4782-A941-893E39FA7161}" srcOrd="0" destOrd="0" presId="urn:microsoft.com/office/officeart/2005/8/layout/chevron1"/>
    <dgm:cxn modelId="{EACCEB8B-7A03-4B8C-AF66-ABE9C8916598}" srcId="{FC8790D5-B5F1-46A3-A841-73D4E103AD58}" destId="{E9DFF745-E7B5-4BC5-8352-71C885F3D4E9}" srcOrd="1" destOrd="0" parTransId="{119729A2-3013-44C5-BFD3-4ED8C5B81542}" sibTransId="{70B6375E-51F1-46B1-B54E-4D132F59A838}"/>
    <dgm:cxn modelId="{2E651F96-8043-462F-BD6C-3756F236AB67}" type="presOf" srcId="{17D0D43E-645F-40A8-A366-36BC5D795C69}" destId="{3DFDA3CF-CE1B-4FC5-ADC0-5CAA94322745}" srcOrd="0" destOrd="0" presId="urn:microsoft.com/office/officeart/2005/8/layout/chevron1"/>
    <dgm:cxn modelId="{E0704CA5-0588-4443-BB0D-129BA60DAC06}" type="presOf" srcId="{E9DFF745-E7B5-4BC5-8352-71C885F3D4E9}" destId="{BC787E7C-DE75-4EF8-9CFE-E65A5C500246}" srcOrd="0" destOrd="0" presId="urn:microsoft.com/office/officeart/2005/8/layout/chevron1"/>
    <dgm:cxn modelId="{0939ACAD-11C1-4BA8-94DB-2E9CFC3A6A9D}" srcId="{FC8790D5-B5F1-46A3-A841-73D4E103AD58}" destId="{25282868-89AB-4747-AA3F-AA129F6DA8E5}" srcOrd="0" destOrd="0" parTransId="{2C6AF003-0C5D-41FF-89E4-6B631DDD9099}" sibTransId="{A22FC1D2-01E0-4134-AB7E-3079CDF9700E}"/>
    <dgm:cxn modelId="{B515F0AD-81C5-4CE6-AFC3-4A586593E748}" srcId="{FC8790D5-B5F1-46A3-A841-73D4E103AD58}" destId="{17D0D43E-645F-40A8-A366-36BC5D795C69}" srcOrd="2" destOrd="0" parTransId="{AF0A1FAE-2E7F-4EC2-9127-B79B2E4672D8}" sibTransId="{A4B3F6C8-6A4E-4186-9806-EF337F6AD675}"/>
    <dgm:cxn modelId="{DBBC8869-0869-4178-9F31-C7C41E2BDBEC}" type="presParOf" srcId="{0904F3E3-9D3E-415E-861E-52F3F6A66150}" destId="{D1FD8CEA-A95C-4782-A941-893E39FA7161}" srcOrd="0" destOrd="0" presId="urn:microsoft.com/office/officeart/2005/8/layout/chevron1"/>
    <dgm:cxn modelId="{98B38010-52D7-4261-850B-F1F1A8CE2CDF}" type="presParOf" srcId="{0904F3E3-9D3E-415E-861E-52F3F6A66150}" destId="{71461B19-19B3-4658-8A20-CF6E36B23163}" srcOrd="1" destOrd="0" presId="urn:microsoft.com/office/officeart/2005/8/layout/chevron1"/>
    <dgm:cxn modelId="{EB965D36-8283-4216-A0A9-CA72446FD4E5}" type="presParOf" srcId="{0904F3E3-9D3E-415E-861E-52F3F6A66150}" destId="{BC787E7C-DE75-4EF8-9CFE-E65A5C500246}" srcOrd="2" destOrd="0" presId="urn:microsoft.com/office/officeart/2005/8/layout/chevron1"/>
    <dgm:cxn modelId="{DE458538-4239-4C42-9D17-05B12452A5AB}" type="presParOf" srcId="{0904F3E3-9D3E-415E-861E-52F3F6A66150}" destId="{645DBE19-F1F6-43F0-8407-50164E676E50}" srcOrd="3" destOrd="0" presId="urn:microsoft.com/office/officeart/2005/8/layout/chevron1"/>
    <dgm:cxn modelId="{2AE0882D-D17F-4C7E-AE55-388DD90E6378}" type="presParOf" srcId="{0904F3E3-9D3E-415E-861E-52F3F6A66150}" destId="{3DFDA3CF-CE1B-4FC5-ADC0-5CAA94322745}" srcOrd="4"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33EB85-7068-4F53-A53D-0D5700FC05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AECA1A6-8221-478A-B48C-D5A6BC988A63}">
      <dgm:prSet phldrT="[Text]">
        <dgm:style>
          <a:lnRef idx="2">
            <a:schemeClr val="accent6"/>
          </a:lnRef>
          <a:fillRef idx="1">
            <a:schemeClr val="lt1"/>
          </a:fillRef>
          <a:effectRef idx="0">
            <a:schemeClr val="accent6"/>
          </a:effectRef>
          <a:fontRef idx="minor">
            <a:schemeClr val="dk1"/>
          </a:fontRef>
        </dgm:style>
      </dgm:prSet>
      <dgm:spPr/>
      <dgm:t>
        <a:bodyPr/>
        <a:lstStyle/>
        <a:p>
          <a:pPr marL="91440" algn="r" rtl="1">
            <a:buFont typeface="+mj-lt"/>
            <a:buAutoNum type="arabicPeriod"/>
          </a:pPr>
          <a:r>
            <a:rPr lang="he-IL">
              <a:latin typeface="David" panose="020E0502060401010101" pitchFamily="34" charset="-79"/>
              <a:cs typeface="David" panose="020E0502060401010101" pitchFamily="34" charset="-79"/>
            </a:rPr>
            <a:t>1. תשלום קנס לאוצר המדינה (עד 14,400) + פיצוי לנפגע באותו סכום.</a:t>
          </a:r>
          <a:endParaRPr lang="en-US">
            <a:latin typeface="David" panose="020E0502060401010101" pitchFamily="34" charset="-79"/>
            <a:cs typeface="David" panose="020E0502060401010101" pitchFamily="34" charset="-79"/>
          </a:endParaRPr>
        </a:p>
        <a:p>
          <a:pPr marL="91440" algn="r" rtl="1">
            <a:buFont typeface="+mj-lt"/>
            <a:buAutoNum type="arabicPeriod"/>
          </a:pPr>
          <a:r>
            <a:rPr lang="he-IL">
              <a:latin typeface="David" panose="020E0502060401010101" pitchFamily="34" charset="-79"/>
              <a:cs typeface="David" panose="020E0502060401010101" pitchFamily="34" charset="-79"/>
            </a:rPr>
            <a:t>2. התחייבות להימנע מביצוע עבירה </a:t>
          </a:r>
          <a:endParaRPr lang="en-US">
            <a:latin typeface="David" panose="020E0502060401010101" pitchFamily="34" charset="-79"/>
            <a:cs typeface="David" panose="020E0502060401010101" pitchFamily="34" charset="-79"/>
          </a:endParaRPr>
        </a:p>
        <a:p>
          <a:pPr marL="91440" algn="r" rtl="1">
            <a:buFont typeface="+mj-lt"/>
            <a:buAutoNum type="arabicPeriod"/>
          </a:pPr>
          <a:r>
            <a:rPr lang="he-IL">
              <a:latin typeface="David" panose="020E0502060401010101" pitchFamily="34" charset="-79"/>
              <a:cs typeface="David" panose="020E0502060401010101" pitchFamily="34" charset="-79"/>
            </a:rPr>
            <a:t>3. הסכמה לתוכנית מבחן </a:t>
          </a:r>
          <a:endParaRPr lang="en-US">
            <a:latin typeface="David" panose="020E0502060401010101" pitchFamily="34" charset="-79"/>
            <a:cs typeface="David" panose="020E0502060401010101" pitchFamily="34" charset="-79"/>
          </a:endParaRPr>
        </a:p>
        <a:p>
          <a:pPr marL="91440" algn="r" rtl="1">
            <a:buFont typeface="+mj-lt"/>
            <a:buAutoNum type="arabicPeriod"/>
          </a:pPr>
          <a:r>
            <a:rPr lang="he-IL">
              <a:latin typeface="David" panose="020E0502060401010101" pitchFamily="34" charset="-79"/>
              <a:cs typeface="David" panose="020E0502060401010101" pitchFamily="34" charset="-79"/>
            </a:rPr>
            <a:t>4. הפקדת כלי נשק</a:t>
          </a:r>
          <a:endParaRPr lang="en-US">
            <a:latin typeface="David" panose="020E0502060401010101" pitchFamily="34" charset="-79"/>
            <a:cs typeface="David" panose="020E0502060401010101" pitchFamily="34" charset="-79"/>
          </a:endParaRPr>
        </a:p>
        <a:p>
          <a:pPr marL="91440" algn="r" rtl="1">
            <a:buFont typeface="+mj-lt"/>
            <a:buAutoNum type="arabicPeriod"/>
          </a:pPr>
          <a:r>
            <a:rPr lang="he-IL">
              <a:latin typeface="David" panose="020E0502060401010101" pitchFamily="34" charset="-79"/>
              <a:cs typeface="David" panose="020E0502060401010101" pitchFamily="34" charset="-79"/>
            </a:rPr>
            <a:t>5. הפקדת רישיון נהיגה </a:t>
          </a:r>
          <a:endParaRPr lang="en-US">
            <a:latin typeface="David" panose="020E0502060401010101" pitchFamily="34" charset="-79"/>
            <a:cs typeface="David" panose="020E0502060401010101" pitchFamily="34" charset="-79"/>
          </a:endParaRPr>
        </a:p>
        <a:p>
          <a:pPr marL="91440" algn="r" rtl="1">
            <a:buFont typeface="+mj-lt"/>
            <a:buAutoNum type="arabicPeriod"/>
          </a:pPr>
          <a:r>
            <a:rPr lang="he-IL">
              <a:latin typeface="David" panose="020E0502060401010101" pitchFamily="34" charset="-79"/>
              <a:cs typeface="David" panose="020E0502060401010101" pitchFamily="34" charset="-79"/>
            </a:rPr>
            <a:t>6. כתיבת מכתב התנצלות </a:t>
          </a:r>
          <a:endParaRPr lang="en-US">
            <a:latin typeface="David" panose="020E0502060401010101" pitchFamily="34" charset="-79"/>
            <a:cs typeface="David" panose="020E0502060401010101" pitchFamily="34" charset="-79"/>
          </a:endParaRPr>
        </a:p>
      </dgm:t>
    </dgm:pt>
    <dgm:pt modelId="{1497773E-8017-48EE-84B8-6F6585455BEE}" type="parTrans" cxnId="{2F9C10A3-9004-4B56-9489-06CE30A111E4}">
      <dgm:prSet/>
      <dgm:spPr/>
      <dgm:t>
        <a:bodyPr/>
        <a:lstStyle/>
        <a:p>
          <a:endParaRPr lang="en-US"/>
        </a:p>
      </dgm:t>
    </dgm:pt>
    <dgm:pt modelId="{A22D8388-DD18-45D9-B5ED-3B941B4E1B13}" type="sibTrans" cxnId="{2F9C10A3-9004-4B56-9489-06CE30A111E4}">
      <dgm:prSet/>
      <dgm:spPr/>
      <dgm:t>
        <a:bodyPr/>
        <a:lstStyle/>
        <a:p>
          <a:endParaRPr lang="en-US"/>
        </a:p>
      </dgm:t>
    </dgm:pt>
    <dgm:pt modelId="{C4090155-68AC-4478-A226-D832280AA6BB}">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he-IL" sz="1000">
              <a:latin typeface="David" panose="020E0502060401010101" pitchFamily="34" charset="-79"/>
              <a:cs typeface="David" panose="020E0502060401010101" pitchFamily="34" charset="-79"/>
            </a:rPr>
            <a:t>אם יפר את התנאים - יוגש כתב אישום</a:t>
          </a:r>
        </a:p>
        <a:p>
          <a:r>
            <a:rPr lang="he-IL" sz="1000">
              <a:latin typeface="David" panose="020E0502060401010101" pitchFamily="34" charset="-79"/>
              <a:cs typeface="David" panose="020E0502060401010101" pitchFamily="34" charset="-79"/>
            </a:rPr>
            <a:t>אם יזוכה יוחזרו לו התשלומים </a:t>
          </a:r>
          <a:endParaRPr lang="en-US" sz="1000">
            <a:latin typeface="David" panose="020E0502060401010101" pitchFamily="34" charset="-79"/>
            <a:cs typeface="David" panose="020E0502060401010101" pitchFamily="34" charset="-79"/>
          </a:endParaRPr>
        </a:p>
      </dgm:t>
    </dgm:pt>
    <dgm:pt modelId="{F8ECC247-3383-444D-A18B-B7F02045E0F4}" type="parTrans" cxnId="{3D53F7AB-551B-4179-8488-ECC75224E124}">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728B8802-001B-4055-8C1F-507A51A033DB}" type="sibTrans" cxnId="{3D53F7AB-551B-4179-8488-ECC75224E124}">
      <dgm:prSet/>
      <dgm:spPr/>
      <dgm:t>
        <a:bodyPr/>
        <a:lstStyle/>
        <a:p>
          <a:endParaRPr lang="en-US"/>
        </a:p>
      </dgm:t>
    </dgm:pt>
    <dgm:pt modelId="{49ED8BDF-7D00-4AB7-A579-1DB7F2CC2EE1}">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he-IL" sz="1000">
              <a:latin typeface="David" panose="020E0502060401010101" pitchFamily="34" charset="-79"/>
              <a:cs typeface="David" panose="020E0502060401010101" pitchFamily="34" charset="-79"/>
            </a:rPr>
            <a:t>אם יעמוד בתנאים - לא יוגש כתב אישום והתיק יסגר בעילת "סגירה בהסדר" = ללא הרשעה/ סטיגמה פלילית </a:t>
          </a:r>
        </a:p>
      </dgm:t>
    </dgm:pt>
    <dgm:pt modelId="{85DB1F76-E665-4527-BF7D-8A88938EE5C8}" type="parTrans" cxnId="{14E2FFEF-A1F8-420C-AA7B-2150A7BD602B}">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675D77C7-E3DC-4538-A3EA-ACA1E44BD4D9}" type="sibTrans" cxnId="{14E2FFEF-A1F8-420C-AA7B-2150A7BD602B}">
      <dgm:prSet/>
      <dgm:spPr/>
      <dgm:t>
        <a:bodyPr/>
        <a:lstStyle/>
        <a:p>
          <a:endParaRPr lang="en-US"/>
        </a:p>
      </dgm:t>
    </dgm:pt>
    <dgm:pt modelId="{97DB9C6B-FCC8-4C8F-B323-17B223451D31}" type="pres">
      <dgm:prSet presAssocID="{2333EB85-7068-4F53-A53D-0D5700FC05DF}" presName="hierChild1" presStyleCnt="0">
        <dgm:presLayoutVars>
          <dgm:orgChart val="1"/>
          <dgm:chPref val="1"/>
          <dgm:dir/>
          <dgm:animOne val="branch"/>
          <dgm:animLvl val="lvl"/>
          <dgm:resizeHandles/>
        </dgm:presLayoutVars>
      </dgm:prSet>
      <dgm:spPr/>
    </dgm:pt>
    <dgm:pt modelId="{7967E54F-447E-4611-82F4-199FD9AEBCF2}" type="pres">
      <dgm:prSet presAssocID="{BAECA1A6-8221-478A-B48C-D5A6BC988A63}" presName="hierRoot1" presStyleCnt="0">
        <dgm:presLayoutVars>
          <dgm:hierBranch val="init"/>
        </dgm:presLayoutVars>
      </dgm:prSet>
      <dgm:spPr/>
    </dgm:pt>
    <dgm:pt modelId="{3F4F3C28-0139-4FE6-A91F-DC0E2CE5FC7D}" type="pres">
      <dgm:prSet presAssocID="{BAECA1A6-8221-478A-B48C-D5A6BC988A63}" presName="rootComposite1" presStyleCnt="0"/>
      <dgm:spPr/>
    </dgm:pt>
    <dgm:pt modelId="{FB39C5B8-F7DB-4E39-A817-B2E33F5DF11E}" type="pres">
      <dgm:prSet presAssocID="{BAECA1A6-8221-478A-B48C-D5A6BC988A63}" presName="rootText1" presStyleLbl="node0" presStyleIdx="0" presStyleCnt="1" custScaleX="167148">
        <dgm:presLayoutVars>
          <dgm:chPref val="3"/>
        </dgm:presLayoutVars>
      </dgm:prSet>
      <dgm:spPr/>
    </dgm:pt>
    <dgm:pt modelId="{DA429C00-34CD-455E-8F7E-1A585D329AAF}" type="pres">
      <dgm:prSet presAssocID="{BAECA1A6-8221-478A-B48C-D5A6BC988A63}" presName="rootConnector1" presStyleLbl="node1" presStyleIdx="0" presStyleCnt="0"/>
      <dgm:spPr/>
    </dgm:pt>
    <dgm:pt modelId="{12712191-371D-47CC-90B9-7F390248944E}" type="pres">
      <dgm:prSet presAssocID="{BAECA1A6-8221-478A-B48C-D5A6BC988A63}" presName="hierChild2" presStyleCnt="0"/>
      <dgm:spPr/>
    </dgm:pt>
    <dgm:pt modelId="{2885395C-65AA-4540-B968-FD5343A3D196}" type="pres">
      <dgm:prSet presAssocID="{F8ECC247-3383-444D-A18B-B7F02045E0F4}" presName="Name37" presStyleLbl="parChTrans1D2" presStyleIdx="0" presStyleCnt="2"/>
      <dgm:spPr/>
    </dgm:pt>
    <dgm:pt modelId="{C6A51D96-5D5A-4BE7-9DF7-F1CE1DCA9B67}" type="pres">
      <dgm:prSet presAssocID="{C4090155-68AC-4478-A226-D832280AA6BB}" presName="hierRoot2" presStyleCnt="0">
        <dgm:presLayoutVars>
          <dgm:hierBranch val="init"/>
        </dgm:presLayoutVars>
      </dgm:prSet>
      <dgm:spPr/>
    </dgm:pt>
    <dgm:pt modelId="{EEECC755-A334-4F1E-AC00-EC9F110035A2}" type="pres">
      <dgm:prSet presAssocID="{C4090155-68AC-4478-A226-D832280AA6BB}" presName="rootComposite" presStyleCnt="0"/>
      <dgm:spPr/>
    </dgm:pt>
    <dgm:pt modelId="{C7878B6F-A70E-4BE1-8F53-BDBF2A1745CD}" type="pres">
      <dgm:prSet presAssocID="{C4090155-68AC-4478-A226-D832280AA6BB}" presName="rootText" presStyleLbl="node2" presStyleIdx="0" presStyleCnt="2">
        <dgm:presLayoutVars>
          <dgm:chPref val="3"/>
        </dgm:presLayoutVars>
      </dgm:prSet>
      <dgm:spPr/>
    </dgm:pt>
    <dgm:pt modelId="{916B07F0-0CC3-4028-A238-E2C0019F5509}" type="pres">
      <dgm:prSet presAssocID="{C4090155-68AC-4478-A226-D832280AA6BB}" presName="rootConnector" presStyleLbl="node2" presStyleIdx="0" presStyleCnt="2"/>
      <dgm:spPr/>
    </dgm:pt>
    <dgm:pt modelId="{CF93C1CB-DE40-4A48-BB1B-6C645E1D5572}" type="pres">
      <dgm:prSet presAssocID="{C4090155-68AC-4478-A226-D832280AA6BB}" presName="hierChild4" presStyleCnt="0"/>
      <dgm:spPr/>
    </dgm:pt>
    <dgm:pt modelId="{5D8C8F1F-FB0E-4008-A5F7-EECB88D456E3}" type="pres">
      <dgm:prSet presAssocID="{C4090155-68AC-4478-A226-D832280AA6BB}" presName="hierChild5" presStyleCnt="0"/>
      <dgm:spPr/>
    </dgm:pt>
    <dgm:pt modelId="{BCEA3AE6-43AC-4388-97C1-2DBEBE90F721}" type="pres">
      <dgm:prSet presAssocID="{85DB1F76-E665-4527-BF7D-8A88938EE5C8}" presName="Name37" presStyleLbl="parChTrans1D2" presStyleIdx="1" presStyleCnt="2"/>
      <dgm:spPr/>
    </dgm:pt>
    <dgm:pt modelId="{08AB2858-5F89-4D01-AB8E-330DC015BC54}" type="pres">
      <dgm:prSet presAssocID="{49ED8BDF-7D00-4AB7-A579-1DB7F2CC2EE1}" presName="hierRoot2" presStyleCnt="0">
        <dgm:presLayoutVars>
          <dgm:hierBranch val="init"/>
        </dgm:presLayoutVars>
      </dgm:prSet>
      <dgm:spPr/>
    </dgm:pt>
    <dgm:pt modelId="{440C1D84-AF46-4A59-83E2-3E7FF87FEC75}" type="pres">
      <dgm:prSet presAssocID="{49ED8BDF-7D00-4AB7-A579-1DB7F2CC2EE1}" presName="rootComposite" presStyleCnt="0"/>
      <dgm:spPr/>
    </dgm:pt>
    <dgm:pt modelId="{9C2D7088-934A-4E48-8D50-0DB514149B7A}" type="pres">
      <dgm:prSet presAssocID="{49ED8BDF-7D00-4AB7-A579-1DB7F2CC2EE1}" presName="rootText" presStyleLbl="node2" presStyleIdx="1" presStyleCnt="2">
        <dgm:presLayoutVars>
          <dgm:chPref val="3"/>
        </dgm:presLayoutVars>
      </dgm:prSet>
      <dgm:spPr/>
    </dgm:pt>
    <dgm:pt modelId="{5A745100-4EAA-40E0-A43C-7EC19E86471B}" type="pres">
      <dgm:prSet presAssocID="{49ED8BDF-7D00-4AB7-A579-1DB7F2CC2EE1}" presName="rootConnector" presStyleLbl="node2" presStyleIdx="1" presStyleCnt="2"/>
      <dgm:spPr/>
    </dgm:pt>
    <dgm:pt modelId="{E26BE8E8-5CA3-46EB-802B-B831C52B8F62}" type="pres">
      <dgm:prSet presAssocID="{49ED8BDF-7D00-4AB7-A579-1DB7F2CC2EE1}" presName="hierChild4" presStyleCnt="0"/>
      <dgm:spPr/>
    </dgm:pt>
    <dgm:pt modelId="{2505DC06-913E-47CC-9817-5015EB7077D2}" type="pres">
      <dgm:prSet presAssocID="{49ED8BDF-7D00-4AB7-A579-1DB7F2CC2EE1}" presName="hierChild5" presStyleCnt="0"/>
      <dgm:spPr/>
    </dgm:pt>
    <dgm:pt modelId="{26220729-80F6-4DD6-A40B-84B58ED90E7B}" type="pres">
      <dgm:prSet presAssocID="{BAECA1A6-8221-478A-B48C-D5A6BC988A63}" presName="hierChild3" presStyleCnt="0"/>
      <dgm:spPr/>
    </dgm:pt>
  </dgm:ptLst>
  <dgm:cxnLst>
    <dgm:cxn modelId="{048D1A0F-791A-4352-B3CB-F1E05F01E9C9}" type="presOf" srcId="{85DB1F76-E665-4527-BF7D-8A88938EE5C8}" destId="{BCEA3AE6-43AC-4388-97C1-2DBEBE90F721}" srcOrd="0" destOrd="0" presId="urn:microsoft.com/office/officeart/2005/8/layout/orgChart1"/>
    <dgm:cxn modelId="{4F08A535-80B8-472C-A666-E1C613B7BBA6}" type="presOf" srcId="{49ED8BDF-7D00-4AB7-A579-1DB7F2CC2EE1}" destId="{9C2D7088-934A-4E48-8D50-0DB514149B7A}" srcOrd="0" destOrd="0" presId="urn:microsoft.com/office/officeart/2005/8/layout/orgChart1"/>
    <dgm:cxn modelId="{8DFE9D52-8A28-4885-BDAB-80B4834F150B}" type="presOf" srcId="{F8ECC247-3383-444D-A18B-B7F02045E0F4}" destId="{2885395C-65AA-4540-B968-FD5343A3D196}" srcOrd="0" destOrd="0" presId="urn:microsoft.com/office/officeart/2005/8/layout/orgChart1"/>
    <dgm:cxn modelId="{DFA7F173-16B2-4821-9907-144D5C2C62E1}" type="presOf" srcId="{49ED8BDF-7D00-4AB7-A579-1DB7F2CC2EE1}" destId="{5A745100-4EAA-40E0-A43C-7EC19E86471B}" srcOrd="1" destOrd="0" presId="urn:microsoft.com/office/officeart/2005/8/layout/orgChart1"/>
    <dgm:cxn modelId="{2F9C10A3-9004-4B56-9489-06CE30A111E4}" srcId="{2333EB85-7068-4F53-A53D-0D5700FC05DF}" destId="{BAECA1A6-8221-478A-B48C-D5A6BC988A63}" srcOrd="0" destOrd="0" parTransId="{1497773E-8017-48EE-84B8-6F6585455BEE}" sibTransId="{A22D8388-DD18-45D9-B5ED-3B941B4E1B13}"/>
    <dgm:cxn modelId="{3D53F7AB-551B-4179-8488-ECC75224E124}" srcId="{BAECA1A6-8221-478A-B48C-D5A6BC988A63}" destId="{C4090155-68AC-4478-A226-D832280AA6BB}" srcOrd="0" destOrd="0" parTransId="{F8ECC247-3383-444D-A18B-B7F02045E0F4}" sibTransId="{728B8802-001B-4055-8C1F-507A51A033DB}"/>
    <dgm:cxn modelId="{2DBDE7C3-F107-42F7-A747-B7C3087D88B1}" type="presOf" srcId="{C4090155-68AC-4478-A226-D832280AA6BB}" destId="{916B07F0-0CC3-4028-A238-E2C0019F5509}" srcOrd="1" destOrd="0" presId="urn:microsoft.com/office/officeart/2005/8/layout/orgChart1"/>
    <dgm:cxn modelId="{95C523D6-C3CB-4516-AA12-D07112872B8C}" type="presOf" srcId="{BAECA1A6-8221-478A-B48C-D5A6BC988A63}" destId="{FB39C5B8-F7DB-4E39-A817-B2E33F5DF11E}" srcOrd="0" destOrd="0" presId="urn:microsoft.com/office/officeart/2005/8/layout/orgChart1"/>
    <dgm:cxn modelId="{4E6C18D8-1E1B-4DEE-85D3-A7EC338578F2}" type="presOf" srcId="{BAECA1A6-8221-478A-B48C-D5A6BC988A63}" destId="{DA429C00-34CD-455E-8F7E-1A585D329AAF}" srcOrd="1" destOrd="0" presId="urn:microsoft.com/office/officeart/2005/8/layout/orgChart1"/>
    <dgm:cxn modelId="{3B3C83EB-78BE-48A2-AF44-F7649D8BA6EE}" type="presOf" srcId="{C4090155-68AC-4478-A226-D832280AA6BB}" destId="{C7878B6F-A70E-4BE1-8F53-BDBF2A1745CD}" srcOrd="0" destOrd="0" presId="urn:microsoft.com/office/officeart/2005/8/layout/orgChart1"/>
    <dgm:cxn modelId="{14E2FFEF-A1F8-420C-AA7B-2150A7BD602B}" srcId="{BAECA1A6-8221-478A-B48C-D5A6BC988A63}" destId="{49ED8BDF-7D00-4AB7-A579-1DB7F2CC2EE1}" srcOrd="1" destOrd="0" parTransId="{85DB1F76-E665-4527-BF7D-8A88938EE5C8}" sibTransId="{675D77C7-E3DC-4538-A3EA-ACA1E44BD4D9}"/>
    <dgm:cxn modelId="{A2169BF7-EAF1-4376-8D1F-1EC3DD79CCEC}" type="presOf" srcId="{2333EB85-7068-4F53-A53D-0D5700FC05DF}" destId="{97DB9C6B-FCC8-4C8F-B323-17B223451D31}" srcOrd="0" destOrd="0" presId="urn:microsoft.com/office/officeart/2005/8/layout/orgChart1"/>
    <dgm:cxn modelId="{9F7980C7-8310-46DE-8495-52D8CD5CB235}" type="presParOf" srcId="{97DB9C6B-FCC8-4C8F-B323-17B223451D31}" destId="{7967E54F-447E-4611-82F4-199FD9AEBCF2}" srcOrd="0" destOrd="0" presId="urn:microsoft.com/office/officeart/2005/8/layout/orgChart1"/>
    <dgm:cxn modelId="{61C4B047-39E7-4F8B-A9E5-0CEE02DD4D92}" type="presParOf" srcId="{7967E54F-447E-4611-82F4-199FD9AEBCF2}" destId="{3F4F3C28-0139-4FE6-A91F-DC0E2CE5FC7D}" srcOrd="0" destOrd="0" presId="urn:microsoft.com/office/officeart/2005/8/layout/orgChart1"/>
    <dgm:cxn modelId="{75128C7C-F0AD-4BC6-82B4-7BDD3DF8E3D7}" type="presParOf" srcId="{3F4F3C28-0139-4FE6-A91F-DC0E2CE5FC7D}" destId="{FB39C5B8-F7DB-4E39-A817-B2E33F5DF11E}" srcOrd="0" destOrd="0" presId="urn:microsoft.com/office/officeart/2005/8/layout/orgChart1"/>
    <dgm:cxn modelId="{B5B936ED-1F01-4F9B-980B-6BA121DC2EE4}" type="presParOf" srcId="{3F4F3C28-0139-4FE6-A91F-DC0E2CE5FC7D}" destId="{DA429C00-34CD-455E-8F7E-1A585D329AAF}" srcOrd="1" destOrd="0" presId="urn:microsoft.com/office/officeart/2005/8/layout/orgChart1"/>
    <dgm:cxn modelId="{1481D8CB-93D5-4ECB-BF2C-27B89869A359}" type="presParOf" srcId="{7967E54F-447E-4611-82F4-199FD9AEBCF2}" destId="{12712191-371D-47CC-90B9-7F390248944E}" srcOrd="1" destOrd="0" presId="urn:microsoft.com/office/officeart/2005/8/layout/orgChart1"/>
    <dgm:cxn modelId="{87790C38-A7D2-473E-91EF-362CDC01CD41}" type="presParOf" srcId="{12712191-371D-47CC-90B9-7F390248944E}" destId="{2885395C-65AA-4540-B968-FD5343A3D196}" srcOrd="0" destOrd="0" presId="urn:microsoft.com/office/officeart/2005/8/layout/orgChart1"/>
    <dgm:cxn modelId="{F16BFE7B-4C09-46F8-9736-80635E651B06}" type="presParOf" srcId="{12712191-371D-47CC-90B9-7F390248944E}" destId="{C6A51D96-5D5A-4BE7-9DF7-F1CE1DCA9B67}" srcOrd="1" destOrd="0" presId="urn:microsoft.com/office/officeart/2005/8/layout/orgChart1"/>
    <dgm:cxn modelId="{1158FDA1-E971-4111-9472-9C3CBC42F3FA}" type="presParOf" srcId="{C6A51D96-5D5A-4BE7-9DF7-F1CE1DCA9B67}" destId="{EEECC755-A334-4F1E-AC00-EC9F110035A2}" srcOrd="0" destOrd="0" presId="urn:microsoft.com/office/officeart/2005/8/layout/orgChart1"/>
    <dgm:cxn modelId="{BA1E1B64-CB58-4790-B35F-3207F8531BF6}" type="presParOf" srcId="{EEECC755-A334-4F1E-AC00-EC9F110035A2}" destId="{C7878B6F-A70E-4BE1-8F53-BDBF2A1745CD}" srcOrd="0" destOrd="0" presId="urn:microsoft.com/office/officeart/2005/8/layout/orgChart1"/>
    <dgm:cxn modelId="{6AD41C0C-E6E7-4F05-892A-D650BF900F7F}" type="presParOf" srcId="{EEECC755-A334-4F1E-AC00-EC9F110035A2}" destId="{916B07F0-0CC3-4028-A238-E2C0019F5509}" srcOrd="1" destOrd="0" presId="urn:microsoft.com/office/officeart/2005/8/layout/orgChart1"/>
    <dgm:cxn modelId="{0D1102D3-C166-4317-9D3F-5268A41A49C3}" type="presParOf" srcId="{C6A51D96-5D5A-4BE7-9DF7-F1CE1DCA9B67}" destId="{CF93C1CB-DE40-4A48-BB1B-6C645E1D5572}" srcOrd="1" destOrd="0" presId="urn:microsoft.com/office/officeart/2005/8/layout/orgChart1"/>
    <dgm:cxn modelId="{8C58D542-1369-400E-B217-943EC49DBDCE}" type="presParOf" srcId="{C6A51D96-5D5A-4BE7-9DF7-F1CE1DCA9B67}" destId="{5D8C8F1F-FB0E-4008-A5F7-EECB88D456E3}" srcOrd="2" destOrd="0" presId="urn:microsoft.com/office/officeart/2005/8/layout/orgChart1"/>
    <dgm:cxn modelId="{499986E6-8C9F-4466-B996-1B7C9270F27A}" type="presParOf" srcId="{12712191-371D-47CC-90B9-7F390248944E}" destId="{BCEA3AE6-43AC-4388-97C1-2DBEBE90F721}" srcOrd="2" destOrd="0" presId="urn:microsoft.com/office/officeart/2005/8/layout/orgChart1"/>
    <dgm:cxn modelId="{D9BF6FA7-F43D-4AE6-BE6C-BFEA348542BE}" type="presParOf" srcId="{12712191-371D-47CC-90B9-7F390248944E}" destId="{08AB2858-5F89-4D01-AB8E-330DC015BC54}" srcOrd="3" destOrd="0" presId="urn:microsoft.com/office/officeart/2005/8/layout/orgChart1"/>
    <dgm:cxn modelId="{04392E2E-A7C1-4487-A2C3-C123C2D3C20E}" type="presParOf" srcId="{08AB2858-5F89-4D01-AB8E-330DC015BC54}" destId="{440C1D84-AF46-4A59-83E2-3E7FF87FEC75}" srcOrd="0" destOrd="0" presId="urn:microsoft.com/office/officeart/2005/8/layout/orgChart1"/>
    <dgm:cxn modelId="{A0C596DB-4F48-4185-9F1E-6EE48C08F163}" type="presParOf" srcId="{440C1D84-AF46-4A59-83E2-3E7FF87FEC75}" destId="{9C2D7088-934A-4E48-8D50-0DB514149B7A}" srcOrd="0" destOrd="0" presId="urn:microsoft.com/office/officeart/2005/8/layout/orgChart1"/>
    <dgm:cxn modelId="{9CDD9B30-0E0F-463B-8F58-AAD6F411C36C}" type="presParOf" srcId="{440C1D84-AF46-4A59-83E2-3E7FF87FEC75}" destId="{5A745100-4EAA-40E0-A43C-7EC19E86471B}" srcOrd="1" destOrd="0" presId="urn:microsoft.com/office/officeart/2005/8/layout/orgChart1"/>
    <dgm:cxn modelId="{A649CAEA-13F9-4BCB-9FD0-98C91BB6D4B5}" type="presParOf" srcId="{08AB2858-5F89-4D01-AB8E-330DC015BC54}" destId="{E26BE8E8-5CA3-46EB-802B-B831C52B8F62}" srcOrd="1" destOrd="0" presId="urn:microsoft.com/office/officeart/2005/8/layout/orgChart1"/>
    <dgm:cxn modelId="{49C16412-5E2A-49DF-87E1-F7D5ED78592F}" type="presParOf" srcId="{08AB2858-5F89-4D01-AB8E-330DC015BC54}" destId="{2505DC06-913E-47CC-9817-5015EB7077D2}" srcOrd="2" destOrd="0" presId="urn:microsoft.com/office/officeart/2005/8/layout/orgChart1"/>
    <dgm:cxn modelId="{94DBED56-E73C-4D1B-985E-E7C603ED49BA}" type="presParOf" srcId="{7967E54F-447E-4611-82F4-199FD9AEBCF2}" destId="{26220729-80F6-4DD6-A40B-84B58ED90E7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7B2A2C-C9C3-4F6D-88C4-ABCC271791E0}"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en-US"/>
        </a:p>
      </dgm:t>
    </dgm:pt>
    <dgm:pt modelId="{92582C84-205B-4603-8373-D052D11E000A}">
      <dgm:prSet phldrT="[Text]" custT="1"/>
      <dgm:spPr/>
      <dgm:t>
        <a:bodyPr/>
        <a:lstStyle/>
        <a:p>
          <a:pPr algn="ctr"/>
          <a:r>
            <a:rPr lang="he-IL" sz="1050" b="1">
              <a:latin typeface="David" panose="020E0502060401010101" pitchFamily="34" charset="-79"/>
              <a:cs typeface="David" panose="020E0502060401010101" pitchFamily="34" charset="-79"/>
            </a:rPr>
            <a:t>סעיף 368ד לחוק העונשין:</a:t>
          </a:r>
          <a:r>
            <a:rPr lang="he-IL" sz="1050">
              <a:latin typeface="David" panose="020E0502060401010101" pitchFamily="34" charset="-79"/>
              <a:cs typeface="David" panose="020E0502060401010101" pitchFamily="34" charset="-79"/>
            </a:rPr>
            <a:t> חובת הדיווח הבסיסית ("בידי האחראי עליו")</a:t>
          </a:r>
          <a:endParaRPr lang="en-US" sz="1050">
            <a:latin typeface="David" panose="020E0502060401010101" pitchFamily="34" charset="-79"/>
            <a:cs typeface="David" panose="020E0502060401010101" pitchFamily="34" charset="-79"/>
          </a:endParaRPr>
        </a:p>
      </dgm:t>
    </dgm:pt>
    <dgm:pt modelId="{124113DA-8CB4-4276-B4CB-04440006B2B7}" type="parTrans" cxnId="{D56A7EBF-5DAA-4135-8BD1-2C5AFA5D71C0}">
      <dgm:prSet/>
      <dgm:spPr/>
      <dgm:t>
        <a:bodyPr/>
        <a:lstStyle/>
        <a:p>
          <a:endParaRPr lang="en-US"/>
        </a:p>
      </dgm:t>
    </dgm:pt>
    <dgm:pt modelId="{D50ECF94-1FC7-4517-8806-550D9E0B6B64}" type="sibTrans" cxnId="{D56A7EBF-5DAA-4135-8BD1-2C5AFA5D71C0}">
      <dgm:prSet/>
      <dgm:spPr/>
      <dgm:t>
        <a:bodyPr/>
        <a:lstStyle/>
        <a:p>
          <a:endParaRPr lang="en-US"/>
        </a:p>
      </dgm:t>
    </dgm:pt>
    <dgm:pt modelId="{B3C36EC6-E6D2-48EB-93D2-1B797C1783E3}">
      <dgm:prSet phldrT="[Text]" custT="1"/>
      <dgm:spPr/>
      <dgm:t>
        <a:bodyPr/>
        <a:lstStyle/>
        <a:p>
          <a:r>
            <a:rPr lang="he-IL" sz="900">
              <a:latin typeface="David" panose="020E0502060401010101" pitchFamily="34" charset="-79"/>
              <a:cs typeface="David" panose="020E0502060401010101" pitchFamily="34" charset="-79"/>
            </a:rPr>
            <a:t>חובת דיווח למשטרה/ עובד סוציאלי.</a:t>
          </a:r>
        </a:p>
      </dgm:t>
    </dgm:pt>
    <dgm:pt modelId="{4323CF44-B46C-4040-A911-8D08923518A6}" type="parTrans" cxnId="{35A42E5C-0C8C-427C-992D-A91E9F2E6C0D}">
      <dgm:prSet/>
      <dgm:spPr/>
      <dgm:t>
        <a:bodyPr/>
        <a:lstStyle/>
        <a:p>
          <a:endParaRPr lang="en-US">
            <a:latin typeface="David" panose="020E0502060401010101" pitchFamily="34" charset="-79"/>
            <a:cs typeface="David" panose="020E0502060401010101" pitchFamily="34" charset="-79"/>
          </a:endParaRPr>
        </a:p>
      </dgm:t>
    </dgm:pt>
    <dgm:pt modelId="{0F564F02-CB0A-4A90-811B-C7218F0C274A}" type="sibTrans" cxnId="{35A42E5C-0C8C-427C-992D-A91E9F2E6C0D}">
      <dgm:prSet/>
      <dgm:spPr/>
      <dgm:t>
        <a:bodyPr/>
        <a:lstStyle/>
        <a:p>
          <a:endParaRPr lang="en-US"/>
        </a:p>
      </dgm:t>
    </dgm:pt>
    <dgm:pt modelId="{4B6108BD-559A-490E-92B8-CD196D65FA35}">
      <dgm:prSet phldrT="[Text]" custT="1"/>
      <dgm:spPr/>
      <dgm:t>
        <a:bodyPr/>
        <a:lstStyle/>
        <a:p>
          <a:r>
            <a:rPr lang="he-IL" sz="900">
              <a:latin typeface="David" panose="020E0502060401010101" pitchFamily="34" charset="-79"/>
              <a:cs typeface="David" panose="020E0502060401010101" pitchFamily="34" charset="-79"/>
            </a:rPr>
            <a:t>חובת דיווח </a:t>
          </a:r>
          <a:r>
            <a:rPr lang="he-IL" sz="900" b="1">
              <a:latin typeface="David" panose="020E0502060401010101" pitchFamily="34" charset="-79"/>
              <a:cs typeface="David" panose="020E0502060401010101" pitchFamily="34" charset="-79"/>
            </a:rPr>
            <a:t>מוגברת</a:t>
          </a:r>
          <a:r>
            <a:rPr lang="he-IL" sz="900">
              <a:latin typeface="David" panose="020E0502060401010101" pitchFamily="34" charset="-79"/>
              <a:cs typeface="David" panose="020E0502060401010101" pitchFamily="34" charset="-79"/>
            </a:rPr>
            <a:t> על אנשי מקצוע ומטפלים </a:t>
          </a:r>
        </a:p>
        <a:p>
          <a:r>
            <a:rPr lang="he-IL" sz="900">
              <a:latin typeface="David" panose="020E0502060401010101" pitchFamily="34" charset="-79"/>
              <a:cs typeface="David" panose="020E0502060401010101" pitchFamily="34" charset="-79"/>
            </a:rPr>
            <a:t>החובה נוגעת ל</a:t>
          </a:r>
          <a:r>
            <a:rPr lang="he-IL" sz="900" b="1">
              <a:latin typeface="David" panose="020E0502060401010101" pitchFamily="34" charset="-79"/>
              <a:cs typeface="David" panose="020E0502060401010101" pitchFamily="34" charset="-79"/>
            </a:rPr>
            <a:t>כל</a:t>
          </a:r>
          <a:r>
            <a:rPr lang="he-IL" sz="900">
              <a:latin typeface="David" panose="020E0502060401010101" pitchFamily="34" charset="-79"/>
              <a:cs typeface="David" panose="020E0502060401010101" pitchFamily="34" charset="-79"/>
            </a:rPr>
            <a:t> סוגי העבירות </a:t>
          </a:r>
          <a:endParaRPr lang="en-US" sz="900">
            <a:latin typeface="David" panose="020E0502060401010101" pitchFamily="34" charset="-79"/>
            <a:cs typeface="David" panose="020E0502060401010101" pitchFamily="34" charset="-79"/>
          </a:endParaRPr>
        </a:p>
      </dgm:t>
    </dgm:pt>
    <dgm:pt modelId="{71E073EC-8894-443B-8045-97F10AA594F8}" type="parTrans" cxnId="{C7761E8F-691B-4021-BCA7-C1167EF6EED6}">
      <dgm:prSet/>
      <dgm:spPr/>
      <dgm:t>
        <a:bodyPr/>
        <a:lstStyle/>
        <a:p>
          <a:endParaRPr lang="en-US">
            <a:latin typeface="David" panose="020E0502060401010101" pitchFamily="34" charset="-79"/>
            <a:cs typeface="David" panose="020E0502060401010101" pitchFamily="34" charset="-79"/>
          </a:endParaRPr>
        </a:p>
      </dgm:t>
    </dgm:pt>
    <dgm:pt modelId="{7CDC6735-ECDF-413F-AF4D-3847E486202C}" type="sibTrans" cxnId="{C7761E8F-691B-4021-BCA7-C1167EF6EED6}">
      <dgm:prSet/>
      <dgm:spPr/>
      <dgm:t>
        <a:bodyPr/>
        <a:lstStyle/>
        <a:p>
          <a:endParaRPr lang="en-US"/>
        </a:p>
      </dgm:t>
    </dgm:pt>
    <dgm:pt modelId="{033744EB-69C3-468D-9917-DB570EDC1B7D}">
      <dgm:prSet phldrT="[Text]" custT="1"/>
      <dgm:spPr/>
      <dgm:t>
        <a:bodyPr/>
        <a:lstStyle/>
        <a:p>
          <a:r>
            <a:rPr lang="he-IL" sz="900">
              <a:latin typeface="David" panose="020E0502060401010101" pitchFamily="34" charset="-79"/>
              <a:cs typeface="David" panose="020E0502060401010101" pitchFamily="34" charset="-79"/>
            </a:rPr>
            <a:t>מוטלת על </a:t>
          </a:r>
          <a:r>
            <a:rPr lang="he-IL" sz="900" b="1">
              <a:latin typeface="David" panose="020E0502060401010101" pitchFamily="34" charset="-79"/>
              <a:cs typeface="David" panose="020E0502060401010101" pitchFamily="34" charset="-79"/>
            </a:rPr>
            <a:t>כל אדם </a:t>
          </a:r>
          <a:r>
            <a:rPr lang="he-IL" sz="900">
              <a:latin typeface="David" panose="020E0502060401010101" pitchFamily="34" charset="-79"/>
              <a:cs typeface="David" panose="020E0502060401010101" pitchFamily="34" charset="-79"/>
            </a:rPr>
            <a:t>(בניגוד לרוב העולם = רק אנשי מקצוע)</a:t>
          </a:r>
        </a:p>
        <a:p>
          <a:r>
            <a:rPr lang="he-IL" sz="900">
              <a:latin typeface="David" panose="020E0502060401010101" pitchFamily="34" charset="-79"/>
              <a:cs typeface="David" panose="020E0502060401010101" pitchFamily="34" charset="-79"/>
            </a:rPr>
            <a:t>עבירות שנעברו </a:t>
          </a:r>
          <a:r>
            <a:rPr lang="he-IL" sz="900" b="1">
              <a:latin typeface="David" panose="020E0502060401010101" pitchFamily="34" charset="-79"/>
              <a:cs typeface="David" panose="020E0502060401010101" pitchFamily="34" charset="-79"/>
            </a:rPr>
            <a:t>בזמן האחרון </a:t>
          </a:r>
        </a:p>
        <a:p>
          <a:r>
            <a:rPr lang="he-IL" sz="900">
              <a:latin typeface="David" panose="020E0502060401010101" pitchFamily="34" charset="-79"/>
              <a:cs typeface="David" panose="020E0502060401010101" pitchFamily="34" charset="-79"/>
            </a:rPr>
            <a:t>לא חלה על קטין </a:t>
          </a:r>
          <a:endParaRPr lang="en-US" sz="900">
            <a:latin typeface="David" panose="020E0502060401010101" pitchFamily="34" charset="-79"/>
            <a:cs typeface="David" panose="020E0502060401010101" pitchFamily="34" charset="-79"/>
          </a:endParaRPr>
        </a:p>
      </dgm:t>
    </dgm:pt>
    <dgm:pt modelId="{8A8DD29D-4134-49C2-8530-E13C84874684}" type="parTrans" cxnId="{68643EBC-871B-49A4-9104-658A04CE80D0}">
      <dgm:prSet/>
      <dgm:spPr/>
      <dgm:t>
        <a:bodyPr/>
        <a:lstStyle/>
        <a:p>
          <a:endParaRPr lang="en-US">
            <a:latin typeface="David" panose="020E0502060401010101" pitchFamily="34" charset="-79"/>
            <a:cs typeface="David" panose="020E0502060401010101" pitchFamily="34" charset="-79"/>
          </a:endParaRPr>
        </a:p>
      </dgm:t>
    </dgm:pt>
    <dgm:pt modelId="{60BFF6F0-FEE4-422B-971E-53ECE802D5A5}" type="sibTrans" cxnId="{68643EBC-871B-49A4-9104-658A04CE80D0}">
      <dgm:prSet/>
      <dgm:spPr/>
      <dgm:t>
        <a:bodyPr/>
        <a:lstStyle/>
        <a:p>
          <a:endParaRPr lang="en-US"/>
        </a:p>
      </dgm:t>
    </dgm:pt>
    <dgm:pt modelId="{B71962FC-E0F4-48BC-B581-11149872C09A}">
      <dgm:prSet custT="1"/>
      <dgm:spPr/>
      <dgm:t>
        <a:bodyPr/>
        <a:lstStyle/>
        <a:p>
          <a:r>
            <a:rPr lang="he-IL" sz="900" b="1">
              <a:latin typeface="David" panose="020E0502060401010101" pitchFamily="34" charset="-79"/>
              <a:cs typeface="David" panose="020E0502060401010101" pitchFamily="34" charset="-79"/>
            </a:rPr>
            <a:t>דיווח לעו"ס:</a:t>
          </a:r>
        </a:p>
        <a:p>
          <a:r>
            <a:rPr lang="he-IL" sz="900">
              <a:latin typeface="David" panose="020E0502060401010101" pitchFamily="34" charset="-79"/>
              <a:cs typeface="David" panose="020E0502060401010101" pitchFamily="34" charset="-79"/>
            </a:rPr>
            <a:t>העו"ס מחוייב לדווח למשטרה, למעט מקרים שאושרו בידי ועדת פטור מחוזית ע"מ שלא לפגוע בההליך שיקומי (ייתכן פטור זמני)</a:t>
          </a:r>
          <a:endParaRPr lang="en-US" sz="900">
            <a:latin typeface="David" panose="020E0502060401010101" pitchFamily="34" charset="-79"/>
            <a:cs typeface="David" panose="020E0502060401010101" pitchFamily="34" charset="-79"/>
          </a:endParaRPr>
        </a:p>
      </dgm:t>
    </dgm:pt>
    <dgm:pt modelId="{8DC03A5C-4B2C-41A3-AEB5-8761350648F6}" type="parTrans" cxnId="{7E8B74C5-5216-4C62-9C10-19A7CC86CE8E}">
      <dgm:prSet/>
      <dgm:spPr/>
      <dgm:t>
        <a:bodyPr/>
        <a:lstStyle/>
        <a:p>
          <a:endParaRPr lang="en-US">
            <a:latin typeface="David" panose="020E0502060401010101" pitchFamily="34" charset="-79"/>
            <a:cs typeface="David" panose="020E0502060401010101" pitchFamily="34" charset="-79"/>
          </a:endParaRPr>
        </a:p>
      </dgm:t>
    </dgm:pt>
    <dgm:pt modelId="{33BB6175-1B07-49E8-8EE7-39FA158D5A65}" type="sibTrans" cxnId="{7E8B74C5-5216-4C62-9C10-19A7CC86CE8E}">
      <dgm:prSet/>
      <dgm:spPr/>
      <dgm:t>
        <a:bodyPr/>
        <a:lstStyle/>
        <a:p>
          <a:endParaRPr lang="en-US"/>
        </a:p>
      </dgm:t>
    </dgm:pt>
    <dgm:pt modelId="{DB26FD29-1DDF-47EB-BE77-176424603011}">
      <dgm:prSet custT="1"/>
      <dgm:spPr/>
      <dgm:t>
        <a:bodyPr/>
        <a:lstStyle/>
        <a:p>
          <a:r>
            <a:rPr lang="he-IL" sz="900" b="1">
              <a:latin typeface="David" panose="020E0502060401010101" pitchFamily="34" charset="-79"/>
              <a:cs typeface="David" panose="020E0502060401010101" pitchFamily="34" charset="-79"/>
            </a:rPr>
            <a:t>דיווח למשטרה:</a:t>
          </a:r>
        </a:p>
        <a:p>
          <a:r>
            <a:rPr lang="he-IL" sz="900">
              <a:latin typeface="David" panose="020E0502060401010101" pitchFamily="34" charset="-79"/>
              <a:cs typeface="David" panose="020E0502060401010101" pitchFamily="34" charset="-79"/>
            </a:rPr>
            <a:t>המשטרה צריכה להיוועץ בעו"ס לפני נקיטת פעולה, למעט מקרים דחופים  </a:t>
          </a:r>
        </a:p>
        <a:p>
          <a:r>
            <a:rPr lang="he-IL" sz="900">
              <a:latin typeface="David" panose="020E0502060401010101" pitchFamily="34" charset="-79"/>
              <a:cs typeface="David" panose="020E0502060401010101" pitchFamily="34" charset="-79"/>
            </a:rPr>
            <a:t>אין ועדת פטור - המשטרה</a:t>
          </a:r>
          <a:r>
            <a:rPr lang="he-IL" sz="900" b="1">
              <a:latin typeface="David" panose="020E0502060401010101" pitchFamily="34" charset="-79"/>
              <a:cs typeface="David" panose="020E0502060401010101" pitchFamily="34" charset="-79"/>
            </a:rPr>
            <a:t> חייבת </a:t>
          </a:r>
          <a:r>
            <a:rPr lang="he-IL" sz="900">
              <a:latin typeface="David" panose="020E0502060401010101" pitchFamily="34" charset="-79"/>
              <a:cs typeface="David" panose="020E0502060401010101" pitchFamily="34" charset="-79"/>
            </a:rPr>
            <a:t>לחקור</a:t>
          </a:r>
          <a:endParaRPr lang="en-US" sz="900">
            <a:latin typeface="David" panose="020E0502060401010101" pitchFamily="34" charset="-79"/>
            <a:cs typeface="David" panose="020E0502060401010101" pitchFamily="34" charset="-79"/>
          </a:endParaRPr>
        </a:p>
      </dgm:t>
    </dgm:pt>
    <dgm:pt modelId="{7FF86A04-1DF9-43F9-BD34-2E95D87396F2}" type="parTrans" cxnId="{F5BF99FB-47D0-43D8-8F56-AEF7DEE21E4D}">
      <dgm:prSet/>
      <dgm:spPr/>
      <dgm:t>
        <a:bodyPr/>
        <a:lstStyle/>
        <a:p>
          <a:endParaRPr lang="en-US">
            <a:latin typeface="David" panose="020E0502060401010101" pitchFamily="34" charset="-79"/>
            <a:cs typeface="David" panose="020E0502060401010101" pitchFamily="34" charset="-79"/>
          </a:endParaRPr>
        </a:p>
      </dgm:t>
    </dgm:pt>
    <dgm:pt modelId="{2AC6E4EF-44DC-49FC-A12A-38559AAA5D4C}" type="sibTrans" cxnId="{F5BF99FB-47D0-43D8-8F56-AEF7DEE21E4D}">
      <dgm:prSet/>
      <dgm:spPr/>
      <dgm:t>
        <a:bodyPr/>
        <a:lstStyle/>
        <a:p>
          <a:endParaRPr lang="en-US"/>
        </a:p>
      </dgm:t>
    </dgm:pt>
    <dgm:pt modelId="{B134E6FB-A459-42DC-B352-8DEF01C05FB2}" type="asst">
      <dgm:prSet custT="1"/>
      <dgm:spPr/>
      <dgm:t>
        <a:bodyPr/>
        <a:lstStyle/>
        <a:p>
          <a:r>
            <a:rPr lang="he-IL" sz="900">
              <a:latin typeface="David" panose="020E0502060401010101" pitchFamily="34" charset="-79"/>
              <a:cs typeface="David" panose="020E0502060401010101" pitchFamily="34" charset="-79"/>
            </a:rPr>
            <a:t>ההחלטות לא מפורסמות ואין קריטריונים</a:t>
          </a:r>
          <a:endParaRPr lang="en-US" sz="900">
            <a:latin typeface="David" panose="020E0502060401010101" pitchFamily="34" charset="-79"/>
            <a:cs typeface="David" panose="020E0502060401010101" pitchFamily="34" charset="-79"/>
          </a:endParaRPr>
        </a:p>
      </dgm:t>
    </dgm:pt>
    <dgm:pt modelId="{DB136E12-8A97-4B23-AFE7-67340303F033}" type="parTrans" cxnId="{19ADED95-CC04-477E-B497-E0AC531CB8D2}">
      <dgm:prSet/>
      <dgm:spPr/>
      <dgm:t>
        <a:bodyPr/>
        <a:lstStyle/>
        <a:p>
          <a:endParaRPr lang="en-US">
            <a:latin typeface="David" panose="020E0502060401010101" pitchFamily="34" charset="-79"/>
            <a:cs typeface="David" panose="020E0502060401010101" pitchFamily="34" charset="-79"/>
          </a:endParaRPr>
        </a:p>
      </dgm:t>
    </dgm:pt>
    <dgm:pt modelId="{87768A42-AF45-4B80-9D26-19C20552F3B3}" type="sibTrans" cxnId="{19ADED95-CC04-477E-B497-E0AC531CB8D2}">
      <dgm:prSet/>
      <dgm:spPr/>
      <dgm:t>
        <a:bodyPr/>
        <a:lstStyle/>
        <a:p>
          <a:endParaRPr lang="en-US"/>
        </a:p>
      </dgm:t>
    </dgm:pt>
    <dgm:pt modelId="{BFD8DAEE-726B-4D35-9510-365ECBC4D9A6}" type="asst">
      <dgm:prSet custT="1"/>
      <dgm:spPr/>
      <dgm:t>
        <a:bodyPr/>
        <a:lstStyle/>
        <a:p>
          <a:r>
            <a:rPr lang="he-IL" sz="900" u="sng">
              <a:latin typeface="David" panose="020E0502060401010101" pitchFamily="34" charset="-79"/>
              <a:cs typeface="David" panose="020E0502060401010101" pitchFamily="34" charset="-79"/>
            </a:rPr>
            <a:t>הרכב הועדה:</a:t>
          </a:r>
          <a:r>
            <a:rPr lang="en-US" sz="900">
              <a:latin typeface="David" panose="020E0502060401010101" pitchFamily="34" charset="-79"/>
              <a:cs typeface="David" panose="020E0502060401010101" pitchFamily="34" charset="-79"/>
            </a:rPr>
            <a:t> </a:t>
          </a:r>
          <a:endParaRPr lang="he-IL" sz="900">
            <a:latin typeface="David" panose="020E0502060401010101" pitchFamily="34" charset="-79"/>
            <a:cs typeface="David" panose="020E0502060401010101" pitchFamily="34" charset="-79"/>
          </a:endParaRPr>
        </a:p>
        <a:p>
          <a:r>
            <a:rPr lang="he-IL" sz="900">
              <a:latin typeface="David" panose="020E0502060401010101" pitchFamily="34" charset="-79"/>
              <a:cs typeface="David" panose="020E0502060401010101" pitchFamily="34" charset="-79"/>
            </a:rPr>
            <a:t>נציג פרקליט מחוז </a:t>
          </a:r>
        </a:p>
        <a:p>
          <a:r>
            <a:rPr lang="he-IL" sz="900">
              <a:latin typeface="David" panose="020E0502060401010101" pitchFamily="34" charset="-79"/>
              <a:cs typeface="David" panose="020E0502060401010101" pitchFamily="34" charset="-79"/>
            </a:rPr>
            <a:t>קצין משטרה </a:t>
          </a:r>
        </a:p>
        <a:p>
          <a:r>
            <a:rPr lang="he-IL" sz="900">
              <a:latin typeface="David" panose="020E0502060401010101" pitchFamily="34" charset="-79"/>
              <a:cs typeface="David" panose="020E0502060401010101" pitchFamily="34" charset="-79"/>
            </a:rPr>
            <a:t>עוב"ס </a:t>
          </a:r>
          <a:endParaRPr lang="en-US" sz="900">
            <a:latin typeface="David" panose="020E0502060401010101" pitchFamily="34" charset="-79"/>
            <a:cs typeface="David" panose="020E0502060401010101" pitchFamily="34" charset="-79"/>
          </a:endParaRPr>
        </a:p>
      </dgm:t>
    </dgm:pt>
    <dgm:pt modelId="{B153AC3A-20EA-4935-936F-559321FDF220}" type="parTrans" cxnId="{89F3AAC1-BDE9-4783-B822-6C6571D6FC02}">
      <dgm:prSet/>
      <dgm:spPr/>
      <dgm:t>
        <a:bodyPr/>
        <a:lstStyle/>
        <a:p>
          <a:endParaRPr lang="en-US">
            <a:latin typeface="David" panose="020E0502060401010101" pitchFamily="34" charset="-79"/>
            <a:cs typeface="David" panose="020E0502060401010101" pitchFamily="34" charset="-79"/>
          </a:endParaRPr>
        </a:p>
      </dgm:t>
    </dgm:pt>
    <dgm:pt modelId="{E730A177-5726-4A40-8F0E-81C3D7694799}" type="sibTrans" cxnId="{89F3AAC1-BDE9-4783-B822-6C6571D6FC02}">
      <dgm:prSet/>
      <dgm:spPr/>
      <dgm:t>
        <a:bodyPr/>
        <a:lstStyle/>
        <a:p>
          <a:endParaRPr lang="en-US"/>
        </a:p>
      </dgm:t>
    </dgm:pt>
    <dgm:pt modelId="{D2591F4E-4A1E-4130-8981-CC36DC97D908}" type="pres">
      <dgm:prSet presAssocID="{387B2A2C-C9C3-4F6D-88C4-ABCC271791E0}" presName="hierChild1" presStyleCnt="0">
        <dgm:presLayoutVars>
          <dgm:orgChart val="1"/>
          <dgm:chPref val="1"/>
          <dgm:dir/>
          <dgm:animOne val="branch"/>
          <dgm:animLvl val="lvl"/>
          <dgm:resizeHandles/>
        </dgm:presLayoutVars>
      </dgm:prSet>
      <dgm:spPr/>
    </dgm:pt>
    <dgm:pt modelId="{620B4E7A-1146-457B-B14B-4B6BF97CC12C}" type="pres">
      <dgm:prSet presAssocID="{92582C84-205B-4603-8373-D052D11E000A}" presName="hierRoot1" presStyleCnt="0">
        <dgm:presLayoutVars>
          <dgm:hierBranch val="init"/>
        </dgm:presLayoutVars>
      </dgm:prSet>
      <dgm:spPr/>
    </dgm:pt>
    <dgm:pt modelId="{E257C9A0-5772-4005-A183-3605A4A6A4E3}" type="pres">
      <dgm:prSet presAssocID="{92582C84-205B-4603-8373-D052D11E000A}" presName="rootComposite1" presStyleCnt="0"/>
      <dgm:spPr/>
    </dgm:pt>
    <dgm:pt modelId="{9F084BAD-23FF-4781-A486-A85FC9771C61}" type="pres">
      <dgm:prSet presAssocID="{92582C84-205B-4603-8373-D052D11E000A}" presName="rootText1" presStyleLbl="node0" presStyleIdx="0" presStyleCnt="1" custScaleX="313542" custScaleY="61868" custLinFactNeighborX="1693" custLinFactNeighborY="1693">
        <dgm:presLayoutVars>
          <dgm:chPref val="3"/>
        </dgm:presLayoutVars>
      </dgm:prSet>
      <dgm:spPr/>
    </dgm:pt>
    <dgm:pt modelId="{B50E6F57-4C6C-4B78-BBF4-3B320F49D1FF}" type="pres">
      <dgm:prSet presAssocID="{92582C84-205B-4603-8373-D052D11E000A}" presName="rootConnector1" presStyleLbl="node1" presStyleIdx="0" presStyleCnt="0"/>
      <dgm:spPr/>
    </dgm:pt>
    <dgm:pt modelId="{9F04FBCC-3807-4AD4-A39E-4AA666B85941}" type="pres">
      <dgm:prSet presAssocID="{92582C84-205B-4603-8373-D052D11E000A}" presName="hierChild2" presStyleCnt="0"/>
      <dgm:spPr/>
    </dgm:pt>
    <dgm:pt modelId="{36B0B7B3-1CF7-435F-AAEC-D2212D4CCB6F}" type="pres">
      <dgm:prSet presAssocID="{4323CF44-B46C-4040-A911-8D08923518A6}" presName="Name37" presStyleLbl="parChTrans1D2" presStyleIdx="0" presStyleCnt="3"/>
      <dgm:spPr/>
    </dgm:pt>
    <dgm:pt modelId="{57B116C2-5711-44FE-875F-389E6E4DF0B0}" type="pres">
      <dgm:prSet presAssocID="{B3C36EC6-E6D2-48EB-93D2-1B797C1783E3}" presName="hierRoot2" presStyleCnt="0">
        <dgm:presLayoutVars>
          <dgm:hierBranch val="hang"/>
        </dgm:presLayoutVars>
      </dgm:prSet>
      <dgm:spPr/>
    </dgm:pt>
    <dgm:pt modelId="{A4C418D3-A5FB-4EC8-A4AB-50F7A9DF0FBB}" type="pres">
      <dgm:prSet presAssocID="{B3C36EC6-E6D2-48EB-93D2-1B797C1783E3}" presName="rootComposite" presStyleCnt="0"/>
      <dgm:spPr/>
    </dgm:pt>
    <dgm:pt modelId="{0CC7E69D-1D84-4178-B338-CBE538B75BE7}" type="pres">
      <dgm:prSet presAssocID="{B3C36EC6-E6D2-48EB-93D2-1B797C1783E3}" presName="rootText" presStyleLbl="node2" presStyleIdx="0" presStyleCnt="3" custScaleX="115652">
        <dgm:presLayoutVars>
          <dgm:chPref val="3"/>
        </dgm:presLayoutVars>
      </dgm:prSet>
      <dgm:spPr/>
    </dgm:pt>
    <dgm:pt modelId="{FAF7C016-6BEE-4CB7-87A4-649540149D4D}" type="pres">
      <dgm:prSet presAssocID="{B3C36EC6-E6D2-48EB-93D2-1B797C1783E3}" presName="rootConnector" presStyleLbl="node2" presStyleIdx="0" presStyleCnt="3"/>
      <dgm:spPr/>
    </dgm:pt>
    <dgm:pt modelId="{0C6C0424-044B-42D6-9D55-E8DAD089A400}" type="pres">
      <dgm:prSet presAssocID="{B3C36EC6-E6D2-48EB-93D2-1B797C1783E3}" presName="hierChild4" presStyleCnt="0"/>
      <dgm:spPr/>
    </dgm:pt>
    <dgm:pt modelId="{A174B3C6-8A5A-4F52-A714-E2FEB6D07C6D}" type="pres">
      <dgm:prSet presAssocID="{8DC03A5C-4B2C-41A3-AEB5-8761350648F6}" presName="Name48" presStyleLbl="parChTrans1D3" presStyleIdx="0" presStyleCnt="2"/>
      <dgm:spPr/>
    </dgm:pt>
    <dgm:pt modelId="{A1FE0FBD-E625-4FAF-BDF7-84365A319AB0}" type="pres">
      <dgm:prSet presAssocID="{B71962FC-E0F4-48BC-B581-11149872C09A}" presName="hierRoot2" presStyleCnt="0">
        <dgm:presLayoutVars>
          <dgm:hierBranch val="init"/>
        </dgm:presLayoutVars>
      </dgm:prSet>
      <dgm:spPr/>
    </dgm:pt>
    <dgm:pt modelId="{1142006E-29DF-4717-B424-75593BC05586}" type="pres">
      <dgm:prSet presAssocID="{B71962FC-E0F4-48BC-B581-11149872C09A}" presName="rootComposite" presStyleCnt="0"/>
      <dgm:spPr/>
    </dgm:pt>
    <dgm:pt modelId="{8D1ABD49-A61C-48C2-9CFD-B667821831FF}" type="pres">
      <dgm:prSet presAssocID="{B71962FC-E0F4-48BC-B581-11149872C09A}" presName="rootText" presStyleLbl="node3" presStyleIdx="0" presStyleCnt="2" custScaleX="132079" custScaleY="121448">
        <dgm:presLayoutVars>
          <dgm:chPref val="3"/>
        </dgm:presLayoutVars>
      </dgm:prSet>
      <dgm:spPr/>
    </dgm:pt>
    <dgm:pt modelId="{1A3F14E4-4532-4D6E-8ACC-B25F0463720D}" type="pres">
      <dgm:prSet presAssocID="{B71962FC-E0F4-48BC-B581-11149872C09A}" presName="rootConnector" presStyleLbl="node3" presStyleIdx="0" presStyleCnt="2"/>
      <dgm:spPr/>
    </dgm:pt>
    <dgm:pt modelId="{CE97EAF7-1B3F-49F6-9775-C096BEF01722}" type="pres">
      <dgm:prSet presAssocID="{B71962FC-E0F4-48BC-B581-11149872C09A}" presName="hierChild4" presStyleCnt="0"/>
      <dgm:spPr/>
    </dgm:pt>
    <dgm:pt modelId="{1B680049-756B-46E0-A981-EC28CCEC8989}" type="pres">
      <dgm:prSet presAssocID="{B71962FC-E0F4-48BC-B581-11149872C09A}" presName="hierChild5" presStyleCnt="0"/>
      <dgm:spPr/>
    </dgm:pt>
    <dgm:pt modelId="{EA366520-37C3-415A-983E-7CB0FB11879A}" type="pres">
      <dgm:prSet presAssocID="{DB136E12-8A97-4B23-AFE7-67340303F033}" presName="Name111" presStyleLbl="parChTrans1D4" presStyleIdx="0" presStyleCnt="2"/>
      <dgm:spPr/>
    </dgm:pt>
    <dgm:pt modelId="{D0D2405F-B968-43EB-8770-AFCA87557EBE}" type="pres">
      <dgm:prSet presAssocID="{B134E6FB-A459-42DC-B352-8DEF01C05FB2}" presName="hierRoot3" presStyleCnt="0">
        <dgm:presLayoutVars>
          <dgm:hierBranch val="init"/>
        </dgm:presLayoutVars>
      </dgm:prSet>
      <dgm:spPr/>
    </dgm:pt>
    <dgm:pt modelId="{F746ECE9-E183-4339-898E-9831720C7C21}" type="pres">
      <dgm:prSet presAssocID="{B134E6FB-A459-42DC-B352-8DEF01C05FB2}" presName="rootComposite3" presStyleCnt="0"/>
      <dgm:spPr/>
    </dgm:pt>
    <dgm:pt modelId="{F788D547-78C7-4213-B4E7-BB00E54C750D}" type="pres">
      <dgm:prSet presAssocID="{B134E6FB-A459-42DC-B352-8DEF01C05FB2}" presName="rootText3" presStyleLbl="asst3" presStyleIdx="0" presStyleCnt="2">
        <dgm:presLayoutVars>
          <dgm:chPref val="3"/>
        </dgm:presLayoutVars>
      </dgm:prSet>
      <dgm:spPr/>
    </dgm:pt>
    <dgm:pt modelId="{59E6745A-34AC-444A-B67E-53C92941F6CE}" type="pres">
      <dgm:prSet presAssocID="{B134E6FB-A459-42DC-B352-8DEF01C05FB2}" presName="rootConnector3" presStyleLbl="asst3" presStyleIdx="0" presStyleCnt="2"/>
      <dgm:spPr/>
    </dgm:pt>
    <dgm:pt modelId="{A4943518-8615-4ED2-AB36-8B48241A804E}" type="pres">
      <dgm:prSet presAssocID="{B134E6FB-A459-42DC-B352-8DEF01C05FB2}" presName="hierChild6" presStyleCnt="0"/>
      <dgm:spPr/>
    </dgm:pt>
    <dgm:pt modelId="{7C8E78EE-3775-47DE-8B4C-F8108925A4B2}" type="pres">
      <dgm:prSet presAssocID="{B134E6FB-A459-42DC-B352-8DEF01C05FB2}" presName="hierChild7" presStyleCnt="0"/>
      <dgm:spPr/>
    </dgm:pt>
    <dgm:pt modelId="{03A37DE8-70AB-4103-A2E4-A11651868360}" type="pres">
      <dgm:prSet presAssocID="{B153AC3A-20EA-4935-936F-559321FDF220}" presName="Name111" presStyleLbl="parChTrans1D4" presStyleIdx="1" presStyleCnt="2"/>
      <dgm:spPr/>
    </dgm:pt>
    <dgm:pt modelId="{BC74DDF3-1F9F-4B47-8904-CFFDE97103C6}" type="pres">
      <dgm:prSet presAssocID="{BFD8DAEE-726B-4D35-9510-365ECBC4D9A6}" presName="hierRoot3" presStyleCnt="0">
        <dgm:presLayoutVars>
          <dgm:hierBranch val="init"/>
        </dgm:presLayoutVars>
      </dgm:prSet>
      <dgm:spPr/>
    </dgm:pt>
    <dgm:pt modelId="{B709A513-4CA1-45A1-BCCE-7FAAC3E1A765}" type="pres">
      <dgm:prSet presAssocID="{BFD8DAEE-726B-4D35-9510-365ECBC4D9A6}" presName="rootComposite3" presStyleCnt="0"/>
      <dgm:spPr/>
    </dgm:pt>
    <dgm:pt modelId="{A12C6064-6414-42D0-8282-5C227EA1911C}" type="pres">
      <dgm:prSet presAssocID="{BFD8DAEE-726B-4D35-9510-365ECBC4D9A6}" presName="rootText3" presStyleLbl="asst3" presStyleIdx="1" presStyleCnt="2">
        <dgm:presLayoutVars>
          <dgm:chPref val="3"/>
        </dgm:presLayoutVars>
      </dgm:prSet>
      <dgm:spPr/>
    </dgm:pt>
    <dgm:pt modelId="{B5373286-BAF7-4253-9AA9-0402EF007083}" type="pres">
      <dgm:prSet presAssocID="{BFD8DAEE-726B-4D35-9510-365ECBC4D9A6}" presName="rootConnector3" presStyleLbl="asst3" presStyleIdx="1" presStyleCnt="2"/>
      <dgm:spPr/>
    </dgm:pt>
    <dgm:pt modelId="{54B6F6F8-37D8-4E3D-8BF2-BEBCDEE1EF51}" type="pres">
      <dgm:prSet presAssocID="{BFD8DAEE-726B-4D35-9510-365ECBC4D9A6}" presName="hierChild6" presStyleCnt="0"/>
      <dgm:spPr/>
    </dgm:pt>
    <dgm:pt modelId="{E4940025-1902-4DD5-90C1-6B33DEEBB03C}" type="pres">
      <dgm:prSet presAssocID="{BFD8DAEE-726B-4D35-9510-365ECBC4D9A6}" presName="hierChild7" presStyleCnt="0"/>
      <dgm:spPr/>
    </dgm:pt>
    <dgm:pt modelId="{7C8820B9-B716-43DD-AEE8-D4B3A101BC59}" type="pres">
      <dgm:prSet presAssocID="{7FF86A04-1DF9-43F9-BD34-2E95D87396F2}" presName="Name48" presStyleLbl="parChTrans1D3" presStyleIdx="1" presStyleCnt="2"/>
      <dgm:spPr/>
    </dgm:pt>
    <dgm:pt modelId="{9FB312AC-E09D-437E-A8B0-A3B63A9EC560}" type="pres">
      <dgm:prSet presAssocID="{DB26FD29-1DDF-47EB-BE77-176424603011}" presName="hierRoot2" presStyleCnt="0">
        <dgm:presLayoutVars>
          <dgm:hierBranch val="init"/>
        </dgm:presLayoutVars>
      </dgm:prSet>
      <dgm:spPr/>
    </dgm:pt>
    <dgm:pt modelId="{465FEF26-2273-4AA2-B3ED-D19AD747B417}" type="pres">
      <dgm:prSet presAssocID="{DB26FD29-1DDF-47EB-BE77-176424603011}" presName="rootComposite" presStyleCnt="0"/>
      <dgm:spPr/>
    </dgm:pt>
    <dgm:pt modelId="{A1B52DF1-BAC2-4340-A2EA-34893D7DEEFC}" type="pres">
      <dgm:prSet presAssocID="{DB26FD29-1DDF-47EB-BE77-176424603011}" presName="rootText" presStyleLbl="node3" presStyleIdx="1" presStyleCnt="2" custScaleX="120690" custScaleY="121640">
        <dgm:presLayoutVars>
          <dgm:chPref val="3"/>
        </dgm:presLayoutVars>
      </dgm:prSet>
      <dgm:spPr/>
    </dgm:pt>
    <dgm:pt modelId="{15AB31E4-47CF-42D7-80EE-1DDABCFC02F8}" type="pres">
      <dgm:prSet presAssocID="{DB26FD29-1DDF-47EB-BE77-176424603011}" presName="rootConnector" presStyleLbl="node3" presStyleIdx="1" presStyleCnt="2"/>
      <dgm:spPr/>
    </dgm:pt>
    <dgm:pt modelId="{E8A7A555-2280-4FC5-ADB0-E71DDFB5ECBC}" type="pres">
      <dgm:prSet presAssocID="{DB26FD29-1DDF-47EB-BE77-176424603011}" presName="hierChild4" presStyleCnt="0"/>
      <dgm:spPr/>
    </dgm:pt>
    <dgm:pt modelId="{A385222C-7E0D-4FEF-8F55-F83B29B4319C}" type="pres">
      <dgm:prSet presAssocID="{DB26FD29-1DDF-47EB-BE77-176424603011}" presName="hierChild5" presStyleCnt="0"/>
      <dgm:spPr/>
    </dgm:pt>
    <dgm:pt modelId="{7A3223FA-91C4-42F7-A8AD-F9782F08DE3D}" type="pres">
      <dgm:prSet presAssocID="{B3C36EC6-E6D2-48EB-93D2-1B797C1783E3}" presName="hierChild5" presStyleCnt="0"/>
      <dgm:spPr/>
    </dgm:pt>
    <dgm:pt modelId="{61217CE6-3F2F-4F6C-998F-99CB35C9E597}" type="pres">
      <dgm:prSet presAssocID="{71E073EC-8894-443B-8045-97F10AA594F8}" presName="Name37" presStyleLbl="parChTrans1D2" presStyleIdx="1" presStyleCnt="3"/>
      <dgm:spPr/>
    </dgm:pt>
    <dgm:pt modelId="{38109983-3405-4533-B2E5-A216F0A910BB}" type="pres">
      <dgm:prSet presAssocID="{4B6108BD-559A-490E-92B8-CD196D65FA35}" presName="hierRoot2" presStyleCnt="0">
        <dgm:presLayoutVars>
          <dgm:hierBranch val="init"/>
        </dgm:presLayoutVars>
      </dgm:prSet>
      <dgm:spPr/>
    </dgm:pt>
    <dgm:pt modelId="{E7B73658-49E5-46FC-A0C7-DE5035A98C6E}" type="pres">
      <dgm:prSet presAssocID="{4B6108BD-559A-490E-92B8-CD196D65FA35}" presName="rootComposite" presStyleCnt="0"/>
      <dgm:spPr/>
    </dgm:pt>
    <dgm:pt modelId="{8D120EE2-0537-42CD-B5BB-3E07D6CC24D6}" type="pres">
      <dgm:prSet presAssocID="{4B6108BD-559A-490E-92B8-CD196D65FA35}" presName="rootText" presStyleLbl="node2" presStyleIdx="1" presStyleCnt="3">
        <dgm:presLayoutVars>
          <dgm:chPref val="3"/>
        </dgm:presLayoutVars>
      </dgm:prSet>
      <dgm:spPr/>
    </dgm:pt>
    <dgm:pt modelId="{A6C0FD33-C8E4-4309-90F3-78A95AE5D809}" type="pres">
      <dgm:prSet presAssocID="{4B6108BD-559A-490E-92B8-CD196D65FA35}" presName="rootConnector" presStyleLbl="node2" presStyleIdx="1" presStyleCnt="3"/>
      <dgm:spPr/>
    </dgm:pt>
    <dgm:pt modelId="{2523E255-158B-42BD-AE35-296A208E1CB0}" type="pres">
      <dgm:prSet presAssocID="{4B6108BD-559A-490E-92B8-CD196D65FA35}" presName="hierChild4" presStyleCnt="0"/>
      <dgm:spPr/>
    </dgm:pt>
    <dgm:pt modelId="{1DC44E0C-2120-40A8-BC09-3983F3C7A2DF}" type="pres">
      <dgm:prSet presAssocID="{4B6108BD-559A-490E-92B8-CD196D65FA35}" presName="hierChild5" presStyleCnt="0"/>
      <dgm:spPr/>
    </dgm:pt>
    <dgm:pt modelId="{823DDA77-B4BA-41E7-B2AA-85F62A0C6298}" type="pres">
      <dgm:prSet presAssocID="{8A8DD29D-4134-49C2-8530-E13C84874684}" presName="Name37" presStyleLbl="parChTrans1D2" presStyleIdx="2" presStyleCnt="3"/>
      <dgm:spPr/>
    </dgm:pt>
    <dgm:pt modelId="{5A25EB92-CF6B-45A6-840D-A4EDA4EA8FC8}" type="pres">
      <dgm:prSet presAssocID="{033744EB-69C3-468D-9917-DB570EDC1B7D}" presName="hierRoot2" presStyleCnt="0">
        <dgm:presLayoutVars>
          <dgm:hierBranch val="init"/>
        </dgm:presLayoutVars>
      </dgm:prSet>
      <dgm:spPr/>
    </dgm:pt>
    <dgm:pt modelId="{BC00AD48-9DCA-4BFA-9A1D-689BCB42876D}" type="pres">
      <dgm:prSet presAssocID="{033744EB-69C3-468D-9917-DB570EDC1B7D}" presName="rootComposite" presStyleCnt="0"/>
      <dgm:spPr/>
    </dgm:pt>
    <dgm:pt modelId="{3557A66C-E3DD-4BCB-BE14-F8A8159BE67A}" type="pres">
      <dgm:prSet presAssocID="{033744EB-69C3-468D-9917-DB570EDC1B7D}" presName="rootText" presStyleLbl="node2" presStyleIdx="2" presStyleCnt="3">
        <dgm:presLayoutVars>
          <dgm:chPref val="3"/>
        </dgm:presLayoutVars>
      </dgm:prSet>
      <dgm:spPr/>
    </dgm:pt>
    <dgm:pt modelId="{C4E92F48-305C-403C-8512-280306691AAF}" type="pres">
      <dgm:prSet presAssocID="{033744EB-69C3-468D-9917-DB570EDC1B7D}" presName="rootConnector" presStyleLbl="node2" presStyleIdx="2" presStyleCnt="3"/>
      <dgm:spPr/>
    </dgm:pt>
    <dgm:pt modelId="{CF0B227B-A165-4AFC-9517-F43BD8080562}" type="pres">
      <dgm:prSet presAssocID="{033744EB-69C3-468D-9917-DB570EDC1B7D}" presName="hierChild4" presStyleCnt="0"/>
      <dgm:spPr/>
    </dgm:pt>
    <dgm:pt modelId="{456C545E-1632-4140-BD0B-2172CA28A98F}" type="pres">
      <dgm:prSet presAssocID="{033744EB-69C3-468D-9917-DB570EDC1B7D}" presName="hierChild5" presStyleCnt="0"/>
      <dgm:spPr/>
    </dgm:pt>
    <dgm:pt modelId="{E33A9388-B670-4031-928B-5D256FBD4F00}" type="pres">
      <dgm:prSet presAssocID="{92582C84-205B-4603-8373-D052D11E000A}" presName="hierChild3" presStyleCnt="0"/>
      <dgm:spPr/>
    </dgm:pt>
  </dgm:ptLst>
  <dgm:cxnLst>
    <dgm:cxn modelId="{774F440C-6C29-4671-A44C-60D239F4EDA0}" type="presOf" srcId="{B153AC3A-20EA-4935-936F-559321FDF220}" destId="{03A37DE8-70AB-4103-A2E4-A11651868360}" srcOrd="0" destOrd="0" presId="urn:microsoft.com/office/officeart/2005/8/layout/orgChart1"/>
    <dgm:cxn modelId="{29FABF16-5744-4DB7-8CDC-2F7E5BC4C782}" type="presOf" srcId="{7FF86A04-1DF9-43F9-BD34-2E95D87396F2}" destId="{7C8820B9-B716-43DD-AEE8-D4B3A101BC59}" srcOrd="0" destOrd="0" presId="urn:microsoft.com/office/officeart/2005/8/layout/orgChart1"/>
    <dgm:cxn modelId="{0CFFAD1C-B6F3-415D-B69B-E7E73DF6073B}" type="presOf" srcId="{DB136E12-8A97-4B23-AFE7-67340303F033}" destId="{EA366520-37C3-415A-983E-7CB0FB11879A}" srcOrd="0" destOrd="0" presId="urn:microsoft.com/office/officeart/2005/8/layout/orgChart1"/>
    <dgm:cxn modelId="{7A643C24-136A-4A3E-B932-268CB1110D47}" type="presOf" srcId="{B134E6FB-A459-42DC-B352-8DEF01C05FB2}" destId="{F788D547-78C7-4213-B4E7-BB00E54C750D}" srcOrd="0" destOrd="0" presId="urn:microsoft.com/office/officeart/2005/8/layout/orgChart1"/>
    <dgm:cxn modelId="{11C7162F-920B-47C4-B143-ED22CD8A6C3A}" type="presOf" srcId="{033744EB-69C3-468D-9917-DB570EDC1B7D}" destId="{3557A66C-E3DD-4BCB-BE14-F8A8159BE67A}" srcOrd="0" destOrd="0" presId="urn:microsoft.com/office/officeart/2005/8/layout/orgChart1"/>
    <dgm:cxn modelId="{ECF18830-447D-4E1D-9890-875FEF902E9D}" type="presOf" srcId="{92582C84-205B-4603-8373-D052D11E000A}" destId="{9F084BAD-23FF-4781-A486-A85FC9771C61}" srcOrd="0" destOrd="0" presId="urn:microsoft.com/office/officeart/2005/8/layout/orgChart1"/>
    <dgm:cxn modelId="{212E763B-6BB8-4CE5-93B9-E5825D0F44A8}" type="presOf" srcId="{4323CF44-B46C-4040-A911-8D08923518A6}" destId="{36B0B7B3-1CF7-435F-AAEC-D2212D4CCB6F}" srcOrd="0" destOrd="0" presId="urn:microsoft.com/office/officeart/2005/8/layout/orgChart1"/>
    <dgm:cxn modelId="{35A42E5C-0C8C-427C-992D-A91E9F2E6C0D}" srcId="{92582C84-205B-4603-8373-D052D11E000A}" destId="{B3C36EC6-E6D2-48EB-93D2-1B797C1783E3}" srcOrd="0" destOrd="0" parTransId="{4323CF44-B46C-4040-A911-8D08923518A6}" sibTransId="{0F564F02-CB0A-4A90-811B-C7218F0C274A}"/>
    <dgm:cxn modelId="{63141044-F5D3-480A-B048-B642D61B7E78}" type="presOf" srcId="{033744EB-69C3-468D-9917-DB570EDC1B7D}" destId="{C4E92F48-305C-403C-8512-280306691AAF}" srcOrd="1" destOrd="0" presId="urn:microsoft.com/office/officeart/2005/8/layout/orgChart1"/>
    <dgm:cxn modelId="{E7872B46-D339-4AA9-943A-2925B53776A4}" type="presOf" srcId="{8DC03A5C-4B2C-41A3-AEB5-8761350648F6}" destId="{A174B3C6-8A5A-4F52-A714-E2FEB6D07C6D}" srcOrd="0" destOrd="0" presId="urn:microsoft.com/office/officeart/2005/8/layout/orgChart1"/>
    <dgm:cxn modelId="{02048966-F0B4-414C-959A-3E4D513FD100}" type="presOf" srcId="{B3C36EC6-E6D2-48EB-93D2-1B797C1783E3}" destId="{0CC7E69D-1D84-4178-B338-CBE538B75BE7}" srcOrd="0" destOrd="0" presId="urn:microsoft.com/office/officeart/2005/8/layout/orgChart1"/>
    <dgm:cxn modelId="{64D21249-2246-4A70-B335-51B365DE1EBC}" type="presOf" srcId="{8A8DD29D-4134-49C2-8530-E13C84874684}" destId="{823DDA77-B4BA-41E7-B2AA-85F62A0C6298}" srcOrd="0" destOrd="0" presId="urn:microsoft.com/office/officeart/2005/8/layout/orgChart1"/>
    <dgm:cxn modelId="{700D5850-E313-4504-B34F-94388868CFB0}" type="presOf" srcId="{B3C36EC6-E6D2-48EB-93D2-1B797C1783E3}" destId="{FAF7C016-6BEE-4CB7-87A4-649540149D4D}" srcOrd="1" destOrd="0" presId="urn:microsoft.com/office/officeart/2005/8/layout/orgChart1"/>
    <dgm:cxn modelId="{A746F47F-0B8A-4AE5-8DF1-F7CD1B416FC9}" type="presOf" srcId="{B71962FC-E0F4-48BC-B581-11149872C09A}" destId="{1A3F14E4-4532-4D6E-8ACC-B25F0463720D}" srcOrd="1" destOrd="0" presId="urn:microsoft.com/office/officeart/2005/8/layout/orgChart1"/>
    <dgm:cxn modelId="{684A8088-E0D9-4BFF-A505-162BB2251AD7}" type="presOf" srcId="{387B2A2C-C9C3-4F6D-88C4-ABCC271791E0}" destId="{D2591F4E-4A1E-4130-8981-CC36DC97D908}" srcOrd="0" destOrd="0" presId="urn:microsoft.com/office/officeart/2005/8/layout/orgChart1"/>
    <dgm:cxn modelId="{C7761E8F-691B-4021-BCA7-C1167EF6EED6}" srcId="{92582C84-205B-4603-8373-D052D11E000A}" destId="{4B6108BD-559A-490E-92B8-CD196D65FA35}" srcOrd="1" destOrd="0" parTransId="{71E073EC-8894-443B-8045-97F10AA594F8}" sibTransId="{7CDC6735-ECDF-413F-AF4D-3847E486202C}"/>
    <dgm:cxn modelId="{19ADED95-CC04-477E-B497-E0AC531CB8D2}" srcId="{B71962FC-E0F4-48BC-B581-11149872C09A}" destId="{B134E6FB-A459-42DC-B352-8DEF01C05FB2}" srcOrd="0" destOrd="0" parTransId="{DB136E12-8A97-4B23-AFE7-67340303F033}" sibTransId="{87768A42-AF45-4B80-9D26-19C20552F3B3}"/>
    <dgm:cxn modelId="{F6CF65A7-05FA-4525-8430-98C0B66A65CF}" type="presOf" srcId="{B134E6FB-A459-42DC-B352-8DEF01C05FB2}" destId="{59E6745A-34AC-444A-B67E-53C92941F6CE}" srcOrd="1" destOrd="0" presId="urn:microsoft.com/office/officeart/2005/8/layout/orgChart1"/>
    <dgm:cxn modelId="{FC1EC0BB-553B-4CEE-BF26-64DCD62F282B}" type="presOf" srcId="{4B6108BD-559A-490E-92B8-CD196D65FA35}" destId="{A6C0FD33-C8E4-4309-90F3-78A95AE5D809}" srcOrd="1" destOrd="0" presId="urn:microsoft.com/office/officeart/2005/8/layout/orgChart1"/>
    <dgm:cxn modelId="{55B00EBC-73E2-4413-AAB6-ACB112C0BB8C}" type="presOf" srcId="{92582C84-205B-4603-8373-D052D11E000A}" destId="{B50E6F57-4C6C-4B78-BBF4-3B320F49D1FF}" srcOrd="1" destOrd="0" presId="urn:microsoft.com/office/officeart/2005/8/layout/orgChart1"/>
    <dgm:cxn modelId="{68643EBC-871B-49A4-9104-658A04CE80D0}" srcId="{92582C84-205B-4603-8373-D052D11E000A}" destId="{033744EB-69C3-468D-9917-DB570EDC1B7D}" srcOrd="2" destOrd="0" parTransId="{8A8DD29D-4134-49C2-8530-E13C84874684}" sibTransId="{60BFF6F0-FEE4-422B-971E-53ECE802D5A5}"/>
    <dgm:cxn modelId="{D56A7EBF-5DAA-4135-8BD1-2C5AFA5D71C0}" srcId="{387B2A2C-C9C3-4F6D-88C4-ABCC271791E0}" destId="{92582C84-205B-4603-8373-D052D11E000A}" srcOrd="0" destOrd="0" parTransId="{124113DA-8CB4-4276-B4CB-04440006B2B7}" sibTransId="{D50ECF94-1FC7-4517-8806-550D9E0B6B64}"/>
    <dgm:cxn modelId="{89F3AAC1-BDE9-4783-B822-6C6571D6FC02}" srcId="{B71962FC-E0F4-48BC-B581-11149872C09A}" destId="{BFD8DAEE-726B-4D35-9510-365ECBC4D9A6}" srcOrd="1" destOrd="0" parTransId="{B153AC3A-20EA-4935-936F-559321FDF220}" sibTransId="{E730A177-5726-4A40-8F0E-81C3D7694799}"/>
    <dgm:cxn modelId="{7E8B74C5-5216-4C62-9C10-19A7CC86CE8E}" srcId="{B3C36EC6-E6D2-48EB-93D2-1B797C1783E3}" destId="{B71962FC-E0F4-48BC-B581-11149872C09A}" srcOrd="0" destOrd="0" parTransId="{8DC03A5C-4B2C-41A3-AEB5-8761350648F6}" sibTransId="{33BB6175-1B07-49E8-8EE7-39FA158D5A65}"/>
    <dgm:cxn modelId="{93DE52D7-C3DC-4543-BDBD-4CFA40128A38}" type="presOf" srcId="{4B6108BD-559A-490E-92B8-CD196D65FA35}" destId="{8D120EE2-0537-42CD-B5BB-3E07D6CC24D6}" srcOrd="0" destOrd="0" presId="urn:microsoft.com/office/officeart/2005/8/layout/orgChart1"/>
    <dgm:cxn modelId="{96D47EE8-8AC7-481C-85EF-A5C85E88D8DA}" type="presOf" srcId="{B71962FC-E0F4-48BC-B581-11149872C09A}" destId="{8D1ABD49-A61C-48C2-9CFD-B667821831FF}" srcOrd="0" destOrd="0" presId="urn:microsoft.com/office/officeart/2005/8/layout/orgChart1"/>
    <dgm:cxn modelId="{791361EB-03DD-445C-BFE8-632F733FA601}" type="presOf" srcId="{BFD8DAEE-726B-4D35-9510-365ECBC4D9A6}" destId="{B5373286-BAF7-4253-9AA9-0402EF007083}" srcOrd="1" destOrd="0" presId="urn:microsoft.com/office/officeart/2005/8/layout/orgChart1"/>
    <dgm:cxn modelId="{2267C9F0-3AAE-4804-9FA2-044DC023B9CA}" type="presOf" srcId="{71E073EC-8894-443B-8045-97F10AA594F8}" destId="{61217CE6-3F2F-4F6C-998F-99CB35C9E597}" srcOrd="0" destOrd="0" presId="urn:microsoft.com/office/officeart/2005/8/layout/orgChart1"/>
    <dgm:cxn modelId="{6A7D1AF1-AA3E-4D48-90C2-80372D732652}" type="presOf" srcId="{BFD8DAEE-726B-4D35-9510-365ECBC4D9A6}" destId="{A12C6064-6414-42D0-8282-5C227EA1911C}" srcOrd="0" destOrd="0" presId="urn:microsoft.com/office/officeart/2005/8/layout/orgChart1"/>
    <dgm:cxn modelId="{E56F14F8-4579-4A43-9455-218597A93DD7}" type="presOf" srcId="{DB26FD29-1DDF-47EB-BE77-176424603011}" destId="{15AB31E4-47CF-42D7-80EE-1DDABCFC02F8}" srcOrd="1" destOrd="0" presId="urn:microsoft.com/office/officeart/2005/8/layout/orgChart1"/>
    <dgm:cxn modelId="{F5BF99FB-47D0-43D8-8F56-AEF7DEE21E4D}" srcId="{B3C36EC6-E6D2-48EB-93D2-1B797C1783E3}" destId="{DB26FD29-1DDF-47EB-BE77-176424603011}" srcOrd="1" destOrd="0" parTransId="{7FF86A04-1DF9-43F9-BD34-2E95D87396F2}" sibTransId="{2AC6E4EF-44DC-49FC-A12A-38559AAA5D4C}"/>
    <dgm:cxn modelId="{462C49FD-DD23-41E0-9B6E-98399F91CCCC}" type="presOf" srcId="{DB26FD29-1DDF-47EB-BE77-176424603011}" destId="{A1B52DF1-BAC2-4340-A2EA-34893D7DEEFC}" srcOrd="0" destOrd="0" presId="urn:microsoft.com/office/officeart/2005/8/layout/orgChart1"/>
    <dgm:cxn modelId="{8E2F0445-87C3-4F35-8BB3-26CD71BA8C33}" type="presParOf" srcId="{D2591F4E-4A1E-4130-8981-CC36DC97D908}" destId="{620B4E7A-1146-457B-B14B-4B6BF97CC12C}" srcOrd="0" destOrd="0" presId="urn:microsoft.com/office/officeart/2005/8/layout/orgChart1"/>
    <dgm:cxn modelId="{E4F4162A-16BA-4AA7-AA97-925B38ECA70F}" type="presParOf" srcId="{620B4E7A-1146-457B-B14B-4B6BF97CC12C}" destId="{E257C9A0-5772-4005-A183-3605A4A6A4E3}" srcOrd="0" destOrd="0" presId="urn:microsoft.com/office/officeart/2005/8/layout/orgChart1"/>
    <dgm:cxn modelId="{D28E07FB-BF1D-40F3-AB03-DC4E2EF13A6A}" type="presParOf" srcId="{E257C9A0-5772-4005-A183-3605A4A6A4E3}" destId="{9F084BAD-23FF-4781-A486-A85FC9771C61}" srcOrd="0" destOrd="0" presId="urn:microsoft.com/office/officeart/2005/8/layout/orgChart1"/>
    <dgm:cxn modelId="{8B861A1F-C869-4D12-B63B-3ED0C0E81295}" type="presParOf" srcId="{E257C9A0-5772-4005-A183-3605A4A6A4E3}" destId="{B50E6F57-4C6C-4B78-BBF4-3B320F49D1FF}" srcOrd="1" destOrd="0" presId="urn:microsoft.com/office/officeart/2005/8/layout/orgChart1"/>
    <dgm:cxn modelId="{71D4FBF0-E742-4C8B-A413-42CC34FAA8F1}" type="presParOf" srcId="{620B4E7A-1146-457B-B14B-4B6BF97CC12C}" destId="{9F04FBCC-3807-4AD4-A39E-4AA666B85941}" srcOrd="1" destOrd="0" presId="urn:microsoft.com/office/officeart/2005/8/layout/orgChart1"/>
    <dgm:cxn modelId="{F11EFE20-79F2-4D2E-A960-D800C55B26AA}" type="presParOf" srcId="{9F04FBCC-3807-4AD4-A39E-4AA666B85941}" destId="{36B0B7B3-1CF7-435F-AAEC-D2212D4CCB6F}" srcOrd="0" destOrd="0" presId="urn:microsoft.com/office/officeart/2005/8/layout/orgChart1"/>
    <dgm:cxn modelId="{38C8E729-ABDF-49B4-9480-86D569BD3A74}" type="presParOf" srcId="{9F04FBCC-3807-4AD4-A39E-4AA666B85941}" destId="{57B116C2-5711-44FE-875F-389E6E4DF0B0}" srcOrd="1" destOrd="0" presId="urn:microsoft.com/office/officeart/2005/8/layout/orgChart1"/>
    <dgm:cxn modelId="{48019030-C1A7-4F43-9E1F-82B4DA16469D}" type="presParOf" srcId="{57B116C2-5711-44FE-875F-389E6E4DF0B0}" destId="{A4C418D3-A5FB-4EC8-A4AB-50F7A9DF0FBB}" srcOrd="0" destOrd="0" presId="urn:microsoft.com/office/officeart/2005/8/layout/orgChart1"/>
    <dgm:cxn modelId="{5F953FF4-DD82-4281-AFCC-A337AF9B5DB4}" type="presParOf" srcId="{A4C418D3-A5FB-4EC8-A4AB-50F7A9DF0FBB}" destId="{0CC7E69D-1D84-4178-B338-CBE538B75BE7}" srcOrd="0" destOrd="0" presId="urn:microsoft.com/office/officeart/2005/8/layout/orgChart1"/>
    <dgm:cxn modelId="{6E305ABB-7C00-4C32-9803-BDEA9205BFF8}" type="presParOf" srcId="{A4C418D3-A5FB-4EC8-A4AB-50F7A9DF0FBB}" destId="{FAF7C016-6BEE-4CB7-87A4-649540149D4D}" srcOrd="1" destOrd="0" presId="urn:microsoft.com/office/officeart/2005/8/layout/orgChart1"/>
    <dgm:cxn modelId="{B0567498-9A53-4948-BBA1-55A6B5335BFA}" type="presParOf" srcId="{57B116C2-5711-44FE-875F-389E6E4DF0B0}" destId="{0C6C0424-044B-42D6-9D55-E8DAD089A400}" srcOrd="1" destOrd="0" presId="urn:microsoft.com/office/officeart/2005/8/layout/orgChart1"/>
    <dgm:cxn modelId="{30BD4B8A-B27B-4A4C-86ED-AEB322F03919}" type="presParOf" srcId="{0C6C0424-044B-42D6-9D55-E8DAD089A400}" destId="{A174B3C6-8A5A-4F52-A714-E2FEB6D07C6D}" srcOrd="0" destOrd="0" presId="urn:microsoft.com/office/officeart/2005/8/layout/orgChart1"/>
    <dgm:cxn modelId="{C9D4624F-0388-42CC-9D93-D68A08F47630}" type="presParOf" srcId="{0C6C0424-044B-42D6-9D55-E8DAD089A400}" destId="{A1FE0FBD-E625-4FAF-BDF7-84365A319AB0}" srcOrd="1" destOrd="0" presId="urn:microsoft.com/office/officeart/2005/8/layout/orgChart1"/>
    <dgm:cxn modelId="{B6B5C822-5617-4931-BA83-EA006696ED6E}" type="presParOf" srcId="{A1FE0FBD-E625-4FAF-BDF7-84365A319AB0}" destId="{1142006E-29DF-4717-B424-75593BC05586}" srcOrd="0" destOrd="0" presId="urn:microsoft.com/office/officeart/2005/8/layout/orgChart1"/>
    <dgm:cxn modelId="{74AD5DD9-54FB-4E6A-8688-05770397C1C5}" type="presParOf" srcId="{1142006E-29DF-4717-B424-75593BC05586}" destId="{8D1ABD49-A61C-48C2-9CFD-B667821831FF}" srcOrd="0" destOrd="0" presId="urn:microsoft.com/office/officeart/2005/8/layout/orgChart1"/>
    <dgm:cxn modelId="{ED8DF4F6-BD41-48A0-AD88-9B7054328A6D}" type="presParOf" srcId="{1142006E-29DF-4717-B424-75593BC05586}" destId="{1A3F14E4-4532-4D6E-8ACC-B25F0463720D}" srcOrd="1" destOrd="0" presId="urn:microsoft.com/office/officeart/2005/8/layout/orgChart1"/>
    <dgm:cxn modelId="{59500124-E95E-45AF-A414-F517592ECB31}" type="presParOf" srcId="{A1FE0FBD-E625-4FAF-BDF7-84365A319AB0}" destId="{CE97EAF7-1B3F-49F6-9775-C096BEF01722}" srcOrd="1" destOrd="0" presId="urn:microsoft.com/office/officeart/2005/8/layout/orgChart1"/>
    <dgm:cxn modelId="{69777C3B-35D4-4BD8-88FB-98D71BCBAEEE}" type="presParOf" srcId="{A1FE0FBD-E625-4FAF-BDF7-84365A319AB0}" destId="{1B680049-756B-46E0-A981-EC28CCEC8989}" srcOrd="2" destOrd="0" presId="urn:microsoft.com/office/officeart/2005/8/layout/orgChart1"/>
    <dgm:cxn modelId="{FA4D7171-4958-4CA6-BBD9-09DC0B0040DF}" type="presParOf" srcId="{1B680049-756B-46E0-A981-EC28CCEC8989}" destId="{EA366520-37C3-415A-983E-7CB0FB11879A}" srcOrd="0" destOrd="0" presId="urn:microsoft.com/office/officeart/2005/8/layout/orgChart1"/>
    <dgm:cxn modelId="{51E942C8-FEC7-4A22-9845-31DA72A52C7E}" type="presParOf" srcId="{1B680049-756B-46E0-A981-EC28CCEC8989}" destId="{D0D2405F-B968-43EB-8770-AFCA87557EBE}" srcOrd="1" destOrd="0" presId="urn:microsoft.com/office/officeart/2005/8/layout/orgChart1"/>
    <dgm:cxn modelId="{99591D9D-D21D-4366-829E-F239DFEE2149}" type="presParOf" srcId="{D0D2405F-B968-43EB-8770-AFCA87557EBE}" destId="{F746ECE9-E183-4339-898E-9831720C7C21}" srcOrd="0" destOrd="0" presId="urn:microsoft.com/office/officeart/2005/8/layout/orgChart1"/>
    <dgm:cxn modelId="{B9CBE816-9603-417A-A737-24BD749EE5F7}" type="presParOf" srcId="{F746ECE9-E183-4339-898E-9831720C7C21}" destId="{F788D547-78C7-4213-B4E7-BB00E54C750D}" srcOrd="0" destOrd="0" presId="urn:microsoft.com/office/officeart/2005/8/layout/orgChart1"/>
    <dgm:cxn modelId="{8E7C0D35-724F-4C6D-B59B-0E3F9B2608D3}" type="presParOf" srcId="{F746ECE9-E183-4339-898E-9831720C7C21}" destId="{59E6745A-34AC-444A-B67E-53C92941F6CE}" srcOrd="1" destOrd="0" presId="urn:microsoft.com/office/officeart/2005/8/layout/orgChart1"/>
    <dgm:cxn modelId="{EB18E6BC-4149-45D4-8439-7D834C60571D}" type="presParOf" srcId="{D0D2405F-B968-43EB-8770-AFCA87557EBE}" destId="{A4943518-8615-4ED2-AB36-8B48241A804E}" srcOrd="1" destOrd="0" presId="urn:microsoft.com/office/officeart/2005/8/layout/orgChart1"/>
    <dgm:cxn modelId="{2ADFEAC6-8971-4511-81F8-82D458DFAF36}" type="presParOf" srcId="{D0D2405F-B968-43EB-8770-AFCA87557EBE}" destId="{7C8E78EE-3775-47DE-8B4C-F8108925A4B2}" srcOrd="2" destOrd="0" presId="urn:microsoft.com/office/officeart/2005/8/layout/orgChart1"/>
    <dgm:cxn modelId="{9CDC5ECC-A9D7-46DB-967A-9B44D8E4B88D}" type="presParOf" srcId="{1B680049-756B-46E0-A981-EC28CCEC8989}" destId="{03A37DE8-70AB-4103-A2E4-A11651868360}" srcOrd="2" destOrd="0" presId="urn:microsoft.com/office/officeart/2005/8/layout/orgChart1"/>
    <dgm:cxn modelId="{CD7C92A8-4D85-43D1-A964-EC48CE28ACED}" type="presParOf" srcId="{1B680049-756B-46E0-A981-EC28CCEC8989}" destId="{BC74DDF3-1F9F-4B47-8904-CFFDE97103C6}" srcOrd="3" destOrd="0" presId="urn:microsoft.com/office/officeart/2005/8/layout/orgChart1"/>
    <dgm:cxn modelId="{275120D2-679C-4F6C-AF4E-A392D017A2E1}" type="presParOf" srcId="{BC74DDF3-1F9F-4B47-8904-CFFDE97103C6}" destId="{B709A513-4CA1-45A1-BCCE-7FAAC3E1A765}" srcOrd="0" destOrd="0" presId="urn:microsoft.com/office/officeart/2005/8/layout/orgChart1"/>
    <dgm:cxn modelId="{23DBC20C-242C-46F1-99E9-8CDE96C36E04}" type="presParOf" srcId="{B709A513-4CA1-45A1-BCCE-7FAAC3E1A765}" destId="{A12C6064-6414-42D0-8282-5C227EA1911C}" srcOrd="0" destOrd="0" presId="urn:microsoft.com/office/officeart/2005/8/layout/orgChart1"/>
    <dgm:cxn modelId="{5F934767-81BD-45BB-AED3-513C310104E5}" type="presParOf" srcId="{B709A513-4CA1-45A1-BCCE-7FAAC3E1A765}" destId="{B5373286-BAF7-4253-9AA9-0402EF007083}" srcOrd="1" destOrd="0" presId="urn:microsoft.com/office/officeart/2005/8/layout/orgChart1"/>
    <dgm:cxn modelId="{55CEEA4E-B029-4107-8416-96744E4DCFA5}" type="presParOf" srcId="{BC74DDF3-1F9F-4B47-8904-CFFDE97103C6}" destId="{54B6F6F8-37D8-4E3D-8BF2-BEBCDEE1EF51}" srcOrd="1" destOrd="0" presId="urn:microsoft.com/office/officeart/2005/8/layout/orgChart1"/>
    <dgm:cxn modelId="{F40E5A3F-A0F1-4060-99AF-2464781BE302}" type="presParOf" srcId="{BC74DDF3-1F9F-4B47-8904-CFFDE97103C6}" destId="{E4940025-1902-4DD5-90C1-6B33DEEBB03C}" srcOrd="2" destOrd="0" presId="urn:microsoft.com/office/officeart/2005/8/layout/orgChart1"/>
    <dgm:cxn modelId="{8344590F-3074-4894-8FCC-551426DC8900}" type="presParOf" srcId="{0C6C0424-044B-42D6-9D55-E8DAD089A400}" destId="{7C8820B9-B716-43DD-AEE8-D4B3A101BC59}" srcOrd="2" destOrd="0" presId="urn:microsoft.com/office/officeart/2005/8/layout/orgChart1"/>
    <dgm:cxn modelId="{C1EEB273-F2B3-4321-AA55-DE6036F4866E}" type="presParOf" srcId="{0C6C0424-044B-42D6-9D55-E8DAD089A400}" destId="{9FB312AC-E09D-437E-A8B0-A3B63A9EC560}" srcOrd="3" destOrd="0" presId="urn:microsoft.com/office/officeart/2005/8/layout/orgChart1"/>
    <dgm:cxn modelId="{FD3AC9A3-EE51-49E9-8059-F629CD739B5B}" type="presParOf" srcId="{9FB312AC-E09D-437E-A8B0-A3B63A9EC560}" destId="{465FEF26-2273-4AA2-B3ED-D19AD747B417}" srcOrd="0" destOrd="0" presId="urn:microsoft.com/office/officeart/2005/8/layout/orgChart1"/>
    <dgm:cxn modelId="{CB0F9CAD-B64B-41E8-A4FE-E82B4606CE44}" type="presParOf" srcId="{465FEF26-2273-4AA2-B3ED-D19AD747B417}" destId="{A1B52DF1-BAC2-4340-A2EA-34893D7DEEFC}" srcOrd="0" destOrd="0" presId="urn:microsoft.com/office/officeart/2005/8/layout/orgChart1"/>
    <dgm:cxn modelId="{8390CEBD-377D-48C1-A7F6-F391BFEC79E3}" type="presParOf" srcId="{465FEF26-2273-4AA2-B3ED-D19AD747B417}" destId="{15AB31E4-47CF-42D7-80EE-1DDABCFC02F8}" srcOrd="1" destOrd="0" presId="urn:microsoft.com/office/officeart/2005/8/layout/orgChart1"/>
    <dgm:cxn modelId="{B07A5252-40AB-401D-B021-CB70BD03EDA6}" type="presParOf" srcId="{9FB312AC-E09D-437E-A8B0-A3B63A9EC560}" destId="{E8A7A555-2280-4FC5-ADB0-E71DDFB5ECBC}" srcOrd="1" destOrd="0" presId="urn:microsoft.com/office/officeart/2005/8/layout/orgChart1"/>
    <dgm:cxn modelId="{4F8F4278-A0E1-41AF-B8A3-40A420AD4922}" type="presParOf" srcId="{9FB312AC-E09D-437E-A8B0-A3B63A9EC560}" destId="{A385222C-7E0D-4FEF-8F55-F83B29B4319C}" srcOrd="2" destOrd="0" presId="urn:microsoft.com/office/officeart/2005/8/layout/orgChart1"/>
    <dgm:cxn modelId="{DC53DBAA-3BB8-434E-97AF-8D897A8E8777}" type="presParOf" srcId="{57B116C2-5711-44FE-875F-389E6E4DF0B0}" destId="{7A3223FA-91C4-42F7-A8AD-F9782F08DE3D}" srcOrd="2" destOrd="0" presId="urn:microsoft.com/office/officeart/2005/8/layout/orgChart1"/>
    <dgm:cxn modelId="{68D200FF-0FCE-4C65-A298-0484C263598B}" type="presParOf" srcId="{9F04FBCC-3807-4AD4-A39E-4AA666B85941}" destId="{61217CE6-3F2F-4F6C-998F-99CB35C9E597}" srcOrd="2" destOrd="0" presId="urn:microsoft.com/office/officeart/2005/8/layout/orgChart1"/>
    <dgm:cxn modelId="{B62209B2-3198-477C-A57F-2A788553BE4B}" type="presParOf" srcId="{9F04FBCC-3807-4AD4-A39E-4AA666B85941}" destId="{38109983-3405-4533-B2E5-A216F0A910BB}" srcOrd="3" destOrd="0" presId="urn:microsoft.com/office/officeart/2005/8/layout/orgChart1"/>
    <dgm:cxn modelId="{7B223D27-07CF-4E3D-8A02-0986FF19786E}" type="presParOf" srcId="{38109983-3405-4533-B2E5-A216F0A910BB}" destId="{E7B73658-49E5-46FC-A0C7-DE5035A98C6E}" srcOrd="0" destOrd="0" presId="urn:microsoft.com/office/officeart/2005/8/layout/orgChart1"/>
    <dgm:cxn modelId="{BC41CCEC-5835-46A5-8117-2E9759EE1E65}" type="presParOf" srcId="{E7B73658-49E5-46FC-A0C7-DE5035A98C6E}" destId="{8D120EE2-0537-42CD-B5BB-3E07D6CC24D6}" srcOrd="0" destOrd="0" presId="urn:microsoft.com/office/officeart/2005/8/layout/orgChart1"/>
    <dgm:cxn modelId="{7E43DEC0-3962-4CDD-A4EA-90F377EAB343}" type="presParOf" srcId="{E7B73658-49E5-46FC-A0C7-DE5035A98C6E}" destId="{A6C0FD33-C8E4-4309-90F3-78A95AE5D809}" srcOrd="1" destOrd="0" presId="urn:microsoft.com/office/officeart/2005/8/layout/orgChart1"/>
    <dgm:cxn modelId="{EABE9082-408E-44ED-9516-6D075EFA4057}" type="presParOf" srcId="{38109983-3405-4533-B2E5-A216F0A910BB}" destId="{2523E255-158B-42BD-AE35-296A208E1CB0}" srcOrd="1" destOrd="0" presId="urn:microsoft.com/office/officeart/2005/8/layout/orgChart1"/>
    <dgm:cxn modelId="{C83800E3-2040-4B7A-BAC4-CDD3B47F26F8}" type="presParOf" srcId="{38109983-3405-4533-B2E5-A216F0A910BB}" destId="{1DC44E0C-2120-40A8-BC09-3983F3C7A2DF}" srcOrd="2" destOrd="0" presId="urn:microsoft.com/office/officeart/2005/8/layout/orgChart1"/>
    <dgm:cxn modelId="{0CB10CB4-E422-4175-82BF-4CA642837F0F}" type="presParOf" srcId="{9F04FBCC-3807-4AD4-A39E-4AA666B85941}" destId="{823DDA77-B4BA-41E7-B2AA-85F62A0C6298}" srcOrd="4" destOrd="0" presId="urn:microsoft.com/office/officeart/2005/8/layout/orgChart1"/>
    <dgm:cxn modelId="{ACFD0928-69A3-4316-B181-71A07E45BD68}" type="presParOf" srcId="{9F04FBCC-3807-4AD4-A39E-4AA666B85941}" destId="{5A25EB92-CF6B-45A6-840D-A4EDA4EA8FC8}" srcOrd="5" destOrd="0" presId="urn:microsoft.com/office/officeart/2005/8/layout/orgChart1"/>
    <dgm:cxn modelId="{62E54420-C441-4AD7-8123-605083996680}" type="presParOf" srcId="{5A25EB92-CF6B-45A6-840D-A4EDA4EA8FC8}" destId="{BC00AD48-9DCA-4BFA-9A1D-689BCB42876D}" srcOrd="0" destOrd="0" presId="urn:microsoft.com/office/officeart/2005/8/layout/orgChart1"/>
    <dgm:cxn modelId="{5AF1B2C8-E338-4DF0-9580-A73653B565F1}" type="presParOf" srcId="{BC00AD48-9DCA-4BFA-9A1D-689BCB42876D}" destId="{3557A66C-E3DD-4BCB-BE14-F8A8159BE67A}" srcOrd="0" destOrd="0" presId="urn:microsoft.com/office/officeart/2005/8/layout/orgChart1"/>
    <dgm:cxn modelId="{967C972E-4764-42A8-83BF-70097DE2F82D}" type="presParOf" srcId="{BC00AD48-9DCA-4BFA-9A1D-689BCB42876D}" destId="{C4E92F48-305C-403C-8512-280306691AAF}" srcOrd="1" destOrd="0" presId="urn:microsoft.com/office/officeart/2005/8/layout/orgChart1"/>
    <dgm:cxn modelId="{C4D22B5E-CA59-43F3-B29C-1618FB532A7A}" type="presParOf" srcId="{5A25EB92-CF6B-45A6-840D-A4EDA4EA8FC8}" destId="{CF0B227B-A165-4AFC-9517-F43BD8080562}" srcOrd="1" destOrd="0" presId="urn:microsoft.com/office/officeart/2005/8/layout/orgChart1"/>
    <dgm:cxn modelId="{DBC42764-2EBC-431D-8B96-9A24B6716A8E}" type="presParOf" srcId="{5A25EB92-CF6B-45A6-840D-A4EDA4EA8FC8}" destId="{456C545E-1632-4140-BD0B-2172CA28A98F}" srcOrd="2" destOrd="0" presId="urn:microsoft.com/office/officeart/2005/8/layout/orgChart1"/>
    <dgm:cxn modelId="{2EEA5E63-8EF2-4455-838E-B34E03F82864}" type="presParOf" srcId="{620B4E7A-1146-457B-B14B-4B6BF97CC12C}" destId="{E33A9388-B670-4031-928B-5D256FBD4F0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78B04E-7401-4003-BD8E-1DFBDBF76626}" type="doc">
      <dgm:prSet loTypeId="urn:microsoft.com/office/officeart/2005/8/layout/process1" loCatId="process" qsTypeId="urn:microsoft.com/office/officeart/2005/8/quickstyle/simple3" qsCatId="simple" csTypeId="urn:microsoft.com/office/officeart/2005/8/colors/accent2_5" csCatId="accent2" phldr="1"/>
      <dgm:spPr/>
    </dgm:pt>
    <dgm:pt modelId="{3957FCFD-C24F-48DD-8996-F6135E988AE8}">
      <dgm:prSet phldrT="[Text]" custT="1"/>
      <dgm:spPr/>
      <dgm:t>
        <a:bodyPr/>
        <a:lstStyle/>
        <a:p>
          <a:pPr algn="r">
            <a:spcBef>
              <a:spcPts val="0"/>
            </a:spcBef>
          </a:pPr>
          <a:r>
            <a:rPr lang="he-IL" sz="900">
              <a:latin typeface="David" panose="020E0502060401010101" pitchFamily="34" charset="-79"/>
              <a:cs typeface="David" panose="020E0502060401010101" pitchFamily="34" charset="-79"/>
            </a:rPr>
            <a:t>ישנן עבירות שמכילות לכאורה אי דיווח. ההבדל בהגדרות העבירות ובעונש המקסימלי המושת על המבצע בכל אחת מהן שונה מאוד ונע בין 3 חודשים לתשע שנות מאסר, לכן נרצה להבחין ביניהן כראוי </a:t>
          </a:r>
          <a:endParaRPr lang="en-US" sz="900">
            <a:latin typeface="David" panose="020E0502060401010101" pitchFamily="34" charset="-79"/>
            <a:cs typeface="David" panose="020E0502060401010101" pitchFamily="34" charset="-79"/>
          </a:endParaRPr>
        </a:p>
      </dgm:t>
    </dgm:pt>
    <dgm:pt modelId="{E3756070-785D-4F31-8E45-ED4DF5639516}" type="parTrans" cxnId="{903D1CA1-0C59-486F-B901-6FCDC3A8A5AE}">
      <dgm:prSet/>
      <dgm:spPr/>
      <dgm:t>
        <a:bodyPr/>
        <a:lstStyle/>
        <a:p>
          <a:endParaRPr lang="en-US"/>
        </a:p>
      </dgm:t>
    </dgm:pt>
    <dgm:pt modelId="{08E4860E-DEF0-40E0-A827-44703FA49315}" type="sibTrans" cxnId="{903D1CA1-0C59-486F-B901-6FCDC3A8A5AE}">
      <dgm:prSet/>
      <dgm:spPr/>
      <dgm:t>
        <a:bodyPr/>
        <a:lstStyle/>
        <a:p>
          <a:endParaRPr lang="en-US"/>
        </a:p>
      </dgm:t>
    </dgm:pt>
    <dgm:pt modelId="{9470B52E-0CC6-4E8C-BECC-8BBE60C2A259}">
      <dgm:prSet phldrT="[Text]" custT="1"/>
      <dgm:spPr/>
      <dgm:t>
        <a:bodyPr/>
        <a:lstStyle/>
        <a:p>
          <a:pPr algn="ctr" rtl="1"/>
          <a:r>
            <a:rPr lang="he-IL" sz="900" u="sng">
              <a:latin typeface="David" panose="020E0502060401010101" pitchFamily="34" charset="-79"/>
              <a:cs typeface="David" panose="020E0502060401010101" pitchFamily="34" charset="-79"/>
            </a:rPr>
            <a:t>נעמוד על ההבדלים בין העבירות השכנות לבין אי- דיווח:</a:t>
          </a:r>
        </a:p>
        <a:p>
          <a:pPr algn="r" rtl="1"/>
          <a:r>
            <a:rPr lang="he-IL" sz="900" b="1">
              <a:latin typeface="David" panose="020E0502060401010101" pitchFamily="34" charset="-79"/>
              <a:cs typeface="David" panose="020E0502060401010101" pitchFamily="34" charset="-79"/>
            </a:rPr>
            <a:t>ס' 262 - אי מניעת פשע:</a:t>
          </a:r>
          <a:r>
            <a:rPr lang="en-US" sz="900" b="1">
              <a:latin typeface="David" panose="020E0502060401010101" pitchFamily="34" charset="-79"/>
              <a:cs typeface="David" panose="020E0502060401010101" pitchFamily="34" charset="-79"/>
            </a:rPr>
            <a:t> </a:t>
          </a:r>
          <a:r>
            <a:rPr lang="he-IL" sz="900" b="1">
              <a:latin typeface="David" panose="020E0502060401010101" pitchFamily="34" charset="-79"/>
              <a:cs typeface="David" panose="020E0502060401010101" pitchFamily="34" charset="-79"/>
            </a:rPr>
            <a:t> </a:t>
          </a:r>
          <a:r>
            <a:rPr lang="he-IL" sz="900">
              <a:latin typeface="David" panose="020E0502060401010101" pitchFamily="34" charset="-79"/>
              <a:cs typeface="David" panose="020E0502060401010101" pitchFamily="34" charset="-79"/>
            </a:rPr>
            <a:t>פה מדובר על עבירת מחשבה פלילית, בעוד שאי דיווח זוהי עבירת רשלנות - תמוה להכליל כאי דיווח. סעיף זה כללי ביחס לחובת הדיווח, שמהווה ס' ספציפי.</a:t>
          </a:r>
        </a:p>
        <a:p>
          <a:pPr algn="r" rtl="1"/>
          <a:r>
            <a:rPr lang="he-IL" sz="900" b="1">
              <a:latin typeface="David" panose="020E0502060401010101" pitchFamily="34" charset="-79"/>
              <a:cs typeface="David" panose="020E0502060401010101" pitchFamily="34" charset="-79"/>
            </a:rPr>
            <a:t>ס' 323 - חובת הורה או אחראי - </a:t>
          </a:r>
          <a:r>
            <a:rPr lang="he-IL" sz="900">
              <a:latin typeface="David" panose="020E0502060401010101" pitchFamily="34" charset="-79"/>
              <a:cs typeface="David" panose="020E0502060401010101" pitchFamily="34" charset="-79"/>
            </a:rPr>
            <a:t>בסעיף זה רואים את ההורה כמי שגרם לתוצאות בעצמו, כלומר אם לא מנע התעללות - יורשע ב-9 שנים במקום 3! </a:t>
          </a:r>
        </a:p>
        <a:p>
          <a:pPr algn="r" rtl="1"/>
          <a:r>
            <a:rPr lang="he-IL" sz="900" b="1">
              <a:latin typeface="David" panose="020E0502060401010101" pitchFamily="34" charset="-79"/>
              <a:cs typeface="David" panose="020E0502060401010101" pitchFamily="34" charset="-79"/>
            </a:rPr>
            <a:t>ס' 337 - הפרת חובה של הורה או אחראי</a:t>
          </a:r>
          <a:r>
            <a:rPr lang="he-IL" sz="900">
              <a:latin typeface="David" panose="020E0502060401010101" pitchFamily="34" charset="-79"/>
              <a:cs typeface="David" panose="020E0502060401010101" pitchFamily="34" charset="-79"/>
            </a:rPr>
            <a:t> - סעיף כללי יותר ביחס לאי דיווח (כמו למדריכים בקייטנה)</a:t>
          </a:r>
        </a:p>
        <a:p>
          <a:pPr algn="r" rtl="1"/>
          <a:r>
            <a:rPr lang="he-IL" sz="900" b="1">
              <a:latin typeface="David" panose="020E0502060401010101" pitchFamily="34" charset="-79"/>
              <a:cs typeface="David" panose="020E0502060401010101" pitchFamily="34" charset="-79"/>
            </a:rPr>
            <a:t>ס' 368ג' - התעללות בקטין או חסר ישע </a:t>
          </a:r>
          <a:r>
            <a:rPr lang="he-IL" sz="900">
              <a:latin typeface="David" panose="020E0502060401010101" pitchFamily="34" charset="-79"/>
              <a:cs typeface="David" panose="020E0502060401010101" pitchFamily="34" charset="-79"/>
            </a:rPr>
            <a:t>- 9 שנים. בחוק נכלל גם מחדל - לדעת שמואלי לא ניתן להגיד שאי דיווח זה התעללות במחדל</a:t>
          </a:r>
          <a:endParaRPr lang="en-US" sz="900">
            <a:latin typeface="David" panose="020E0502060401010101" pitchFamily="34" charset="-79"/>
            <a:cs typeface="David" panose="020E0502060401010101" pitchFamily="34" charset="-79"/>
          </a:endParaRPr>
        </a:p>
      </dgm:t>
    </dgm:pt>
    <dgm:pt modelId="{0753362E-A9A3-40C2-A338-A559C3082B3B}" type="parTrans" cxnId="{ED4063CD-46CF-4ED5-B7EE-1B21F279045C}">
      <dgm:prSet/>
      <dgm:spPr/>
      <dgm:t>
        <a:bodyPr/>
        <a:lstStyle/>
        <a:p>
          <a:endParaRPr lang="en-US"/>
        </a:p>
      </dgm:t>
    </dgm:pt>
    <dgm:pt modelId="{FDE5BF2D-ADDA-4282-A192-3616E5A7478C}" type="sibTrans" cxnId="{ED4063CD-46CF-4ED5-B7EE-1B21F279045C}">
      <dgm:prSet/>
      <dgm:spPr/>
      <dgm:t>
        <a:bodyPr/>
        <a:lstStyle/>
        <a:p>
          <a:endParaRPr lang="en-US"/>
        </a:p>
      </dgm:t>
    </dgm:pt>
    <dgm:pt modelId="{97145A32-51A1-4F27-B53B-7DF606A2F4CE}">
      <dgm:prSet phldrT="[Text]" custT="1"/>
      <dgm:spPr/>
      <dgm:t>
        <a:bodyPr/>
        <a:lstStyle/>
        <a:p>
          <a:pPr algn="r"/>
          <a:r>
            <a:rPr lang="he-IL" sz="900">
              <a:latin typeface="David" panose="020E0502060401010101" pitchFamily="34" charset="-79"/>
              <a:cs typeface="David" panose="020E0502060401010101" pitchFamily="34" charset="-79"/>
            </a:rPr>
            <a:t>המחוקק לא עשה הפרדה מסודרת, ולכן ניתן לפרש אותן בצורה רחבה.</a:t>
          </a:r>
        </a:p>
        <a:p>
          <a:pPr algn="r"/>
          <a:r>
            <a:rPr lang="he-IL" sz="900">
              <a:latin typeface="David" panose="020E0502060401010101" pitchFamily="34" charset="-79"/>
              <a:cs typeface="David" panose="020E0502060401010101" pitchFamily="34" charset="-79"/>
            </a:rPr>
            <a:t>לדעת שמואלי יש לפרש בצמצום כדי למנוע מצבים אבסורדים אלו</a:t>
          </a:r>
        </a:p>
        <a:p>
          <a:pPr algn="r"/>
          <a:r>
            <a:rPr lang="he-IL" sz="900">
              <a:latin typeface="David" panose="020E0502060401010101" pitchFamily="34" charset="-79"/>
              <a:cs typeface="David" panose="020E0502060401010101" pitchFamily="34" charset="-79"/>
            </a:rPr>
            <a:t>* ייתן שחוסר ההפרדה הברורה מוביל לכך שיוגשו מעט כתבי אישום גם כאשר מדובר באי דיווח לפי יסודות העוולה. </a:t>
          </a:r>
          <a:endParaRPr lang="en-US" sz="900">
            <a:latin typeface="David" panose="020E0502060401010101" pitchFamily="34" charset="-79"/>
            <a:cs typeface="David" panose="020E0502060401010101" pitchFamily="34" charset="-79"/>
          </a:endParaRPr>
        </a:p>
      </dgm:t>
    </dgm:pt>
    <dgm:pt modelId="{3BBD0C25-6CAA-4A06-A175-4F36E40BF6FD}" type="parTrans" cxnId="{A32B98B7-8989-43A2-ACA7-71B8FB8D1F66}">
      <dgm:prSet/>
      <dgm:spPr/>
      <dgm:t>
        <a:bodyPr/>
        <a:lstStyle/>
        <a:p>
          <a:endParaRPr lang="en-US"/>
        </a:p>
      </dgm:t>
    </dgm:pt>
    <dgm:pt modelId="{4617ED2B-682F-4AC4-A294-A9F9CA554D32}" type="sibTrans" cxnId="{A32B98B7-8989-43A2-ACA7-71B8FB8D1F66}">
      <dgm:prSet/>
      <dgm:spPr/>
      <dgm:t>
        <a:bodyPr/>
        <a:lstStyle/>
        <a:p>
          <a:endParaRPr lang="en-US"/>
        </a:p>
      </dgm:t>
    </dgm:pt>
    <dgm:pt modelId="{789EBCB8-A353-40B9-9173-472B4AD73E16}" type="pres">
      <dgm:prSet presAssocID="{ED78B04E-7401-4003-BD8E-1DFBDBF76626}" presName="Name0" presStyleCnt="0">
        <dgm:presLayoutVars>
          <dgm:dir val="rev"/>
          <dgm:resizeHandles val="exact"/>
        </dgm:presLayoutVars>
      </dgm:prSet>
      <dgm:spPr/>
    </dgm:pt>
    <dgm:pt modelId="{763116B2-33F9-4137-819B-83BBC8549318}" type="pres">
      <dgm:prSet presAssocID="{3957FCFD-C24F-48DD-8996-F6135E988AE8}" presName="node" presStyleLbl="node1" presStyleIdx="0" presStyleCnt="3" custLinFactNeighborX="-6609" custLinFactNeighborY="-988">
        <dgm:presLayoutVars>
          <dgm:bulletEnabled val="1"/>
        </dgm:presLayoutVars>
      </dgm:prSet>
      <dgm:spPr/>
    </dgm:pt>
    <dgm:pt modelId="{50F330B8-16D1-4707-8025-6E9E24DD42AB}" type="pres">
      <dgm:prSet presAssocID="{08E4860E-DEF0-40E0-A827-44703FA49315}" presName="sibTrans" presStyleLbl="sibTrans2D1" presStyleIdx="0" presStyleCnt="2"/>
      <dgm:spPr/>
    </dgm:pt>
    <dgm:pt modelId="{FEAA1199-6E2D-40F6-A18C-D56D76070AA6}" type="pres">
      <dgm:prSet presAssocID="{08E4860E-DEF0-40E0-A827-44703FA49315}" presName="connectorText" presStyleLbl="sibTrans2D1" presStyleIdx="0" presStyleCnt="2"/>
      <dgm:spPr/>
    </dgm:pt>
    <dgm:pt modelId="{E26DCA5D-6A33-4878-B6C2-774686CA99BB}" type="pres">
      <dgm:prSet presAssocID="{9470B52E-0CC6-4E8C-BECC-8BBE60C2A259}" presName="node" presStyleLbl="node1" presStyleIdx="1" presStyleCnt="3">
        <dgm:presLayoutVars>
          <dgm:bulletEnabled val="1"/>
        </dgm:presLayoutVars>
      </dgm:prSet>
      <dgm:spPr/>
    </dgm:pt>
    <dgm:pt modelId="{A59ACA2A-F42E-4F7D-A087-217D7F6E4B57}" type="pres">
      <dgm:prSet presAssocID="{FDE5BF2D-ADDA-4282-A192-3616E5A7478C}" presName="sibTrans" presStyleLbl="sibTrans2D1" presStyleIdx="1" presStyleCnt="2"/>
      <dgm:spPr/>
    </dgm:pt>
    <dgm:pt modelId="{782BC0FB-244C-426B-994B-3D9A76456E67}" type="pres">
      <dgm:prSet presAssocID="{FDE5BF2D-ADDA-4282-A192-3616E5A7478C}" presName="connectorText" presStyleLbl="sibTrans2D1" presStyleIdx="1" presStyleCnt="2"/>
      <dgm:spPr/>
    </dgm:pt>
    <dgm:pt modelId="{E1F4C677-5D10-4071-B236-8FA7C5A6F26D}" type="pres">
      <dgm:prSet presAssocID="{97145A32-51A1-4F27-B53B-7DF606A2F4CE}" presName="node" presStyleLbl="node1" presStyleIdx="2" presStyleCnt="3">
        <dgm:presLayoutVars>
          <dgm:bulletEnabled val="1"/>
        </dgm:presLayoutVars>
      </dgm:prSet>
      <dgm:spPr/>
    </dgm:pt>
  </dgm:ptLst>
  <dgm:cxnLst>
    <dgm:cxn modelId="{44D19703-35CF-48BC-8F5C-78199FB6FD06}" type="presOf" srcId="{FDE5BF2D-ADDA-4282-A192-3616E5A7478C}" destId="{782BC0FB-244C-426B-994B-3D9A76456E67}" srcOrd="1" destOrd="0" presId="urn:microsoft.com/office/officeart/2005/8/layout/process1"/>
    <dgm:cxn modelId="{E034FC22-8F72-4ABA-B84F-089F0C484469}" type="presOf" srcId="{08E4860E-DEF0-40E0-A827-44703FA49315}" destId="{50F330B8-16D1-4707-8025-6E9E24DD42AB}" srcOrd="0" destOrd="0" presId="urn:microsoft.com/office/officeart/2005/8/layout/process1"/>
    <dgm:cxn modelId="{FA6E7098-994C-4B7B-8EE4-DA53A0E25E82}" type="presOf" srcId="{FDE5BF2D-ADDA-4282-A192-3616E5A7478C}" destId="{A59ACA2A-F42E-4F7D-A087-217D7F6E4B57}" srcOrd="0" destOrd="0" presId="urn:microsoft.com/office/officeart/2005/8/layout/process1"/>
    <dgm:cxn modelId="{903D1CA1-0C59-486F-B901-6FCDC3A8A5AE}" srcId="{ED78B04E-7401-4003-BD8E-1DFBDBF76626}" destId="{3957FCFD-C24F-48DD-8996-F6135E988AE8}" srcOrd="0" destOrd="0" parTransId="{E3756070-785D-4F31-8E45-ED4DF5639516}" sibTransId="{08E4860E-DEF0-40E0-A827-44703FA49315}"/>
    <dgm:cxn modelId="{2DD7A6A9-A9BB-4BE7-B041-0828A0F0A487}" type="presOf" srcId="{3957FCFD-C24F-48DD-8996-F6135E988AE8}" destId="{763116B2-33F9-4137-819B-83BBC8549318}" srcOrd="0" destOrd="0" presId="urn:microsoft.com/office/officeart/2005/8/layout/process1"/>
    <dgm:cxn modelId="{A32B98B7-8989-43A2-ACA7-71B8FB8D1F66}" srcId="{ED78B04E-7401-4003-BD8E-1DFBDBF76626}" destId="{97145A32-51A1-4F27-B53B-7DF606A2F4CE}" srcOrd="2" destOrd="0" parTransId="{3BBD0C25-6CAA-4A06-A175-4F36E40BF6FD}" sibTransId="{4617ED2B-682F-4AC4-A294-A9F9CA554D32}"/>
    <dgm:cxn modelId="{E1F3A9BD-A9DC-4A79-9E66-50D92A173C1D}" type="presOf" srcId="{ED78B04E-7401-4003-BD8E-1DFBDBF76626}" destId="{789EBCB8-A353-40B9-9173-472B4AD73E16}" srcOrd="0" destOrd="0" presId="urn:microsoft.com/office/officeart/2005/8/layout/process1"/>
    <dgm:cxn modelId="{B54A44C7-803D-42D6-AD81-0712B5B6AF4C}" type="presOf" srcId="{08E4860E-DEF0-40E0-A827-44703FA49315}" destId="{FEAA1199-6E2D-40F6-A18C-D56D76070AA6}" srcOrd="1" destOrd="0" presId="urn:microsoft.com/office/officeart/2005/8/layout/process1"/>
    <dgm:cxn modelId="{ED4063CD-46CF-4ED5-B7EE-1B21F279045C}" srcId="{ED78B04E-7401-4003-BD8E-1DFBDBF76626}" destId="{9470B52E-0CC6-4E8C-BECC-8BBE60C2A259}" srcOrd="1" destOrd="0" parTransId="{0753362E-A9A3-40C2-A338-A559C3082B3B}" sibTransId="{FDE5BF2D-ADDA-4282-A192-3616E5A7478C}"/>
    <dgm:cxn modelId="{6C5963CF-5B06-47E6-8D05-F43C86A1D706}" type="presOf" srcId="{9470B52E-0CC6-4E8C-BECC-8BBE60C2A259}" destId="{E26DCA5D-6A33-4878-B6C2-774686CA99BB}" srcOrd="0" destOrd="0" presId="urn:microsoft.com/office/officeart/2005/8/layout/process1"/>
    <dgm:cxn modelId="{B789A1F5-E362-4875-BDEF-342EC7B81A96}" type="presOf" srcId="{97145A32-51A1-4F27-B53B-7DF606A2F4CE}" destId="{E1F4C677-5D10-4071-B236-8FA7C5A6F26D}" srcOrd="0" destOrd="0" presId="urn:microsoft.com/office/officeart/2005/8/layout/process1"/>
    <dgm:cxn modelId="{A8731E26-73BB-4768-9E7E-8F769119B569}" type="presParOf" srcId="{789EBCB8-A353-40B9-9173-472B4AD73E16}" destId="{763116B2-33F9-4137-819B-83BBC8549318}" srcOrd="0" destOrd="0" presId="urn:microsoft.com/office/officeart/2005/8/layout/process1"/>
    <dgm:cxn modelId="{6C3A4BF2-D6B4-45CD-B72D-015D0E3CCB82}" type="presParOf" srcId="{789EBCB8-A353-40B9-9173-472B4AD73E16}" destId="{50F330B8-16D1-4707-8025-6E9E24DD42AB}" srcOrd="1" destOrd="0" presId="urn:microsoft.com/office/officeart/2005/8/layout/process1"/>
    <dgm:cxn modelId="{42ECC88F-CCF6-4D95-919B-08890499261F}" type="presParOf" srcId="{50F330B8-16D1-4707-8025-6E9E24DD42AB}" destId="{FEAA1199-6E2D-40F6-A18C-D56D76070AA6}" srcOrd="0" destOrd="0" presId="urn:microsoft.com/office/officeart/2005/8/layout/process1"/>
    <dgm:cxn modelId="{80498A4F-4B5F-4ECD-9C68-9302164EB7F6}" type="presParOf" srcId="{789EBCB8-A353-40B9-9173-472B4AD73E16}" destId="{E26DCA5D-6A33-4878-B6C2-774686CA99BB}" srcOrd="2" destOrd="0" presId="urn:microsoft.com/office/officeart/2005/8/layout/process1"/>
    <dgm:cxn modelId="{F99979E8-86BA-471A-89BB-2B2FC7272D7A}" type="presParOf" srcId="{789EBCB8-A353-40B9-9173-472B4AD73E16}" destId="{A59ACA2A-F42E-4F7D-A087-217D7F6E4B57}" srcOrd="3" destOrd="0" presId="urn:microsoft.com/office/officeart/2005/8/layout/process1"/>
    <dgm:cxn modelId="{3D5AACD3-7C32-4A00-B928-1588AD626BEA}" type="presParOf" srcId="{A59ACA2A-F42E-4F7D-A087-217D7F6E4B57}" destId="{782BC0FB-244C-426B-994B-3D9A76456E67}" srcOrd="0" destOrd="0" presId="urn:microsoft.com/office/officeart/2005/8/layout/process1"/>
    <dgm:cxn modelId="{7986E4C7-1820-4A8B-9C45-9122FB698421}" type="presParOf" srcId="{789EBCB8-A353-40B9-9173-472B4AD73E16}" destId="{E1F4C677-5D10-4071-B236-8FA7C5A6F26D}"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B892D1-0B55-47A0-BC8A-F580674BEAF2}" type="doc">
      <dgm:prSet loTypeId="urn:microsoft.com/office/officeart/2005/8/layout/default" loCatId="list" qsTypeId="urn:microsoft.com/office/officeart/2005/8/quickstyle/simple3" qsCatId="simple" csTypeId="urn:microsoft.com/office/officeart/2005/8/colors/colorful1" csCatId="colorful" phldr="1"/>
      <dgm:spPr/>
      <dgm:t>
        <a:bodyPr/>
        <a:lstStyle/>
        <a:p>
          <a:endParaRPr lang="en-US"/>
        </a:p>
      </dgm:t>
    </dgm:pt>
    <dgm:pt modelId="{4158114D-93FB-4C07-AC6F-A704D4096F46}">
      <dgm:prSet phldrT="[Text]" custT="1"/>
      <dgm:spPr/>
      <dgm:t>
        <a:bodyPr/>
        <a:lstStyle/>
        <a:p>
          <a:pPr algn="r" rtl="1">
            <a:buFont typeface="+mj-lt"/>
            <a:buAutoNum type="arabicPeriod"/>
          </a:pPr>
          <a:r>
            <a:rPr lang="he-IL" sz="1000" b="1">
              <a:latin typeface="David" panose="020E0502060401010101" pitchFamily="34" charset="-79"/>
              <a:cs typeface="David" panose="020E0502060401010101" pitchFamily="34" charset="-79"/>
            </a:rPr>
            <a:t>מודל דחיית תשלום הפיצויים: האם תיתבע, אך חיוב התשלום ייכנס לתוקף עם בגירות הילד</a:t>
          </a:r>
          <a:r>
            <a:rPr lang="he-IL" sz="1000">
              <a:latin typeface="David" panose="020E0502060401010101" pitchFamily="34" charset="-79"/>
              <a:cs typeface="David" panose="020E0502060401010101" pitchFamily="34" charset="-79"/>
            </a:rPr>
            <a:t> – נקבל את התביעה, אך נסייג בדחיית התביעה לעתיד:</a:t>
          </a:r>
        </a:p>
        <a:p>
          <a:pPr algn="r" rtl="1">
            <a:buFont typeface="+mj-lt"/>
            <a:buAutoNum type="arabicPeriod"/>
          </a:pPr>
          <a:endParaRPr lang="en-US" sz="1000">
            <a:latin typeface="David" panose="020E0502060401010101" pitchFamily="34" charset="-79"/>
            <a:cs typeface="David" panose="020E0502060401010101" pitchFamily="34" charset="-79"/>
          </a:endParaRPr>
        </a:p>
        <a:p>
          <a:pPr algn="r" rtl="1">
            <a:buFont typeface="+mj-lt"/>
            <a:buAutoNum type="arabicPeriod"/>
          </a:pPr>
          <a:r>
            <a:rPr lang="he-IL" sz="1000">
              <a:latin typeface="David" panose="020E0502060401010101" pitchFamily="34" charset="-79"/>
              <a:cs typeface="David" panose="020E0502060401010101" pitchFamily="34" charset="-79"/>
            </a:rPr>
            <a:t>נזק </a:t>
          </a:r>
          <a:r>
            <a:rPr lang="he-IL" sz="1000" b="1">
              <a:latin typeface="David" panose="020E0502060401010101" pitchFamily="34" charset="-79"/>
              <a:cs typeface="David" panose="020E0502060401010101" pitchFamily="34" charset="-79"/>
            </a:rPr>
            <a:t>ממוני</a:t>
          </a:r>
          <a:r>
            <a:rPr lang="he-IL" sz="1000">
              <a:latin typeface="David" panose="020E0502060401010101" pitchFamily="34" charset="-79"/>
              <a:cs typeface="David" panose="020E0502060401010101" pitchFamily="34" charset="-79"/>
            </a:rPr>
            <a:t>: במידה והאישה מתקשה לכלכל, נדחה את התביעה. מהלך זה מהווה מעין הלוואה מהאב לאם, שתיפרע עם בגירות הילד. האב תחוייב בגילוי מצבה הכלכלי מפעם לפעם, ואם "העשירה" תוכל לפרוע מוקדם יותר.</a:t>
          </a:r>
        </a:p>
        <a:p>
          <a:pPr algn="r" rtl="1">
            <a:buFont typeface="+mj-lt"/>
            <a:buAutoNum type="arabicPeriod"/>
          </a:pPr>
          <a:endParaRPr lang="en-US" sz="1000">
            <a:latin typeface="David" panose="020E0502060401010101" pitchFamily="34" charset="-79"/>
            <a:cs typeface="David" panose="020E0502060401010101" pitchFamily="34" charset="-79"/>
          </a:endParaRPr>
        </a:p>
        <a:p>
          <a:pPr algn="r" rtl="1">
            <a:buFont typeface="+mj-lt"/>
            <a:buAutoNum type="arabicPeriod"/>
          </a:pPr>
          <a:r>
            <a:rPr lang="he-IL" sz="1000">
              <a:latin typeface="David" panose="020E0502060401010101" pitchFamily="34" charset="-79"/>
              <a:cs typeface="David" panose="020E0502060401010101" pitchFamily="34" charset="-79"/>
            </a:rPr>
            <a:t>נזק </a:t>
          </a:r>
          <a:r>
            <a:rPr lang="he-IL" sz="1000" b="1">
              <a:latin typeface="David" panose="020E0502060401010101" pitchFamily="34" charset="-79"/>
              <a:cs typeface="David" panose="020E0502060401010101" pitchFamily="34" charset="-79"/>
            </a:rPr>
            <a:t>לא ממוני</a:t>
          </a:r>
          <a:r>
            <a:rPr lang="he-IL" sz="1000">
              <a:latin typeface="David" panose="020E0502060401010101" pitchFamily="34" charset="-79"/>
              <a:cs typeface="David" panose="020E0502060401010101" pitchFamily="34" charset="-79"/>
            </a:rPr>
            <a:t>: גם בראש נזק זה ניתן יהיה לתבוע עם בגירות הילד או התעשרות האם.</a:t>
          </a:r>
          <a:endParaRPr lang="en-US" sz="1000">
            <a:latin typeface="David" panose="020E0502060401010101" pitchFamily="34" charset="-79"/>
            <a:cs typeface="David" panose="020E0502060401010101" pitchFamily="34" charset="-79"/>
          </a:endParaRPr>
        </a:p>
      </dgm:t>
    </dgm:pt>
    <dgm:pt modelId="{01A66434-F4A3-4274-99B7-6F0375E06EE6}" type="parTrans" cxnId="{7390F8BB-5B5F-4600-9CF0-E24263C2CA7E}">
      <dgm:prSet/>
      <dgm:spPr/>
      <dgm:t>
        <a:bodyPr/>
        <a:lstStyle/>
        <a:p>
          <a:endParaRPr lang="en-US"/>
        </a:p>
      </dgm:t>
    </dgm:pt>
    <dgm:pt modelId="{CFA7D72C-0989-4490-9C38-A636559BF8D3}" type="sibTrans" cxnId="{7390F8BB-5B5F-4600-9CF0-E24263C2CA7E}">
      <dgm:prSet/>
      <dgm:spPr/>
      <dgm:t>
        <a:bodyPr/>
        <a:lstStyle/>
        <a:p>
          <a:endParaRPr lang="en-US"/>
        </a:p>
      </dgm:t>
    </dgm:pt>
    <dgm:pt modelId="{370F7945-D7FD-40EE-B11E-0DAFDFC27F3B}">
      <dgm:prSet phldrT="[Text]" custT="1"/>
      <dgm:spPr/>
      <dgm:t>
        <a:bodyPr/>
        <a:lstStyle/>
        <a:p>
          <a:pPr algn="r">
            <a:buFont typeface="+mj-lt"/>
            <a:buAutoNum type="arabicPeriod"/>
          </a:pPr>
          <a:r>
            <a:rPr lang="he-IL" sz="1000" b="1">
              <a:latin typeface="David" panose="020E0502060401010101" pitchFamily="34" charset="-79"/>
              <a:cs typeface="David" panose="020E0502060401010101" pitchFamily="34" charset="-79"/>
            </a:rPr>
            <a:t>מודל "התביעה הנזיקית–החוזית בגין הונאת אבהות" </a:t>
          </a:r>
          <a:r>
            <a:rPr lang="he-IL" sz="1000">
              <a:latin typeface="David" panose="020E0502060401010101" pitchFamily="34" charset="-79"/>
              <a:cs typeface="David" panose="020E0502060401010101" pitchFamily="34" charset="-79"/>
            </a:rPr>
            <a:t>– יש להכיר בתביעות (בניגוד למודל הקודם). </a:t>
          </a:r>
          <a:endParaRPr lang="en-US" sz="1000">
            <a:latin typeface="David" panose="020E0502060401010101" pitchFamily="34" charset="-79"/>
            <a:cs typeface="David" panose="020E0502060401010101" pitchFamily="34" charset="-79"/>
          </a:endParaRPr>
        </a:p>
        <a:p>
          <a:pPr algn="r">
            <a:buFont typeface="+mj-lt"/>
            <a:buAutoNum type="arabicPeriod"/>
          </a:pPr>
          <a:r>
            <a:rPr lang="he-IL" sz="1000" u="sng">
              <a:latin typeface="David" panose="020E0502060401010101" pitchFamily="34" charset="-79"/>
              <a:cs typeface="David" panose="020E0502060401010101" pitchFamily="34" charset="-79"/>
            </a:rPr>
            <a:t>הבסיס:</a:t>
          </a:r>
          <a:endParaRPr lang="en-US" sz="1000" u="sng">
            <a:latin typeface="David" panose="020E0502060401010101" pitchFamily="34" charset="-79"/>
            <a:cs typeface="David" panose="020E0502060401010101" pitchFamily="34" charset="-79"/>
          </a:endParaRPr>
        </a:p>
        <a:p>
          <a:pPr algn="r">
            <a:buFont typeface="+mj-lt"/>
            <a:buAutoNum type="arabicPeriod"/>
          </a:pPr>
          <a:r>
            <a:rPr lang="he-IL" sz="1000">
              <a:latin typeface="David" panose="020E0502060401010101" pitchFamily="34" charset="-79"/>
              <a:cs typeface="David" panose="020E0502060401010101" pitchFamily="34" charset="-79"/>
            </a:rPr>
            <a:t>1. קיום נוסחת האחריות הנזיקית או הוכחת יסודות התביעה החוזית.</a:t>
          </a:r>
        </a:p>
        <a:p>
          <a:pPr algn="r">
            <a:buFont typeface="+mj-lt"/>
            <a:buAutoNum type="arabicPeriod"/>
          </a:pPr>
          <a:r>
            <a:rPr lang="he-IL" sz="1000">
              <a:latin typeface="David" panose="020E0502060401010101" pitchFamily="34" charset="-79"/>
              <a:cs typeface="David" panose="020E0502060401010101" pitchFamily="34" charset="-79"/>
            </a:rPr>
            <a:t>2. לא כל הונאה מקורה בבגידה.</a:t>
          </a:r>
          <a:endParaRPr lang="en-US" sz="1000">
            <a:latin typeface="David" panose="020E0502060401010101" pitchFamily="34" charset="-79"/>
            <a:cs typeface="David" panose="020E0502060401010101" pitchFamily="34" charset="-79"/>
          </a:endParaRPr>
        </a:p>
        <a:p>
          <a:pPr algn="r">
            <a:buFont typeface="+mj-lt"/>
            <a:buAutoNum type="arabicPeriod"/>
          </a:pPr>
          <a:r>
            <a:rPr lang="he-IL" sz="1000">
              <a:latin typeface="David" panose="020E0502060401010101" pitchFamily="34" charset="-79"/>
              <a:cs typeface="David" panose="020E0502060401010101" pitchFamily="34" charset="-79"/>
            </a:rPr>
            <a:t>3. טובת הילד ותקנת הציבור לעתים יובילו למסקנה שיש להכיר בתביעות.</a:t>
          </a:r>
          <a:endParaRPr lang="en-US" sz="1000">
            <a:latin typeface="David" panose="020E0502060401010101" pitchFamily="34" charset="-79"/>
            <a:cs typeface="David" panose="020E0502060401010101" pitchFamily="34" charset="-79"/>
          </a:endParaRPr>
        </a:p>
        <a:p>
          <a:pPr algn="r">
            <a:buFont typeface="+mj-lt"/>
            <a:buAutoNum type="arabicPeriod"/>
          </a:pPr>
          <a:r>
            <a:rPr lang="he-IL" sz="1000">
              <a:latin typeface="David" panose="020E0502060401010101" pitchFamily="34" charset="-79"/>
              <a:cs typeface="David" panose="020E0502060401010101" pitchFamily="34" charset="-79"/>
            </a:rPr>
            <a:t>4. ישנם כלים נוספים להוכחת התביעה חוץ מבדיקת רקמות.</a:t>
          </a:r>
          <a:endParaRPr lang="en-US" sz="1000">
            <a:latin typeface="David" panose="020E0502060401010101" pitchFamily="34" charset="-79"/>
            <a:cs typeface="David" panose="020E0502060401010101" pitchFamily="34" charset="-79"/>
          </a:endParaRPr>
        </a:p>
      </dgm:t>
    </dgm:pt>
    <dgm:pt modelId="{FD67AADA-8A9B-4449-8391-DFDBAA2474E0}" type="parTrans" cxnId="{039BE7C1-DA6A-4176-8B58-083C401D41C8}">
      <dgm:prSet/>
      <dgm:spPr/>
      <dgm:t>
        <a:bodyPr/>
        <a:lstStyle/>
        <a:p>
          <a:endParaRPr lang="en-US"/>
        </a:p>
      </dgm:t>
    </dgm:pt>
    <dgm:pt modelId="{76D8619C-DC89-4B9B-8FB3-DE7700F63492}" type="sibTrans" cxnId="{039BE7C1-DA6A-4176-8B58-083C401D41C8}">
      <dgm:prSet/>
      <dgm:spPr/>
      <dgm:t>
        <a:bodyPr/>
        <a:lstStyle/>
        <a:p>
          <a:endParaRPr lang="en-US"/>
        </a:p>
      </dgm:t>
    </dgm:pt>
    <dgm:pt modelId="{B2CFBA14-F663-4E35-AFC5-07B1547935CA}">
      <dgm:prSet phldrT="[Text]" custT="1"/>
      <dgm:spPr/>
      <dgm:t>
        <a:bodyPr/>
        <a:lstStyle/>
        <a:p>
          <a:pPr algn="r" rtl="1"/>
          <a:r>
            <a:rPr lang="he-IL" sz="1000" b="1">
              <a:latin typeface="David" panose="020E0502060401010101" pitchFamily="34" charset="-79"/>
              <a:cs typeface="David" panose="020E0502060401010101" pitchFamily="34" charset="-79"/>
            </a:rPr>
            <a:t>מודל החסינות </a:t>
          </a:r>
          <a:r>
            <a:rPr lang="he-IL" sz="1000">
              <a:latin typeface="David" panose="020E0502060401010101" pitchFamily="34" charset="-79"/>
              <a:cs typeface="David" panose="020E0502060401010101" pitchFamily="34" charset="-79"/>
            </a:rPr>
            <a:t>– אין לקבל את התביעה מכמה נימוקים:</a:t>
          </a:r>
          <a:endParaRPr lang="en-US" sz="1000">
            <a:latin typeface="David" panose="020E0502060401010101" pitchFamily="34" charset="-79"/>
            <a:cs typeface="David" panose="020E0502060401010101" pitchFamily="34" charset="-79"/>
          </a:endParaRPr>
        </a:p>
        <a:p>
          <a:pPr algn="r" rtl="1"/>
          <a:r>
            <a:rPr lang="he-IL" sz="1000" b="1">
              <a:latin typeface="David" panose="020E0502060401010101" pitchFamily="34" charset="-79"/>
              <a:cs typeface="David" panose="020E0502060401010101" pitchFamily="34" charset="-79"/>
            </a:rPr>
            <a:t>קושי ראייתי</a:t>
          </a:r>
          <a:r>
            <a:rPr lang="he-IL" sz="1000">
              <a:latin typeface="David" panose="020E0502060401010101" pitchFamily="34" charset="-79"/>
              <a:cs typeface="David" panose="020E0502060401010101" pitchFamily="34" charset="-79"/>
            </a:rPr>
            <a:t> בבירור מטענו הגנטי של הילד בשל איסור חקיקתי להורות על בדיקת רקמות (חשש ממזרות).</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פגיעה בעקרון </a:t>
          </a:r>
          <a:r>
            <a:rPr lang="he-IL" sz="1000" b="1">
              <a:latin typeface="David" panose="020E0502060401010101" pitchFamily="34" charset="-79"/>
              <a:cs typeface="David" panose="020E0502060401010101" pitchFamily="34" charset="-79"/>
            </a:rPr>
            <a:t>טובת הילד</a:t>
          </a:r>
          <a:r>
            <a:rPr lang="he-IL" sz="1000">
              <a:latin typeface="David" panose="020E0502060401010101" pitchFamily="34" charset="-79"/>
              <a:cs typeface="David" panose="020E0502060401010101" pitchFamily="34" charset="-79"/>
            </a:rPr>
            <a:t> וב</a:t>
          </a:r>
          <a:r>
            <a:rPr lang="he-IL" sz="1000" b="1">
              <a:latin typeface="David" panose="020E0502060401010101" pitchFamily="34" charset="-79"/>
              <a:cs typeface="David" panose="020E0502060401010101" pitchFamily="34" charset="-79"/>
            </a:rPr>
            <a:t>תקנת הציבור</a:t>
          </a:r>
          <a:r>
            <a:rPr lang="he-IL" sz="1000">
              <a:latin typeface="David" panose="020E0502060401010101" pitchFamily="34" charset="-79"/>
              <a:cs typeface="David" panose="020E0502060401010101" pitchFamily="34" charset="-79"/>
            </a:rPr>
            <a:t>, תוך הכרה בילד כ"נזק". </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הכרה עקיפה ב</a:t>
          </a:r>
          <a:r>
            <a:rPr lang="he-IL" sz="1000" b="1">
              <a:latin typeface="David" panose="020E0502060401010101" pitchFamily="34" charset="-79"/>
              <a:cs typeface="David" panose="020E0502060401010101" pitchFamily="34" charset="-79"/>
            </a:rPr>
            <a:t>נזקי בגידה</a:t>
          </a:r>
          <a:r>
            <a:rPr lang="he-IL" sz="1000">
              <a:latin typeface="David" panose="020E0502060401010101" pitchFamily="34" charset="-79"/>
              <a:cs typeface="David" panose="020E0502060401010101" pitchFamily="34" charset="-79"/>
            </a:rPr>
            <a:t>, שלא ניתן לתבוע ע"פ המשפט הישראלי.</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כניסה פסולה למרחבים משפחתיים ואינטימיים.</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אינטרס האישה ותקנת הציבור גובר על אינטרס התובע. </a:t>
          </a:r>
          <a:r>
            <a:rPr lang="he-IL" sz="1000" u="sng">
              <a:latin typeface="David" panose="020E0502060401010101" pitchFamily="34" charset="-79"/>
              <a:cs typeface="David" panose="020E0502060401010101" pitchFamily="34" charset="-79"/>
            </a:rPr>
            <a:t>הבעיה</a:t>
          </a:r>
          <a:r>
            <a:rPr lang="he-IL" sz="1000">
              <a:latin typeface="David" panose="020E0502060401010101" pitchFamily="34" charset="-79"/>
              <a:cs typeface="David" panose="020E0502060401010101" pitchFamily="34" charset="-79"/>
            </a:rPr>
            <a:t>: </a:t>
          </a:r>
          <a:r>
            <a:rPr lang="he-IL" sz="1000" b="1">
              <a:latin typeface="David" panose="020E0502060401010101" pitchFamily="34" charset="-79"/>
              <a:cs typeface="David" panose="020E0502060401010101" pitchFamily="34" charset="-79"/>
            </a:rPr>
            <a:t>מטרות דיני הנזיקין אינן מוגשמות</a:t>
          </a:r>
          <a:r>
            <a:rPr lang="he-IL" sz="1000">
              <a:latin typeface="David" panose="020E0502060401010101" pitchFamily="34" charset="-79"/>
              <a:cs typeface="David" panose="020E0502060401010101" pitchFamily="34" charset="-79"/>
            </a:rPr>
            <a:t>.</a:t>
          </a:r>
          <a:endParaRPr lang="en-US" sz="1000">
            <a:latin typeface="David" panose="020E0502060401010101" pitchFamily="34" charset="-79"/>
            <a:cs typeface="David" panose="020E0502060401010101" pitchFamily="34" charset="-79"/>
          </a:endParaRPr>
        </a:p>
      </dgm:t>
    </dgm:pt>
    <dgm:pt modelId="{73DAD1EC-CFB9-48A3-9BE7-BDC6DD30A9B7}" type="parTrans" cxnId="{F70808D6-0670-4A99-9EDE-E877BB13FDE0}">
      <dgm:prSet/>
      <dgm:spPr/>
      <dgm:t>
        <a:bodyPr/>
        <a:lstStyle/>
        <a:p>
          <a:endParaRPr lang="en-US"/>
        </a:p>
      </dgm:t>
    </dgm:pt>
    <dgm:pt modelId="{5F0C203E-48E5-45AD-BF93-64196772C159}" type="sibTrans" cxnId="{F70808D6-0670-4A99-9EDE-E877BB13FDE0}">
      <dgm:prSet/>
      <dgm:spPr/>
      <dgm:t>
        <a:bodyPr/>
        <a:lstStyle/>
        <a:p>
          <a:endParaRPr lang="en-US"/>
        </a:p>
      </dgm:t>
    </dgm:pt>
    <dgm:pt modelId="{D65C89A1-5192-4A9A-A961-5009952723A7}">
      <dgm:prSet phldrT="[Text]" custT="1"/>
      <dgm:spPr/>
      <dgm:t>
        <a:bodyPr/>
        <a:lstStyle/>
        <a:p>
          <a:pPr algn="r">
            <a:buFont typeface="Courier New" panose="02070309020205020404" pitchFamily="49" charset="0"/>
            <a:buChar char="o"/>
          </a:pPr>
          <a:r>
            <a:rPr lang="he-IL" sz="1000" b="1">
              <a:latin typeface="David" panose="020E0502060401010101" pitchFamily="34" charset="-79"/>
              <a:cs typeface="David" panose="020E0502060401010101" pitchFamily="34" charset="-79"/>
            </a:rPr>
            <a:t>מודל התביעה נגד האב הביולוגי דרך ע"ע בשילוב מודל דחיית תשלום הפיצויים – </a:t>
          </a:r>
          <a:r>
            <a:rPr lang="he-IL" sz="1000">
              <a:latin typeface="David" panose="020E0502060401010101" pitchFamily="34" charset="-79"/>
              <a:cs typeface="David" panose="020E0502060401010101" pitchFamily="34" charset="-79"/>
            </a:rPr>
            <a:t>השילוב מאפשר עוד צמצום בפגיעת הילד, ולמעשה נוסף על שני היתרונות לעיל, מתווסף עוד יתרון שהפיצוי יינתן רק שהילד יגדל ובכך יימנע ממנו סיבוכים משפטיים פוטנציאליים.</a:t>
          </a:r>
          <a:endParaRPr lang="en-US" sz="1000">
            <a:latin typeface="David" panose="020E0502060401010101" pitchFamily="34" charset="-79"/>
            <a:cs typeface="David" panose="020E0502060401010101" pitchFamily="34" charset="-79"/>
          </a:endParaRPr>
        </a:p>
      </dgm:t>
    </dgm:pt>
    <dgm:pt modelId="{676BCE60-BAC2-4E8A-B0A8-23F336194DED}" type="parTrans" cxnId="{7C9E792C-6888-496A-9908-B98896E02F7A}">
      <dgm:prSet/>
      <dgm:spPr/>
      <dgm:t>
        <a:bodyPr/>
        <a:lstStyle/>
        <a:p>
          <a:endParaRPr lang="en-US"/>
        </a:p>
      </dgm:t>
    </dgm:pt>
    <dgm:pt modelId="{61232079-69A4-4320-827D-EF79BC9AE9C1}" type="sibTrans" cxnId="{7C9E792C-6888-496A-9908-B98896E02F7A}">
      <dgm:prSet/>
      <dgm:spPr/>
      <dgm:t>
        <a:bodyPr/>
        <a:lstStyle/>
        <a:p>
          <a:endParaRPr lang="en-US"/>
        </a:p>
      </dgm:t>
    </dgm:pt>
    <dgm:pt modelId="{2FA296F8-D835-4C49-B81C-E6D059086811}">
      <dgm:prSet phldrT="[Text]" custT="1"/>
      <dgm:spPr/>
      <dgm:t>
        <a:bodyPr/>
        <a:lstStyle/>
        <a:p>
          <a:pPr algn="r" rtl="1"/>
          <a:r>
            <a:rPr lang="he-IL" sz="1000" b="1">
              <a:latin typeface="David" panose="020E0502060401010101" pitchFamily="34" charset="-79"/>
              <a:cs typeface="David" panose="020E0502060401010101" pitchFamily="34" charset="-79"/>
            </a:rPr>
            <a:t>מודל התביעה בגין נזק ממוני נגד האב הביולוגי דרך דיני ע"ע –</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רקע כללי לדיני ע"ע: נדרשים שלושה יסודות: (1) התעשרות (2) שלא כדין (3) על חשבונו של אחר (קש"ס).</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לפי מודל זה, הנתבע יהיה </a:t>
          </a:r>
          <a:r>
            <a:rPr lang="he-IL" sz="1000" b="1">
              <a:latin typeface="David" panose="020E0502060401010101" pitchFamily="34" charset="-79"/>
              <a:cs typeface="David" panose="020E0502060401010101" pitchFamily="34" charset="-79"/>
            </a:rPr>
            <a:t>האב הביולוגי</a:t>
          </a:r>
          <a:r>
            <a:rPr lang="he-IL" sz="1000">
              <a:latin typeface="David" panose="020E0502060401010101" pitchFamily="34" charset="-79"/>
              <a:cs typeface="David" panose="020E0502060401010101" pitchFamily="34" charset="-79"/>
            </a:rPr>
            <a:t> בתביעה אזרחית בע"ע, דרך </a:t>
          </a:r>
          <a:r>
            <a:rPr lang="he-IL" sz="1000" b="1">
              <a:latin typeface="David" panose="020E0502060401010101" pitchFamily="34" charset="-79"/>
              <a:cs typeface="David" panose="020E0502060401010101" pitchFamily="34" charset="-79"/>
            </a:rPr>
            <a:t>דוקטרינת פירעון חוב הזולת</a:t>
          </a:r>
          <a:r>
            <a:rPr lang="he-IL" sz="1000">
              <a:latin typeface="David" panose="020E0502060401010101" pitchFamily="34" charset="-79"/>
              <a:cs typeface="David" panose="020E0502060401010101" pitchFamily="34" charset="-79"/>
            </a:rPr>
            <a:t>. התובע תמך בילד שאינו שולה, ובכך פטר את האב הביולוגי באותה תמיכה, ולכן האחרון התעשר על חשבונו של הראשון. </a:t>
          </a:r>
          <a:r>
            <a:rPr lang="he-IL" sz="1000" b="1">
              <a:latin typeface="David" panose="020E0502060401010101" pitchFamily="34" charset="-79"/>
              <a:cs typeface="David" panose="020E0502060401010101" pitchFamily="34" charset="-79"/>
            </a:rPr>
            <a:t>ההשבה תהיה בגובה מה שהאב היה מחויב</a:t>
          </a:r>
          <a:r>
            <a:rPr lang="he-IL" sz="1000">
              <a:latin typeface="David" panose="020E0502060401010101" pitchFamily="34" charset="-79"/>
              <a:cs typeface="David" panose="020E0502060401010101" pitchFamily="34" charset="-79"/>
            </a:rPr>
            <a:t> לתת, ולא מעבר.</a:t>
          </a:r>
          <a:endParaRPr lang="en-US" sz="1000">
            <a:latin typeface="David" panose="020E0502060401010101" pitchFamily="34" charset="-79"/>
            <a:cs typeface="David" panose="020E0502060401010101" pitchFamily="34" charset="-79"/>
          </a:endParaRPr>
        </a:p>
        <a:p>
          <a:pPr algn="r" rtl="1"/>
          <a:r>
            <a:rPr lang="he-IL" sz="1000">
              <a:latin typeface="David" panose="020E0502060401010101" pitchFamily="34" charset="-79"/>
              <a:cs typeface="David" panose="020E0502060401010101" pitchFamily="34" charset="-79"/>
            </a:rPr>
            <a:t>האם תיתבע רק בהיבט הלא ממוני. אולם אם האב הביולוגי לא ידוע – האם תיתבע גם בנזקים הממוניים דרך ע"ע, במידה והיסודות מתקיימים.</a:t>
          </a:r>
          <a:endParaRPr lang="en-US" sz="1000">
            <a:latin typeface="David" panose="020E0502060401010101" pitchFamily="34" charset="-79"/>
            <a:cs typeface="David" panose="020E0502060401010101" pitchFamily="34" charset="-79"/>
          </a:endParaRPr>
        </a:p>
        <a:p>
          <a:pPr algn="r" rtl="1"/>
          <a:r>
            <a:rPr lang="he-IL" sz="1000" u="sng">
              <a:latin typeface="David" panose="020E0502060401010101" pitchFamily="34" charset="-79"/>
              <a:cs typeface="David" panose="020E0502060401010101" pitchFamily="34" charset="-79"/>
            </a:rPr>
            <a:t>יתרונות</a:t>
          </a:r>
          <a:r>
            <a:rPr lang="he-IL" sz="1000">
              <a:latin typeface="David" panose="020E0502060401010101" pitchFamily="34" charset="-79"/>
              <a:cs typeface="David" panose="020E0502060401010101" pitchFamily="34" charset="-79"/>
            </a:rPr>
            <a:t>: </a:t>
          </a:r>
          <a:endParaRPr lang="en-US" sz="1000">
            <a:latin typeface="David" panose="020E0502060401010101" pitchFamily="34" charset="-79"/>
            <a:cs typeface="David" panose="020E0502060401010101" pitchFamily="34" charset="-79"/>
          </a:endParaRPr>
        </a:p>
        <a:p>
          <a:pPr algn="r" rtl="1">
            <a:buFont typeface="David" panose="020E0502060401010101" pitchFamily="34" charset="-79"/>
            <a:buChar char="-"/>
          </a:pPr>
          <a:r>
            <a:rPr lang="he-IL" sz="1000">
              <a:latin typeface="David" panose="020E0502060401010101" pitchFamily="34" charset="-79"/>
              <a:cs typeface="David" panose="020E0502060401010101" pitchFamily="34" charset="-79"/>
            </a:rPr>
            <a:t>התביעה אינה בגין בגידה ולא מתבססת על אשם.</a:t>
          </a:r>
          <a:endParaRPr lang="en-US" sz="1000">
            <a:latin typeface="David" panose="020E0502060401010101" pitchFamily="34" charset="-79"/>
            <a:cs typeface="David" panose="020E0502060401010101" pitchFamily="34" charset="-79"/>
          </a:endParaRPr>
        </a:p>
        <a:p>
          <a:pPr algn="r" rtl="1">
            <a:buFont typeface="David" panose="020E0502060401010101" pitchFamily="34" charset="-79"/>
            <a:buChar char="-"/>
          </a:pPr>
          <a:r>
            <a:rPr lang="he-IL" sz="1000">
              <a:latin typeface="David" panose="020E0502060401010101" pitchFamily="34" charset="-79"/>
              <a:cs typeface="David" panose="020E0502060401010101" pitchFamily="34" charset="-79"/>
            </a:rPr>
            <a:t>אין פגיעה בילד, כיוון שהוצאת הממון אינה ממי שתומך בו (אלא במקרים נדירים שהאב הביולוגי חזר לחיות עם האם והילד). </a:t>
          </a:r>
          <a:endParaRPr lang="en-US" sz="1000">
            <a:latin typeface="David" panose="020E0502060401010101" pitchFamily="34" charset="-79"/>
            <a:cs typeface="David" panose="020E0502060401010101" pitchFamily="34" charset="-79"/>
          </a:endParaRPr>
        </a:p>
      </dgm:t>
    </dgm:pt>
    <dgm:pt modelId="{76F47D62-1599-40B2-B439-4296C308D018}" type="parTrans" cxnId="{E44DAAD2-7625-4CD6-ABF4-49F7127189D9}">
      <dgm:prSet/>
      <dgm:spPr/>
      <dgm:t>
        <a:bodyPr/>
        <a:lstStyle/>
        <a:p>
          <a:endParaRPr lang="en-US"/>
        </a:p>
      </dgm:t>
    </dgm:pt>
    <dgm:pt modelId="{FC980E50-D972-4808-BFFF-A1CC14DD4360}" type="sibTrans" cxnId="{E44DAAD2-7625-4CD6-ABF4-49F7127189D9}">
      <dgm:prSet/>
      <dgm:spPr/>
      <dgm:t>
        <a:bodyPr/>
        <a:lstStyle/>
        <a:p>
          <a:endParaRPr lang="en-US"/>
        </a:p>
      </dgm:t>
    </dgm:pt>
    <dgm:pt modelId="{669E9E04-4281-4072-9926-93641B49AC0E}" type="pres">
      <dgm:prSet presAssocID="{64B892D1-0B55-47A0-BC8A-F580674BEAF2}" presName="diagram" presStyleCnt="0">
        <dgm:presLayoutVars>
          <dgm:dir/>
          <dgm:resizeHandles val="exact"/>
        </dgm:presLayoutVars>
      </dgm:prSet>
      <dgm:spPr/>
    </dgm:pt>
    <dgm:pt modelId="{DE2039F6-60C5-4F8D-BDF8-15F734A39F88}" type="pres">
      <dgm:prSet presAssocID="{4158114D-93FB-4C07-AC6F-A704D4096F46}" presName="node" presStyleLbl="node1" presStyleIdx="0" presStyleCnt="5" custScaleX="106113" custScaleY="115855" custLinFactY="26921" custLinFactNeighborX="-5790" custLinFactNeighborY="100000">
        <dgm:presLayoutVars>
          <dgm:bulletEnabled val="1"/>
        </dgm:presLayoutVars>
      </dgm:prSet>
      <dgm:spPr/>
    </dgm:pt>
    <dgm:pt modelId="{7D0613FA-F6AE-4F8B-8AF2-BD7F19830B4D}" type="pres">
      <dgm:prSet presAssocID="{CFA7D72C-0989-4490-9C38-A636559BF8D3}" presName="sibTrans" presStyleCnt="0"/>
      <dgm:spPr/>
    </dgm:pt>
    <dgm:pt modelId="{BE1779A8-13F7-42D4-97E0-01080C108603}" type="pres">
      <dgm:prSet presAssocID="{370F7945-D7FD-40EE-B11E-0DAFDFC27F3B}" presName="node" presStyleLbl="node1" presStyleIdx="1" presStyleCnt="5" custScaleX="104968" custScaleY="119670" custLinFactX="-23328" custLinFactNeighborX="-100000" custLinFactNeighborY="1536">
        <dgm:presLayoutVars>
          <dgm:bulletEnabled val="1"/>
        </dgm:presLayoutVars>
      </dgm:prSet>
      <dgm:spPr/>
    </dgm:pt>
    <dgm:pt modelId="{8CD2F0CA-76BD-4973-A6B4-6A6AD2358F38}" type="pres">
      <dgm:prSet presAssocID="{76D8619C-DC89-4B9B-8FB3-DE7700F63492}" presName="sibTrans" presStyleCnt="0"/>
      <dgm:spPr/>
    </dgm:pt>
    <dgm:pt modelId="{A9110893-12CF-48AA-B033-909524221B7C}" type="pres">
      <dgm:prSet presAssocID="{B2CFBA14-F663-4E35-AFC5-07B1547935CA}" presName="node" presStyleLbl="node1" presStyleIdx="2" presStyleCnt="5" custScaleX="117608" custScaleY="121822" custLinFactX="29776" custLinFactY="-36446" custLinFactNeighborX="100000" custLinFactNeighborY="-100000">
        <dgm:presLayoutVars>
          <dgm:bulletEnabled val="1"/>
        </dgm:presLayoutVars>
      </dgm:prSet>
      <dgm:spPr/>
    </dgm:pt>
    <dgm:pt modelId="{B123548A-526F-4556-ABBF-4E736EA4308D}" type="pres">
      <dgm:prSet presAssocID="{5F0C203E-48E5-45AD-BF93-64196772C159}" presName="sibTrans" presStyleCnt="0"/>
      <dgm:spPr/>
    </dgm:pt>
    <dgm:pt modelId="{ABAA5ADC-5A8F-4788-A8E1-C26BF83F9D37}" type="pres">
      <dgm:prSet presAssocID="{D65C89A1-5192-4A9A-A961-5009952723A7}" presName="node" presStyleLbl="node1" presStyleIdx="3" presStyleCnt="5" custScaleX="121312" custScaleY="112018" custLinFactNeighborX="1129" custLinFactNeighborY="-8677">
        <dgm:presLayoutVars>
          <dgm:bulletEnabled val="1"/>
        </dgm:presLayoutVars>
      </dgm:prSet>
      <dgm:spPr/>
    </dgm:pt>
    <dgm:pt modelId="{9EB4897D-90B5-4352-8E8D-E843DEF67494}" type="pres">
      <dgm:prSet presAssocID="{61232079-69A4-4320-827D-EF79BC9AE9C1}" presName="sibTrans" presStyleCnt="0"/>
      <dgm:spPr/>
    </dgm:pt>
    <dgm:pt modelId="{DB88F833-5B83-42C7-8A5C-1E2889529906}" type="pres">
      <dgm:prSet presAssocID="{2FA296F8-D835-4C49-B81C-E6D059086811}" presName="node" presStyleLbl="node1" presStyleIdx="4" presStyleCnt="5" custScaleX="236740" custLinFactNeighborX="5171" custLinFactNeighborY="-5831">
        <dgm:presLayoutVars>
          <dgm:bulletEnabled val="1"/>
        </dgm:presLayoutVars>
      </dgm:prSet>
      <dgm:spPr/>
    </dgm:pt>
  </dgm:ptLst>
  <dgm:cxnLst>
    <dgm:cxn modelId="{DF952F1F-D5AD-4C13-B799-0B6C06851AE2}" type="presOf" srcId="{4158114D-93FB-4C07-AC6F-A704D4096F46}" destId="{DE2039F6-60C5-4F8D-BDF8-15F734A39F88}" srcOrd="0" destOrd="0" presId="urn:microsoft.com/office/officeart/2005/8/layout/default"/>
    <dgm:cxn modelId="{D51BF528-A287-411F-ACF6-AEFB81D8CA3D}" type="presOf" srcId="{64B892D1-0B55-47A0-BC8A-F580674BEAF2}" destId="{669E9E04-4281-4072-9926-93641B49AC0E}" srcOrd="0" destOrd="0" presId="urn:microsoft.com/office/officeart/2005/8/layout/default"/>
    <dgm:cxn modelId="{7C9E792C-6888-496A-9908-B98896E02F7A}" srcId="{64B892D1-0B55-47A0-BC8A-F580674BEAF2}" destId="{D65C89A1-5192-4A9A-A961-5009952723A7}" srcOrd="3" destOrd="0" parTransId="{676BCE60-BAC2-4E8A-B0A8-23F336194DED}" sibTransId="{61232079-69A4-4320-827D-EF79BC9AE9C1}"/>
    <dgm:cxn modelId="{712F0B33-9DFB-43C0-A1DB-54A0C55BACFE}" type="presOf" srcId="{370F7945-D7FD-40EE-B11E-0DAFDFC27F3B}" destId="{BE1779A8-13F7-42D4-97E0-01080C108603}" srcOrd="0" destOrd="0" presId="urn:microsoft.com/office/officeart/2005/8/layout/default"/>
    <dgm:cxn modelId="{FA5A5785-58F7-4FB4-9080-39489808973F}" type="presOf" srcId="{D65C89A1-5192-4A9A-A961-5009952723A7}" destId="{ABAA5ADC-5A8F-4788-A8E1-C26BF83F9D37}" srcOrd="0" destOrd="0" presId="urn:microsoft.com/office/officeart/2005/8/layout/default"/>
    <dgm:cxn modelId="{F3D45A8D-ED7C-4B58-813B-64EE89500321}" type="presOf" srcId="{B2CFBA14-F663-4E35-AFC5-07B1547935CA}" destId="{A9110893-12CF-48AA-B033-909524221B7C}" srcOrd="0" destOrd="0" presId="urn:microsoft.com/office/officeart/2005/8/layout/default"/>
    <dgm:cxn modelId="{7390F8BB-5B5F-4600-9CF0-E24263C2CA7E}" srcId="{64B892D1-0B55-47A0-BC8A-F580674BEAF2}" destId="{4158114D-93FB-4C07-AC6F-A704D4096F46}" srcOrd="0" destOrd="0" parTransId="{01A66434-F4A3-4274-99B7-6F0375E06EE6}" sibTransId="{CFA7D72C-0989-4490-9C38-A636559BF8D3}"/>
    <dgm:cxn modelId="{039BE7C1-DA6A-4176-8B58-083C401D41C8}" srcId="{64B892D1-0B55-47A0-BC8A-F580674BEAF2}" destId="{370F7945-D7FD-40EE-B11E-0DAFDFC27F3B}" srcOrd="1" destOrd="0" parTransId="{FD67AADA-8A9B-4449-8391-DFDBAA2474E0}" sibTransId="{76D8619C-DC89-4B9B-8FB3-DE7700F63492}"/>
    <dgm:cxn modelId="{E44DAAD2-7625-4CD6-ABF4-49F7127189D9}" srcId="{64B892D1-0B55-47A0-BC8A-F580674BEAF2}" destId="{2FA296F8-D835-4C49-B81C-E6D059086811}" srcOrd="4" destOrd="0" parTransId="{76F47D62-1599-40B2-B439-4296C308D018}" sibTransId="{FC980E50-D972-4808-BFFF-A1CC14DD4360}"/>
    <dgm:cxn modelId="{F70808D6-0670-4A99-9EDE-E877BB13FDE0}" srcId="{64B892D1-0B55-47A0-BC8A-F580674BEAF2}" destId="{B2CFBA14-F663-4E35-AFC5-07B1547935CA}" srcOrd="2" destOrd="0" parTransId="{73DAD1EC-CFB9-48A3-9BE7-BDC6DD30A9B7}" sibTransId="{5F0C203E-48E5-45AD-BF93-64196772C159}"/>
    <dgm:cxn modelId="{D36404FA-4380-4814-98C4-EA612A90EEDE}" type="presOf" srcId="{2FA296F8-D835-4C49-B81C-E6D059086811}" destId="{DB88F833-5B83-42C7-8A5C-1E2889529906}" srcOrd="0" destOrd="0" presId="urn:microsoft.com/office/officeart/2005/8/layout/default"/>
    <dgm:cxn modelId="{FB06CE11-DEAD-498E-8062-6B8E43626B0C}" type="presParOf" srcId="{669E9E04-4281-4072-9926-93641B49AC0E}" destId="{DE2039F6-60C5-4F8D-BDF8-15F734A39F88}" srcOrd="0" destOrd="0" presId="urn:microsoft.com/office/officeart/2005/8/layout/default"/>
    <dgm:cxn modelId="{831F0075-1B5C-48A2-B920-9AB2DD596483}" type="presParOf" srcId="{669E9E04-4281-4072-9926-93641B49AC0E}" destId="{7D0613FA-F6AE-4F8B-8AF2-BD7F19830B4D}" srcOrd="1" destOrd="0" presId="urn:microsoft.com/office/officeart/2005/8/layout/default"/>
    <dgm:cxn modelId="{A4DBDE08-274A-47ED-8B7E-9A794AE305B9}" type="presParOf" srcId="{669E9E04-4281-4072-9926-93641B49AC0E}" destId="{BE1779A8-13F7-42D4-97E0-01080C108603}" srcOrd="2" destOrd="0" presId="urn:microsoft.com/office/officeart/2005/8/layout/default"/>
    <dgm:cxn modelId="{458CD28C-4485-4EB5-927C-CE19BC25DBD4}" type="presParOf" srcId="{669E9E04-4281-4072-9926-93641B49AC0E}" destId="{8CD2F0CA-76BD-4973-A6B4-6A6AD2358F38}" srcOrd="3" destOrd="0" presId="urn:microsoft.com/office/officeart/2005/8/layout/default"/>
    <dgm:cxn modelId="{5D93D5FF-8120-411F-93EF-CECEBA454FA1}" type="presParOf" srcId="{669E9E04-4281-4072-9926-93641B49AC0E}" destId="{A9110893-12CF-48AA-B033-909524221B7C}" srcOrd="4" destOrd="0" presId="urn:microsoft.com/office/officeart/2005/8/layout/default"/>
    <dgm:cxn modelId="{BD10F372-35A4-42FF-A9BE-E6EACA768B30}" type="presParOf" srcId="{669E9E04-4281-4072-9926-93641B49AC0E}" destId="{B123548A-526F-4556-ABBF-4E736EA4308D}" srcOrd="5" destOrd="0" presId="urn:microsoft.com/office/officeart/2005/8/layout/default"/>
    <dgm:cxn modelId="{B8B927E7-A968-4FBB-9744-11380A193545}" type="presParOf" srcId="{669E9E04-4281-4072-9926-93641B49AC0E}" destId="{ABAA5ADC-5A8F-4788-A8E1-C26BF83F9D37}" srcOrd="6" destOrd="0" presId="urn:microsoft.com/office/officeart/2005/8/layout/default"/>
    <dgm:cxn modelId="{D9131ED0-6132-4E43-BCA1-ABE3EF7A8582}" type="presParOf" srcId="{669E9E04-4281-4072-9926-93641B49AC0E}" destId="{9EB4897D-90B5-4352-8E8D-E843DEF67494}" srcOrd="7" destOrd="0" presId="urn:microsoft.com/office/officeart/2005/8/layout/default"/>
    <dgm:cxn modelId="{E9E3C424-4114-4330-B149-E5A36CE038BD}" type="presParOf" srcId="{669E9E04-4281-4072-9926-93641B49AC0E}" destId="{DB88F833-5B83-42C7-8A5C-1E2889529906}" srcOrd="8"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72F903-053F-4BE5-B6C7-23712F121B58}"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en-US"/>
        </a:p>
      </dgm:t>
    </dgm:pt>
    <dgm:pt modelId="{BCC3DB68-1360-418E-9F5C-68A1931F406E}">
      <dgm:prSet phldrT="[Text]" custT="1"/>
      <dgm:spPr/>
      <dgm:t>
        <a:bodyPr/>
        <a:lstStyle/>
        <a:p>
          <a:r>
            <a:rPr lang="he-IL" sz="900">
              <a:latin typeface="David" panose="020E0502060401010101" pitchFamily="34" charset="-79"/>
              <a:cs typeface="David" panose="020E0502060401010101" pitchFamily="34" charset="-79"/>
            </a:rPr>
            <a:t>2. חזרת תורם מהסכמה לתרומה אנונימינית.</a:t>
          </a:r>
          <a:endParaRPr lang="en-US" sz="900">
            <a:latin typeface="David" panose="020E0502060401010101" pitchFamily="34" charset="-79"/>
            <a:cs typeface="David" panose="020E0502060401010101" pitchFamily="34" charset="-79"/>
          </a:endParaRPr>
        </a:p>
      </dgm:t>
    </dgm:pt>
    <dgm:pt modelId="{D6501172-B6ED-4FD9-9F27-9EA4EC22E6FF}" type="parTrans" cxnId="{BB0FF4CA-8B3D-497F-9FDA-1B19AA17D6F5}">
      <dgm:prSet/>
      <dgm:spPr/>
      <dgm:t>
        <a:bodyPr/>
        <a:lstStyle/>
        <a:p>
          <a:endParaRPr lang="en-US"/>
        </a:p>
      </dgm:t>
    </dgm:pt>
    <dgm:pt modelId="{AB41B962-05C0-4462-B04E-145D80CE9385}" type="sibTrans" cxnId="{BB0FF4CA-8B3D-497F-9FDA-1B19AA17D6F5}">
      <dgm:prSet/>
      <dgm:spPr/>
      <dgm:t>
        <a:bodyPr/>
        <a:lstStyle/>
        <a:p>
          <a:endParaRPr lang="en-US"/>
        </a:p>
      </dgm:t>
    </dgm:pt>
    <dgm:pt modelId="{FD776F70-A003-485B-AAB9-B4EC66D66592}">
      <dgm:prSet phldrT="[Text]" custT="1"/>
      <dgm:spPr/>
      <dgm:t>
        <a:bodyPr/>
        <a:lstStyle/>
        <a:p>
          <a:r>
            <a:rPr lang="he-IL" sz="900">
              <a:latin typeface="David" panose="020E0502060401010101" pitchFamily="34" charset="-79"/>
              <a:cs typeface="David" panose="020E0502060401010101" pitchFamily="34" charset="-79"/>
            </a:rPr>
            <a:t>2.1 חזרה לאחר שכבר נולד ילד מאותו זרע (</a:t>
          </a:r>
          <a:r>
            <a:rPr lang="he-IL" sz="900" b="1">
              <a:latin typeface="David" panose="020E0502060401010101" pitchFamily="34" charset="-79"/>
              <a:cs typeface="David" panose="020E0502060401010101" pitchFamily="34" charset="-79"/>
            </a:rPr>
            <a:t>פלונית נ' משרד הבריאות</a:t>
          </a:r>
          <a:r>
            <a:rPr lang="he-IL" sz="900">
              <a:latin typeface="David" panose="020E0502060401010101" pitchFamily="34" charset="-79"/>
              <a:cs typeface="David" panose="020E0502060401010101" pitchFamily="34" charset="-79"/>
            </a:rPr>
            <a:t>).</a:t>
          </a:r>
          <a:endParaRPr lang="en-US" sz="900">
            <a:latin typeface="David" panose="020E0502060401010101" pitchFamily="34" charset="-79"/>
            <a:cs typeface="David" panose="020E0502060401010101" pitchFamily="34" charset="-79"/>
          </a:endParaRPr>
        </a:p>
      </dgm:t>
    </dgm:pt>
    <dgm:pt modelId="{E5B06B8E-2220-428B-B5A8-4888288A683F}" type="parTrans" cxnId="{E5B8F315-2F21-4338-AEAC-9425CE73238B}">
      <dgm:prSet/>
      <dgm:spPr/>
      <dgm:t>
        <a:bodyPr/>
        <a:lstStyle/>
        <a:p>
          <a:endParaRPr lang="en-US" sz="900">
            <a:latin typeface="David" panose="020E0502060401010101" pitchFamily="34" charset="-79"/>
            <a:cs typeface="David" panose="020E0502060401010101" pitchFamily="34" charset="-79"/>
          </a:endParaRPr>
        </a:p>
      </dgm:t>
    </dgm:pt>
    <dgm:pt modelId="{8D31C191-EDB7-4AB2-9CA7-A7F54DBD5074}" type="sibTrans" cxnId="{E5B8F315-2F21-4338-AEAC-9425CE73238B}">
      <dgm:prSet/>
      <dgm:spPr/>
      <dgm:t>
        <a:bodyPr/>
        <a:lstStyle/>
        <a:p>
          <a:endParaRPr lang="en-US"/>
        </a:p>
      </dgm:t>
    </dgm:pt>
    <dgm:pt modelId="{E16137DD-02C2-4381-9D25-ADD7E1451A2E}">
      <dgm:prSet phldrT="[Text]" custT="1"/>
      <dgm:spPr/>
      <dgm:t>
        <a:bodyPr/>
        <a:lstStyle/>
        <a:p>
          <a:r>
            <a:rPr lang="he-IL" sz="900">
              <a:latin typeface="David" panose="020E0502060401010101" pitchFamily="34" charset="-79"/>
              <a:cs typeface="David" panose="020E0502060401010101" pitchFamily="34" charset="-79"/>
            </a:rPr>
            <a:t>2.2 חזרה טרם שימוש בזרע (אין פסיקה).</a:t>
          </a:r>
          <a:endParaRPr lang="en-US" sz="900">
            <a:latin typeface="David" panose="020E0502060401010101" pitchFamily="34" charset="-79"/>
            <a:cs typeface="David" panose="020E0502060401010101" pitchFamily="34" charset="-79"/>
          </a:endParaRPr>
        </a:p>
      </dgm:t>
    </dgm:pt>
    <dgm:pt modelId="{9C7D3416-F843-4609-9EF4-572F81157749}" type="parTrans" cxnId="{1311D335-C469-46B1-B8ED-AF8877153AB4}">
      <dgm:prSet/>
      <dgm:spPr/>
      <dgm:t>
        <a:bodyPr/>
        <a:lstStyle/>
        <a:p>
          <a:endParaRPr lang="en-US" sz="900">
            <a:latin typeface="David" panose="020E0502060401010101" pitchFamily="34" charset="-79"/>
            <a:cs typeface="David" panose="020E0502060401010101" pitchFamily="34" charset="-79"/>
          </a:endParaRPr>
        </a:p>
      </dgm:t>
    </dgm:pt>
    <dgm:pt modelId="{C4609530-F0E0-4230-915E-DA2FCA15254E}" type="sibTrans" cxnId="{1311D335-C469-46B1-B8ED-AF8877153AB4}">
      <dgm:prSet/>
      <dgm:spPr/>
      <dgm:t>
        <a:bodyPr/>
        <a:lstStyle/>
        <a:p>
          <a:endParaRPr lang="en-US"/>
        </a:p>
      </dgm:t>
    </dgm:pt>
    <dgm:pt modelId="{A4FA7600-96CF-4DBF-852A-1AE581F7F1ED}">
      <dgm:prSet phldrT="[Text]" custT="1"/>
      <dgm:spPr/>
      <dgm:t>
        <a:bodyPr/>
        <a:lstStyle/>
        <a:p>
          <a:pPr algn="ctr" rtl="1">
            <a:buFont typeface="+mj-lt"/>
            <a:buAutoNum type="arabicPeriod"/>
          </a:pPr>
          <a:r>
            <a:rPr lang="he-IL" sz="900">
              <a:latin typeface="David" panose="020E0502060401010101" pitchFamily="34" charset="-79"/>
              <a:cs typeface="David" panose="020E0502060401010101" pitchFamily="34" charset="-79"/>
            </a:rPr>
            <a:t>1. חזרת בן הזוג מהסכמה להפריה עקב קרע ביחסים </a:t>
          </a:r>
          <a:endParaRPr lang="en-US" sz="900">
            <a:latin typeface="David" panose="020E0502060401010101" pitchFamily="34" charset="-79"/>
            <a:cs typeface="David" panose="020E0502060401010101" pitchFamily="34" charset="-79"/>
          </a:endParaRPr>
        </a:p>
      </dgm:t>
    </dgm:pt>
    <dgm:pt modelId="{55092AA6-146E-4A9B-9A15-3F061218FDA7}" type="parTrans" cxnId="{08E2E952-91B3-4B64-AAE3-E397B3E7B58D}">
      <dgm:prSet/>
      <dgm:spPr/>
      <dgm:t>
        <a:bodyPr/>
        <a:lstStyle/>
        <a:p>
          <a:endParaRPr lang="en-US"/>
        </a:p>
      </dgm:t>
    </dgm:pt>
    <dgm:pt modelId="{D9D3B3C8-2457-4297-AF39-BA167294B015}" type="sibTrans" cxnId="{08E2E952-91B3-4B64-AAE3-E397B3E7B58D}">
      <dgm:prSet/>
      <dgm:spPr/>
      <dgm:t>
        <a:bodyPr/>
        <a:lstStyle/>
        <a:p>
          <a:endParaRPr lang="en-US"/>
        </a:p>
      </dgm:t>
    </dgm:pt>
    <dgm:pt modelId="{3084A6E2-4FF3-400F-B4E5-C05E456A93BE}">
      <dgm:prSet phldrT="[Text]" custT="1"/>
      <dgm:spPr/>
      <dgm:t>
        <a:bodyPr/>
        <a:lstStyle/>
        <a:p>
          <a:pPr>
            <a:buFont typeface="+mj-lt"/>
            <a:buAutoNum type="arabicPeriod"/>
          </a:pPr>
          <a:r>
            <a:rPr lang="he-IL" sz="900">
              <a:latin typeface="David" panose="020E0502060401010101" pitchFamily="34" charset="-79"/>
              <a:cs typeface="David" panose="020E0502060401010101" pitchFamily="34" charset="-79"/>
            </a:rPr>
            <a:t>1.1 חזרה מהסכמה בביצית של תורמת שטרם הופרתה ויש חלופה בדמות זרע אחר (</a:t>
          </a:r>
          <a:r>
            <a:rPr lang="he-IL" sz="900" b="1">
              <a:latin typeface="David" panose="020E0502060401010101" pitchFamily="34" charset="-79"/>
              <a:cs typeface="David" panose="020E0502060401010101" pitchFamily="34" charset="-79"/>
            </a:rPr>
            <a:t>פלונית נ' אלמוני</a:t>
          </a:r>
          <a:r>
            <a:rPr lang="he-IL" sz="900">
              <a:latin typeface="David" panose="020E0502060401010101" pitchFamily="34" charset="-79"/>
              <a:cs typeface="David" panose="020E0502060401010101" pitchFamily="34" charset="-79"/>
            </a:rPr>
            <a:t>).</a:t>
          </a:r>
          <a:endParaRPr lang="en-US" sz="900">
            <a:latin typeface="David" panose="020E0502060401010101" pitchFamily="34" charset="-79"/>
            <a:cs typeface="David" panose="020E0502060401010101" pitchFamily="34" charset="-79"/>
          </a:endParaRPr>
        </a:p>
      </dgm:t>
    </dgm:pt>
    <dgm:pt modelId="{FDCC1318-1504-4D7E-8044-67B4DE339E8C}" type="parTrans" cxnId="{5098661D-B762-431B-849E-CE98D85DE38F}">
      <dgm:prSet/>
      <dgm:spPr/>
      <dgm:t>
        <a:bodyPr/>
        <a:lstStyle/>
        <a:p>
          <a:endParaRPr lang="en-US" sz="900">
            <a:latin typeface="David" panose="020E0502060401010101" pitchFamily="34" charset="-79"/>
            <a:cs typeface="David" panose="020E0502060401010101" pitchFamily="34" charset="-79"/>
          </a:endParaRPr>
        </a:p>
      </dgm:t>
    </dgm:pt>
    <dgm:pt modelId="{272F9D1B-3172-403C-95CB-A49AAAF09B00}" type="sibTrans" cxnId="{5098661D-B762-431B-849E-CE98D85DE38F}">
      <dgm:prSet/>
      <dgm:spPr/>
      <dgm:t>
        <a:bodyPr/>
        <a:lstStyle/>
        <a:p>
          <a:endParaRPr lang="en-US"/>
        </a:p>
      </dgm:t>
    </dgm:pt>
    <dgm:pt modelId="{8FEEB5A4-D3BC-4FC6-862B-81D14B62F112}">
      <dgm:prSet phldrT="[Text]" custT="1"/>
      <dgm:spPr/>
      <dgm:t>
        <a:bodyPr/>
        <a:lstStyle/>
        <a:p>
          <a:pPr>
            <a:buFont typeface="+mj-lt"/>
            <a:buAutoNum type="arabicPeriod"/>
          </a:pPr>
          <a:r>
            <a:rPr lang="he-IL" sz="900">
              <a:latin typeface="David" panose="020E0502060401010101" pitchFamily="34" charset="-79"/>
              <a:cs typeface="David" panose="020E0502060401010101" pitchFamily="34" charset="-79"/>
            </a:rPr>
            <a:t>1.2 חזרה מהסכמה בביצית של תורמת שכבר הופרתה (</a:t>
          </a:r>
          <a:r>
            <a:rPr lang="he-IL" sz="900" b="1">
              <a:latin typeface="David" panose="020E0502060401010101" pitchFamily="34" charset="-79"/>
              <a:cs typeface="David" panose="020E0502060401010101" pitchFamily="34" charset="-79"/>
            </a:rPr>
            <a:t>ר' ש' פ' נ' א' י' ז'</a:t>
          </a:r>
          <a:r>
            <a:rPr lang="he-IL" sz="900">
              <a:latin typeface="David" panose="020E0502060401010101" pitchFamily="34" charset="-79"/>
              <a:cs typeface="David" panose="020E0502060401010101" pitchFamily="34" charset="-79"/>
            </a:rPr>
            <a:t>).</a:t>
          </a:r>
          <a:endParaRPr lang="en-US" sz="900">
            <a:latin typeface="David" panose="020E0502060401010101" pitchFamily="34" charset="-79"/>
            <a:cs typeface="David" panose="020E0502060401010101" pitchFamily="34" charset="-79"/>
          </a:endParaRPr>
        </a:p>
      </dgm:t>
    </dgm:pt>
    <dgm:pt modelId="{8FD7F816-29F7-4CAB-B335-E392678B31D5}" type="parTrans" cxnId="{94C0DF32-AB35-4B59-894C-596E79231610}">
      <dgm:prSet/>
      <dgm:spPr/>
      <dgm:t>
        <a:bodyPr/>
        <a:lstStyle/>
        <a:p>
          <a:endParaRPr lang="en-US" sz="900">
            <a:latin typeface="David" panose="020E0502060401010101" pitchFamily="34" charset="-79"/>
            <a:cs typeface="David" panose="020E0502060401010101" pitchFamily="34" charset="-79"/>
          </a:endParaRPr>
        </a:p>
      </dgm:t>
    </dgm:pt>
    <dgm:pt modelId="{8B890458-8190-42BD-B6D0-72DB57985C7E}" type="sibTrans" cxnId="{94C0DF32-AB35-4B59-894C-596E79231610}">
      <dgm:prSet/>
      <dgm:spPr/>
      <dgm:t>
        <a:bodyPr/>
        <a:lstStyle/>
        <a:p>
          <a:endParaRPr lang="en-US"/>
        </a:p>
      </dgm:t>
    </dgm:pt>
    <dgm:pt modelId="{ECA4E2CF-992B-46F6-88B2-1F97C283E26E}" type="pres">
      <dgm:prSet presAssocID="{D872F903-053F-4BE5-B6C7-23712F121B58}" presName="diagram" presStyleCnt="0">
        <dgm:presLayoutVars>
          <dgm:chPref val="1"/>
          <dgm:dir/>
          <dgm:animOne val="branch"/>
          <dgm:animLvl val="lvl"/>
          <dgm:resizeHandles/>
        </dgm:presLayoutVars>
      </dgm:prSet>
      <dgm:spPr/>
    </dgm:pt>
    <dgm:pt modelId="{594E181F-8D7C-48AE-9088-AA093A5E5547}" type="pres">
      <dgm:prSet presAssocID="{BCC3DB68-1360-418E-9F5C-68A1931F406E}" presName="root" presStyleCnt="0"/>
      <dgm:spPr/>
    </dgm:pt>
    <dgm:pt modelId="{5CC1AF0B-9E7F-46EE-8214-83958EFD59BA}" type="pres">
      <dgm:prSet presAssocID="{BCC3DB68-1360-418E-9F5C-68A1931F406E}" presName="rootComposite" presStyleCnt="0"/>
      <dgm:spPr/>
    </dgm:pt>
    <dgm:pt modelId="{03013537-72D1-4869-9198-2F8C5DB5E5EF}" type="pres">
      <dgm:prSet presAssocID="{BCC3DB68-1360-418E-9F5C-68A1931F406E}" presName="rootText" presStyleLbl="node1" presStyleIdx="0" presStyleCnt="2"/>
      <dgm:spPr/>
    </dgm:pt>
    <dgm:pt modelId="{6E8463B2-2A51-4111-A0D2-A3C17BD30CBA}" type="pres">
      <dgm:prSet presAssocID="{BCC3DB68-1360-418E-9F5C-68A1931F406E}" presName="rootConnector" presStyleLbl="node1" presStyleIdx="0" presStyleCnt="2"/>
      <dgm:spPr/>
    </dgm:pt>
    <dgm:pt modelId="{C4C4ADB5-8C00-46BD-8B18-1888F89324C4}" type="pres">
      <dgm:prSet presAssocID="{BCC3DB68-1360-418E-9F5C-68A1931F406E}" presName="childShape" presStyleCnt="0"/>
      <dgm:spPr/>
    </dgm:pt>
    <dgm:pt modelId="{DAC3F9AF-8BC0-4C06-BBDE-B75CA8ABBA92}" type="pres">
      <dgm:prSet presAssocID="{E5B06B8E-2220-428B-B5A8-4888288A683F}" presName="Name13" presStyleLbl="parChTrans1D2" presStyleIdx="0" presStyleCnt="4"/>
      <dgm:spPr/>
    </dgm:pt>
    <dgm:pt modelId="{4C14A761-C052-4B4B-9FA2-5550B82BEE3B}" type="pres">
      <dgm:prSet presAssocID="{FD776F70-A003-485B-AAB9-B4EC66D66592}" presName="childText" presStyleLbl="bgAcc1" presStyleIdx="0" presStyleCnt="4">
        <dgm:presLayoutVars>
          <dgm:bulletEnabled val="1"/>
        </dgm:presLayoutVars>
      </dgm:prSet>
      <dgm:spPr/>
    </dgm:pt>
    <dgm:pt modelId="{273B6E01-34E2-473A-9DD8-070C6C4D12BA}" type="pres">
      <dgm:prSet presAssocID="{9C7D3416-F843-4609-9EF4-572F81157749}" presName="Name13" presStyleLbl="parChTrans1D2" presStyleIdx="1" presStyleCnt="4"/>
      <dgm:spPr/>
    </dgm:pt>
    <dgm:pt modelId="{E9E96CAA-7C3C-4627-8317-39A87034EA6A}" type="pres">
      <dgm:prSet presAssocID="{E16137DD-02C2-4381-9D25-ADD7E1451A2E}" presName="childText" presStyleLbl="bgAcc1" presStyleIdx="1" presStyleCnt="4">
        <dgm:presLayoutVars>
          <dgm:bulletEnabled val="1"/>
        </dgm:presLayoutVars>
      </dgm:prSet>
      <dgm:spPr/>
    </dgm:pt>
    <dgm:pt modelId="{E76C32AA-03CC-45F0-B013-C609F257DB9F}" type="pres">
      <dgm:prSet presAssocID="{A4FA7600-96CF-4DBF-852A-1AE581F7F1ED}" presName="root" presStyleCnt="0"/>
      <dgm:spPr/>
    </dgm:pt>
    <dgm:pt modelId="{FDDD29F7-18D1-4DB7-9CD0-14C8F445CDE0}" type="pres">
      <dgm:prSet presAssocID="{A4FA7600-96CF-4DBF-852A-1AE581F7F1ED}" presName="rootComposite" presStyleCnt="0"/>
      <dgm:spPr/>
    </dgm:pt>
    <dgm:pt modelId="{71DCD8A8-DB2D-4043-91DB-D0293106FC72}" type="pres">
      <dgm:prSet presAssocID="{A4FA7600-96CF-4DBF-852A-1AE581F7F1ED}" presName="rootText" presStyleLbl="node1" presStyleIdx="1" presStyleCnt="2"/>
      <dgm:spPr/>
    </dgm:pt>
    <dgm:pt modelId="{5FC219BD-54EC-4E04-81BC-F32C126B109A}" type="pres">
      <dgm:prSet presAssocID="{A4FA7600-96CF-4DBF-852A-1AE581F7F1ED}" presName="rootConnector" presStyleLbl="node1" presStyleIdx="1" presStyleCnt="2"/>
      <dgm:spPr/>
    </dgm:pt>
    <dgm:pt modelId="{AFC3BBAA-37FA-492F-BDB8-31D95F24D682}" type="pres">
      <dgm:prSet presAssocID="{A4FA7600-96CF-4DBF-852A-1AE581F7F1ED}" presName="childShape" presStyleCnt="0"/>
      <dgm:spPr/>
    </dgm:pt>
    <dgm:pt modelId="{C9F60A48-0A69-4109-93E2-600BD49473B4}" type="pres">
      <dgm:prSet presAssocID="{FDCC1318-1504-4D7E-8044-67B4DE339E8C}" presName="Name13" presStyleLbl="parChTrans1D2" presStyleIdx="2" presStyleCnt="4"/>
      <dgm:spPr/>
    </dgm:pt>
    <dgm:pt modelId="{E375C2ED-0F60-4619-BC2D-7A660F571E3E}" type="pres">
      <dgm:prSet presAssocID="{3084A6E2-4FF3-400F-B4E5-C05E456A93BE}" presName="childText" presStyleLbl="bgAcc1" presStyleIdx="2" presStyleCnt="4">
        <dgm:presLayoutVars>
          <dgm:bulletEnabled val="1"/>
        </dgm:presLayoutVars>
      </dgm:prSet>
      <dgm:spPr/>
    </dgm:pt>
    <dgm:pt modelId="{0CDBFF8C-F024-439E-B00D-62ABCBA2FAB1}" type="pres">
      <dgm:prSet presAssocID="{8FD7F816-29F7-4CAB-B335-E392678B31D5}" presName="Name13" presStyleLbl="parChTrans1D2" presStyleIdx="3" presStyleCnt="4"/>
      <dgm:spPr/>
    </dgm:pt>
    <dgm:pt modelId="{3A2FB290-2DF1-4815-83F7-2B55A82A53FA}" type="pres">
      <dgm:prSet presAssocID="{8FEEB5A4-D3BC-4FC6-862B-81D14B62F112}" presName="childText" presStyleLbl="bgAcc1" presStyleIdx="3" presStyleCnt="4">
        <dgm:presLayoutVars>
          <dgm:bulletEnabled val="1"/>
        </dgm:presLayoutVars>
      </dgm:prSet>
      <dgm:spPr/>
    </dgm:pt>
  </dgm:ptLst>
  <dgm:cxnLst>
    <dgm:cxn modelId="{E5B8F315-2F21-4338-AEAC-9425CE73238B}" srcId="{BCC3DB68-1360-418E-9F5C-68A1931F406E}" destId="{FD776F70-A003-485B-AAB9-B4EC66D66592}" srcOrd="0" destOrd="0" parTransId="{E5B06B8E-2220-428B-B5A8-4888288A683F}" sibTransId="{8D31C191-EDB7-4AB2-9CA7-A7F54DBD5074}"/>
    <dgm:cxn modelId="{5098661D-B762-431B-849E-CE98D85DE38F}" srcId="{A4FA7600-96CF-4DBF-852A-1AE581F7F1ED}" destId="{3084A6E2-4FF3-400F-B4E5-C05E456A93BE}" srcOrd="0" destOrd="0" parTransId="{FDCC1318-1504-4D7E-8044-67B4DE339E8C}" sibTransId="{272F9D1B-3172-403C-95CB-A49AAAF09B00}"/>
    <dgm:cxn modelId="{94C0DF32-AB35-4B59-894C-596E79231610}" srcId="{A4FA7600-96CF-4DBF-852A-1AE581F7F1ED}" destId="{8FEEB5A4-D3BC-4FC6-862B-81D14B62F112}" srcOrd="1" destOrd="0" parTransId="{8FD7F816-29F7-4CAB-B335-E392678B31D5}" sibTransId="{8B890458-8190-42BD-B6D0-72DB57985C7E}"/>
    <dgm:cxn modelId="{1311D335-C469-46B1-B8ED-AF8877153AB4}" srcId="{BCC3DB68-1360-418E-9F5C-68A1931F406E}" destId="{E16137DD-02C2-4381-9D25-ADD7E1451A2E}" srcOrd="1" destOrd="0" parTransId="{9C7D3416-F843-4609-9EF4-572F81157749}" sibTransId="{C4609530-F0E0-4230-915E-DA2FCA15254E}"/>
    <dgm:cxn modelId="{A1024139-D01F-47C8-BA1D-D4184B5A2E10}" type="presOf" srcId="{D872F903-053F-4BE5-B6C7-23712F121B58}" destId="{ECA4E2CF-992B-46F6-88B2-1F97C283E26E}" srcOrd="0" destOrd="0" presId="urn:microsoft.com/office/officeart/2005/8/layout/hierarchy3"/>
    <dgm:cxn modelId="{8335DE61-0BC5-4A5C-A29C-14E18AAC895E}" type="presOf" srcId="{E16137DD-02C2-4381-9D25-ADD7E1451A2E}" destId="{E9E96CAA-7C3C-4627-8317-39A87034EA6A}" srcOrd="0" destOrd="0" presId="urn:microsoft.com/office/officeart/2005/8/layout/hierarchy3"/>
    <dgm:cxn modelId="{85DFD846-9838-4F31-BC14-78076ED49877}" type="presOf" srcId="{8FD7F816-29F7-4CAB-B335-E392678B31D5}" destId="{0CDBFF8C-F024-439E-B00D-62ABCBA2FAB1}" srcOrd="0" destOrd="0" presId="urn:microsoft.com/office/officeart/2005/8/layout/hierarchy3"/>
    <dgm:cxn modelId="{3314334A-15DE-444D-AAE6-96606504A7AD}" type="presOf" srcId="{8FEEB5A4-D3BC-4FC6-862B-81D14B62F112}" destId="{3A2FB290-2DF1-4815-83F7-2B55A82A53FA}" srcOrd="0" destOrd="0" presId="urn:microsoft.com/office/officeart/2005/8/layout/hierarchy3"/>
    <dgm:cxn modelId="{5158D64C-F513-4E2F-B71C-9F679982BAC3}" type="presOf" srcId="{BCC3DB68-1360-418E-9F5C-68A1931F406E}" destId="{03013537-72D1-4869-9198-2F8C5DB5E5EF}" srcOrd="0" destOrd="0" presId="urn:microsoft.com/office/officeart/2005/8/layout/hierarchy3"/>
    <dgm:cxn modelId="{D3909E4E-9F60-4240-9438-D7AF3F6C1A1C}" type="presOf" srcId="{9C7D3416-F843-4609-9EF4-572F81157749}" destId="{273B6E01-34E2-473A-9DD8-070C6C4D12BA}" srcOrd="0" destOrd="0" presId="urn:microsoft.com/office/officeart/2005/8/layout/hierarchy3"/>
    <dgm:cxn modelId="{08E2E952-91B3-4B64-AAE3-E397B3E7B58D}" srcId="{D872F903-053F-4BE5-B6C7-23712F121B58}" destId="{A4FA7600-96CF-4DBF-852A-1AE581F7F1ED}" srcOrd="1" destOrd="0" parTransId="{55092AA6-146E-4A9B-9A15-3F061218FDA7}" sibTransId="{D9D3B3C8-2457-4297-AF39-BA167294B015}"/>
    <dgm:cxn modelId="{5DA08176-FDE3-485C-9716-0965B3B4EBBB}" type="presOf" srcId="{3084A6E2-4FF3-400F-B4E5-C05E456A93BE}" destId="{E375C2ED-0F60-4619-BC2D-7A660F571E3E}" srcOrd="0" destOrd="0" presId="urn:microsoft.com/office/officeart/2005/8/layout/hierarchy3"/>
    <dgm:cxn modelId="{4249837C-4E65-4D29-AED4-2A9DF22D9C8F}" type="presOf" srcId="{E5B06B8E-2220-428B-B5A8-4888288A683F}" destId="{DAC3F9AF-8BC0-4C06-BBDE-B75CA8ABBA92}" srcOrd="0" destOrd="0" presId="urn:microsoft.com/office/officeart/2005/8/layout/hierarchy3"/>
    <dgm:cxn modelId="{DAD680C8-4DE7-423C-99AC-5F8C74FBC9EB}" type="presOf" srcId="{A4FA7600-96CF-4DBF-852A-1AE581F7F1ED}" destId="{71DCD8A8-DB2D-4043-91DB-D0293106FC72}" srcOrd="0" destOrd="0" presId="urn:microsoft.com/office/officeart/2005/8/layout/hierarchy3"/>
    <dgm:cxn modelId="{BB0FF4CA-8B3D-497F-9FDA-1B19AA17D6F5}" srcId="{D872F903-053F-4BE5-B6C7-23712F121B58}" destId="{BCC3DB68-1360-418E-9F5C-68A1931F406E}" srcOrd="0" destOrd="0" parTransId="{D6501172-B6ED-4FD9-9F27-9EA4EC22E6FF}" sibTransId="{AB41B962-05C0-4462-B04E-145D80CE9385}"/>
    <dgm:cxn modelId="{F38745DC-FBA5-41CB-9239-DEAF0E9D9122}" type="presOf" srcId="{FD776F70-A003-485B-AAB9-B4EC66D66592}" destId="{4C14A761-C052-4B4B-9FA2-5550B82BEE3B}" srcOrd="0" destOrd="0" presId="urn:microsoft.com/office/officeart/2005/8/layout/hierarchy3"/>
    <dgm:cxn modelId="{904245E4-EB74-41D7-BF29-F83C234514F1}" type="presOf" srcId="{FDCC1318-1504-4D7E-8044-67B4DE339E8C}" destId="{C9F60A48-0A69-4109-93E2-600BD49473B4}" srcOrd="0" destOrd="0" presId="urn:microsoft.com/office/officeart/2005/8/layout/hierarchy3"/>
    <dgm:cxn modelId="{88E137F0-6C25-4E48-8E0A-3963A172029D}" type="presOf" srcId="{BCC3DB68-1360-418E-9F5C-68A1931F406E}" destId="{6E8463B2-2A51-4111-A0D2-A3C17BD30CBA}" srcOrd="1" destOrd="0" presId="urn:microsoft.com/office/officeart/2005/8/layout/hierarchy3"/>
    <dgm:cxn modelId="{416B42F6-6583-4DC3-987A-1AEA10213A91}" type="presOf" srcId="{A4FA7600-96CF-4DBF-852A-1AE581F7F1ED}" destId="{5FC219BD-54EC-4E04-81BC-F32C126B109A}" srcOrd="1" destOrd="0" presId="urn:microsoft.com/office/officeart/2005/8/layout/hierarchy3"/>
    <dgm:cxn modelId="{697B6D7C-1564-4429-94CA-BCDA3F689879}" type="presParOf" srcId="{ECA4E2CF-992B-46F6-88B2-1F97C283E26E}" destId="{594E181F-8D7C-48AE-9088-AA093A5E5547}" srcOrd="0" destOrd="0" presId="urn:microsoft.com/office/officeart/2005/8/layout/hierarchy3"/>
    <dgm:cxn modelId="{FDE3065E-25EE-4EC1-8835-8170687988A0}" type="presParOf" srcId="{594E181F-8D7C-48AE-9088-AA093A5E5547}" destId="{5CC1AF0B-9E7F-46EE-8214-83958EFD59BA}" srcOrd="0" destOrd="0" presId="urn:microsoft.com/office/officeart/2005/8/layout/hierarchy3"/>
    <dgm:cxn modelId="{D5E20DB8-D4A8-4911-AC33-D9F5007EA2C0}" type="presParOf" srcId="{5CC1AF0B-9E7F-46EE-8214-83958EFD59BA}" destId="{03013537-72D1-4869-9198-2F8C5DB5E5EF}" srcOrd="0" destOrd="0" presId="urn:microsoft.com/office/officeart/2005/8/layout/hierarchy3"/>
    <dgm:cxn modelId="{B1D2B91A-CC5A-4858-87D6-7839EF09A0CF}" type="presParOf" srcId="{5CC1AF0B-9E7F-46EE-8214-83958EFD59BA}" destId="{6E8463B2-2A51-4111-A0D2-A3C17BD30CBA}" srcOrd="1" destOrd="0" presId="urn:microsoft.com/office/officeart/2005/8/layout/hierarchy3"/>
    <dgm:cxn modelId="{A54FCE28-EDEA-4410-A4D5-582591CD9D56}" type="presParOf" srcId="{594E181F-8D7C-48AE-9088-AA093A5E5547}" destId="{C4C4ADB5-8C00-46BD-8B18-1888F89324C4}" srcOrd="1" destOrd="0" presId="urn:microsoft.com/office/officeart/2005/8/layout/hierarchy3"/>
    <dgm:cxn modelId="{C9314F09-BB55-47C4-A7E1-B595E13D9053}" type="presParOf" srcId="{C4C4ADB5-8C00-46BD-8B18-1888F89324C4}" destId="{DAC3F9AF-8BC0-4C06-BBDE-B75CA8ABBA92}" srcOrd="0" destOrd="0" presId="urn:microsoft.com/office/officeart/2005/8/layout/hierarchy3"/>
    <dgm:cxn modelId="{4D731B6C-E0B3-4288-8E70-F19578AA3315}" type="presParOf" srcId="{C4C4ADB5-8C00-46BD-8B18-1888F89324C4}" destId="{4C14A761-C052-4B4B-9FA2-5550B82BEE3B}" srcOrd="1" destOrd="0" presId="urn:microsoft.com/office/officeart/2005/8/layout/hierarchy3"/>
    <dgm:cxn modelId="{85195CA8-A63B-4DA1-8C5C-35D2E6779BD1}" type="presParOf" srcId="{C4C4ADB5-8C00-46BD-8B18-1888F89324C4}" destId="{273B6E01-34E2-473A-9DD8-070C6C4D12BA}" srcOrd="2" destOrd="0" presId="urn:microsoft.com/office/officeart/2005/8/layout/hierarchy3"/>
    <dgm:cxn modelId="{2A62547E-6C0A-4E44-906A-BA8ABE89072E}" type="presParOf" srcId="{C4C4ADB5-8C00-46BD-8B18-1888F89324C4}" destId="{E9E96CAA-7C3C-4627-8317-39A87034EA6A}" srcOrd="3" destOrd="0" presId="urn:microsoft.com/office/officeart/2005/8/layout/hierarchy3"/>
    <dgm:cxn modelId="{DE98FF1D-46A0-44BC-B9DF-36D21763ABC4}" type="presParOf" srcId="{ECA4E2CF-992B-46F6-88B2-1F97C283E26E}" destId="{E76C32AA-03CC-45F0-B013-C609F257DB9F}" srcOrd="1" destOrd="0" presId="urn:microsoft.com/office/officeart/2005/8/layout/hierarchy3"/>
    <dgm:cxn modelId="{342569EC-53DB-4013-8C05-89DFD88769BE}" type="presParOf" srcId="{E76C32AA-03CC-45F0-B013-C609F257DB9F}" destId="{FDDD29F7-18D1-4DB7-9CD0-14C8F445CDE0}" srcOrd="0" destOrd="0" presId="urn:microsoft.com/office/officeart/2005/8/layout/hierarchy3"/>
    <dgm:cxn modelId="{607CD35E-4C60-4A8A-A8D7-3A624D00FFC8}" type="presParOf" srcId="{FDDD29F7-18D1-4DB7-9CD0-14C8F445CDE0}" destId="{71DCD8A8-DB2D-4043-91DB-D0293106FC72}" srcOrd="0" destOrd="0" presId="urn:microsoft.com/office/officeart/2005/8/layout/hierarchy3"/>
    <dgm:cxn modelId="{CC4DE2B3-BC78-454D-AB4B-FC0CDCB868A0}" type="presParOf" srcId="{FDDD29F7-18D1-4DB7-9CD0-14C8F445CDE0}" destId="{5FC219BD-54EC-4E04-81BC-F32C126B109A}" srcOrd="1" destOrd="0" presId="urn:microsoft.com/office/officeart/2005/8/layout/hierarchy3"/>
    <dgm:cxn modelId="{60C8630C-50D1-4C53-8ED7-6BC33490D6CF}" type="presParOf" srcId="{E76C32AA-03CC-45F0-B013-C609F257DB9F}" destId="{AFC3BBAA-37FA-492F-BDB8-31D95F24D682}" srcOrd="1" destOrd="0" presId="urn:microsoft.com/office/officeart/2005/8/layout/hierarchy3"/>
    <dgm:cxn modelId="{9CFCB6DD-2DD4-4A38-920B-9CCF1BBE085C}" type="presParOf" srcId="{AFC3BBAA-37FA-492F-BDB8-31D95F24D682}" destId="{C9F60A48-0A69-4109-93E2-600BD49473B4}" srcOrd="0" destOrd="0" presId="urn:microsoft.com/office/officeart/2005/8/layout/hierarchy3"/>
    <dgm:cxn modelId="{F6CFD321-F289-4477-ACB2-49195E7D0AAE}" type="presParOf" srcId="{AFC3BBAA-37FA-492F-BDB8-31D95F24D682}" destId="{E375C2ED-0F60-4619-BC2D-7A660F571E3E}" srcOrd="1" destOrd="0" presId="urn:microsoft.com/office/officeart/2005/8/layout/hierarchy3"/>
    <dgm:cxn modelId="{4A28CE44-B7CD-48FE-B102-4527E3B5F7FD}" type="presParOf" srcId="{AFC3BBAA-37FA-492F-BDB8-31D95F24D682}" destId="{0CDBFF8C-F024-439E-B00D-62ABCBA2FAB1}" srcOrd="2" destOrd="0" presId="urn:microsoft.com/office/officeart/2005/8/layout/hierarchy3"/>
    <dgm:cxn modelId="{4C41B153-E902-47E3-A898-AECA87B2E967}" type="presParOf" srcId="{AFC3BBAA-37FA-492F-BDB8-31D95F24D682}" destId="{3A2FB290-2DF1-4815-83F7-2B55A82A53FA}" srcOrd="3"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D4F8997-A8B0-4465-9B23-6799FB332153}" type="doc">
      <dgm:prSet loTypeId="urn:microsoft.com/office/officeart/2005/8/layout/process1" loCatId="process" qsTypeId="urn:microsoft.com/office/officeart/2005/8/quickstyle/simple3" qsCatId="simple" csTypeId="urn:microsoft.com/office/officeart/2005/8/colors/accent1_2" csCatId="accent1" phldr="1"/>
      <dgm:spPr/>
    </dgm:pt>
    <dgm:pt modelId="{ADE72D4F-66BF-446E-82B3-D924CD0E2C9C}">
      <dgm:prSet phldrT="[Text]"/>
      <dgm:spPr/>
      <dgm:t>
        <a:bodyPr/>
        <a:lstStyle/>
        <a:p>
          <a:r>
            <a:rPr lang="he-IL">
              <a:latin typeface="David" panose="020E0502060401010101" pitchFamily="34" charset="-79"/>
              <a:cs typeface="David" panose="020E0502060401010101" pitchFamily="34" charset="-79"/>
            </a:rPr>
            <a:t>סקירת אינטרקציה בין נזיקין לדיני משפחה</a:t>
          </a:r>
          <a:endParaRPr lang="en-US">
            <a:latin typeface="David" panose="020E0502060401010101" pitchFamily="34" charset="-79"/>
            <a:cs typeface="David" panose="020E0502060401010101" pitchFamily="34" charset="-79"/>
          </a:endParaRPr>
        </a:p>
      </dgm:t>
    </dgm:pt>
    <dgm:pt modelId="{6668AFB7-0129-4D88-9C04-810EED31C1C5}" type="parTrans" cxnId="{FD454CF0-1B3E-46AB-99E2-CEE945B47032}">
      <dgm:prSet/>
      <dgm:spPr/>
      <dgm:t>
        <a:bodyPr/>
        <a:lstStyle/>
        <a:p>
          <a:endParaRPr lang="en-US"/>
        </a:p>
      </dgm:t>
    </dgm:pt>
    <dgm:pt modelId="{4C58A0E6-9C18-426C-938E-3327D053EB6F}" type="sibTrans" cxnId="{FD454CF0-1B3E-46AB-99E2-CEE945B47032}">
      <dgm:prSet/>
      <dgm:spPr/>
      <dgm:t>
        <a:bodyPr/>
        <a:lstStyle/>
        <a:p>
          <a:endParaRPr lang="en-US">
            <a:latin typeface="David" panose="020E0502060401010101" pitchFamily="34" charset="-79"/>
            <a:cs typeface="David" panose="020E0502060401010101" pitchFamily="34" charset="-79"/>
          </a:endParaRPr>
        </a:p>
      </dgm:t>
    </dgm:pt>
    <dgm:pt modelId="{B836E18F-312D-4B3B-A683-59641DDEFF4C}">
      <dgm:prSet phldrT="[Text]"/>
      <dgm:spPr/>
      <dgm:t>
        <a:bodyPr/>
        <a:lstStyle/>
        <a:p>
          <a:r>
            <a:rPr lang="he-IL">
              <a:latin typeface="David" panose="020E0502060401010101" pitchFamily="34" charset="-79"/>
              <a:cs typeface="David" panose="020E0502060401010101" pitchFamily="34" charset="-79"/>
            </a:rPr>
            <a:t>התמקדות במקרים של אינטראקציה שלילית </a:t>
          </a:r>
          <a:endParaRPr lang="en-US">
            <a:latin typeface="David" panose="020E0502060401010101" pitchFamily="34" charset="-79"/>
            <a:cs typeface="David" panose="020E0502060401010101" pitchFamily="34" charset="-79"/>
          </a:endParaRPr>
        </a:p>
      </dgm:t>
    </dgm:pt>
    <dgm:pt modelId="{6F954452-B47D-4786-90EF-8D6933F6FE65}" type="parTrans" cxnId="{E4D525A1-D366-44E4-99A0-2D4487CCC2D4}">
      <dgm:prSet/>
      <dgm:spPr/>
      <dgm:t>
        <a:bodyPr/>
        <a:lstStyle/>
        <a:p>
          <a:endParaRPr lang="en-US"/>
        </a:p>
      </dgm:t>
    </dgm:pt>
    <dgm:pt modelId="{D3C5DFDA-C19D-4B59-ADAB-6B95BC1692F1}" type="sibTrans" cxnId="{E4D525A1-D366-44E4-99A0-2D4487CCC2D4}">
      <dgm:prSet/>
      <dgm:spPr/>
      <dgm:t>
        <a:bodyPr/>
        <a:lstStyle/>
        <a:p>
          <a:endParaRPr lang="en-US">
            <a:latin typeface="David" panose="020E0502060401010101" pitchFamily="34" charset="-79"/>
            <a:cs typeface="David" panose="020E0502060401010101" pitchFamily="34" charset="-79"/>
          </a:endParaRPr>
        </a:p>
      </dgm:t>
    </dgm:pt>
    <dgm:pt modelId="{41637EC1-F419-43DD-8B14-F043F49FEAD1}">
      <dgm:prSet phldrT="[Text]"/>
      <dgm:spPr/>
      <dgm:t>
        <a:bodyPr/>
        <a:lstStyle/>
        <a:p>
          <a:r>
            <a:rPr lang="he-IL">
              <a:latin typeface="David" panose="020E0502060401010101" pitchFamily="34" charset="-79"/>
              <a:cs typeface="David" panose="020E0502060401010101" pitchFamily="34" charset="-79"/>
            </a:rPr>
            <a:t>מקרה בוחן של גירושין במגזר הקתולי </a:t>
          </a:r>
          <a:endParaRPr lang="en-US">
            <a:latin typeface="David" panose="020E0502060401010101" pitchFamily="34" charset="-79"/>
            <a:cs typeface="David" panose="020E0502060401010101" pitchFamily="34" charset="-79"/>
          </a:endParaRPr>
        </a:p>
      </dgm:t>
    </dgm:pt>
    <dgm:pt modelId="{AE135249-CF4F-4E58-A830-B772F7235F2C}" type="parTrans" cxnId="{5434EA0D-9B4E-439B-974E-8675CE82A96A}">
      <dgm:prSet/>
      <dgm:spPr/>
      <dgm:t>
        <a:bodyPr/>
        <a:lstStyle/>
        <a:p>
          <a:endParaRPr lang="en-US"/>
        </a:p>
      </dgm:t>
    </dgm:pt>
    <dgm:pt modelId="{B4996FED-7E03-4614-A4A5-ABECD32D9B01}" type="sibTrans" cxnId="{5434EA0D-9B4E-439B-974E-8675CE82A96A}">
      <dgm:prSet/>
      <dgm:spPr/>
      <dgm:t>
        <a:bodyPr/>
        <a:lstStyle/>
        <a:p>
          <a:endParaRPr lang="en-US">
            <a:latin typeface="David" panose="020E0502060401010101" pitchFamily="34" charset="-79"/>
            <a:cs typeface="David" panose="020E0502060401010101" pitchFamily="34" charset="-79"/>
          </a:endParaRPr>
        </a:p>
      </dgm:t>
    </dgm:pt>
    <dgm:pt modelId="{CCA8BA77-097C-45AF-9918-A2208DA52F0F}">
      <dgm:prSet/>
      <dgm:spPr/>
      <dgm:t>
        <a:bodyPr/>
        <a:lstStyle/>
        <a:p>
          <a:r>
            <a:rPr lang="he-IL">
              <a:latin typeface="David" panose="020E0502060401010101" pitchFamily="34" charset="-79"/>
              <a:cs typeface="David" panose="020E0502060401010101" pitchFamily="34" charset="-79"/>
            </a:rPr>
            <a:t>הצגת הקשיים בתביעה נזיקית ובתביעה חוזית </a:t>
          </a:r>
          <a:endParaRPr lang="en-US">
            <a:latin typeface="David" panose="020E0502060401010101" pitchFamily="34" charset="-79"/>
            <a:cs typeface="David" panose="020E0502060401010101" pitchFamily="34" charset="-79"/>
          </a:endParaRPr>
        </a:p>
      </dgm:t>
    </dgm:pt>
    <dgm:pt modelId="{5C6825CB-E0BB-44DB-95DD-A070F9233C30}" type="parTrans" cxnId="{D30FB55B-FFF7-4FF2-AF68-E8AC33825707}">
      <dgm:prSet/>
      <dgm:spPr/>
      <dgm:t>
        <a:bodyPr/>
        <a:lstStyle/>
        <a:p>
          <a:endParaRPr lang="en-US"/>
        </a:p>
      </dgm:t>
    </dgm:pt>
    <dgm:pt modelId="{1936BC40-0B45-4342-9D2A-722EF69C5574}" type="sibTrans" cxnId="{D30FB55B-FFF7-4FF2-AF68-E8AC33825707}">
      <dgm:prSet/>
      <dgm:spPr/>
      <dgm:t>
        <a:bodyPr/>
        <a:lstStyle/>
        <a:p>
          <a:endParaRPr lang="en-US">
            <a:latin typeface="David" panose="020E0502060401010101" pitchFamily="34" charset="-79"/>
            <a:cs typeface="David" panose="020E0502060401010101" pitchFamily="34" charset="-79"/>
          </a:endParaRPr>
        </a:p>
      </dgm:t>
    </dgm:pt>
    <dgm:pt modelId="{07C64114-8F5C-4264-811A-6E96DB6A050B}">
      <dgm:prSet/>
      <dgm:spPr/>
      <dgm:t>
        <a:bodyPr/>
        <a:lstStyle/>
        <a:p>
          <a:r>
            <a:rPr lang="he-IL">
              <a:latin typeface="David" panose="020E0502060401010101" pitchFamily="34" charset="-79"/>
              <a:cs typeface="David" panose="020E0502060401010101" pitchFamily="34" charset="-79"/>
            </a:rPr>
            <a:t>דין רצוי </a:t>
          </a:r>
          <a:endParaRPr lang="en-US">
            <a:latin typeface="David" panose="020E0502060401010101" pitchFamily="34" charset="-79"/>
            <a:cs typeface="David" panose="020E0502060401010101" pitchFamily="34" charset="-79"/>
          </a:endParaRPr>
        </a:p>
      </dgm:t>
    </dgm:pt>
    <dgm:pt modelId="{CA93A04A-4039-492C-BB59-C3E0BF85F868}" type="parTrans" cxnId="{4F4010A4-8B09-4507-AC0D-6A76C3F49108}">
      <dgm:prSet/>
      <dgm:spPr/>
      <dgm:t>
        <a:bodyPr/>
        <a:lstStyle/>
        <a:p>
          <a:endParaRPr lang="en-US"/>
        </a:p>
      </dgm:t>
    </dgm:pt>
    <dgm:pt modelId="{8C4CD627-39C1-4509-88BE-6DBFB9DCB73C}" type="sibTrans" cxnId="{4F4010A4-8B09-4507-AC0D-6A76C3F49108}">
      <dgm:prSet/>
      <dgm:spPr/>
      <dgm:t>
        <a:bodyPr/>
        <a:lstStyle/>
        <a:p>
          <a:endParaRPr lang="en-US"/>
        </a:p>
      </dgm:t>
    </dgm:pt>
    <dgm:pt modelId="{CAF0A1DC-3009-4B7A-A439-F4FA43333561}">
      <dgm:prSet/>
      <dgm:spPr/>
      <dgm:t>
        <a:bodyPr/>
        <a:lstStyle/>
        <a:p>
          <a:r>
            <a:rPr lang="he-IL">
              <a:latin typeface="David" panose="020E0502060401010101" pitchFamily="34" charset="-79"/>
              <a:cs typeface="David" panose="020E0502060401010101" pitchFamily="34" charset="-79"/>
            </a:rPr>
            <a:t>השאלות שעולות מהפסיקה</a:t>
          </a:r>
          <a:endParaRPr lang="en-US">
            <a:latin typeface="David" panose="020E0502060401010101" pitchFamily="34" charset="-79"/>
            <a:cs typeface="David" panose="020E0502060401010101" pitchFamily="34" charset="-79"/>
          </a:endParaRPr>
        </a:p>
      </dgm:t>
    </dgm:pt>
    <dgm:pt modelId="{FA356C34-A4A7-45B5-BCD5-9F1F41192877}" type="parTrans" cxnId="{80BD11AB-A878-433F-A470-F5D9B528298E}">
      <dgm:prSet/>
      <dgm:spPr/>
      <dgm:t>
        <a:bodyPr/>
        <a:lstStyle/>
        <a:p>
          <a:endParaRPr lang="en-US"/>
        </a:p>
      </dgm:t>
    </dgm:pt>
    <dgm:pt modelId="{079BBEED-9A07-40C4-BC0F-F841629EC258}" type="sibTrans" cxnId="{80BD11AB-A878-433F-A470-F5D9B528298E}">
      <dgm:prSet/>
      <dgm:spPr/>
      <dgm:t>
        <a:bodyPr/>
        <a:lstStyle/>
        <a:p>
          <a:endParaRPr lang="en-US">
            <a:latin typeface="David" panose="020E0502060401010101" pitchFamily="34" charset="-79"/>
            <a:cs typeface="David" panose="020E0502060401010101" pitchFamily="34" charset="-79"/>
          </a:endParaRPr>
        </a:p>
      </dgm:t>
    </dgm:pt>
    <dgm:pt modelId="{EFAFE81A-2827-4576-AB88-3B86D9C2CBB7}">
      <dgm:prSet/>
      <dgm:spPr/>
      <dgm:t>
        <a:bodyPr/>
        <a:lstStyle/>
        <a:p>
          <a:r>
            <a:rPr lang="he-IL">
              <a:latin typeface="David" panose="020E0502060401010101" pitchFamily="34" charset="-79"/>
              <a:cs typeface="David" panose="020E0502060401010101" pitchFamily="34" charset="-79"/>
            </a:rPr>
            <a:t>סקירת פסיקה</a:t>
          </a:r>
        </a:p>
      </dgm:t>
    </dgm:pt>
    <dgm:pt modelId="{D731CBA0-42BD-40E9-83F5-43311FBB4199}" type="sibTrans" cxnId="{CBDD0C8D-4B78-46E0-9757-68CCA0A57C3C}">
      <dgm:prSet/>
      <dgm:spPr/>
      <dgm:t>
        <a:bodyPr/>
        <a:lstStyle/>
        <a:p>
          <a:endParaRPr lang="en-US">
            <a:latin typeface="David" panose="020E0502060401010101" pitchFamily="34" charset="-79"/>
            <a:cs typeface="David" panose="020E0502060401010101" pitchFamily="34" charset="-79"/>
          </a:endParaRPr>
        </a:p>
      </dgm:t>
    </dgm:pt>
    <dgm:pt modelId="{12175D98-7ACC-42EE-BBDF-68F916861D35}" type="parTrans" cxnId="{CBDD0C8D-4B78-46E0-9757-68CCA0A57C3C}">
      <dgm:prSet/>
      <dgm:spPr/>
      <dgm:t>
        <a:bodyPr/>
        <a:lstStyle/>
        <a:p>
          <a:endParaRPr lang="en-US"/>
        </a:p>
      </dgm:t>
    </dgm:pt>
    <dgm:pt modelId="{5A577913-EF05-454B-AE9E-2D2ABDDEE5F9}" type="pres">
      <dgm:prSet presAssocID="{3D4F8997-A8B0-4465-9B23-6799FB332153}" presName="Name0" presStyleCnt="0">
        <dgm:presLayoutVars>
          <dgm:dir val="rev"/>
          <dgm:resizeHandles val="exact"/>
        </dgm:presLayoutVars>
      </dgm:prSet>
      <dgm:spPr/>
    </dgm:pt>
    <dgm:pt modelId="{12F4EB96-03CD-4A71-9032-ACA4742EF1F1}" type="pres">
      <dgm:prSet presAssocID="{ADE72D4F-66BF-446E-82B3-D924CD0E2C9C}" presName="node" presStyleLbl="node1" presStyleIdx="0" presStyleCnt="7">
        <dgm:presLayoutVars>
          <dgm:bulletEnabled val="1"/>
        </dgm:presLayoutVars>
      </dgm:prSet>
      <dgm:spPr/>
    </dgm:pt>
    <dgm:pt modelId="{830DBA12-12EF-4767-B3B4-8B3CFD3EAA08}" type="pres">
      <dgm:prSet presAssocID="{4C58A0E6-9C18-426C-938E-3327D053EB6F}" presName="sibTrans" presStyleLbl="sibTrans2D1" presStyleIdx="0" presStyleCnt="6"/>
      <dgm:spPr/>
    </dgm:pt>
    <dgm:pt modelId="{77BA983A-D40E-4543-A4B2-7F8782AD28D8}" type="pres">
      <dgm:prSet presAssocID="{4C58A0E6-9C18-426C-938E-3327D053EB6F}" presName="connectorText" presStyleLbl="sibTrans2D1" presStyleIdx="0" presStyleCnt="6"/>
      <dgm:spPr/>
    </dgm:pt>
    <dgm:pt modelId="{8091D7ED-7D0C-4E1B-A8A7-35BFC02C912E}" type="pres">
      <dgm:prSet presAssocID="{B836E18F-312D-4B3B-A683-59641DDEFF4C}" presName="node" presStyleLbl="node1" presStyleIdx="1" presStyleCnt="7">
        <dgm:presLayoutVars>
          <dgm:bulletEnabled val="1"/>
        </dgm:presLayoutVars>
      </dgm:prSet>
      <dgm:spPr/>
    </dgm:pt>
    <dgm:pt modelId="{D71DC2EE-28B2-4B74-BE9E-4229DB074E10}" type="pres">
      <dgm:prSet presAssocID="{D3C5DFDA-C19D-4B59-ADAB-6B95BC1692F1}" presName="sibTrans" presStyleLbl="sibTrans2D1" presStyleIdx="1" presStyleCnt="6"/>
      <dgm:spPr/>
    </dgm:pt>
    <dgm:pt modelId="{F7B36ED7-C333-473F-86D7-55D3A03A90E8}" type="pres">
      <dgm:prSet presAssocID="{D3C5DFDA-C19D-4B59-ADAB-6B95BC1692F1}" presName="connectorText" presStyleLbl="sibTrans2D1" presStyleIdx="1" presStyleCnt="6"/>
      <dgm:spPr/>
    </dgm:pt>
    <dgm:pt modelId="{46885871-D6FC-4DDB-9599-FFF770B034F6}" type="pres">
      <dgm:prSet presAssocID="{41637EC1-F419-43DD-8B14-F043F49FEAD1}" presName="node" presStyleLbl="node1" presStyleIdx="2" presStyleCnt="7">
        <dgm:presLayoutVars>
          <dgm:bulletEnabled val="1"/>
        </dgm:presLayoutVars>
      </dgm:prSet>
      <dgm:spPr/>
    </dgm:pt>
    <dgm:pt modelId="{ABBDFA5F-BB8B-480B-87D9-E31DF99074E7}" type="pres">
      <dgm:prSet presAssocID="{B4996FED-7E03-4614-A4A5-ABECD32D9B01}" presName="sibTrans" presStyleLbl="sibTrans2D1" presStyleIdx="2" presStyleCnt="6"/>
      <dgm:spPr/>
    </dgm:pt>
    <dgm:pt modelId="{4AD1E9D2-1D7A-4206-AF79-2A36F1725785}" type="pres">
      <dgm:prSet presAssocID="{B4996FED-7E03-4614-A4A5-ABECD32D9B01}" presName="connectorText" presStyleLbl="sibTrans2D1" presStyleIdx="2" presStyleCnt="6"/>
      <dgm:spPr/>
    </dgm:pt>
    <dgm:pt modelId="{3940E397-DC5B-4932-BD50-27FB875D67C9}" type="pres">
      <dgm:prSet presAssocID="{CCA8BA77-097C-45AF-9918-A2208DA52F0F}" presName="node" presStyleLbl="node1" presStyleIdx="3" presStyleCnt="7">
        <dgm:presLayoutVars>
          <dgm:bulletEnabled val="1"/>
        </dgm:presLayoutVars>
      </dgm:prSet>
      <dgm:spPr/>
    </dgm:pt>
    <dgm:pt modelId="{973DF5B6-AA34-48EE-8023-4446CD80BCAC}" type="pres">
      <dgm:prSet presAssocID="{1936BC40-0B45-4342-9D2A-722EF69C5574}" presName="sibTrans" presStyleLbl="sibTrans2D1" presStyleIdx="3" presStyleCnt="6"/>
      <dgm:spPr/>
    </dgm:pt>
    <dgm:pt modelId="{32BAB6B1-40A0-4892-BB90-58242FFC997A}" type="pres">
      <dgm:prSet presAssocID="{1936BC40-0B45-4342-9D2A-722EF69C5574}" presName="connectorText" presStyleLbl="sibTrans2D1" presStyleIdx="3" presStyleCnt="6"/>
      <dgm:spPr/>
    </dgm:pt>
    <dgm:pt modelId="{6691BAD2-D8FB-4306-BAC9-3C06019969A7}" type="pres">
      <dgm:prSet presAssocID="{EFAFE81A-2827-4576-AB88-3B86D9C2CBB7}" presName="node" presStyleLbl="node1" presStyleIdx="4" presStyleCnt="7">
        <dgm:presLayoutVars>
          <dgm:bulletEnabled val="1"/>
        </dgm:presLayoutVars>
      </dgm:prSet>
      <dgm:spPr/>
    </dgm:pt>
    <dgm:pt modelId="{81AA88E3-542B-4CC7-B38E-3CD531C5909F}" type="pres">
      <dgm:prSet presAssocID="{D731CBA0-42BD-40E9-83F5-43311FBB4199}" presName="sibTrans" presStyleLbl="sibTrans2D1" presStyleIdx="4" presStyleCnt="6"/>
      <dgm:spPr/>
    </dgm:pt>
    <dgm:pt modelId="{9A11487E-93ED-4A28-AA21-0267DB690323}" type="pres">
      <dgm:prSet presAssocID="{D731CBA0-42BD-40E9-83F5-43311FBB4199}" presName="connectorText" presStyleLbl="sibTrans2D1" presStyleIdx="4" presStyleCnt="6"/>
      <dgm:spPr/>
    </dgm:pt>
    <dgm:pt modelId="{C88B7E14-01F6-41F7-B2E0-EC8C0DE6648B}" type="pres">
      <dgm:prSet presAssocID="{CAF0A1DC-3009-4B7A-A439-F4FA43333561}" presName="node" presStyleLbl="node1" presStyleIdx="5" presStyleCnt="7">
        <dgm:presLayoutVars>
          <dgm:bulletEnabled val="1"/>
        </dgm:presLayoutVars>
      </dgm:prSet>
      <dgm:spPr/>
    </dgm:pt>
    <dgm:pt modelId="{E7A54FB0-FDE9-4EE4-AC8D-AA34BD9673C7}" type="pres">
      <dgm:prSet presAssocID="{079BBEED-9A07-40C4-BC0F-F841629EC258}" presName="sibTrans" presStyleLbl="sibTrans2D1" presStyleIdx="5" presStyleCnt="6"/>
      <dgm:spPr/>
    </dgm:pt>
    <dgm:pt modelId="{E195AA91-77DD-4C97-ABDA-7CE8704282DC}" type="pres">
      <dgm:prSet presAssocID="{079BBEED-9A07-40C4-BC0F-F841629EC258}" presName="connectorText" presStyleLbl="sibTrans2D1" presStyleIdx="5" presStyleCnt="6"/>
      <dgm:spPr/>
    </dgm:pt>
    <dgm:pt modelId="{E0758083-922E-485C-A9E2-3DB5BFB5ECD4}" type="pres">
      <dgm:prSet presAssocID="{07C64114-8F5C-4264-811A-6E96DB6A050B}" presName="node" presStyleLbl="node1" presStyleIdx="6" presStyleCnt="7">
        <dgm:presLayoutVars>
          <dgm:bulletEnabled val="1"/>
        </dgm:presLayoutVars>
      </dgm:prSet>
      <dgm:spPr/>
    </dgm:pt>
  </dgm:ptLst>
  <dgm:cxnLst>
    <dgm:cxn modelId="{5434EA0D-9B4E-439B-974E-8675CE82A96A}" srcId="{3D4F8997-A8B0-4465-9B23-6799FB332153}" destId="{41637EC1-F419-43DD-8B14-F043F49FEAD1}" srcOrd="2" destOrd="0" parTransId="{AE135249-CF4F-4E58-A830-B772F7235F2C}" sibTransId="{B4996FED-7E03-4614-A4A5-ABECD32D9B01}"/>
    <dgm:cxn modelId="{FC17D61A-680E-403E-B03E-72F3A5461F91}" type="presOf" srcId="{079BBEED-9A07-40C4-BC0F-F841629EC258}" destId="{E7A54FB0-FDE9-4EE4-AC8D-AA34BD9673C7}" srcOrd="0" destOrd="0" presId="urn:microsoft.com/office/officeart/2005/8/layout/process1"/>
    <dgm:cxn modelId="{160A6C25-B7B1-4481-B219-2CAB32D66F82}" type="presOf" srcId="{D3C5DFDA-C19D-4B59-ADAB-6B95BC1692F1}" destId="{F7B36ED7-C333-473F-86D7-55D3A03A90E8}" srcOrd="1" destOrd="0" presId="urn:microsoft.com/office/officeart/2005/8/layout/process1"/>
    <dgm:cxn modelId="{40BF562B-B15B-4C61-8F67-AD7711706578}" type="presOf" srcId="{B4996FED-7E03-4614-A4A5-ABECD32D9B01}" destId="{4AD1E9D2-1D7A-4206-AF79-2A36F1725785}" srcOrd="1" destOrd="0" presId="urn:microsoft.com/office/officeart/2005/8/layout/process1"/>
    <dgm:cxn modelId="{7BEF1836-B38B-4517-8F4F-3CC820B57B49}" type="presOf" srcId="{EFAFE81A-2827-4576-AB88-3B86D9C2CBB7}" destId="{6691BAD2-D8FB-4306-BAC9-3C06019969A7}" srcOrd="0" destOrd="0" presId="urn:microsoft.com/office/officeart/2005/8/layout/process1"/>
    <dgm:cxn modelId="{AB1CF938-6CA4-4B52-8A8B-4E5617F5E320}" type="presOf" srcId="{D731CBA0-42BD-40E9-83F5-43311FBB4199}" destId="{81AA88E3-542B-4CC7-B38E-3CD531C5909F}" srcOrd="0" destOrd="0" presId="urn:microsoft.com/office/officeart/2005/8/layout/process1"/>
    <dgm:cxn modelId="{375E1D3C-463D-4E6C-8634-416FB396BF74}" type="presOf" srcId="{CAF0A1DC-3009-4B7A-A439-F4FA43333561}" destId="{C88B7E14-01F6-41F7-B2E0-EC8C0DE6648B}" srcOrd="0" destOrd="0" presId="urn:microsoft.com/office/officeart/2005/8/layout/process1"/>
    <dgm:cxn modelId="{D30FB55B-FFF7-4FF2-AF68-E8AC33825707}" srcId="{3D4F8997-A8B0-4465-9B23-6799FB332153}" destId="{CCA8BA77-097C-45AF-9918-A2208DA52F0F}" srcOrd="3" destOrd="0" parTransId="{5C6825CB-E0BB-44DB-95DD-A070F9233C30}" sibTransId="{1936BC40-0B45-4342-9D2A-722EF69C5574}"/>
    <dgm:cxn modelId="{EAF0355F-1AB1-4F6D-B3AB-9AC52BFB374A}" type="presOf" srcId="{3D4F8997-A8B0-4465-9B23-6799FB332153}" destId="{5A577913-EF05-454B-AE9E-2D2ABDDEE5F9}" srcOrd="0" destOrd="0" presId="urn:microsoft.com/office/officeart/2005/8/layout/process1"/>
    <dgm:cxn modelId="{5658F44E-15D5-49B0-804C-BA0BCA42148D}" type="presOf" srcId="{4C58A0E6-9C18-426C-938E-3327D053EB6F}" destId="{830DBA12-12EF-4767-B3B4-8B3CFD3EAA08}" srcOrd="0" destOrd="0" presId="urn:microsoft.com/office/officeart/2005/8/layout/process1"/>
    <dgm:cxn modelId="{602F3075-CC33-4B57-A958-BEC2911354E3}" type="presOf" srcId="{079BBEED-9A07-40C4-BC0F-F841629EC258}" destId="{E195AA91-77DD-4C97-ABDA-7CE8704282DC}" srcOrd="1" destOrd="0" presId="urn:microsoft.com/office/officeart/2005/8/layout/process1"/>
    <dgm:cxn modelId="{09856C58-BC21-4952-BF8B-CAAAF7D5C929}" type="presOf" srcId="{ADE72D4F-66BF-446E-82B3-D924CD0E2C9C}" destId="{12F4EB96-03CD-4A71-9032-ACA4742EF1F1}" srcOrd="0" destOrd="0" presId="urn:microsoft.com/office/officeart/2005/8/layout/process1"/>
    <dgm:cxn modelId="{CBDD0C8D-4B78-46E0-9757-68CCA0A57C3C}" srcId="{3D4F8997-A8B0-4465-9B23-6799FB332153}" destId="{EFAFE81A-2827-4576-AB88-3B86D9C2CBB7}" srcOrd="4" destOrd="0" parTransId="{12175D98-7ACC-42EE-BBDF-68F916861D35}" sibTransId="{D731CBA0-42BD-40E9-83F5-43311FBB4199}"/>
    <dgm:cxn modelId="{AB54CC97-774F-4E7E-A510-21CF3C4C3626}" type="presOf" srcId="{CCA8BA77-097C-45AF-9918-A2208DA52F0F}" destId="{3940E397-DC5B-4932-BD50-27FB875D67C9}" srcOrd="0" destOrd="0" presId="urn:microsoft.com/office/officeart/2005/8/layout/process1"/>
    <dgm:cxn modelId="{E4D525A1-D366-44E4-99A0-2D4487CCC2D4}" srcId="{3D4F8997-A8B0-4465-9B23-6799FB332153}" destId="{B836E18F-312D-4B3B-A683-59641DDEFF4C}" srcOrd="1" destOrd="0" parTransId="{6F954452-B47D-4786-90EF-8D6933F6FE65}" sibTransId="{D3C5DFDA-C19D-4B59-ADAB-6B95BC1692F1}"/>
    <dgm:cxn modelId="{4F4010A4-8B09-4507-AC0D-6A76C3F49108}" srcId="{3D4F8997-A8B0-4465-9B23-6799FB332153}" destId="{07C64114-8F5C-4264-811A-6E96DB6A050B}" srcOrd="6" destOrd="0" parTransId="{CA93A04A-4039-492C-BB59-C3E0BF85F868}" sibTransId="{8C4CD627-39C1-4509-88BE-6DBFB9DCB73C}"/>
    <dgm:cxn modelId="{80BD11AB-A878-433F-A470-F5D9B528298E}" srcId="{3D4F8997-A8B0-4465-9B23-6799FB332153}" destId="{CAF0A1DC-3009-4B7A-A439-F4FA43333561}" srcOrd="5" destOrd="0" parTransId="{FA356C34-A4A7-45B5-BCD5-9F1F41192877}" sibTransId="{079BBEED-9A07-40C4-BC0F-F841629EC258}"/>
    <dgm:cxn modelId="{00BAE6BC-7334-4BF5-82B0-DC2674448BF2}" type="presOf" srcId="{B4996FED-7E03-4614-A4A5-ABECD32D9B01}" destId="{ABBDFA5F-BB8B-480B-87D9-E31DF99074E7}" srcOrd="0" destOrd="0" presId="urn:microsoft.com/office/officeart/2005/8/layout/process1"/>
    <dgm:cxn modelId="{C753D3BE-84E4-4328-9CCA-D0E73C01563C}" type="presOf" srcId="{D3C5DFDA-C19D-4B59-ADAB-6B95BC1692F1}" destId="{D71DC2EE-28B2-4B74-BE9E-4229DB074E10}" srcOrd="0" destOrd="0" presId="urn:microsoft.com/office/officeart/2005/8/layout/process1"/>
    <dgm:cxn modelId="{21EFCFC1-8968-4AA0-ABF9-E9BBCF2B58A7}" type="presOf" srcId="{D731CBA0-42BD-40E9-83F5-43311FBB4199}" destId="{9A11487E-93ED-4A28-AA21-0267DB690323}" srcOrd="1" destOrd="0" presId="urn:microsoft.com/office/officeart/2005/8/layout/process1"/>
    <dgm:cxn modelId="{A7C9DAC2-CECC-4D90-8664-4A32A6A1268C}" type="presOf" srcId="{1936BC40-0B45-4342-9D2A-722EF69C5574}" destId="{973DF5B6-AA34-48EE-8023-4446CD80BCAC}" srcOrd="0" destOrd="0" presId="urn:microsoft.com/office/officeart/2005/8/layout/process1"/>
    <dgm:cxn modelId="{07C5C2CF-F824-44BA-A2B6-9233BD513BEB}" type="presOf" srcId="{B836E18F-312D-4B3B-A683-59641DDEFF4C}" destId="{8091D7ED-7D0C-4E1B-A8A7-35BFC02C912E}" srcOrd="0" destOrd="0" presId="urn:microsoft.com/office/officeart/2005/8/layout/process1"/>
    <dgm:cxn modelId="{860414E1-681F-47C6-97E4-B994A277515F}" type="presOf" srcId="{41637EC1-F419-43DD-8B14-F043F49FEAD1}" destId="{46885871-D6FC-4DDB-9599-FFF770B034F6}" srcOrd="0" destOrd="0" presId="urn:microsoft.com/office/officeart/2005/8/layout/process1"/>
    <dgm:cxn modelId="{187847E4-92AD-4B7D-91B0-1E8A5F2A2986}" type="presOf" srcId="{07C64114-8F5C-4264-811A-6E96DB6A050B}" destId="{E0758083-922E-485C-A9E2-3DB5BFB5ECD4}" srcOrd="0" destOrd="0" presId="urn:microsoft.com/office/officeart/2005/8/layout/process1"/>
    <dgm:cxn modelId="{FD454CF0-1B3E-46AB-99E2-CEE945B47032}" srcId="{3D4F8997-A8B0-4465-9B23-6799FB332153}" destId="{ADE72D4F-66BF-446E-82B3-D924CD0E2C9C}" srcOrd="0" destOrd="0" parTransId="{6668AFB7-0129-4D88-9C04-810EED31C1C5}" sibTransId="{4C58A0E6-9C18-426C-938E-3327D053EB6F}"/>
    <dgm:cxn modelId="{93C63DF7-85FE-446A-B710-56BB7DA9CF98}" type="presOf" srcId="{4C58A0E6-9C18-426C-938E-3327D053EB6F}" destId="{77BA983A-D40E-4543-A4B2-7F8782AD28D8}" srcOrd="1" destOrd="0" presId="urn:microsoft.com/office/officeart/2005/8/layout/process1"/>
    <dgm:cxn modelId="{CF7C93F9-36C9-4E9C-9B36-2C7C6BC036EA}" type="presOf" srcId="{1936BC40-0B45-4342-9D2A-722EF69C5574}" destId="{32BAB6B1-40A0-4892-BB90-58242FFC997A}" srcOrd="1" destOrd="0" presId="urn:microsoft.com/office/officeart/2005/8/layout/process1"/>
    <dgm:cxn modelId="{F67AEE20-5986-4D77-AEE9-5DF0137A328E}" type="presParOf" srcId="{5A577913-EF05-454B-AE9E-2D2ABDDEE5F9}" destId="{12F4EB96-03CD-4A71-9032-ACA4742EF1F1}" srcOrd="0" destOrd="0" presId="urn:microsoft.com/office/officeart/2005/8/layout/process1"/>
    <dgm:cxn modelId="{1A808003-25BC-4E77-9C67-AF8DD7507F96}" type="presParOf" srcId="{5A577913-EF05-454B-AE9E-2D2ABDDEE5F9}" destId="{830DBA12-12EF-4767-B3B4-8B3CFD3EAA08}" srcOrd="1" destOrd="0" presId="urn:microsoft.com/office/officeart/2005/8/layout/process1"/>
    <dgm:cxn modelId="{AC53457E-3C9C-4F91-B0A6-5AA3EA810899}" type="presParOf" srcId="{830DBA12-12EF-4767-B3B4-8B3CFD3EAA08}" destId="{77BA983A-D40E-4543-A4B2-7F8782AD28D8}" srcOrd="0" destOrd="0" presId="urn:microsoft.com/office/officeart/2005/8/layout/process1"/>
    <dgm:cxn modelId="{EC13B48D-1EDF-4F6C-AA04-656B284209E4}" type="presParOf" srcId="{5A577913-EF05-454B-AE9E-2D2ABDDEE5F9}" destId="{8091D7ED-7D0C-4E1B-A8A7-35BFC02C912E}" srcOrd="2" destOrd="0" presId="urn:microsoft.com/office/officeart/2005/8/layout/process1"/>
    <dgm:cxn modelId="{C9E5E678-640B-4583-BBDD-2DEB678790D6}" type="presParOf" srcId="{5A577913-EF05-454B-AE9E-2D2ABDDEE5F9}" destId="{D71DC2EE-28B2-4B74-BE9E-4229DB074E10}" srcOrd="3" destOrd="0" presId="urn:microsoft.com/office/officeart/2005/8/layout/process1"/>
    <dgm:cxn modelId="{D1763EB8-6174-4CCA-8A6B-410B5FED8371}" type="presParOf" srcId="{D71DC2EE-28B2-4B74-BE9E-4229DB074E10}" destId="{F7B36ED7-C333-473F-86D7-55D3A03A90E8}" srcOrd="0" destOrd="0" presId="urn:microsoft.com/office/officeart/2005/8/layout/process1"/>
    <dgm:cxn modelId="{0110817A-3CC8-407F-B9D9-00C8BD2EFA46}" type="presParOf" srcId="{5A577913-EF05-454B-AE9E-2D2ABDDEE5F9}" destId="{46885871-D6FC-4DDB-9599-FFF770B034F6}" srcOrd="4" destOrd="0" presId="urn:microsoft.com/office/officeart/2005/8/layout/process1"/>
    <dgm:cxn modelId="{748F4262-4EBB-49E4-A393-8E848D799A04}" type="presParOf" srcId="{5A577913-EF05-454B-AE9E-2D2ABDDEE5F9}" destId="{ABBDFA5F-BB8B-480B-87D9-E31DF99074E7}" srcOrd="5" destOrd="0" presId="urn:microsoft.com/office/officeart/2005/8/layout/process1"/>
    <dgm:cxn modelId="{8304505B-769E-4683-8090-F9D75FCAE564}" type="presParOf" srcId="{ABBDFA5F-BB8B-480B-87D9-E31DF99074E7}" destId="{4AD1E9D2-1D7A-4206-AF79-2A36F1725785}" srcOrd="0" destOrd="0" presId="urn:microsoft.com/office/officeart/2005/8/layout/process1"/>
    <dgm:cxn modelId="{232A6C61-0079-45B2-B419-EF77E4BBD0EA}" type="presParOf" srcId="{5A577913-EF05-454B-AE9E-2D2ABDDEE5F9}" destId="{3940E397-DC5B-4932-BD50-27FB875D67C9}" srcOrd="6" destOrd="0" presId="urn:microsoft.com/office/officeart/2005/8/layout/process1"/>
    <dgm:cxn modelId="{334B5F7C-314A-457D-85C2-58522C1F2907}" type="presParOf" srcId="{5A577913-EF05-454B-AE9E-2D2ABDDEE5F9}" destId="{973DF5B6-AA34-48EE-8023-4446CD80BCAC}" srcOrd="7" destOrd="0" presId="urn:microsoft.com/office/officeart/2005/8/layout/process1"/>
    <dgm:cxn modelId="{A67DDADC-9515-47D6-BA06-7D42051283B6}" type="presParOf" srcId="{973DF5B6-AA34-48EE-8023-4446CD80BCAC}" destId="{32BAB6B1-40A0-4892-BB90-58242FFC997A}" srcOrd="0" destOrd="0" presId="urn:microsoft.com/office/officeart/2005/8/layout/process1"/>
    <dgm:cxn modelId="{CEC19BF5-29B2-4C8E-AB35-66CDD810D649}" type="presParOf" srcId="{5A577913-EF05-454B-AE9E-2D2ABDDEE5F9}" destId="{6691BAD2-D8FB-4306-BAC9-3C06019969A7}" srcOrd="8" destOrd="0" presId="urn:microsoft.com/office/officeart/2005/8/layout/process1"/>
    <dgm:cxn modelId="{41B846A6-6C71-4413-ACB7-7AA5DBD2A333}" type="presParOf" srcId="{5A577913-EF05-454B-AE9E-2D2ABDDEE5F9}" destId="{81AA88E3-542B-4CC7-B38E-3CD531C5909F}" srcOrd="9" destOrd="0" presId="urn:microsoft.com/office/officeart/2005/8/layout/process1"/>
    <dgm:cxn modelId="{A38B9863-6058-463C-81E8-28803DD472FA}" type="presParOf" srcId="{81AA88E3-542B-4CC7-B38E-3CD531C5909F}" destId="{9A11487E-93ED-4A28-AA21-0267DB690323}" srcOrd="0" destOrd="0" presId="urn:microsoft.com/office/officeart/2005/8/layout/process1"/>
    <dgm:cxn modelId="{594B242E-5956-446A-BF4C-FC44D304A4BF}" type="presParOf" srcId="{5A577913-EF05-454B-AE9E-2D2ABDDEE5F9}" destId="{C88B7E14-01F6-41F7-B2E0-EC8C0DE6648B}" srcOrd="10" destOrd="0" presId="urn:microsoft.com/office/officeart/2005/8/layout/process1"/>
    <dgm:cxn modelId="{CEEE972A-44D9-4F99-B156-68A830CD33DB}" type="presParOf" srcId="{5A577913-EF05-454B-AE9E-2D2ABDDEE5F9}" destId="{E7A54FB0-FDE9-4EE4-AC8D-AA34BD9673C7}" srcOrd="11" destOrd="0" presId="urn:microsoft.com/office/officeart/2005/8/layout/process1"/>
    <dgm:cxn modelId="{15E119B2-C62E-4840-BB2D-22A02AEE3492}" type="presParOf" srcId="{E7A54FB0-FDE9-4EE4-AC8D-AA34BD9673C7}" destId="{E195AA91-77DD-4C97-ABDA-7CE8704282DC}" srcOrd="0" destOrd="0" presId="urn:microsoft.com/office/officeart/2005/8/layout/process1"/>
    <dgm:cxn modelId="{F1EA12D3-CC70-435F-A460-68D2AE4313E7}" type="presParOf" srcId="{5A577913-EF05-454B-AE9E-2D2ABDDEE5F9}" destId="{E0758083-922E-485C-A9E2-3DB5BFB5ECD4}" srcOrd="12"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D8CEA-A95C-4782-A941-893E39FA7161}">
      <dsp:nvSpPr>
        <dsp:cNvPr id="0" name=""/>
        <dsp:cNvSpPr/>
      </dsp:nvSpPr>
      <dsp:spPr>
        <a:xfrm rot="10800000">
          <a:off x="4677526" y="1080711"/>
          <a:ext cx="2597441" cy="1038976"/>
        </a:xfrm>
        <a:prstGeom prst="chevron">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002" tIns="16002" rIns="48006" bIns="16002" numCol="1" spcCol="1270" anchor="ctr" anchorCtr="0">
          <a:noAutofit/>
        </a:bodyPr>
        <a:lstStyle/>
        <a:p>
          <a:pPr marL="0" lvl="0" indent="0" algn="ctr" defTabSz="533400">
            <a:lnSpc>
              <a:spcPct val="90000"/>
            </a:lnSpc>
            <a:spcBef>
              <a:spcPct val="0"/>
            </a:spcBef>
            <a:spcAft>
              <a:spcPct val="35000"/>
            </a:spcAft>
            <a:buNone/>
          </a:pPr>
          <a:r>
            <a:rPr lang="he-IL" sz="1200" kern="1200">
              <a:latin typeface="David" panose="020E0502060401010101" pitchFamily="34" charset="-79"/>
              <a:cs typeface="David" panose="020E0502060401010101" pitchFamily="34" charset="-79"/>
            </a:rPr>
            <a:t>פס"ד גליקסמן</a:t>
          </a:r>
        </a:p>
        <a:p>
          <a:pPr marL="0" lvl="0" indent="0" algn="ctr" defTabSz="533400">
            <a:lnSpc>
              <a:spcPct val="90000"/>
            </a:lnSpc>
            <a:spcBef>
              <a:spcPct val="0"/>
            </a:spcBef>
            <a:spcAft>
              <a:spcPct val="35000"/>
            </a:spcAft>
            <a:buNone/>
          </a:pPr>
          <a:r>
            <a:rPr lang="he-IL" sz="1200" kern="1200">
              <a:latin typeface="David" panose="020E0502060401010101" pitchFamily="34" charset="-79"/>
              <a:cs typeface="David" panose="020E0502060401010101" pitchFamily="34" charset="-79"/>
            </a:rPr>
            <a:t>אין לוותר על הפיצויים מטעם ס' 77 שלא לצורך </a:t>
          </a:r>
          <a:endParaRPr lang="en-US" sz="1200" kern="1200">
            <a:latin typeface="David" panose="020E0502060401010101" pitchFamily="34" charset="-79"/>
            <a:cs typeface="David" panose="020E0502060401010101" pitchFamily="34" charset="-79"/>
          </a:endParaRPr>
        </a:p>
      </dsp:txBody>
      <dsp:txXfrm rot="10800000">
        <a:off x="5197014" y="1080711"/>
        <a:ext cx="1558465" cy="1038976"/>
      </dsp:txXfrm>
    </dsp:sp>
    <dsp:sp modelId="{BC787E7C-DE75-4EF8-9CFE-E65A5C500246}">
      <dsp:nvSpPr>
        <dsp:cNvPr id="0" name=""/>
        <dsp:cNvSpPr/>
      </dsp:nvSpPr>
      <dsp:spPr>
        <a:xfrm rot="10800000">
          <a:off x="2339829" y="1080711"/>
          <a:ext cx="2597441" cy="1038976"/>
        </a:xfrm>
        <a:prstGeom prst="chevron">
          <a:avLst/>
        </a:prstGeom>
        <a:gradFill rotWithShape="0">
          <a:gsLst>
            <a:gs pos="0">
              <a:schemeClr val="accent2">
                <a:shade val="80000"/>
                <a:hueOff val="301476"/>
                <a:satOff val="-19508"/>
                <a:lumOff val="17811"/>
                <a:alphaOff val="0"/>
                <a:lumMod val="110000"/>
                <a:satMod val="105000"/>
                <a:tint val="67000"/>
              </a:schemeClr>
            </a:gs>
            <a:gs pos="50000">
              <a:schemeClr val="accent2">
                <a:shade val="80000"/>
                <a:hueOff val="301476"/>
                <a:satOff val="-19508"/>
                <a:lumOff val="17811"/>
                <a:alphaOff val="0"/>
                <a:lumMod val="105000"/>
                <a:satMod val="103000"/>
                <a:tint val="73000"/>
              </a:schemeClr>
            </a:gs>
            <a:gs pos="100000">
              <a:schemeClr val="accent2">
                <a:shade val="80000"/>
                <a:hueOff val="301476"/>
                <a:satOff val="-19508"/>
                <a:lumOff val="1781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פס"ד פלוני-</a:t>
          </a:r>
          <a:br>
            <a:rPr lang="en-US" sz="900" kern="1200">
              <a:latin typeface="David" panose="020E0502060401010101" pitchFamily="34" charset="-79"/>
              <a:cs typeface="David" panose="020E0502060401010101" pitchFamily="34" charset="-79"/>
            </a:rPr>
          </a:br>
          <a:r>
            <a:rPr lang="he-IL" sz="900" kern="1200">
              <a:latin typeface="David" panose="020E0502060401010101" pitchFamily="34" charset="-79"/>
              <a:cs typeface="David" panose="020E0502060401010101" pitchFamily="34" charset="-79"/>
            </a:rPr>
            <a:t>רוב- פיצויים שלא במסגרת ס' 77 אינם עונש, אלא סיוע לנפגעת.</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מיעוט - בגזירת עונש יש להביא לידי ביטוי את כל הפגיעות. העלאת הפיצויים לא מצדיקה את הפחתת המאסר </a:t>
          </a:r>
          <a:endParaRPr lang="en-US" sz="900" kern="1200"/>
        </a:p>
      </dsp:txBody>
      <dsp:txXfrm rot="10800000">
        <a:off x="2859317" y="1080711"/>
        <a:ext cx="1558465" cy="1038976"/>
      </dsp:txXfrm>
    </dsp:sp>
    <dsp:sp modelId="{3DFDA3CF-CE1B-4FC5-ADC0-5CAA94322745}">
      <dsp:nvSpPr>
        <dsp:cNvPr id="0" name=""/>
        <dsp:cNvSpPr/>
      </dsp:nvSpPr>
      <dsp:spPr>
        <a:xfrm rot="10800000">
          <a:off x="2131" y="1080711"/>
          <a:ext cx="2597441" cy="1038976"/>
        </a:xfrm>
        <a:prstGeom prst="chevron">
          <a:avLst/>
        </a:prstGeom>
        <a:gradFill rotWithShape="0">
          <a:gsLst>
            <a:gs pos="0">
              <a:schemeClr val="accent2">
                <a:shade val="80000"/>
                <a:hueOff val="602952"/>
                <a:satOff val="-39016"/>
                <a:lumOff val="35622"/>
                <a:alphaOff val="0"/>
                <a:lumMod val="110000"/>
                <a:satMod val="105000"/>
                <a:tint val="67000"/>
              </a:schemeClr>
            </a:gs>
            <a:gs pos="50000">
              <a:schemeClr val="accent2">
                <a:shade val="80000"/>
                <a:hueOff val="602952"/>
                <a:satOff val="-39016"/>
                <a:lumOff val="35622"/>
                <a:alphaOff val="0"/>
                <a:lumMod val="105000"/>
                <a:satMod val="103000"/>
                <a:tint val="73000"/>
              </a:schemeClr>
            </a:gs>
            <a:gs pos="100000">
              <a:schemeClr val="accent2">
                <a:shade val="80000"/>
                <a:hueOff val="602952"/>
                <a:satOff val="-39016"/>
                <a:lumOff val="356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69" tIns="14669" rIns="44006" bIns="14669" numCol="1" spcCol="1270" anchor="ctr" anchorCtr="0">
          <a:noAutofit/>
        </a:bodyPr>
        <a:lstStyle/>
        <a:p>
          <a:pPr marL="0" lvl="0" indent="0" algn="ctr" defTabSz="466725">
            <a:lnSpc>
              <a:spcPct val="90000"/>
            </a:lnSpc>
            <a:spcBef>
              <a:spcPct val="0"/>
            </a:spcBef>
            <a:spcAft>
              <a:spcPct val="35000"/>
            </a:spcAft>
            <a:buNone/>
          </a:pPr>
          <a:r>
            <a:rPr lang="he-IL" sz="1050" kern="1200">
              <a:latin typeface="David" panose="020E0502060401010101" pitchFamily="34" charset="-79"/>
              <a:cs typeface="David" panose="020E0502060401010101" pitchFamily="34" charset="-79"/>
            </a:rPr>
            <a:t>אין חובה בהרשעה אקטיבית של ממש לצורך פסיקת פיצויים לפי ס' 77</a:t>
          </a:r>
          <a:endParaRPr lang="en-US" sz="1050" kern="1200"/>
        </a:p>
      </dsp:txBody>
      <dsp:txXfrm rot="10800000">
        <a:off x="521619" y="1080711"/>
        <a:ext cx="1558465" cy="1038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A3AE6-43AC-4388-97C1-2DBEBE90F721}">
      <dsp:nvSpPr>
        <dsp:cNvPr id="0" name=""/>
        <dsp:cNvSpPr/>
      </dsp:nvSpPr>
      <dsp:spPr>
        <a:xfrm>
          <a:off x="2823970" y="896554"/>
          <a:ext cx="1084498" cy="376437"/>
        </a:xfrm>
        <a:custGeom>
          <a:avLst/>
          <a:gdLst/>
          <a:ahLst/>
          <a:cxnLst/>
          <a:rect l="0" t="0" r="0" b="0"/>
          <a:pathLst>
            <a:path>
              <a:moveTo>
                <a:pt x="0" y="0"/>
              </a:moveTo>
              <a:lnTo>
                <a:pt x="0" y="188218"/>
              </a:lnTo>
              <a:lnTo>
                <a:pt x="1084498" y="188218"/>
              </a:lnTo>
              <a:lnTo>
                <a:pt x="1084498" y="376437"/>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885395C-65AA-4540-B968-FD5343A3D196}">
      <dsp:nvSpPr>
        <dsp:cNvPr id="0" name=""/>
        <dsp:cNvSpPr/>
      </dsp:nvSpPr>
      <dsp:spPr>
        <a:xfrm>
          <a:off x="1739471" y="896554"/>
          <a:ext cx="1084498" cy="376437"/>
        </a:xfrm>
        <a:custGeom>
          <a:avLst/>
          <a:gdLst/>
          <a:ahLst/>
          <a:cxnLst/>
          <a:rect l="0" t="0" r="0" b="0"/>
          <a:pathLst>
            <a:path>
              <a:moveTo>
                <a:pt x="1084498" y="0"/>
              </a:moveTo>
              <a:lnTo>
                <a:pt x="1084498" y="188218"/>
              </a:lnTo>
              <a:lnTo>
                <a:pt x="0" y="188218"/>
              </a:lnTo>
              <a:lnTo>
                <a:pt x="0" y="376437"/>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FB39C5B8-F7DB-4E39-A817-B2E33F5DF11E}">
      <dsp:nvSpPr>
        <dsp:cNvPr id="0" name=""/>
        <dsp:cNvSpPr/>
      </dsp:nvSpPr>
      <dsp:spPr>
        <a:xfrm>
          <a:off x="1325856" y="274"/>
          <a:ext cx="2996226" cy="896279"/>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1. תשלום קנס לאוצר המדינה (עד 14,400) + פיצוי לנפגע באותו סכום.</a:t>
          </a:r>
          <a:endParaRPr lang="en-US" sz="900" kern="1200">
            <a:latin typeface="David" panose="020E0502060401010101" pitchFamily="34" charset="-79"/>
            <a:cs typeface="David" panose="020E0502060401010101" pitchFamily="34" charset="-79"/>
          </a:endParaRPr>
        </a:p>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2. התחייבות להימנע מביצוע עבירה </a:t>
          </a:r>
          <a:endParaRPr lang="en-US" sz="900" kern="1200">
            <a:latin typeface="David" panose="020E0502060401010101" pitchFamily="34" charset="-79"/>
            <a:cs typeface="David" panose="020E0502060401010101" pitchFamily="34" charset="-79"/>
          </a:endParaRPr>
        </a:p>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3. הסכמה לתוכנית מבחן </a:t>
          </a:r>
          <a:endParaRPr lang="en-US" sz="900" kern="1200">
            <a:latin typeface="David" panose="020E0502060401010101" pitchFamily="34" charset="-79"/>
            <a:cs typeface="David" panose="020E0502060401010101" pitchFamily="34" charset="-79"/>
          </a:endParaRPr>
        </a:p>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4. הפקדת כלי נשק</a:t>
          </a:r>
          <a:endParaRPr lang="en-US" sz="900" kern="1200">
            <a:latin typeface="David" panose="020E0502060401010101" pitchFamily="34" charset="-79"/>
            <a:cs typeface="David" panose="020E0502060401010101" pitchFamily="34" charset="-79"/>
          </a:endParaRPr>
        </a:p>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5. הפקדת רישיון נהיגה </a:t>
          </a:r>
          <a:endParaRPr lang="en-US" sz="900" kern="1200">
            <a:latin typeface="David" panose="020E0502060401010101" pitchFamily="34" charset="-79"/>
            <a:cs typeface="David" panose="020E0502060401010101" pitchFamily="34" charset="-79"/>
          </a:endParaRPr>
        </a:p>
        <a:p>
          <a:pPr marL="91440" lvl="0" indent="0" algn="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6. כתיבת מכתב התנצלות </a:t>
          </a:r>
          <a:endParaRPr lang="en-US" sz="900" kern="1200">
            <a:latin typeface="David" panose="020E0502060401010101" pitchFamily="34" charset="-79"/>
            <a:cs typeface="David" panose="020E0502060401010101" pitchFamily="34" charset="-79"/>
          </a:endParaRPr>
        </a:p>
      </dsp:txBody>
      <dsp:txXfrm>
        <a:off x="1325856" y="274"/>
        <a:ext cx="2996226" cy="896279"/>
      </dsp:txXfrm>
    </dsp:sp>
    <dsp:sp modelId="{C7878B6F-A70E-4BE1-8F53-BDBF2A1745CD}">
      <dsp:nvSpPr>
        <dsp:cNvPr id="0" name=""/>
        <dsp:cNvSpPr/>
      </dsp:nvSpPr>
      <dsp:spPr>
        <a:xfrm>
          <a:off x="843192" y="1272991"/>
          <a:ext cx="1792559" cy="896279"/>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אם יפר את התנאים - יוגש כתב אישום</a:t>
          </a:r>
        </a:p>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אם יזוכה יוחזרו לו התשלומים </a:t>
          </a:r>
          <a:endParaRPr lang="en-US" sz="1000" kern="1200">
            <a:latin typeface="David" panose="020E0502060401010101" pitchFamily="34" charset="-79"/>
            <a:cs typeface="David" panose="020E0502060401010101" pitchFamily="34" charset="-79"/>
          </a:endParaRPr>
        </a:p>
      </dsp:txBody>
      <dsp:txXfrm>
        <a:off x="843192" y="1272991"/>
        <a:ext cx="1792559" cy="896279"/>
      </dsp:txXfrm>
    </dsp:sp>
    <dsp:sp modelId="{9C2D7088-934A-4E48-8D50-0DB514149B7A}">
      <dsp:nvSpPr>
        <dsp:cNvPr id="0" name=""/>
        <dsp:cNvSpPr/>
      </dsp:nvSpPr>
      <dsp:spPr>
        <a:xfrm>
          <a:off x="3012188" y="1272991"/>
          <a:ext cx="1792559" cy="896279"/>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אם יעמוד בתנאים - לא יוגש כתב אישום והתיק יסגר בעילת "סגירה בהסדר" = ללא הרשעה/ סטיגמה פלילית </a:t>
          </a:r>
        </a:p>
      </dsp:txBody>
      <dsp:txXfrm>
        <a:off x="3012188" y="1272991"/>
        <a:ext cx="1792559" cy="8962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DDA77-B4BA-41E7-B2AA-85F62A0C6298}">
      <dsp:nvSpPr>
        <dsp:cNvPr id="0" name=""/>
        <dsp:cNvSpPr/>
      </dsp:nvSpPr>
      <dsp:spPr>
        <a:xfrm>
          <a:off x="4743684" y="398178"/>
          <a:ext cx="1582462" cy="250856"/>
        </a:xfrm>
        <a:custGeom>
          <a:avLst/>
          <a:gdLst/>
          <a:ahLst/>
          <a:cxnLst/>
          <a:rect l="0" t="0" r="0" b="0"/>
          <a:pathLst>
            <a:path>
              <a:moveTo>
                <a:pt x="0" y="0"/>
              </a:moveTo>
              <a:lnTo>
                <a:pt x="0" y="120160"/>
              </a:lnTo>
              <a:lnTo>
                <a:pt x="1582462" y="120160"/>
              </a:lnTo>
              <a:lnTo>
                <a:pt x="1582462" y="25085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217CE6-3F2F-4F6C-998F-99CB35C9E597}">
      <dsp:nvSpPr>
        <dsp:cNvPr id="0" name=""/>
        <dsp:cNvSpPr/>
      </dsp:nvSpPr>
      <dsp:spPr>
        <a:xfrm>
          <a:off x="4697964" y="398178"/>
          <a:ext cx="91440" cy="250856"/>
        </a:xfrm>
        <a:custGeom>
          <a:avLst/>
          <a:gdLst/>
          <a:ahLst/>
          <a:cxnLst/>
          <a:rect l="0" t="0" r="0" b="0"/>
          <a:pathLst>
            <a:path>
              <a:moveTo>
                <a:pt x="45720" y="0"/>
              </a:moveTo>
              <a:lnTo>
                <a:pt x="45720" y="120160"/>
              </a:lnTo>
              <a:lnTo>
                <a:pt x="122059" y="120160"/>
              </a:lnTo>
              <a:lnTo>
                <a:pt x="122059" y="25085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8820B9-B716-43DD-AEE8-D4B3A101BC59}">
      <dsp:nvSpPr>
        <dsp:cNvPr id="0" name=""/>
        <dsp:cNvSpPr/>
      </dsp:nvSpPr>
      <dsp:spPr>
        <a:xfrm>
          <a:off x="3216487" y="1271400"/>
          <a:ext cx="130696" cy="639915"/>
        </a:xfrm>
        <a:custGeom>
          <a:avLst/>
          <a:gdLst/>
          <a:ahLst/>
          <a:cxnLst/>
          <a:rect l="0" t="0" r="0" b="0"/>
          <a:pathLst>
            <a:path>
              <a:moveTo>
                <a:pt x="0" y="0"/>
              </a:moveTo>
              <a:lnTo>
                <a:pt x="0" y="639915"/>
              </a:lnTo>
              <a:lnTo>
                <a:pt x="130696" y="6399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37DE8-70AB-4103-A2E4-A11651868360}">
      <dsp:nvSpPr>
        <dsp:cNvPr id="0" name=""/>
        <dsp:cNvSpPr/>
      </dsp:nvSpPr>
      <dsp:spPr>
        <a:xfrm>
          <a:off x="1710364" y="2288644"/>
          <a:ext cx="130696" cy="572575"/>
        </a:xfrm>
        <a:custGeom>
          <a:avLst/>
          <a:gdLst/>
          <a:ahLst/>
          <a:cxnLst/>
          <a:rect l="0" t="0" r="0" b="0"/>
          <a:pathLst>
            <a:path>
              <a:moveTo>
                <a:pt x="0" y="0"/>
              </a:moveTo>
              <a:lnTo>
                <a:pt x="0" y="572575"/>
              </a:lnTo>
              <a:lnTo>
                <a:pt x="130696" y="57257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66520-37C3-415A-983E-7CB0FB11879A}">
      <dsp:nvSpPr>
        <dsp:cNvPr id="0" name=""/>
        <dsp:cNvSpPr/>
      </dsp:nvSpPr>
      <dsp:spPr>
        <a:xfrm>
          <a:off x="1579667" y="2288644"/>
          <a:ext cx="130696" cy="572575"/>
        </a:xfrm>
        <a:custGeom>
          <a:avLst/>
          <a:gdLst/>
          <a:ahLst/>
          <a:cxnLst/>
          <a:rect l="0" t="0" r="0" b="0"/>
          <a:pathLst>
            <a:path>
              <a:moveTo>
                <a:pt x="130696" y="0"/>
              </a:moveTo>
              <a:lnTo>
                <a:pt x="130696" y="572575"/>
              </a:lnTo>
              <a:lnTo>
                <a:pt x="0" y="57257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4B3C6-8A5A-4F52-A714-E2FEB6D07C6D}">
      <dsp:nvSpPr>
        <dsp:cNvPr id="0" name=""/>
        <dsp:cNvSpPr/>
      </dsp:nvSpPr>
      <dsp:spPr>
        <a:xfrm>
          <a:off x="2532377" y="1271400"/>
          <a:ext cx="684109" cy="639318"/>
        </a:xfrm>
        <a:custGeom>
          <a:avLst/>
          <a:gdLst/>
          <a:ahLst/>
          <a:cxnLst/>
          <a:rect l="0" t="0" r="0" b="0"/>
          <a:pathLst>
            <a:path>
              <a:moveTo>
                <a:pt x="684109" y="0"/>
              </a:moveTo>
              <a:lnTo>
                <a:pt x="684109" y="639318"/>
              </a:lnTo>
              <a:lnTo>
                <a:pt x="0" y="6393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0B7B3-1CF7-435F-AAEC-D2212D4CCB6F}">
      <dsp:nvSpPr>
        <dsp:cNvPr id="0" name=""/>
        <dsp:cNvSpPr/>
      </dsp:nvSpPr>
      <dsp:spPr>
        <a:xfrm>
          <a:off x="3216487" y="398178"/>
          <a:ext cx="1527196" cy="250856"/>
        </a:xfrm>
        <a:custGeom>
          <a:avLst/>
          <a:gdLst/>
          <a:ahLst/>
          <a:cxnLst/>
          <a:rect l="0" t="0" r="0" b="0"/>
          <a:pathLst>
            <a:path>
              <a:moveTo>
                <a:pt x="1527196" y="0"/>
              </a:moveTo>
              <a:lnTo>
                <a:pt x="1527196" y="120160"/>
              </a:lnTo>
              <a:lnTo>
                <a:pt x="0" y="120160"/>
              </a:lnTo>
              <a:lnTo>
                <a:pt x="0" y="25085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84BAD-23FF-4781-A486-A85FC9771C61}">
      <dsp:nvSpPr>
        <dsp:cNvPr id="0" name=""/>
        <dsp:cNvSpPr/>
      </dsp:nvSpPr>
      <dsp:spPr>
        <a:xfrm>
          <a:off x="2792308" y="13134"/>
          <a:ext cx="3902752" cy="3850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סעיף 368ד לחוק העונשין:</a:t>
          </a:r>
          <a:r>
            <a:rPr lang="he-IL" sz="1050" kern="1200">
              <a:latin typeface="David" panose="020E0502060401010101" pitchFamily="34" charset="-79"/>
              <a:cs typeface="David" panose="020E0502060401010101" pitchFamily="34" charset="-79"/>
            </a:rPr>
            <a:t> חובת הדיווח הבסיסית ("בידי האחראי עליו")</a:t>
          </a:r>
          <a:endParaRPr lang="en-US" sz="1050" kern="1200">
            <a:latin typeface="David" panose="020E0502060401010101" pitchFamily="34" charset="-79"/>
            <a:cs typeface="David" panose="020E0502060401010101" pitchFamily="34" charset="-79"/>
          </a:endParaRPr>
        </a:p>
      </dsp:txBody>
      <dsp:txXfrm>
        <a:off x="2792308" y="13134"/>
        <a:ext cx="3902752" cy="385044"/>
      </dsp:txXfrm>
    </dsp:sp>
    <dsp:sp modelId="{0CC7E69D-1D84-4178-B338-CBE538B75BE7}">
      <dsp:nvSpPr>
        <dsp:cNvPr id="0" name=""/>
        <dsp:cNvSpPr/>
      </dsp:nvSpPr>
      <dsp:spPr>
        <a:xfrm>
          <a:off x="2496710" y="649035"/>
          <a:ext cx="1439555" cy="6223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חובת דיווח למשטרה/ עובד סוציאלי.</a:t>
          </a:r>
        </a:p>
      </dsp:txBody>
      <dsp:txXfrm>
        <a:off x="2496710" y="649035"/>
        <a:ext cx="1439555" cy="622365"/>
      </dsp:txXfrm>
    </dsp:sp>
    <dsp:sp modelId="{8D1ABD49-A61C-48C2-9CFD-B667821831FF}">
      <dsp:nvSpPr>
        <dsp:cNvPr id="0" name=""/>
        <dsp:cNvSpPr/>
      </dsp:nvSpPr>
      <dsp:spPr>
        <a:xfrm>
          <a:off x="888350" y="1532794"/>
          <a:ext cx="1644027" cy="75584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דיווח לעו"ס:</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העו"ס מחוייב לדווח למשטרה, למעט מקרים שאושרו בידי ועדת פטור מחוזית ע"מ שלא לפגוע בההליך שיקומי (ייתכן פטור זמני)</a:t>
          </a:r>
          <a:endParaRPr lang="en-US" sz="900" kern="1200">
            <a:latin typeface="David" panose="020E0502060401010101" pitchFamily="34" charset="-79"/>
            <a:cs typeface="David" panose="020E0502060401010101" pitchFamily="34" charset="-79"/>
          </a:endParaRPr>
        </a:p>
      </dsp:txBody>
      <dsp:txXfrm>
        <a:off x="888350" y="1532794"/>
        <a:ext cx="1644027" cy="755849"/>
      </dsp:txXfrm>
    </dsp:sp>
    <dsp:sp modelId="{F788D547-78C7-4213-B4E7-BB00E54C750D}">
      <dsp:nvSpPr>
        <dsp:cNvPr id="0" name=""/>
        <dsp:cNvSpPr/>
      </dsp:nvSpPr>
      <dsp:spPr>
        <a:xfrm>
          <a:off x="334937" y="2550037"/>
          <a:ext cx="1244730" cy="6223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ההחלטות לא מפורסמות ואין קריטריונים</a:t>
          </a:r>
          <a:endParaRPr lang="en-US" sz="900" kern="1200">
            <a:latin typeface="David" panose="020E0502060401010101" pitchFamily="34" charset="-79"/>
            <a:cs typeface="David" panose="020E0502060401010101" pitchFamily="34" charset="-79"/>
          </a:endParaRPr>
        </a:p>
      </dsp:txBody>
      <dsp:txXfrm>
        <a:off x="334937" y="2550037"/>
        <a:ext cx="1244730" cy="622365"/>
      </dsp:txXfrm>
    </dsp:sp>
    <dsp:sp modelId="{A12C6064-6414-42D0-8282-5C227EA1911C}">
      <dsp:nvSpPr>
        <dsp:cNvPr id="0" name=""/>
        <dsp:cNvSpPr/>
      </dsp:nvSpPr>
      <dsp:spPr>
        <a:xfrm>
          <a:off x="1841060" y="2550037"/>
          <a:ext cx="1244730" cy="6223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u="sng" kern="1200">
              <a:latin typeface="David" panose="020E0502060401010101" pitchFamily="34" charset="-79"/>
              <a:cs typeface="David" panose="020E0502060401010101" pitchFamily="34" charset="-79"/>
            </a:rPr>
            <a:t>הרכב הועדה:</a:t>
          </a:r>
          <a:r>
            <a:rPr lang="en-US" sz="900" kern="1200">
              <a:latin typeface="David" panose="020E0502060401010101" pitchFamily="34" charset="-79"/>
              <a:cs typeface="David" panose="020E0502060401010101" pitchFamily="34" charset="-79"/>
            </a:rPr>
            <a:t> </a:t>
          </a:r>
          <a:endParaRPr lang="he-IL" sz="900" kern="1200">
            <a:latin typeface="David" panose="020E0502060401010101" pitchFamily="34" charset="-79"/>
            <a:cs typeface="David" panose="020E0502060401010101" pitchFamily="34" charset="-79"/>
          </a:endParaRP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נציג פרקליט מחוז </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קצין משטרה </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עוב"ס </a:t>
          </a:r>
          <a:endParaRPr lang="en-US" sz="900" kern="1200">
            <a:latin typeface="David" panose="020E0502060401010101" pitchFamily="34" charset="-79"/>
            <a:cs typeface="David" panose="020E0502060401010101" pitchFamily="34" charset="-79"/>
          </a:endParaRPr>
        </a:p>
      </dsp:txBody>
      <dsp:txXfrm>
        <a:off x="1841060" y="2550037"/>
        <a:ext cx="1244730" cy="622365"/>
      </dsp:txXfrm>
    </dsp:sp>
    <dsp:sp modelId="{A1B52DF1-BAC2-4340-A2EA-34893D7DEEFC}">
      <dsp:nvSpPr>
        <dsp:cNvPr id="0" name=""/>
        <dsp:cNvSpPr/>
      </dsp:nvSpPr>
      <dsp:spPr>
        <a:xfrm>
          <a:off x="3347184" y="1532794"/>
          <a:ext cx="1502264" cy="7570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דיווח למשטרה:</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המשטרה צריכה להיוועץ בעו"ס לפני נקיטת פעולה, למעט מקרים דחופים  </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אין ועדת פטור - המשטרה</a:t>
          </a:r>
          <a:r>
            <a:rPr lang="he-IL" sz="900" b="1" kern="1200">
              <a:latin typeface="David" panose="020E0502060401010101" pitchFamily="34" charset="-79"/>
              <a:cs typeface="David" panose="020E0502060401010101" pitchFamily="34" charset="-79"/>
            </a:rPr>
            <a:t> חייבת </a:t>
          </a:r>
          <a:r>
            <a:rPr lang="he-IL" sz="900" kern="1200">
              <a:latin typeface="David" panose="020E0502060401010101" pitchFamily="34" charset="-79"/>
              <a:cs typeface="David" panose="020E0502060401010101" pitchFamily="34" charset="-79"/>
            </a:rPr>
            <a:t>לחקור</a:t>
          </a:r>
          <a:endParaRPr lang="en-US" sz="900" kern="1200">
            <a:latin typeface="David" panose="020E0502060401010101" pitchFamily="34" charset="-79"/>
            <a:cs typeface="David" panose="020E0502060401010101" pitchFamily="34" charset="-79"/>
          </a:endParaRPr>
        </a:p>
      </dsp:txBody>
      <dsp:txXfrm>
        <a:off x="3347184" y="1532794"/>
        <a:ext cx="1502264" cy="757044"/>
      </dsp:txXfrm>
    </dsp:sp>
    <dsp:sp modelId="{8D120EE2-0537-42CD-B5BB-3E07D6CC24D6}">
      <dsp:nvSpPr>
        <dsp:cNvPr id="0" name=""/>
        <dsp:cNvSpPr/>
      </dsp:nvSpPr>
      <dsp:spPr>
        <a:xfrm>
          <a:off x="4197658" y="649035"/>
          <a:ext cx="1244730" cy="6223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חובת דיווח </a:t>
          </a:r>
          <a:r>
            <a:rPr lang="he-IL" sz="900" b="1" kern="1200">
              <a:latin typeface="David" panose="020E0502060401010101" pitchFamily="34" charset="-79"/>
              <a:cs typeface="David" panose="020E0502060401010101" pitchFamily="34" charset="-79"/>
            </a:rPr>
            <a:t>מוגברת</a:t>
          </a:r>
          <a:r>
            <a:rPr lang="he-IL" sz="900" kern="1200">
              <a:latin typeface="David" panose="020E0502060401010101" pitchFamily="34" charset="-79"/>
              <a:cs typeface="David" panose="020E0502060401010101" pitchFamily="34" charset="-79"/>
            </a:rPr>
            <a:t> על אנשי מקצוע ומטפלים </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החובה נוגעת ל</a:t>
          </a:r>
          <a:r>
            <a:rPr lang="he-IL" sz="900" b="1" kern="1200">
              <a:latin typeface="David" panose="020E0502060401010101" pitchFamily="34" charset="-79"/>
              <a:cs typeface="David" panose="020E0502060401010101" pitchFamily="34" charset="-79"/>
            </a:rPr>
            <a:t>כל</a:t>
          </a:r>
          <a:r>
            <a:rPr lang="he-IL" sz="900" kern="1200">
              <a:latin typeface="David" panose="020E0502060401010101" pitchFamily="34" charset="-79"/>
              <a:cs typeface="David" panose="020E0502060401010101" pitchFamily="34" charset="-79"/>
            </a:rPr>
            <a:t> סוגי העבירות </a:t>
          </a:r>
          <a:endParaRPr lang="en-US" sz="900" kern="1200">
            <a:latin typeface="David" panose="020E0502060401010101" pitchFamily="34" charset="-79"/>
            <a:cs typeface="David" panose="020E0502060401010101" pitchFamily="34" charset="-79"/>
          </a:endParaRPr>
        </a:p>
      </dsp:txBody>
      <dsp:txXfrm>
        <a:off x="4197658" y="649035"/>
        <a:ext cx="1244730" cy="622365"/>
      </dsp:txXfrm>
    </dsp:sp>
    <dsp:sp modelId="{3557A66C-E3DD-4BCB-BE14-F8A8159BE67A}">
      <dsp:nvSpPr>
        <dsp:cNvPr id="0" name=""/>
        <dsp:cNvSpPr/>
      </dsp:nvSpPr>
      <dsp:spPr>
        <a:xfrm>
          <a:off x="5703782" y="649035"/>
          <a:ext cx="1244730" cy="6223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מוטלת על </a:t>
          </a:r>
          <a:r>
            <a:rPr lang="he-IL" sz="900" b="1" kern="1200">
              <a:latin typeface="David" panose="020E0502060401010101" pitchFamily="34" charset="-79"/>
              <a:cs typeface="David" panose="020E0502060401010101" pitchFamily="34" charset="-79"/>
            </a:rPr>
            <a:t>כל אדם </a:t>
          </a:r>
          <a:r>
            <a:rPr lang="he-IL" sz="900" kern="1200">
              <a:latin typeface="David" panose="020E0502060401010101" pitchFamily="34" charset="-79"/>
              <a:cs typeface="David" panose="020E0502060401010101" pitchFamily="34" charset="-79"/>
            </a:rPr>
            <a:t>(בניגוד לרוב העולם = רק אנשי מקצוע)</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עבירות שנעברו </a:t>
          </a:r>
          <a:r>
            <a:rPr lang="he-IL" sz="900" b="1" kern="1200">
              <a:latin typeface="David" panose="020E0502060401010101" pitchFamily="34" charset="-79"/>
              <a:cs typeface="David" panose="020E0502060401010101" pitchFamily="34" charset="-79"/>
            </a:rPr>
            <a:t>בזמן האחרון </a:t>
          </a:r>
        </a:p>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לא חלה על קטין </a:t>
          </a:r>
          <a:endParaRPr lang="en-US" sz="900" kern="1200">
            <a:latin typeface="David" panose="020E0502060401010101" pitchFamily="34" charset="-79"/>
            <a:cs typeface="David" panose="020E0502060401010101" pitchFamily="34" charset="-79"/>
          </a:endParaRPr>
        </a:p>
      </dsp:txBody>
      <dsp:txXfrm>
        <a:off x="5703782" y="649035"/>
        <a:ext cx="1244730" cy="622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116B2-33F9-4137-819B-83BBC8549318}">
      <dsp:nvSpPr>
        <dsp:cNvPr id="0" name=""/>
        <dsp:cNvSpPr/>
      </dsp:nvSpPr>
      <dsp:spPr>
        <a:xfrm>
          <a:off x="4763900" y="386526"/>
          <a:ext cx="1715540" cy="2380311"/>
        </a:xfrm>
        <a:prstGeom prst="roundRect">
          <a:avLst>
            <a:gd name="adj" fmla="val 10000"/>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ישנן עבירות שמכילות לכאורה אי דיווח. ההבדל בהגדרות העבירות ובעונש המקסימלי המושת על המבצע בכל אחת מהן שונה מאוד ונע בין 3 חודשים לתשע שנות מאסר, לכן נרצה להבחין ביניהן כראוי </a:t>
          </a:r>
          <a:endParaRPr lang="en-US" sz="900" kern="1200">
            <a:latin typeface="David" panose="020E0502060401010101" pitchFamily="34" charset="-79"/>
            <a:cs typeface="David" panose="020E0502060401010101" pitchFamily="34" charset="-79"/>
          </a:endParaRPr>
        </a:p>
      </dsp:txBody>
      <dsp:txXfrm>
        <a:off x="4814146" y="436772"/>
        <a:ext cx="1615048" cy="2279819"/>
      </dsp:txXfrm>
    </dsp:sp>
    <dsp:sp modelId="{50F330B8-16D1-4707-8025-6E9E24DD42AB}">
      <dsp:nvSpPr>
        <dsp:cNvPr id="0" name=""/>
        <dsp:cNvSpPr/>
      </dsp:nvSpPr>
      <dsp:spPr>
        <a:xfrm rot="10765692">
          <a:off x="4264017" y="1375810"/>
          <a:ext cx="339674" cy="425453"/>
        </a:xfrm>
        <a:prstGeom prst="rightArrow">
          <a:avLst>
            <a:gd name="adj1" fmla="val 60000"/>
            <a:gd name="adj2" fmla="val 50000"/>
          </a:avLst>
        </a:prstGeom>
        <a:gradFill rotWithShape="0">
          <a:gsLst>
            <a:gs pos="0">
              <a:schemeClr val="accent2">
                <a:shade val="90000"/>
                <a:hueOff val="0"/>
                <a:satOff val="0"/>
                <a:lumOff val="0"/>
                <a:alphaOff val="0"/>
                <a:lumMod val="110000"/>
                <a:satMod val="105000"/>
                <a:tint val="67000"/>
              </a:schemeClr>
            </a:gs>
            <a:gs pos="50000">
              <a:schemeClr val="accent2">
                <a:shade val="90000"/>
                <a:hueOff val="0"/>
                <a:satOff val="0"/>
                <a:lumOff val="0"/>
                <a:alphaOff val="0"/>
                <a:lumMod val="105000"/>
                <a:satMod val="103000"/>
                <a:tint val="73000"/>
              </a:schemeClr>
            </a:gs>
            <a:gs pos="100000">
              <a:schemeClr val="accent2">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rot="10800000">
        <a:off x="4365916" y="1460393"/>
        <a:ext cx="237772" cy="255271"/>
      </dsp:txXfrm>
    </dsp:sp>
    <dsp:sp modelId="{E26DCA5D-6A33-4878-B6C2-774686CA99BB}">
      <dsp:nvSpPr>
        <dsp:cNvPr id="0" name=""/>
        <dsp:cNvSpPr/>
      </dsp:nvSpPr>
      <dsp:spPr>
        <a:xfrm>
          <a:off x="2407495" y="410044"/>
          <a:ext cx="1715540" cy="2380311"/>
        </a:xfrm>
        <a:prstGeom prst="roundRect">
          <a:avLst>
            <a:gd name="adj" fmla="val 10000"/>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u="sng" kern="1200">
              <a:latin typeface="David" panose="020E0502060401010101" pitchFamily="34" charset="-79"/>
              <a:cs typeface="David" panose="020E0502060401010101" pitchFamily="34" charset="-79"/>
            </a:rPr>
            <a:t>נעמוד על ההבדלים בין העבירות השכנות לבין אי- דיווח:</a:t>
          </a:r>
        </a:p>
        <a:p>
          <a:pPr marL="0" lvl="0" indent="0" algn="r" defTabSz="400050" rtl="1">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ס' 262 - אי מניעת פשע:</a:t>
          </a:r>
          <a:r>
            <a:rPr lang="en-US" sz="900" b="1" kern="1200">
              <a:latin typeface="David" panose="020E0502060401010101" pitchFamily="34" charset="-79"/>
              <a:cs typeface="David" panose="020E0502060401010101" pitchFamily="34" charset="-79"/>
            </a:rPr>
            <a:t> </a:t>
          </a:r>
          <a:r>
            <a:rPr lang="he-IL" sz="900" b="1" kern="1200">
              <a:latin typeface="David" panose="020E0502060401010101" pitchFamily="34" charset="-79"/>
              <a:cs typeface="David" panose="020E0502060401010101" pitchFamily="34" charset="-79"/>
            </a:rPr>
            <a:t> </a:t>
          </a:r>
          <a:r>
            <a:rPr lang="he-IL" sz="900" kern="1200">
              <a:latin typeface="David" panose="020E0502060401010101" pitchFamily="34" charset="-79"/>
              <a:cs typeface="David" panose="020E0502060401010101" pitchFamily="34" charset="-79"/>
            </a:rPr>
            <a:t>פה מדובר על עבירת מחשבה פלילית, בעוד שאי דיווח זוהי עבירת רשלנות - תמוה להכליל כאי דיווח. סעיף זה כללי ביחס לחובת הדיווח, שמהווה ס' ספציפי.</a:t>
          </a:r>
        </a:p>
        <a:p>
          <a:pPr marL="0" lvl="0" indent="0" algn="r" defTabSz="400050" rtl="1">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ס' 323 - חובת הורה או אחראי - </a:t>
          </a:r>
          <a:r>
            <a:rPr lang="he-IL" sz="900" kern="1200">
              <a:latin typeface="David" panose="020E0502060401010101" pitchFamily="34" charset="-79"/>
              <a:cs typeface="David" panose="020E0502060401010101" pitchFamily="34" charset="-79"/>
            </a:rPr>
            <a:t>בסעיף זה רואים את ההורה כמי שגרם לתוצאות בעצמו, כלומר אם לא מנע התעללות - יורשע ב-9 שנים במקום 3! </a:t>
          </a:r>
        </a:p>
        <a:p>
          <a:pPr marL="0" lvl="0" indent="0" algn="r" defTabSz="400050" rtl="1">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ס' 337 - הפרת חובה של הורה או אחראי</a:t>
          </a:r>
          <a:r>
            <a:rPr lang="he-IL" sz="900" kern="1200">
              <a:latin typeface="David" panose="020E0502060401010101" pitchFamily="34" charset="-79"/>
              <a:cs typeface="David" panose="020E0502060401010101" pitchFamily="34" charset="-79"/>
            </a:rPr>
            <a:t> - סעיף כללי יותר ביחס לאי דיווח (כמו למדריכים בקייטנה)</a:t>
          </a:r>
        </a:p>
        <a:p>
          <a:pPr marL="0" lvl="0" indent="0" algn="r" defTabSz="400050" rtl="1">
            <a:lnSpc>
              <a:spcPct val="90000"/>
            </a:lnSpc>
            <a:spcBef>
              <a:spcPct val="0"/>
            </a:spcBef>
            <a:spcAft>
              <a:spcPct val="35000"/>
            </a:spcAft>
            <a:buNone/>
          </a:pPr>
          <a:r>
            <a:rPr lang="he-IL" sz="900" b="1" kern="1200">
              <a:latin typeface="David" panose="020E0502060401010101" pitchFamily="34" charset="-79"/>
              <a:cs typeface="David" panose="020E0502060401010101" pitchFamily="34" charset="-79"/>
            </a:rPr>
            <a:t>ס' 368ג' - התעללות בקטין או חסר ישע </a:t>
          </a:r>
          <a:r>
            <a:rPr lang="he-IL" sz="900" kern="1200">
              <a:latin typeface="David" panose="020E0502060401010101" pitchFamily="34" charset="-79"/>
              <a:cs typeface="David" panose="020E0502060401010101" pitchFamily="34" charset="-79"/>
            </a:rPr>
            <a:t>- 9 שנים. בחוק נכלל גם מחדל - לדעת שמואלי לא ניתן להגיד שאי דיווח זה התעללות במחדל</a:t>
          </a:r>
          <a:endParaRPr lang="en-US" sz="900" kern="1200">
            <a:latin typeface="David" panose="020E0502060401010101" pitchFamily="34" charset="-79"/>
            <a:cs typeface="David" panose="020E0502060401010101" pitchFamily="34" charset="-79"/>
          </a:endParaRPr>
        </a:p>
      </dsp:txBody>
      <dsp:txXfrm>
        <a:off x="2457741" y="460290"/>
        <a:ext cx="1615048" cy="2279819"/>
      </dsp:txXfrm>
    </dsp:sp>
    <dsp:sp modelId="{A59ACA2A-F42E-4F7D-A087-217D7F6E4B57}">
      <dsp:nvSpPr>
        <dsp:cNvPr id="0" name=""/>
        <dsp:cNvSpPr/>
      </dsp:nvSpPr>
      <dsp:spPr>
        <a:xfrm rot="10800000">
          <a:off x="1872247" y="1387473"/>
          <a:ext cx="363694" cy="425453"/>
        </a:xfrm>
        <a:prstGeom prst="rightArrow">
          <a:avLst>
            <a:gd name="adj1" fmla="val 60000"/>
            <a:gd name="adj2" fmla="val 50000"/>
          </a:avLst>
        </a:prstGeom>
        <a:gradFill rotWithShape="0">
          <a:gsLst>
            <a:gs pos="0">
              <a:schemeClr val="accent2">
                <a:shade val="90000"/>
                <a:hueOff val="715052"/>
                <a:satOff val="-42098"/>
                <a:lumOff val="42637"/>
                <a:alphaOff val="0"/>
                <a:lumMod val="110000"/>
                <a:satMod val="105000"/>
                <a:tint val="67000"/>
              </a:schemeClr>
            </a:gs>
            <a:gs pos="50000">
              <a:schemeClr val="accent2">
                <a:shade val="90000"/>
                <a:hueOff val="715052"/>
                <a:satOff val="-42098"/>
                <a:lumOff val="42637"/>
                <a:alphaOff val="0"/>
                <a:lumMod val="105000"/>
                <a:satMod val="103000"/>
                <a:tint val="73000"/>
              </a:schemeClr>
            </a:gs>
            <a:gs pos="100000">
              <a:schemeClr val="accent2">
                <a:shade val="90000"/>
                <a:hueOff val="715052"/>
                <a:satOff val="-42098"/>
                <a:lumOff val="4263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rot="10800000">
        <a:off x="1981355" y="1472564"/>
        <a:ext cx="254586" cy="255271"/>
      </dsp:txXfrm>
    </dsp:sp>
    <dsp:sp modelId="{E1F4C677-5D10-4071-B236-8FA7C5A6F26D}">
      <dsp:nvSpPr>
        <dsp:cNvPr id="0" name=""/>
        <dsp:cNvSpPr/>
      </dsp:nvSpPr>
      <dsp:spPr>
        <a:xfrm>
          <a:off x="5739" y="410044"/>
          <a:ext cx="1715540" cy="2380311"/>
        </a:xfrm>
        <a:prstGeom prst="roundRect">
          <a:avLst>
            <a:gd name="adj" fmla="val 10000"/>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המחוקק לא עשה הפרדה מסודרת, ולכן ניתן לפרש אותן בצורה רחבה.</a:t>
          </a:r>
        </a:p>
        <a:p>
          <a:pPr marL="0" lvl="0" indent="0" algn="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לדעת שמואלי יש לפרש בצמצום כדי למנוע מצבים אבסורדים אלו</a:t>
          </a:r>
        </a:p>
        <a:p>
          <a:pPr marL="0" lvl="0" indent="0" algn="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 ייתן שחוסר ההפרדה הברורה מוביל לכך שיוגשו מעט כתבי אישום גם כאשר מדובר באי דיווח לפי יסודות העוולה. </a:t>
          </a:r>
          <a:endParaRPr lang="en-US" sz="900" kern="1200">
            <a:latin typeface="David" panose="020E0502060401010101" pitchFamily="34" charset="-79"/>
            <a:cs typeface="David" panose="020E0502060401010101" pitchFamily="34" charset="-79"/>
          </a:endParaRPr>
        </a:p>
      </dsp:txBody>
      <dsp:txXfrm>
        <a:off x="55985" y="460290"/>
        <a:ext cx="1615048" cy="22798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2039F6-60C5-4F8D-BDF8-15F734A39F88}">
      <dsp:nvSpPr>
        <dsp:cNvPr id="0" name=""/>
        <dsp:cNvSpPr/>
      </dsp:nvSpPr>
      <dsp:spPr>
        <a:xfrm>
          <a:off x="574261" y="2067386"/>
          <a:ext cx="2835692" cy="1857618"/>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r" defTabSz="444500" rtl="1">
            <a:lnSpc>
              <a:spcPct val="90000"/>
            </a:lnSpc>
            <a:spcBef>
              <a:spcPct val="0"/>
            </a:spcBef>
            <a:spcAft>
              <a:spcPct val="35000"/>
            </a:spcAft>
            <a:buFont typeface="+mj-lt"/>
            <a:buNone/>
          </a:pPr>
          <a:r>
            <a:rPr lang="he-IL" sz="1000" b="1" kern="1200">
              <a:latin typeface="David" panose="020E0502060401010101" pitchFamily="34" charset="-79"/>
              <a:cs typeface="David" panose="020E0502060401010101" pitchFamily="34" charset="-79"/>
            </a:rPr>
            <a:t>מודל דחיית תשלום הפיצויים: האם תיתבע, אך חיוב התשלום ייכנס לתוקף עם בגירות הילד</a:t>
          </a:r>
          <a:r>
            <a:rPr lang="he-IL" sz="1000" kern="1200">
              <a:latin typeface="David" panose="020E0502060401010101" pitchFamily="34" charset="-79"/>
              <a:cs typeface="David" panose="020E0502060401010101" pitchFamily="34" charset="-79"/>
            </a:rPr>
            <a:t> – נקבל את התביעה, אך נסייג בדחיית התביעה לעתיד:</a:t>
          </a:r>
        </a:p>
        <a:p>
          <a:pPr marL="0" lvl="0" indent="0" algn="r" defTabSz="444500" rtl="1">
            <a:lnSpc>
              <a:spcPct val="90000"/>
            </a:lnSpc>
            <a:spcBef>
              <a:spcPct val="0"/>
            </a:spcBef>
            <a:spcAft>
              <a:spcPct val="35000"/>
            </a:spcAft>
            <a:buFont typeface="+mj-lt"/>
            <a:buNone/>
          </a:pP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נזק </a:t>
          </a:r>
          <a:r>
            <a:rPr lang="he-IL" sz="1000" b="1" kern="1200">
              <a:latin typeface="David" panose="020E0502060401010101" pitchFamily="34" charset="-79"/>
              <a:cs typeface="David" panose="020E0502060401010101" pitchFamily="34" charset="-79"/>
            </a:rPr>
            <a:t>ממוני</a:t>
          </a:r>
          <a:r>
            <a:rPr lang="he-IL" sz="1000" kern="1200">
              <a:latin typeface="David" panose="020E0502060401010101" pitchFamily="34" charset="-79"/>
              <a:cs typeface="David" panose="020E0502060401010101" pitchFamily="34" charset="-79"/>
            </a:rPr>
            <a:t>: במידה והאישה מתקשה לכלכל, נדחה את התביעה. מהלך זה מהווה מעין הלוואה מהאב לאם, שתיפרע עם בגירות הילד. האב תחוייב בגילוי מצבה הכלכלי מפעם לפעם, ואם "העשירה" תוכל לפרוע מוקדם יותר.</a:t>
          </a:r>
        </a:p>
        <a:p>
          <a:pPr marL="0" lvl="0" indent="0" algn="r" defTabSz="444500" rtl="1">
            <a:lnSpc>
              <a:spcPct val="90000"/>
            </a:lnSpc>
            <a:spcBef>
              <a:spcPct val="0"/>
            </a:spcBef>
            <a:spcAft>
              <a:spcPct val="35000"/>
            </a:spcAft>
            <a:buFont typeface="+mj-lt"/>
            <a:buNone/>
          </a:pP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נזק </a:t>
          </a:r>
          <a:r>
            <a:rPr lang="he-IL" sz="1000" b="1" kern="1200">
              <a:latin typeface="David" panose="020E0502060401010101" pitchFamily="34" charset="-79"/>
              <a:cs typeface="David" panose="020E0502060401010101" pitchFamily="34" charset="-79"/>
            </a:rPr>
            <a:t>לא ממוני</a:t>
          </a:r>
          <a:r>
            <a:rPr lang="he-IL" sz="1000" kern="1200">
              <a:latin typeface="David" panose="020E0502060401010101" pitchFamily="34" charset="-79"/>
              <a:cs typeface="David" panose="020E0502060401010101" pitchFamily="34" charset="-79"/>
            </a:rPr>
            <a:t>: גם בראש נזק זה ניתן יהיה לתבוע עם בגירות הילד או התעשרות האם.</a:t>
          </a:r>
          <a:endParaRPr lang="en-US" sz="1000" kern="1200">
            <a:latin typeface="David" panose="020E0502060401010101" pitchFamily="34" charset="-79"/>
            <a:cs typeface="David" panose="020E0502060401010101" pitchFamily="34" charset="-79"/>
          </a:endParaRPr>
        </a:p>
      </dsp:txBody>
      <dsp:txXfrm>
        <a:off x="574261" y="2067386"/>
        <a:ext cx="2835692" cy="1857618"/>
      </dsp:txXfrm>
    </dsp:sp>
    <dsp:sp modelId="{BE1779A8-13F7-42D4-97E0-01080C108603}">
      <dsp:nvSpPr>
        <dsp:cNvPr id="0" name=""/>
        <dsp:cNvSpPr/>
      </dsp:nvSpPr>
      <dsp:spPr>
        <a:xfrm>
          <a:off x="536180" y="26378"/>
          <a:ext cx="2805094" cy="191878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r" defTabSz="444500">
            <a:lnSpc>
              <a:spcPct val="90000"/>
            </a:lnSpc>
            <a:spcBef>
              <a:spcPct val="0"/>
            </a:spcBef>
            <a:spcAft>
              <a:spcPct val="35000"/>
            </a:spcAft>
            <a:buFont typeface="+mj-lt"/>
            <a:buNone/>
          </a:pPr>
          <a:r>
            <a:rPr lang="he-IL" sz="1000" b="1" kern="1200">
              <a:latin typeface="David" panose="020E0502060401010101" pitchFamily="34" charset="-79"/>
              <a:cs typeface="David" panose="020E0502060401010101" pitchFamily="34" charset="-79"/>
            </a:rPr>
            <a:t>מודל "התביעה הנזיקית–החוזית בגין הונאת אבהות" </a:t>
          </a:r>
          <a:r>
            <a:rPr lang="he-IL" sz="1000" kern="1200">
              <a:latin typeface="David" panose="020E0502060401010101" pitchFamily="34" charset="-79"/>
              <a:cs typeface="David" panose="020E0502060401010101" pitchFamily="34" charset="-79"/>
            </a:rPr>
            <a:t>– יש להכיר בתביעות (בניגוד למודל הקודם). </a:t>
          </a:r>
          <a:endParaRPr lang="en-US" sz="1000" kern="1200">
            <a:latin typeface="David" panose="020E0502060401010101" pitchFamily="34" charset="-79"/>
            <a:cs typeface="David" panose="020E0502060401010101" pitchFamily="34" charset="-79"/>
          </a:endParaRPr>
        </a:p>
        <a:p>
          <a:pPr marL="0" lvl="0" indent="0" algn="r" defTabSz="444500">
            <a:lnSpc>
              <a:spcPct val="90000"/>
            </a:lnSpc>
            <a:spcBef>
              <a:spcPct val="0"/>
            </a:spcBef>
            <a:spcAft>
              <a:spcPct val="35000"/>
            </a:spcAft>
            <a:buFont typeface="+mj-lt"/>
            <a:buNone/>
          </a:pPr>
          <a:r>
            <a:rPr lang="he-IL" sz="1000" u="sng" kern="1200">
              <a:latin typeface="David" panose="020E0502060401010101" pitchFamily="34" charset="-79"/>
              <a:cs typeface="David" panose="020E0502060401010101" pitchFamily="34" charset="-79"/>
            </a:rPr>
            <a:t>הבסיס:</a:t>
          </a:r>
          <a:endParaRPr lang="en-US" sz="1000" u="sng" kern="1200">
            <a:latin typeface="David" panose="020E0502060401010101" pitchFamily="34" charset="-79"/>
            <a:cs typeface="David" panose="020E0502060401010101" pitchFamily="34" charset="-79"/>
          </a:endParaRPr>
        </a:p>
        <a:p>
          <a:pPr marL="0" lvl="0" indent="0" algn="r" defTabSz="444500">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1. קיום נוסחת האחריות הנזיקית או הוכחת יסודות התביעה החוזית.</a:t>
          </a:r>
        </a:p>
        <a:p>
          <a:pPr marL="0" lvl="0" indent="0" algn="r" defTabSz="444500">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2. לא כל הונאה מקורה בבגידה.</a:t>
          </a:r>
          <a:endParaRPr lang="en-US" sz="1000" kern="1200">
            <a:latin typeface="David" panose="020E0502060401010101" pitchFamily="34" charset="-79"/>
            <a:cs typeface="David" panose="020E0502060401010101" pitchFamily="34" charset="-79"/>
          </a:endParaRPr>
        </a:p>
        <a:p>
          <a:pPr marL="0" lvl="0" indent="0" algn="r" defTabSz="444500">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3. טובת הילד ותקנת הציבור לעתים יובילו למסקנה שיש להכיר בתביעות.</a:t>
          </a:r>
          <a:endParaRPr lang="en-US" sz="1000" kern="1200">
            <a:latin typeface="David" panose="020E0502060401010101" pitchFamily="34" charset="-79"/>
            <a:cs typeface="David" panose="020E0502060401010101" pitchFamily="34" charset="-79"/>
          </a:endParaRPr>
        </a:p>
        <a:p>
          <a:pPr marL="0" lvl="0" indent="0" algn="r" defTabSz="444500">
            <a:lnSpc>
              <a:spcPct val="90000"/>
            </a:lnSpc>
            <a:spcBef>
              <a:spcPct val="0"/>
            </a:spcBef>
            <a:spcAft>
              <a:spcPct val="35000"/>
            </a:spcAft>
            <a:buFont typeface="+mj-lt"/>
            <a:buNone/>
          </a:pPr>
          <a:r>
            <a:rPr lang="he-IL" sz="1000" kern="1200">
              <a:latin typeface="David" panose="020E0502060401010101" pitchFamily="34" charset="-79"/>
              <a:cs typeface="David" panose="020E0502060401010101" pitchFamily="34" charset="-79"/>
            </a:rPr>
            <a:t>4. ישנם כלים נוספים להוכחת התביעה חוץ מבדיקת רקמות.</a:t>
          </a:r>
          <a:endParaRPr lang="en-US" sz="1000" kern="1200">
            <a:latin typeface="David" panose="020E0502060401010101" pitchFamily="34" charset="-79"/>
            <a:cs typeface="David" panose="020E0502060401010101" pitchFamily="34" charset="-79"/>
          </a:endParaRPr>
        </a:p>
      </dsp:txBody>
      <dsp:txXfrm>
        <a:off x="536180" y="26378"/>
        <a:ext cx="2805094" cy="1918788"/>
      </dsp:txXfrm>
    </dsp:sp>
    <dsp:sp modelId="{A9110893-12CF-48AA-B033-909524221B7C}">
      <dsp:nvSpPr>
        <dsp:cNvPr id="0" name=""/>
        <dsp:cNvSpPr/>
      </dsp:nvSpPr>
      <dsp:spPr>
        <a:xfrm>
          <a:off x="3825061" y="0"/>
          <a:ext cx="3142877" cy="1953293"/>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מודל החסינות </a:t>
          </a:r>
          <a:r>
            <a:rPr lang="he-IL" sz="1000" kern="1200">
              <a:latin typeface="David" panose="020E0502060401010101" pitchFamily="34" charset="-79"/>
              <a:cs typeface="David" panose="020E0502060401010101" pitchFamily="34" charset="-79"/>
            </a:rPr>
            <a:t>– אין לקבל את התביעה מכמה נימוקים:</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קושי ראייתי</a:t>
          </a:r>
          <a:r>
            <a:rPr lang="he-IL" sz="1000" kern="1200">
              <a:latin typeface="David" panose="020E0502060401010101" pitchFamily="34" charset="-79"/>
              <a:cs typeface="David" panose="020E0502060401010101" pitchFamily="34" charset="-79"/>
            </a:rPr>
            <a:t> בבירור מטענו הגנטי של הילד בשל איסור חקיקתי להורות על בדיקת רקמות (חשש ממזרות).</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פגיעה בעקרון </a:t>
          </a:r>
          <a:r>
            <a:rPr lang="he-IL" sz="1000" b="1" kern="1200">
              <a:latin typeface="David" panose="020E0502060401010101" pitchFamily="34" charset="-79"/>
              <a:cs typeface="David" panose="020E0502060401010101" pitchFamily="34" charset="-79"/>
            </a:rPr>
            <a:t>טובת הילד</a:t>
          </a:r>
          <a:r>
            <a:rPr lang="he-IL" sz="1000" kern="1200">
              <a:latin typeface="David" panose="020E0502060401010101" pitchFamily="34" charset="-79"/>
              <a:cs typeface="David" panose="020E0502060401010101" pitchFamily="34" charset="-79"/>
            </a:rPr>
            <a:t> וב</a:t>
          </a:r>
          <a:r>
            <a:rPr lang="he-IL" sz="1000" b="1" kern="1200">
              <a:latin typeface="David" panose="020E0502060401010101" pitchFamily="34" charset="-79"/>
              <a:cs typeface="David" panose="020E0502060401010101" pitchFamily="34" charset="-79"/>
            </a:rPr>
            <a:t>תקנת הציבור</a:t>
          </a:r>
          <a:r>
            <a:rPr lang="he-IL" sz="1000" kern="1200">
              <a:latin typeface="David" panose="020E0502060401010101" pitchFamily="34" charset="-79"/>
              <a:cs typeface="David" panose="020E0502060401010101" pitchFamily="34" charset="-79"/>
            </a:rPr>
            <a:t>, תוך הכרה בילד כ"נזק". </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הכרה עקיפה ב</a:t>
          </a:r>
          <a:r>
            <a:rPr lang="he-IL" sz="1000" b="1" kern="1200">
              <a:latin typeface="David" panose="020E0502060401010101" pitchFamily="34" charset="-79"/>
              <a:cs typeface="David" panose="020E0502060401010101" pitchFamily="34" charset="-79"/>
            </a:rPr>
            <a:t>נזקי בגידה</a:t>
          </a:r>
          <a:r>
            <a:rPr lang="he-IL" sz="1000" kern="1200">
              <a:latin typeface="David" panose="020E0502060401010101" pitchFamily="34" charset="-79"/>
              <a:cs typeface="David" panose="020E0502060401010101" pitchFamily="34" charset="-79"/>
            </a:rPr>
            <a:t>, שלא ניתן לתבוע ע"פ המשפט הישראלי.</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כניסה פסולה למרחבים משפחתיים ואינטימיים.</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אינטרס האישה ותקנת הציבור גובר על אינטרס התובע. </a:t>
          </a:r>
          <a:r>
            <a:rPr lang="he-IL" sz="1000" u="sng" kern="1200">
              <a:latin typeface="David" panose="020E0502060401010101" pitchFamily="34" charset="-79"/>
              <a:cs typeface="David" panose="020E0502060401010101" pitchFamily="34" charset="-79"/>
            </a:rPr>
            <a:t>הבעיה</a:t>
          </a:r>
          <a:r>
            <a:rPr lang="he-IL" sz="1000" kern="1200">
              <a:latin typeface="David" panose="020E0502060401010101" pitchFamily="34" charset="-79"/>
              <a:cs typeface="David" panose="020E0502060401010101" pitchFamily="34" charset="-79"/>
            </a:rPr>
            <a:t>: </a:t>
          </a:r>
          <a:r>
            <a:rPr lang="he-IL" sz="1000" b="1" kern="1200">
              <a:latin typeface="David" panose="020E0502060401010101" pitchFamily="34" charset="-79"/>
              <a:cs typeface="David" panose="020E0502060401010101" pitchFamily="34" charset="-79"/>
            </a:rPr>
            <a:t>מטרות דיני הנזיקין אינן מוגשמות</a:t>
          </a:r>
          <a:r>
            <a:rPr lang="he-IL" sz="1000" kern="1200">
              <a:latin typeface="David" panose="020E0502060401010101" pitchFamily="34" charset="-79"/>
              <a:cs typeface="David" panose="020E0502060401010101" pitchFamily="34" charset="-79"/>
            </a:rPr>
            <a:t>.</a:t>
          </a:r>
          <a:endParaRPr lang="en-US" sz="1000" kern="1200">
            <a:latin typeface="David" panose="020E0502060401010101" pitchFamily="34" charset="-79"/>
            <a:cs typeface="David" panose="020E0502060401010101" pitchFamily="34" charset="-79"/>
          </a:endParaRPr>
        </a:p>
      </dsp:txBody>
      <dsp:txXfrm>
        <a:off x="3825061" y="0"/>
        <a:ext cx="3142877" cy="1953293"/>
      </dsp:txXfrm>
    </dsp:sp>
    <dsp:sp modelId="{ABAA5ADC-5A8F-4788-A8E1-C26BF83F9D37}">
      <dsp:nvSpPr>
        <dsp:cNvPr id="0" name=""/>
        <dsp:cNvSpPr/>
      </dsp:nvSpPr>
      <dsp:spPr>
        <a:xfrm>
          <a:off x="3797295" y="2127244"/>
          <a:ext cx="3241860" cy="1796096"/>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r" defTabSz="444500">
            <a:lnSpc>
              <a:spcPct val="90000"/>
            </a:lnSpc>
            <a:spcBef>
              <a:spcPct val="0"/>
            </a:spcBef>
            <a:spcAft>
              <a:spcPct val="35000"/>
            </a:spcAft>
            <a:buFont typeface="Courier New" panose="02070309020205020404" pitchFamily="49" charset="0"/>
            <a:buNone/>
          </a:pPr>
          <a:r>
            <a:rPr lang="he-IL" sz="1000" b="1" kern="1200">
              <a:latin typeface="David" panose="020E0502060401010101" pitchFamily="34" charset="-79"/>
              <a:cs typeface="David" panose="020E0502060401010101" pitchFamily="34" charset="-79"/>
            </a:rPr>
            <a:t>מודל התביעה נגד האב הביולוגי דרך ע"ע בשילוב מודל דחיית תשלום הפיצויים – </a:t>
          </a:r>
          <a:r>
            <a:rPr lang="he-IL" sz="1000" kern="1200">
              <a:latin typeface="David" panose="020E0502060401010101" pitchFamily="34" charset="-79"/>
              <a:cs typeface="David" panose="020E0502060401010101" pitchFamily="34" charset="-79"/>
            </a:rPr>
            <a:t>השילוב מאפשר עוד צמצום בפגיעת הילד, ולמעשה נוסף על שני היתרונות לעיל, מתווסף עוד יתרון שהפיצוי יינתן רק שהילד יגדל ובכך יימנע ממנו סיבוכים משפטיים פוטנציאליים.</a:t>
          </a:r>
          <a:endParaRPr lang="en-US" sz="1000" kern="1200">
            <a:latin typeface="David" panose="020E0502060401010101" pitchFamily="34" charset="-79"/>
            <a:cs typeface="David" panose="020E0502060401010101" pitchFamily="34" charset="-79"/>
          </a:endParaRPr>
        </a:p>
      </dsp:txBody>
      <dsp:txXfrm>
        <a:off x="3797295" y="2127244"/>
        <a:ext cx="3241860" cy="1796096"/>
      </dsp:txXfrm>
    </dsp:sp>
    <dsp:sp modelId="{DB88F833-5B83-42C7-8A5C-1E2889529906}">
      <dsp:nvSpPr>
        <dsp:cNvPr id="0" name=""/>
        <dsp:cNvSpPr/>
      </dsp:nvSpPr>
      <dsp:spPr>
        <a:xfrm>
          <a:off x="657945" y="4314805"/>
          <a:ext cx="6326481" cy="1603399"/>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מודל התביעה בגין נזק ממוני נגד האב הביולוגי דרך דיני ע"ע –</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רקע כללי לדיני ע"ע: נדרשים שלושה יסודות: (1) התעשרות (2) שלא כדין (3) על חשבונו של אחר (קש"ס).</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לפי מודל זה, הנתבע יהיה </a:t>
          </a:r>
          <a:r>
            <a:rPr lang="he-IL" sz="1000" b="1" kern="1200">
              <a:latin typeface="David" panose="020E0502060401010101" pitchFamily="34" charset="-79"/>
              <a:cs typeface="David" panose="020E0502060401010101" pitchFamily="34" charset="-79"/>
            </a:rPr>
            <a:t>האב הביולוגי</a:t>
          </a:r>
          <a:r>
            <a:rPr lang="he-IL" sz="1000" kern="1200">
              <a:latin typeface="David" panose="020E0502060401010101" pitchFamily="34" charset="-79"/>
              <a:cs typeface="David" panose="020E0502060401010101" pitchFamily="34" charset="-79"/>
            </a:rPr>
            <a:t> בתביעה אזרחית בע"ע, דרך </a:t>
          </a:r>
          <a:r>
            <a:rPr lang="he-IL" sz="1000" b="1" kern="1200">
              <a:latin typeface="David" panose="020E0502060401010101" pitchFamily="34" charset="-79"/>
              <a:cs typeface="David" panose="020E0502060401010101" pitchFamily="34" charset="-79"/>
            </a:rPr>
            <a:t>דוקטרינת פירעון חוב הזולת</a:t>
          </a:r>
          <a:r>
            <a:rPr lang="he-IL" sz="1000" kern="1200">
              <a:latin typeface="David" panose="020E0502060401010101" pitchFamily="34" charset="-79"/>
              <a:cs typeface="David" panose="020E0502060401010101" pitchFamily="34" charset="-79"/>
            </a:rPr>
            <a:t>. התובע תמך בילד שאינו שולה, ובכך פטר את האב הביולוגי באותה תמיכה, ולכן האחרון התעשר על חשבונו של הראשון. </a:t>
          </a:r>
          <a:r>
            <a:rPr lang="he-IL" sz="1000" b="1" kern="1200">
              <a:latin typeface="David" panose="020E0502060401010101" pitchFamily="34" charset="-79"/>
              <a:cs typeface="David" panose="020E0502060401010101" pitchFamily="34" charset="-79"/>
            </a:rPr>
            <a:t>ההשבה תהיה בגובה מה שהאב היה מחויב</a:t>
          </a:r>
          <a:r>
            <a:rPr lang="he-IL" sz="1000" kern="1200">
              <a:latin typeface="David" panose="020E0502060401010101" pitchFamily="34" charset="-79"/>
              <a:cs typeface="David" panose="020E0502060401010101" pitchFamily="34" charset="-79"/>
            </a:rPr>
            <a:t> לתת, ולא מעבר.</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האם תיתבע רק בהיבט הלא ממוני. אולם אם האב הביולוגי לא ידוע – האם תיתבע גם בנזקים הממוניים דרך ע"ע, במידה והיסודות מתקיימים.</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None/>
          </a:pPr>
          <a:r>
            <a:rPr lang="he-IL" sz="1000" u="sng" kern="1200">
              <a:latin typeface="David" panose="020E0502060401010101" pitchFamily="34" charset="-79"/>
              <a:cs typeface="David" panose="020E0502060401010101" pitchFamily="34" charset="-79"/>
            </a:rPr>
            <a:t>יתרונות</a:t>
          </a:r>
          <a:r>
            <a:rPr lang="he-IL" sz="1000" kern="1200">
              <a:latin typeface="David" panose="020E0502060401010101" pitchFamily="34" charset="-79"/>
              <a:cs typeface="David" panose="020E0502060401010101" pitchFamily="34" charset="-79"/>
            </a:rPr>
            <a:t>: </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Font typeface="David" panose="020E0502060401010101" pitchFamily="34" charset="-79"/>
            <a:buNone/>
          </a:pPr>
          <a:r>
            <a:rPr lang="he-IL" sz="1000" kern="1200">
              <a:latin typeface="David" panose="020E0502060401010101" pitchFamily="34" charset="-79"/>
              <a:cs typeface="David" panose="020E0502060401010101" pitchFamily="34" charset="-79"/>
            </a:rPr>
            <a:t>התביעה אינה בגין בגידה ולא מתבססת על אשם.</a:t>
          </a:r>
          <a:endParaRPr lang="en-US" sz="1000" kern="1200">
            <a:latin typeface="David" panose="020E0502060401010101" pitchFamily="34" charset="-79"/>
            <a:cs typeface="David" panose="020E0502060401010101" pitchFamily="34" charset="-79"/>
          </a:endParaRPr>
        </a:p>
        <a:p>
          <a:pPr marL="0" lvl="0" indent="0" algn="r" defTabSz="444500" rtl="1">
            <a:lnSpc>
              <a:spcPct val="90000"/>
            </a:lnSpc>
            <a:spcBef>
              <a:spcPct val="0"/>
            </a:spcBef>
            <a:spcAft>
              <a:spcPct val="35000"/>
            </a:spcAft>
            <a:buFont typeface="David" panose="020E0502060401010101" pitchFamily="34" charset="-79"/>
            <a:buNone/>
          </a:pPr>
          <a:r>
            <a:rPr lang="he-IL" sz="1000" kern="1200">
              <a:latin typeface="David" panose="020E0502060401010101" pitchFamily="34" charset="-79"/>
              <a:cs typeface="David" panose="020E0502060401010101" pitchFamily="34" charset="-79"/>
            </a:rPr>
            <a:t>אין פגיעה בילד, כיוון שהוצאת הממון אינה ממי שתומך בו (אלא במקרים נדירים שהאב הביולוגי חזר לחיות עם האם והילד). </a:t>
          </a:r>
          <a:endParaRPr lang="en-US" sz="1000" kern="1200">
            <a:latin typeface="David" panose="020E0502060401010101" pitchFamily="34" charset="-79"/>
            <a:cs typeface="David" panose="020E0502060401010101" pitchFamily="34" charset="-79"/>
          </a:endParaRPr>
        </a:p>
      </dsp:txBody>
      <dsp:txXfrm>
        <a:off x="657945" y="4314805"/>
        <a:ext cx="6326481" cy="16033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3537-72D1-4869-9198-2F8C5DB5E5EF}">
      <dsp:nvSpPr>
        <dsp:cNvPr id="0" name=""/>
        <dsp:cNvSpPr/>
      </dsp:nvSpPr>
      <dsp:spPr>
        <a:xfrm>
          <a:off x="493270" y="699"/>
          <a:ext cx="1195697" cy="59784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2. חזרת תורם מהסכמה לתרומה אנונימינית.</a:t>
          </a:r>
          <a:endParaRPr lang="en-US" sz="900" kern="1200">
            <a:latin typeface="David" panose="020E0502060401010101" pitchFamily="34" charset="-79"/>
            <a:cs typeface="David" panose="020E0502060401010101" pitchFamily="34" charset="-79"/>
          </a:endParaRPr>
        </a:p>
      </dsp:txBody>
      <dsp:txXfrm>
        <a:off x="510780" y="18209"/>
        <a:ext cx="1160677" cy="562828"/>
      </dsp:txXfrm>
    </dsp:sp>
    <dsp:sp modelId="{DAC3F9AF-8BC0-4C06-BBDE-B75CA8ABBA92}">
      <dsp:nvSpPr>
        <dsp:cNvPr id="0" name=""/>
        <dsp:cNvSpPr/>
      </dsp:nvSpPr>
      <dsp:spPr>
        <a:xfrm>
          <a:off x="612839" y="598548"/>
          <a:ext cx="119569" cy="448386"/>
        </a:xfrm>
        <a:custGeom>
          <a:avLst/>
          <a:gdLst/>
          <a:ahLst/>
          <a:cxnLst/>
          <a:rect l="0" t="0" r="0" b="0"/>
          <a:pathLst>
            <a:path>
              <a:moveTo>
                <a:pt x="0" y="0"/>
              </a:moveTo>
              <a:lnTo>
                <a:pt x="0" y="448386"/>
              </a:lnTo>
              <a:lnTo>
                <a:pt x="119569" y="4483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4A761-C052-4B4B-9FA2-5550B82BEE3B}">
      <dsp:nvSpPr>
        <dsp:cNvPr id="0" name=""/>
        <dsp:cNvSpPr/>
      </dsp:nvSpPr>
      <dsp:spPr>
        <a:xfrm>
          <a:off x="732409" y="748010"/>
          <a:ext cx="956558" cy="59784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2.1 חזרה לאחר שכבר נולד ילד מאותו זרע (</a:t>
          </a:r>
          <a:r>
            <a:rPr lang="he-IL" sz="900" b="1" kern="1200">
              <a:latin typeface="David" panose="020E0502060401010101" pitchFamily="34" charset="-79"/>
              <a:cs typeface="David" panose="020E0502060401010101" pitchFamily="34" charset="-79"/>
            </a:rPr>
            <a:t>פלונית נ' משרד הבריאות</a:t>
          </a:r>
          <a:r>
            <a:rPr lang="he-IL" sz="900" kern="1200">
              <a:latin typeface="David" panose="020E0502060401010101" pitchFamily="34" charset="-79"/>
              <a:cs typeface="David" panose="020E0502060401010101" pitchFamily="34" charset="-79"/>
            </a:rPr>
            <a:t>).</a:t>
          </a:r>
          <a:endParaRPr lang="en-US" sz="900" kern="1200">
            <a:latin typeface="David" panose="020E0502060401010101" pitchFamily="34" charset="-79"/>
            <a:cs typeface="David" panose="020E0502060401010101" pitchFamily="34" charset="-79"/>
          </a:endParaRPr>
        </a:p>
      </dsp:txBody>
      <dsp:txXfrm>
        <a:off x="749919" y="765520"/>
        <a:ext cx="921538" cy="562828"/>
      </dsp:txXfrm>
    </dsp:sp>
    <dsp:sp modelId="{273B6E01-34E2-473A-9DD8-070C6C4D12BA}">
      <dsp:nvSpPr>
        <dsp:cNvPr id="0" name=""/>
        <dsp:cNvSpPr/>
      </dsp:nvSpPr>
      <dsp:spPr>
        <a:xfrm>
          <a:off x="612839" y="598548"/>
          <a:ext cx="119569" cy="1195697"/>
        </a:xfrm>
        <a:custGeom>
          <a:avLst/>
          <a:gdLst/>
          <a:ahLst/>
          <a:cxnLst/>
          <a:rect l="0" t="0" r="0" b="0"/>
          <a:pathLst>
            <a:path>
              <a:moveTo>
                <a:pt x="0" y="0"/>
              </a:moveTo>
              <a:lnTo>
                <a:pt x="0" y="1195697"/>
              </a:lnTo>
              <a:lnTo>
                <a:pt x="119569" y="11956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E96CAA-7C3C-4627-8317-39A87034EA6A}">
      <dsp:nvSpPr>
        <dsp:cNvPr id="0" name=""/>
        <dsp:cNvSpPr/>
      </dsp:nvSpPr>
      <dsp:spPr>
        <a:xfrm>
          <a:off x="732409" y="1495321"/>
          <a:ext cx="956558" cy="59784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2.2 חזרה טרם שימוש בזרע (אין פסיקה).</a:t>
          </a:r>
          <a:endParaRPr lang="en-US" sz="900" kern="1200">
            <a:latin typeface="David" panose="020E0502060401010101" pitchFamily="34" charset="-79"/>
            <a:cs typeface="David" panose="020E0502060401010101" pitchFamily="34" charset="-79"/>
          </a:endParaRPr>
        </a:p>
      </dsp:txBody>
      <dsp:txXfrm>
        <a:off x="749919" y="1512831"/>
        <a:ext cx="921538" cy="562828"/>
      </dsp:txXfrm>
    </dsp:sp>
    <dsp:sp modelId="{71DCD8A8-DB2D-4043-91DB-D0293106FC72}">
      <dsp:nvSpPr>
        <dsp:cNvPr id="0" name=""/>
        <dsp:cNvSpPr/>
      </dsp:nvSpPr>
      <dsp:spPr>
        <a:xfrm>
          <a:off x="1987892" y="699"/>
          <a:ext cx="1195697" cy="59784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rtl="1">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1. חזרת בן הזוג מהסכמה להפריה עקב קרע ביחסים </a:t>
          </a:r>
          <a:endParaRPr lang="en-US" sz="900" kern="1200">
            <a:latin typeface="David" panose="020E0502060401010101" pitchFamily="34" charset="-79"/>
            <a:cs typeface="David" panose="020E0502060401010101" pitchFamily="34" charset="-79"/>
          </a:endParaRPr>
        </a:p>
      </dsp:txBody>
      <dsp:txXfrm>
        <a:off x="2005402" y="18209"/>
        <a:ext cx="1160677" cy="562828"/>
      </dsp:txXfrm>
    </dsp:sp>
    <dsp:sp modelId="{C9F60A48-0A69-4109-93E2-600BD49473B4}">
      <dsp:nvSpPr>
        <dsp:cNvPr id="0" name=""/>
        <dsp:cNvSpPr/>
      </dsp:nvSpPr>
      <dsp:spPr>
        <a:xfrm>
          <a:off x="2107461" y="598548"/>
          <a:ext cx="119569" cy="448386"/>
        </a:xfrm>
        <a:custGeom>
          <a:avLst/>
          <a:gdLst/>
          <a:ahLst/>
          <a:cxnLst/>
          <a:rect l="0" t="0" r="0" b="0"/>
          <a:pathLst>
            <a:path>
              <a:moveTo>
                <a:pt x="0" y="0"/>
              </a:moveTo>
              <a:lnTo>
                <a:pt x="0" y="448386"/>
              </a:lnTo>
              <a:lnTo>
                <a:pt x="119569" y="4483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5C2ED-0F60-4619-BC2D-7A660F571E3E}">
      <dsp:nvSpPr>
        <dsp:cNvPr id="0" name=""/>
        <dsp:cNvSpPr/>
      </dsp:nvSpPr>
      <dsp:spPr>
        <a:xfrm>
          <a:off x="2227031" y="748010"/>
          <a:ext cx="956558" cy="59784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1.1 חזרה מהסכמה בביצית של תורמת שטרם הופרתה ויש חלופה בדמות זרע אחר (</a:t>
          </a:r>
          <a:r>
            <a:rPr lang="he-IL" sz="900" b="1" kern="1200">
              <a:latin typeface="David" panose="020E0502060401010101" pitchFamily="34" charset="-79"/>
              <a:cs typeface="David" panose="020E0502060401010101" pitchFamily="34" charset="-79"/>
            </a:rPr>
            <a:t>פלונית נ' אלמוני</a:t>
          </a:r>
          <a:r>
            <a:rPr lang="he-IL" sz="900" kern="1200">
              <a:latin typeface="David" panose="020E0502060401010101" pitchFamily="34" charset="-79"/>
              <a:cs typeface="David" panose="020E0502060401010101" pitchFamily="34" charset="-79"/>
            </a:rPr>
            <a:t>).</a:t>
          </a:r>
          <a:endParaRPr lang="en-US" sz="900" kern="1200">
            <a:latin typeface="David" panose="020E0502060401010101" pitchFamily="34" charset="-79"/>
            <a:cs typeface="David" panose="020E0502060401010101" pitchFamily="34" charset="-79"/>
          </a:endParaRPr>
        </a:p>
      </dsp:txBody>
      <dsp:txXfrm>
        <a:off x="2244541" y="765520"/>
        <a:ext cx="921538" cy="562828"/>
      </dsp:txXfrm>
    </dsp:sp>
    <dsp:sp modelId="{0CDBFF8C-F024-439E-B00D-62ABCBA2FAB1}">
      <dsp:nvSpPr>
        <dsp:cNvPr id="0" name=""/>
        <dsp:cNvSpPr/>
      </dsp:nvSpPr>
      <dsp:spPr>
        <a:xfrm>
          <a:off x="2107461" y="598548"/>
          <a:ext cx="119569" cy="1195697"/>
        </a:xfrm>
        <a:custGeom>
          <a:avLst/>
          <a:gdLst/>
          <a:ahLst/>
          <a:cxnLst/>
          <a:rect l="0" t="0" r="0" b="0"/>
          <a:pathLst>
            <a:path>
              <a:moveTo>
                <a:pt x="0" y="0"/>
              </a:moveTo>
              <a:lnTo>
                <a:pt x="0" y="1195697"/>
              </a:lnTo>
              <a:lnTo>
                <a:pt x="119569" y="11956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2FB290-2DF1-4815-83F7-2B55A82A53FA}">
      <dsp:nvSpPr>
        <dsp:cNvPr id="0" name=""/>
        <dsp:cNvSpPr/>
      </dsp:nvSpPr>
      <dsp:spPr>
        <a:xfrm>
          <a:off x="2227031" y="1495321"/>
          <a:ext cx="956558" cy="59784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mj-lt"/>
            <a:buNone/>
          </a:pPr>
          <a:r>
            <a:rPr lang="he-IL" sz="900" kern="1200">
              <a:latin typeface="David" panose="020E0502060401010101" pitchFamily="34" charset="-79"/>
              <a:cs typeface="David" panose="020E0502060401010101" pitchFamily="34" charset="-79"/>
            </a:rPr>
            <a:t>1.2 חזרה מהסכמה בביצית של תורמת שכבר הופרתה (</a:t>
          </a:r>
          <a:r>
            <a:rPr lang="he-IL" sz="900" b="1" kern="1200">
              <a:latin typeface="David" panose="020E0502060401010101" pitchFamily="34" charset="-79"/>
              <a:cs typeface="David" panose="020E0502060401010101" pitchFamily="34" charset="-79"/>
            </a:rPr>
            <a:t>ר' ש' פ' נ' א' י' ז'</a:t>
          </a:r>
          <a:r>
            <a:rPr lang="he-IL" sz="900" kern="1200">
              <a:latin typeface="David" panose="020E0502060401010101" pitchFamily="34" charset="-79"/>
              <a:cs typeface="David" panose="020E0502060401010101" pitchFamily="34" charset="-79"/>
            </a:rPr>
            <a:t>).</a:t>
          </a:r>
          <a:endParaRPr lang="en-US" sz="900" kern="1200">
            <a:latin typeface="David" panose="020E0502060401010101" pitchFamily="34" charset="-79"/>
            <a:cs typeface="David" panose="020E0502060401010101" pitchFamily="34" charset="-79"/>
          </a:endParaRPr>
        </a:p>
      </dsp:txBody>
      <dsp:txXfrm>
        <a:off x="2244541" y="1512831"/>
        <a:ext cx="921538" cy="5628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4EB96-03CD-4A71-9032-ACA4742EF1F1}">
      <dsp:nvSpPr>
        <dsp:cNvPr id="0" name=""/>
        <dsp:cNvSpPr/>
      </dsp:nvSpPr>
      <dsp:spPr>
        <a:xfrm>
          <a:off x="6172294"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סקירת אינטרקציה בין נזיקין לדיני משפחה</a:t>
          </a:r>
          <a:endParaRPr lang="en-US" sz="1000" kern="1200">
            <a:latin typeface="David" panose="020E0502060401010101" pitchFamily="34" charset="-79"/>
            <a:cs typeface="David" panose="020E0502060401010101" pitchFamily="34" charset="-79"/>
          </a:endParaRPr>
        </a:p>
      </dsp:txBody>
      <dsp:txXfrm>
        <a:off x="6193809" y="236979"/>
        <a:ext cx="691536" cy="756671"/>
      </dsp:txXfrm>
    </dsp:sp>
    <dsp:sp modelId="{830DBA12-12EF-4767-B3B4-8B3CFD3EAA08}">
      <dsp:nvSpPr>
        <dsp:cNvPr id="0" name=""/>
        <dsp:cNvSpPr/>
      </dsp:nvSpPr>
      <dsp:spPr>
        <a:xfrm rot="10800000">
          <a:off x="5943109"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5989827" y="560662"/>
        <a:ext cx="109009" cy="109304"/>
      </dsp:txXfrm>
    </dsp:sp>
    <dsp:sp modelId="{8091D7ED-7D0C-4E1B-A8A7-35BFC02C912E}">
      <dsp:nvSpPr>
        <dsp:cNvPr id="0" name=""/>
        <dsp:cNvSpPr/>
      </dsp:nvSpPr>
      <dsp:spPr>
        <a:xfrm>
          <a:off x="5143901"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התמקדות במקרים של אינטראקציה שלילית </a:t>
          </a:r>
          <a:endParaRPr lang="en-US" sz="1000" kern="1200">
            <a:latin typeface="David" panose="020E0502060401010101" pitchFamily="34" charset="-79"/>
            <a:cs typeface="David" panose="020E0502060401010101" pitchFamily="34" charset="-79"/>
          </a:endParaRPr>
        </a:p>
      </dsp:txBody>
      <dsp:txXfrm>
        <a:off x="5165416" y="236979"/>
        <a:ext cx="691536" cy="756671"/>
      </dsp:txXfrm>
    </dsp:sp>
    <dsp:sp modelId="{D71DC2EE-28B2-4B74-BE9E-4229DB074E10}">
      <dsp:nvSpPr>
        <dsp:cNvPr id="0" name=""/>
        <dsp:cNvSpPr/>
      </dsp:nvSpPr>
      <dsp:spPr>
        <a:xfrm rot="10800000">
          <a:off x="4914717"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4961435" y="560662"/>
        <a:ext cx="109009" cy="109304"/>
      </dsp:txXfrm>
    </dsp:sp>
    <dsp:sp modelId="{46885871-D6FC-4DDB-9599-FFF770B034F6}">
      <dsp:nvSpPr>
        <dsp:cNvPr id="0" name=""/>
        <dsp:cNvSpPr/>
      </dsp:nvSpPr>
      <dsp:spPr>
        <a:xfrm>
          <a:off x="4115509"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מקרה בוחן של גירושין במגזר הקתולי </a:t>
          </a:r>
          <a:endParaRPr lang="en-US" sz="1000" kern="1200">
            <a:latin typeface="David" panose="020E0502060401010101" pitchFamily="34" charset="-79"/>
            <a:cs typeface="David" panose="020E0502060401010101" pitchFamily="34" charset="-79"/>
          </a:endParaRPr>
        </a:p>
      </dsp:txBody>
      <dsp:txXfrm>
        <a:off x="4137024" y="236979"/>
        <a:ext cx="691536" cy="756671"/>
      </dsp:txXfrm>
    </dsp:sp>
    <dsp:sp modelId="{ABBDFA5F-BB8B-480B-87D9-E31DF99074E7}">
      <dsp:nvSpPr>
        <dsp:cNvPr id="0" name=""/>
        <dsp:cNvSpPr/>
      </dsp:nvSpPr>
      <dsp:spPr>
        <a:xfrm rot="10800000">
          <a:off x="3886324"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3933042" y="560662"/>
        <a:ext cx="109009" cy="109304"/>
      </dsp:txXfrm>
    </dsp:sp>
    <dsp:sp modelId="{3940E397-DC5B-4932-BD50-27FB875D67C9}">
      <dsp:nvSpPr>
        <dsp:cNvPr id="0" name=""/>
        <dsp:cNvSpPr/>
      </dsp:nvSpPr>
      <dsp:spPr>
        <a:xfrm>
          <a:off x="3087116"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הצגת הקשיים בתביעה נזיקית ובתביעה חוזית </a:t>
          </a:r>
          <a:endParaRPr lang="en-US" sz="1000" kern="1200">
            <a:latin typeface="David" panose="020E0502060401010101" pitchFamily="34" charset="-79"/>
            <a:cs typeface="David" panose="020E0502060401010101" pitchFamily="34" charset="-79"/>
          </a:endParaRPr>
        </a:p>
      </dsp:txBody>
      <dsp:txXfrm>
        <a:off x="3108631" y="236979"/>
        <a:ext cx="691536" cy="756671"/>
      </dsp:txXfrm>
    </dsp:sp>
    <dsp:sp modelId="{973DF5B6-AA34-48EE-8023-4446CD80BCAC}">
      <dsp:nvSpPr>
        <dsp:cNvPr id="0" name=""/>
        <dsp:cNvSpPr/>
      </dsp:nvSpPr>
      <dsp:spPr>
        <a:xfrm rot="10800000">
          <a:off x="2857932"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2904650" y="560662"/>
        <a:ext cx="109009" cy="109304"/>
      </dsp:txXfrm>
    </dsp:sp>
    <dsp:sp modelId="{6691BAD2-D8FB-4306-BAC9-3C06019969A7}">
      <dsp:nvSpPr>
        <dsp:cNvPr id="0" name=""/>
        <dsp:cNvSpPr/>
      </dsp:nvSpPr>
      <dsp:spPr>
        <a:xfrm>
          <a:off x="2058724"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סקירת פסיקה</a:t>
          </a:r>
        </a:p>
      </dsp:txBody>
      <dsp:txXfrm>
        <a:off x="2080239" y="236979"/>
        <a:ext cx="691536" cy="756671"/>
      </dsp:txXfrm>
    </dsp:sp>
    <dsp:sp modelId="{81AA88E3-542B-4CC7-B38E-3CD531C5909F}">
      <dsp:nvSpPr>
        <dsp:cNvPr id="0" name=""/>
        <dsp:cNvSpPr/>
      </dsp:nvSpPr>
      <dsp:spPr>
        <a:xfrm rot="10800000">
          <a:off x="1829539"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1876257" y="560662"/>
        <a:ext cx="109009" cy="109304"/>
      </dsp:txXfrm>
    </dsp:sp>
    <dsp:sp modelId="{C88B7E14-01F6-41F7-B2E0-EC8C0DE6648B}">
      <dsp:nvSpPr>
        <dsp:cNvPr id="0" name=""/>
        <dsp:cNvSpPr/>
      </dsp:nvSpPr>
      <dsp:spPr>
        <a:xfrm>
          <a:off x="1030332"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השאלות שעולות מהפסיקה</a:t>
          </a:r>
          <a:endParaRPr lang="en-US" sz="1000" kern="1200">
            <a:latin typeface="David" panose="020E0502060401010101" pitchFamily="34" charset="-79"/>
            <a:cs typeface="David" panose="020E0502060401010101" pitchFamily="34" charset="-79"/>
          </a:endParaRPr>
        </a:p>
      </dsp:txBody>
      <dsp:txXfrm>
        <a:off x="1051847" y="236979"/>
        <a:ext cx="691536" cy="756671"/>
      </dsp:txXfrm>
    </dsp:sp>
    <dsp:sp modelId="{E7A54FB0-FDE9-4EE4-AC8D-AA34BD9673C7}">
      <dsp:nvSpPr>
        <dsp:cNvPr id="0" name=""/>
        <dsp:cNvSpPr/>
      </dsp:nvSpPr>
      <dsp:spPr>
        <a:xfrm rot="10800000">
          <a:off x="801147" y="524228"/>
          <a:ext cx="155727" cy="1821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David" panose="020E0502060401010101" pitchFamily="34" charset="-79"/>
            <a:cs typeface="David" panose="020E0502060401010101" pitchFamily="34" charset="-79"/>
          </a:endParaRPr>
        </a:p>
      </dsp:txBody>
      <dsp:txXfrm rot="10800000">
        <a:off x="847865" y="560662"/>
        <a:ext cx="109009" cy="109304"/>
      </dsp:txXfrm>
    </dsp:sp>
    <dsp:sp modelId="{E0758083-922E-485C-A9E2-3DB5BFB5ECD4}">
      <dsp:nvSpPr>
        <dsp:cNvPr id="0" name=""/>
        <dsp:cNvSpPr/>
      </dsp:nvSpPr>
      <dsp:spPr>
        <a:xfrm>
          <a:off x="1939" y="215464"/>
          <a:ext cx="734566" cy="7997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e-IL" sz="1000" kern="1200">
              <a:latin typeface="David" panose="020E0502060401010101" pitchFamily="34" charset="-79"/>
              <a:cs typeface="David" panose="020E0502060401010101" pitchFamily="34" charset="-79"/>
            </a:rPr>
            <a:t>דין רצוי </a:t>
          </a:r>
          <a:endParaRPr lang="en-US" sz="1000" kern="1200">
            <a:latin typeface="David" panose="020E0502060401010101" pitchFamily="34" charset="-79"/>
            <a:cs typeface="David" panose="020E0502060401010101" pitchFamily="34" charset="-79"/>
          </a:endParaRPr>
        </a:p>
      </dsp:txBody>
      <dsp:txXfrm>
        <a:off x="23454" y="236979"/>
        <a:ext cx="691536" cy="7566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DB81-7487-45A3-BEC4-CE11B65E9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22</Pages>
  <Words>6266</Words>
  <Characters>35720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SolarEdge</Company>
  <LinksUpToDate>false</LinksUpToDate>
  <CharactersWithSpaces>41903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Neta Shraga</dc:creator>
  <cp:keywords/>
  <dc:description/>
  <cp:lastModifiedBy>Neta Shraga</cp:lastModifiedBy>
  <cp:revision>492</cp:revision>
  <dcterms:created xsi:type="dcterms:W3CDTF">2023-07-28T06:59:00Z</dcterms:created>
  <dcterms:modified xsi:type="dcterms:W3CDTF">2023-07-30T22:03:00Z</dcterms:modified>
</cp:coreProperties>
</file>