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00E" w14:textId="48D5A3B8" w:rsidR="00D2143A" w:rsidRPr="004764F3" w:rsidRDefault="009715F8" w:rsidP="007E4E3B">
      <w:pPr>
        <w:bidi/>
        <w:spacing w:line="276" w:lineRule="auto"/>
        <w:jc w:val="center"/>
        <w:rPr>
          <w:rFonts w:ascii="David" w:hAnsi="David" w:cs="David"/>
          <w:b/>
          <w:bCs/>
          <w:u w:val="single"/>
          <w:rtl/>
        </w:rPr>
      </w:pPr>
      <w:r w:rsidRPr="004764F3">
        <w:rPr>
          <w:rFonts w:ascii="David" w:hAnsi="David" w:cs="David" w:hint="cs"/>
          <w:b/>
          <w:bCs/>
          <w:u w:val="single"/>
          <w:rtl/>
        </w:rPr>
        <w:t>״כוונה רגילה״ במשפט הפלילי</w:t>
      </w:r>
    </w:p>
    <w:p w14:paraId="75AC0FA8" w14:textId="77777777" w:rsidR="00D2143A" w:rsidRPr="004764F3" w:rsidRDefault="00D2143A" w:rsidP="007E4E3B">
      <w:pPr>
        <w:bidi/>
        <w:spacing w:line="276" w:lineRule="auto"/>
        <w:jc w:val="both"/>
        <w:rPr>
          <w:rFonts w:ascii="David" w:hAnsi="David" w:cs="David"/>
          <w:rtl/>
        </w:rPr>
      </w:pPr>
    </w:p>
    <w:p w14:paraId="0C35BA87" w14:textId="1C49EA11" w:rsidR="00CC77DE" w:rsidRPr="004764F3" w:rsidRDefault="00184F47" w:rsidP="007E4E3B">
      <w:pPr>
        <w:bidi/>
        <w:spacing w:line="276" w:lineRule="auto"/>
        <w:jc w:val="both"/>
        <w:rPr>
          <w:rFonts w:ascii="David" w:hAnsi="David" w:cs="David"/>
          <w:rtl/>
        </w:rPr>
      </w:pPr>
      <w:r w:rsidRPr="004764F3">
        <w:rPr>
          <w:rFonts w:ascii="David" w:hAnsi="David" w:cs="David" w:hint="cs"/>
          <w:rtl/>
        </w:rPr>
        <w:t xml:space="preserve">כוונה רגילה הינה הלך רוחו של הנאשם, אשר החוק מניח </w:t>
      </w:r>
      <w:r w:rsidR="00477C42" w:rsidRPr="004764F3">
        <w:rPr>
          <w:rFonts w:ascii="David" w:hAnsi="David" w:cs="David" w:hint="cs"/>
          <w:rtl/>
        </w:rPr>
        <w:t xml:space="preserve">עקב ביצוע מעשה בלתי חוקי מרצונו החופשי של הנאשם, ללא הצדקה או תירוץ. </w:t>
      </w:r>
      <w:r w:rsidR="00B2002C" w:rsidRPr="004764F3">
        <w:rPr>
          <w:rFonts w:ascii="David" w:hAnsi="David" w:cs="David" w:hint="cs"/>
          <w:rtl/>
        </w:rPr>
        <w:t xml:space="preserve">כוונה זו חייבת להשתכלל בהלימה למעשה הבלתי חוקי </w:t>
      </w:r>
      <w:r w:rsidR="00557F38" w:rsidRPr="004764F3">
        <w:rPr>
          <w:rFonts w:ascii="David" w:hAnsi="David" w:cs="David" w:hint="cs"/>
          <w:rtl/>
        </w:rPr>
        <w:t>ובאותה נקודת זמן.</w:t>
      </w:r>
      <w:r w:rsidR="00557F38" w:rsidRPr="004764F3">
        <w:rPr>
          <w:rStyle w:val="a5"/>
          <w:rFonts w:ascii="David" w:hAnsi="David" w:cs="David" w:hint="cs"/>
          <w:rtl/>
        </w:rPr>
        <w:footnoteReference w:id="1"/>
      </w:r>
      <w:r w:rsidR="00557F38" w:rsidRPr="004764F3">
        <w:rPr>
          <w:rFonts w:ascii="David" w:hAnsi="David" w:cs="David" w:hint="cs"/>
          <w:rtl/>
        </w:rPr>
        <w:t xml:space="preserve"> </w:t>
      </w:r>
      <w:r w:rsidR="00AC2195" w:rsidRPr="004764F3">
        <w:rPr>
          <w:rFonts w:ascii="David" w:hAnsi="David" w:cs="David" w:hint="cs"/>
          <w:rtl/>
        </w:rPr>
        <w:t>ב</w:t>
      </w:r>
      <w:r w:rsidR="00054568" w:rsidRPr="004764F3">
        <w:rPr>
          <w:rFonts w:ascii="David" w:hAnsi="David" w:cs="David" w:hint="cs"/>
          <w:rtl/>
        </w:rPr>
        <w:t xml:space="preserve">פסק דין אשר ניתן במדינת קליפורניה נקבע כי </w:t>
      </w:r>
      <w:r w:rsidR="00AB5349" w:rsidRPr="004764F3">
        <w:rPr>
          <w:rFonts w:ascii="David" w:hAnsi="David" w:cs="David" w:hint="cs"/>
          <w:rtl/>
        </w:rPr>
        <w:t xml:space="preserve">פשע מאופיין כעבירת כוונה כללית </w:t>
      </w:r>
      <w:r w:rsidR="00CC77DE" w:rsidRPr="004764F3">
        <w:rPr>
          <w:rFonts w:ascii="David" w:hAnsi="David" w:cs="David" w:hint="cs"/>
          <w:rtl/>
        </w:rPr>
        <w:t>כאשר היסוד הנפשי הנדרש כרוך רק בכוונ</w:t>
      </w:r>
      <w:r w:rsidR="00DB6019" w:rsidRPr="004764F3">
        <w:rPr>
          <w:rFonts w:ascii="David" w:hAnsi="David" w:cs="David" w:hint="cs"/>
          <w:rtl/>
        </w:rPr>
        <w:t>ת הנאשם</w:t>
      </w:r>
      <w:r w:rsidR="00CC77DE" w:rsidRPr="004764F3">
        <w:rPr>
          <w:rFonts w:ascii="David" w:hAnsi="David" w:cs="David" w:hint="cs"/>
          <w:rtl/>
        </w:rPr>
        <w:t xml:space="preserve"> לעשות את המעשה האסור</w:t>
      </w:r>
      <w:r w:rsidR="00DB6019" w:rsidRPr="004764F3">
        <w:rPr>
          <w:rFonts w:ascii="David" w:hAnsi="David" w:cs="David" w:hint="cs"/>
          <w:rtl/>
        </w:rPr>
        <w:t>.</w:t>
      </w:r>
      <w:r w:rsidR="00AC2195" w:rsidRPr="004764F3">
        <w:rPr>
          <w:rFonts w:ascii="David" w:hAnsi="David" w:cs="David" w:hint="cs"/>
          <w:rtl/>
        </w:rPr>
        <w:t xml:space="preserve"> </w:t>
      </w:r>
      <w:r w:rsidR="00DB6019" w:rsidRPr="004764F3">
        <w:rPr>
          <w:rFonts w:ascii="David" w:hAnsi="David" w:cs="David" w:hint="cs"/>
          <w:rtl/>
        </w:rPr>
        <w:t>זאת,</w:t>
      </w:r>
      <w:r w:rsidR="00CC77DE" w:rsidRPr="004764F3">
        <w:rPr>
          <w:rFonts w:ascii="David" w:hAnsi="David" w:cs="David" w:hint="cs"/>
          <w:rtl/>
        </w:rPr>
        <w:t xml:space="preserve"> להבדיל </w:t>
      </w:r>
      <w:r w:rsidR="00D104B7" w:rsidRPr="004764F3">
        <w:rPr>
          <w:rFonts w:ascii="David" w:hAnsi="David" w:cs="David" w:hint="cs"/>
          <w:rtl/>
        </w:rPr>
        <w:t xml:space="preserve">מעבירת כוונה ספציפית הדורשת כוונה </w:t>
      </w:r>
      <w:r w:rsidR="003D7906" w:rsidRPr="004764F3">
        <w:rPr>
          <w:rFonts w:ascii="David" w:hAnsi="David" w:cs="David" w:hint="cs"/>
          <w:rtl/>
        </w:rPr>
        <w:t>ביחס</w:t>
      </w:r>
      <w:r w:rsidR="00D104B7" w:rsidRPr="004764F3">
        <w:rPr>
          <w:rFonts w:ascii="David" w:hAnsi="David" w:cs="David" w:hint="cs"/>
          <w:rtl/>
        </w:rPr>
        <w:t xml:space="preserve"> לתוצאה נוספת כלשהי</w:t>
      </w:r>
      <w:r w:rsidR="00DB6019" w:rsidRPr="004764F3">
        <w:rPr>
          <w:rFonts w:ascii="David" w:hAnsi="David" w:cs="David" w:hint="cs"/>
          <w:rtl/>
        </w:rPr>
        <w:t>.</w:t>
      </w:r>
      <w:r w:rsidR="00CE0B9A" w:rsidRPr="004764F3">
        <w:rPr>
          <w:rStyle w:val="a5"/>
          <w:rFonts w:ascii="David" w:hAnsi="David" w:cs="David"/>
          <w:rtl/>
        </w:rPr>
        <w:footnoteReference w:id="2"/>
      </w:r>
    </w:p>
    <w:p w14:paraId="7762387C" w14:textId="77777777" w:rsidR="00A9636A" w:rsidRPr="004764F3" w:rsidRDefault="00A9636A" w:rsidP="007E4E3B">
      <w:pPr>
        <w:tabs>
          <w:tab w:val="left" w:pos="2109"/>
        </w:tabs>
        <w:bidi/>
        <w:spacing w:line="276" w:lineRule="auto"/>
        <w:jc w:val="both"/>
        <w:rPr>
          <w:rFonts w:ascii="David" w:hAnsi="David" w:cs="David"/>
          <w:rtl/>
        </w:rPr>
      </w:pPr>
    </w:p>
    <w:p w14:paraId="3979D631" w14:textId="4F95A8A4" w:rsidR="007D1F4F" w:rsidRPr="004764F3" w:rsidRDefault="009F4E6F" w:rsidP="007E4E3B">
      <w:pPr>
        <w:tabs>
          <w:tab w:val="left" w:pos="2109"/>
        </w:tabs>
        <w:bidi/>
        <w:spacing w:line="276" w:lineRule="auto"/>
        <w:jc w:val="both"/>
        <w:rPr>
          <w:rFonts w:ascii="David" w:hAnsi="David" w:cs="David"/>
          <w:rtl/>
        </w:rPr>
      </w:pPr>
      <w:r>
        <w:rPr>
          <w:rFonts w:ascii="David" w:hAnsi="David" w:cs="David" w:hint="cs"/>
          <w:rtl/>
        </w:rPr>
        <w:t xml:space="preserve">בטרם תיקון 39 לחוק העונשין </w:t>
      </w:r>
      <w:r w:rsidRPr="004764F3">
        <w:rPr>
          <w:rFonts w:ascii="David" w:hAnsi="David" w:cs="David" w:hint="cs"/>
          <w:rtl/>
        </w:rPr>
        <w:t>השופט אגרנט קבע</w:t>
      </w:r>
      <w:r w:rsidR="00600C0E" w:rsidRPr="004764F3">
        <w:rPr>
          <w:rFonts w:ascii="David" w:hAnsi="David" w:cs="David" w:hint="cs"/>
          <w:rtl/>
        </w:rPr>
        <w:t xml:space="preserve"> </w:t>
      </w:r>
      <w:r w:rsidR="00A9636A" w:rsidRPr="007220CB">
        <w:rPr>
          <w:rFonts w:ascii="David" w:hAnsi="David" w:cs="David" w:hint="cs"/>
          <w:b/>
          <w:bCs/>
          <w:rtl/>
        </w:rPr>
        <w:t>בפרשת יעקובוביץ׳</w:t>
      </w:r>
      <w:r w:rsidR="00D32937" w:rsidRPr="004764F3">
        <w:rPr>
          <w:rFonts w:ascii="David" w:hAnsi="David" w:cs="David" w:hint="cs"/>
          <w:rtl/>
        </w:rPr>
        <w:t xml:space="preserve"> </w:t>
      </w:r>
      <w:r w:rsidR="00A9636A" w:rsidRPr="004764F3">
        <w:rPr>
          <w:rFonts w:ascii="David" w:hAnsi="David" w:cs="David" w:hint="cs"/>
          <w:rtl/>
        </w:rPr>
        <w:t xml:space="preserve">כי </w:t>
      </w:r>
      <w:r w:rsidR="00A9636A" w:rsidRPr="004764F3">
        <w:rPr>
          <w:rFonts w:ascii="David" w:hAnsi="David" w:cs="David" w:hint="cs"/>
          <w:spacing w:val="10"/>
          <w:rtl/>
        </w:rPr>
        <w:t>"המושג 'מחשבה פלילית' (</w:t>
      </w:r>
      <w:proofErr w:type="spellStart"/>
      <w:r w:rsidR="00A9636A" w:rsidRPr="004764F3">
        <w:rPr>
          <w:rFonts w:ascii="David" w:hAnsi="David" w:cs="David" w:hint="cs"/>
          <w:spacing w:val="10"/>
        </w:rPr>
        <w:t>mens</w:t>
      </w:r>
      <w:proofErr w:type="spellEnd"/>
      <w:r w:rsidR="00A9636A" w:rsidRPr="004764F3">
        <w:rPr>
          <w:rFonts w:ascii="David" w:hAnsi="David" w:cs="David" w:hint="cs"/>
          <w:spacing w:val="10"/>
        </w:rPr>
        <w:t xml:space="preserve"> rea</w:t>
      </w:r>
      <w:r w:rsidR="00A9636A" w:rsidRPr="004764F3">
        <w:rPr>
          <w:rFonts w:ascii="David" w:hAnsi="David" w:cs="David" w:hint="cs"/>
          <w:spacing w:val="10"/>
          <w:rtl/>
        </w:rPr>
        <w:t xml:space="preserve">) – כיסוד הדרוש לכל עבירה שמקורה במשפט המקובל – מצריך </w:t>
      </w:r>
      <w:proofErr w:type="spellStart"/>
      <w:r w:rsidR="00A9636A" w:rsidRPr="004764F3">
        <w:rPr>
          <w:rFonts w:ascii="David" w:hAnsi="David" w:cs="David" w:hint="cs"/>
          <w:spacing w:val="10"/>
          <w:rtl/>
        </w:rPr>
        <w:t>שהקטיגוריה</w:t>
      </w:r>
      <w:proofErr w:type="spellEnd"/>
      <w:r w:rsidR="00A9636A" w:rsidRPr="004764F3">
        <w:rPr>
          <w:rFonts w:ascii="David" w:hAnsi="David" w:cs="David" w:hint="cs"/>
          <w:spacing w:val="10"/>
          <w:rtl/>
        </w:rPr>
        <w:t xml:space="preserve"> תוכיח לפחות שני דברים אלה: (1) כי הנאשם ביצע את הפעולה נשוא העבירה המיוחסת לו, ברצון; (2) כי בשעת מעשה חזה מראש את האפשרות שמהתנהגותו זו תצמח התוצאה אשר החוק אסר עליה</w:t>
      </w:r>
      <w:r w:rsidR="00204C5C" w:rsidRPr="004764F3">
        <w:rPr>
          <w:rFonts w:ascii="David" w:hAnsi="David" w:cs="David" w:hint="cs"/>
          <w:spacing w:val="10"/>
          <w:rtl/>
        </w:rPr>
        <w:t>״</w:t>
      </w:r>
      <w:r w:rsidR="00A9636A" w:rsidRPr="004764F3">
        <w:rPr>
          <w:rFonts w:ascii="David" w:hAnsi="David" w:cs="David" w:hint="cs"/>
          <w:spacing w:val="10"/>
          <w:rtl/>
        </w:rPr>
        <w:t>.</w:t>
      </w:r>
      <w:r w:rsidR="00204C5C" w:rsidRPr="004764F3">
        <w:rPr>
          <w:rStyle w:val="a5"/>
          <w:rFonts w:ascii="David" w:hAnsi="David" w:cs="David"/>
          <w:spacing w:val="10"/>
          <w:rtl/>
        </w:rPr>
        <w:footnoteReference w:id="3"/>
      </w:r>
      <w:r w:rsidR="000E2C91" w:rsidRPr="004764F3">
        <w:rPr>
          <w:rFonts w:ascii="David" w:hAnsi="David" w:cs="David" w:hint="cs"/>
          <w:rtl/>
        </w:rPr>
        <w:t xml:space="preserve"> </w:t>
      </w:r>
      <w:r w:rsidR="007A77FC" w:rsidRPr="004764F3">
        <w:rPr>
          <w:rFonts w:ascii="David" w:hAnsi="David" w:cs="David" w:hint="cs"/>
          <w:rtl/>
        </w:rPr>
        <w:t>בהמשך ל</w:t>
      </w:r>
      <w:r w:rsidR="00204C5C" w:rsidRPr="004764F3">
        <w:rPr>
          <w:rFonts w:ascii="David" w:hAnsi="David" w:cs="David" w:hint="cs"/>
          <w:rtl/>
        </w:rPr>
        <w:t>אמור לעיל</w:t>
      </w:r>
      <w:r w:rsidR="007A77FC" w:rsidRPr="004764F3">
        <w:rPr>
          <w:rFonts w:ascii="David" w:hAnsi="David" w:cs="David" w:hint="cs"/>
          <w:rtl/>
        </w:rPr>
        <w:t xml:space="preserve">, בעניין </w:t>
      </w:r>
      <w:proofErr w:type="spellStart"/>
      <w:r w:rsidR="007A77FC" w:rsidRPr="004764F3">
        <w:rPr>
          <w:rFonts w:ascii="David" w:hAnsi="David" w:cs="David" w:hint="cs"/>
          <w:rtl/>
        </w:rPr>
        <w:t>מנדלברוט</w:t>
      </w:r>
      <w:proofErr w:type="spellEnd"/>
      <w:r w:rsidR="007A77FC" w:rsidRPr="004764F3">
        <w:rPr>
          <w:rFonts w:ascii="David" w:hAnsi="David" w:cs="David" w:hint="cs"/>
          <w:rtl/>
        </w:rPr>
        <w:t xml:space="preserve"> מתמקד</w:t>
      </w:r>
      <w:r w:rsidR="0029794C">
        <w:rPr>
          <w:rFonts w:ascii="David" w:hAnsi="David" w:cs="David" w:hint="cs"/>
          <w:rtl/>
        </w:rPr>
        <w:t xml:space="preserve"> השופט אגרנט</w:t>
      </w:r>
      <w:r w:rsidR="007A77FC" w:rsidRPr="004764F3">
        <w:rPr>
          <w:rFonts w:ascii="David" w:hAnsi="David" w:cs="David" w:hint="cs"/>
          <w:rtl/>
        </w:rPr>
        <w:t xml:space="preserve"> במושג </w:t>
      </w:r>
      <w:r w:rsidR="002337D3" w:rsidRPr="004764F3">
        <w:rPr>
          <w:rFonts w:cs="David"/>
          <w:spacing w:val="10"/>
          <w:rtl/>
        </w:rPr>
        <w:t>רציה (</w:t>
      </w:r>
      <w:r w:rsidR="002337D3" w:rsidRPr="004764F3">
        <w:rPr>
          <w:rFonts w:cs="David"/>
          <w:spacing w:val="10"/>
        </w:rPr>
        <w:t>volition</w:t>
      </w:r>
      <w:r w:rsidR="002337D3" w:rsidRPr="004764F3">
        <w:rPr>
          <w:rFonts w:cs="David"/>
          <w:spacing w:val="10"/>
          <w:rtl/>
        </w:rPr>
        <w:t>)</w:t>
      </w:r>
      <w:r w:rsidR="00D82F30" w:rsidRPr="004764F3">
        <w:rPr>
          <w:rFonts w:ascii="David" w:hAnsi="David" w:cs="David" w:hint="cs"/>
          <w:rtl/>
        </w:rPr>
        <w:t xml:space="preserve">, מדבריו עולה </w:t>
      </w:r>
      <w:r w:rsidR="00853BE8" w:rsidRPr="004764F3">
        <w:rPr>
          <w:rFonts w:ascii="David" w:hAnsi="David" w:cs="David" w:hint="cs"/>
          <w:rtl/>
        </w:rPr>
        <w:t xml:space="preserve">כי </w:t>
      </w:r>
      <w:r w:rsidR="000505A2" w:rsidRPr="004764F3">
        <w:rPr>
          <w:rFonts w:ascii="David" w:hAnsi="David" w:cs="David" w:hint="cs"/>
          <w:rtl/>
        </w:rPr>
        <w:t xml:space="preserve">״כוונה רגילה״ תשתכלל </w:t>
      </w:r>
      <w:r w:rsidR="00853BE8" w:rsidRPr="004764F3">
        <w:rPr>
          <w:rFonts w:ascii="David" w:hAnsi="David" w:cs="David" w:hint="cs"/>
          <w:rtl/>
        </w:rPr>
        <w:t>מקום בו הנאשם</w:t>
      </w:r>
      <w:r w:rsidR="000505A2" w:rsidRPr="004764F3">
        <w:rPr>
          <w:rFonts w:ascii="David" w:hAnsi="David" w:cs="David" w:hint="cs"/>
          <w:rtl/>
        </w:rPr>
        <w:t xml:space="preserve"> רצה לבצע מעשה</w:t>
      </w:r>
      <w:r w:rsidR="00853BE8" w:rsidRPr="004764F3">
        <w:rPr>
          <w:rFonts w:ascii="David" w:hAnsi="David" w:cs="David" w:hint="cs"/>
          <w:rtl/>
        </w:rPr>
        <w:t xml:space="preserve"> </w:t>
      </w:r>
      <w:r w:rsidR="00E462E6" w:rsidRPr="004764F3">
        <w:rPr>
          <w:rFonts w:ascii="David" w:hAnsi="David" w:cs="David" w:hint="cs"/>
          <w:rtl/>
        </w:rPr>
        <w:t xml:space="preserve">אשר באופן אובייקטיבי מהווה </w:t>
      </w:r>
      <w:r w:rsidR="000505A2" w:rsidRPr="004764F3">
        <w:rPr>
          <w:rFonts w:ascii="David" w:hAnsi="David" w:cs="David" w:hint="cs"/>
          <w:rtl/>
        </w:rPr>
        <w:t xml:space="preserve">״המעשה האסור״ בעבירה. </w:t>
      </w:r>
      <w:r w:rsidR="00AC7728" w:rsidRPr="004764F3">
        <w:rPr>
          <w:rFonts w:ascii="David" w:hAnsi="David" w:cs="David" w:hint="cs"/>
          <w:rtl/>
        </w:rPr>
        <w:t>בשונה מכך, ״כוונה מיוחדת״ מה</w:t>
      </w:r>
      <w:r w:rsidR="00030E35" w:rsidRPr="004764F3">
        <w:rPr>
          <w:rFonts w:ascii="David" w:hAnsi="David" w:cs="David" w:hint="cs"/>
          <w:rtl/>
        </w:rPr>
        <w:t>ווה רצון להשיג תוצאה נוספת</w:t>
      </w:r>
      <w:r w:rsidR="00EF6B6E" w:rsidRPr="004764F3">
        <w:rPr>
          <w:rFonts w:ascii="David" w:hAnsi="David" w:cs="David" w:hint="cs"/>
          <w:rtl/>
        </w:rPr>
        <w:t xml:space="preserve"> מלבד אותו מעשה אסור</w:t>
      </w:r>
      <w:r w:rsidR="00E63849" w:rsidRPr="004764F3">
        <w:rPr>
          <w:rFonts w:ascii="David" w:hAnsi="David" w:cs="David" w:hint="cs"/>
          <w:rtl/>
        </w:rPr>
        <w:t>. במצב דברים זה, עשיית המעשה האסור מהווה אמצעי להשגת אותה מטרה ומקום בו הוכח</w:t>
      </w:r>
      <w:r w:rsidR="00251AC1" w:rsidRPr="004764F3">
        <w:rPr>
          <w:rFonts w:ascii="David" w:hAnsi="David" w:cs="David" w:hint="cs"/>
          <w:rtl/>
        </w:rPr>
        <w:t xml:space="preserve"> רצון להשגת התוצאה, ממ</w:t>
      </w:r>
      <w:r w:rsidR="007D1F4F" w:rsidRPr="004764F3">
        <w:rPr>
          <w:rFonts w:ascii="David" w:hAnsi="David" w:cs="David" w:hint="cs"/>
          <w:rtl/>
        </w:rPr>
        <w:t>י</w:t>
      </w:r>
      <w:r w:rsidR="00251AC1" w:rsidRPr="004764F3">
        <w:rPr>
          <w:rFonts w:ascii="David" w:hAnsi="David" w:cs="David" w:hint="cs"/>
          <w:rtl/>
        </w:rPr>
        <w:t xml:space="preserve">לא קיים רצון </w:t>
      </w:r>
      <w:r w:rsidR="007D1F4F" w:rsidRPr="004764F3">
        <w:rPr>
          <w:rFonts w:ascii="David" w:hAnsi="David" w:cs="David" w:hint="cs"/>
          <w:rtl/>
        </w:rPr>
        <w:t>לעשיית המעשה.</w:t>
      </w:r>
      <w:r w:rsidR="00204C5C" w:rsidRPr="004764F3">
        <w:rPr>
          <w:rStyle w:val="a5"/>
          <w:rFonts w:ascii="David" w:hAnsi="David" w:cs="David"/>
          <w:rtl/>
        </w:rPr>
        <w:footnoteReference w:id="4"/>
      </w:r>
      <w:r w:rsidR="007D1F4F" w:rsidRPr="004764F3">
        <w:rPr>
          <w:rFonts w:ascii="David" w:hAnsi="David" w:cs="David" w:hint="cs"/>
          <w:rtl/>
        </w:rPr>
        <w:t xml:space="preserve"> </w:t>
      </w:r>
      <w:r w:rsidR="00C20EA6" w:rsidRPr="004764F3">
        <w:rPr>
          <w:rFonts w:ascii="David" w:hAnsi="David" w:cs="David" w:hint="cs"/>
          <w:rtl/>
        </w:rPr>
        <w:t xml:space="preserve">אם כן, אדם אשר </w:t>
      </w:r>
      <w:r w:rsidR="000953CA" w:rsidRPr="004764F3">
        <w:rPr>
          <w:rFonts w:ascii="David" w:hAnsi="David" w:cs="David" w:hint="cs"/>
          <w:rtl/>
        </w:rPr>
        <w:t xml:space="preserve">עבר עבירה ללא כוונה </w:t>
      </w:r>
      <w:r w:rsidR="00D018BB" w:rsidRPr="004764F3">
        <w:rPr>
          <w:rFonts w:ascii="David" w:hAnsi="David" w:cs="David" w:hint="cs"/>
          <w:rtl/>
        </w:rPr>
        <w:t>לעשיית המעשה נשוא העבירה</w:t>
      </w:r>
      <w:r w:rsidR="000953CA" w:rsidRPr="004764F3">
        <w:rPr>
          <w:rFonts w:ascii="David" w:hAnsi="David" w:cs="David" w:hint="cs"/>
          <w:rtl/>
        </w:rPr>
        <w:t>, לא ניתן יהיה ל</w:t>
      </w:r>
      <w:r w:rsidR="0071098E" w:rsidRPr="004764F3">
        <w:rPr>
          <w:rFonts w:ascii="David" w:hAnsi="David" w:cs="David" w:hint="cs"/>
          <w:rtl/>
        </w:rPr>
        <w:t xml:space="preserve">ייחס לו עבירה זו שכן, אין </w:t>
      </w:r>
      <w:r w:rsidR="00923095" w:rsidRPr="004764F3">
        <w:rPr>
          <w:rFonts w:ascii="David" w:hAnsi="David" w:cs="David" w:hint="cs"/>
          <w:rtl/>
        </w:rPr>
        <w:t>הוא רצה לבצע את שהחוק ביקש למנוע.</w:t>
      </w:r>
      <w:r w:rsidR="0029794C">
        <w:rPr>
          <w:rFonts w:ascii="David" w:hAnsi="David" w:cs="David" w:hint="cs"/>
          <w:rtl/>
        </w:rPr>
        <w:t xml:space="preserve"> לאחר ביאור המונח ״כוונה רגילה״ אפנה עתה ליישומים שונים אשר נידונו הן </w:t>
      </w:r>
      <w:r w:rsidR="0037071F">
        <w:rPr>
          <w:rFonts w:ascii="David" w:hAnsi="David" w:cs="David" w:hint="cs"/>
          <w:rtl/>
        </w:rPr>
        <w:t>בדין הישראלי והן במשפט המקובל.</w:t>
      </w:r>
    </w:p>
    <w:p w14:paraId="5E68A71C" w14:textId="77777777" w:rsidR="00025EBD" w:rsidRPr="004764F3" w:rsidRDefault="00025EBD" w:rsidP="007E4E3B">
      <w:pPr>
        <w:tabs>
          <w:tab w:val="left" w:pos="2109"/>
        </w:tabs>
        <w:bidi/>
        <w:spacing w:line="276" w:lineRule="auto"/>
        <w:jc w:val="both"/>
        <w:rPr>
          <w:rFonts w:ascii="David" w:hAnsi="David" w:cs="David"/>
          <w:rtl/>
        </w:rPr>
      </w:pPr>
    </w:p>
    <w:p w14:paraId="76D2FDA0" w14:textId="43A1D618" w:rsidR="00ED0364" w:rsidRDefault="00C1317C" w:rsidP="007E4E3B">
      <w:pPr>
        <w:pStyle w:val="a6"/>
        <w:bidi/>
        <w:spacing w:line="276" w:lineRule="auto"/>
        <w:jc w:val="both"/>
        <w:rPr>
          <w:rFonts w:ascii="David" w:hAnsi="David" w:cs="David"/>
          <w:sz w:val="24"/>
          <w:szCs w:val="24"/>
          <w:rtl/>
        </w:rPr>
      </w:pPr>
      <w:r w:rsidRPr="004764F3">
        <w:rPr>
          <w:rFonts w:ascii="David" w:hAnsi="David" w:cs="David" w:hint="cs"/>
          <w:sz w:val="24"/>
          <w:szCs w:val="24"/>
          <w:rtl/>
        </w:rPr>
        <w:t>ב</w:t>
      </w:r>
      <w:r w:rsidR="009F2EC8" w:rsidRPr="004764F3">
        <w:rPr>
          <w:rFonts w:ascii="David" w:hAnsi="David" w:cs="David" w:hint="cs"/>
          <w:sz w:val="24"/>
          <w:szCs w:val="24"/>
          <w:rtl/>
        </w:rPr>
        <w:t>פסק הדין</w:t>
      </w:r>
      <w:r w:rsidR="00B55450" w:rsidRPr="004764F3">
        <w:rPr>
          <w:rFonts w:ascii="David" w:hAnsi="David" w:cs="David" w:hint="cs"/>
          <w:sz w:val="24"/>
          <w:szCs w:val="24"/>
          <w:rtl/>
        </w:rPr>
        <w:t xml:space="preserve"> </w:t>
      </w:r>
      <w:r w:rsidR="00B55450" w:rsidRPr="007220CB">
        <w:rPr>
          <w:rFonts w:ascii="David" w:hAnsi="David" w:cs="David" w:hint="cs"/>
          <w:b/>
          <w:bCs/>
          <w:sz w:val="24"/>
          <w:szCs w:val="24"/>
          <w:rtl/>
        </w:rPr>
        <w:t xml:space="preserve">בעניין </w:t>
      </w:r>
      <w:proofErr w:type="spellStart"/>
      <w:r w:rsidR="00B55450" w:rsidRPr="007220CB">
        <w:rPr>
          <w:rFonts w:ascii="David" w:hAnsi="David" w:cs="David" w:hint="cs"/>
          <w:b/>
          <w:bCs/>
          <w:sz w:val="24"/>
          <w:szCs w:val="24"/>
          <w:rtl/>
        </w:rPr>
        <w:t>המפטרסט</w:t>
      </w:r>
      <w:proofErr w:type="spellEnd"/>
      <w:r w:rsidR="00B55450" w:rsidRPr="004764F3">
        <w:rPr>
          <w:rStyle w:val="a5"/>
          <w:rFonts w:ascii="David" w:hAnsi="David" w:cs="David" w:hint="cs"/>
          <w:sz w:val="24"/>
          <w:szCs w:val="24"/>
          <w:rtl/>
        </w:rPr>
        <w:footnoteReference w:id="5"/>
      </w:r>
      <w:r w:rsidR="009F2EC8" w:rsidRPr="004764F3">
        <w:rPr>
          <w:rFonts w:ascii="David" w:hAnsi="David" w:cs="David" w:hint="cs"/>
          <w:sz w:val="24"/>
          <w:szCs w:val="24"/>
          <w:rtl/>
        </w:rPr>
        <w:t xml:space="preserve"> שעניינו </w:t>
      </w:r>
      <w:r w:rsidR="000170F4" w:rsidRPr="004764F3">
        <w:rPr>
          <w:rFonts w:ascii="David" w:eastAsiaTheme="minorHAnsi" w:hAnsi="David" w:cs="David" w:hint="cs"/>
          <w:sz w:val="24"/>
          <w:szCs w:val="24"/>
          <w:rtl/>
        </w:rPr>
        <w:t xml:space="preserve">עבירה </w:t>
      </w:r>
      <w:r w:rsidR="000170F4" w:rsidRPr="004764F3">
        <w:rPr>
          <w:rFonts w:ascii="David" w:hAnsi="David" w:cs="David" w:hint="cs"/>
          <w:sz w:val="24"/>
          <w:szCs w:val="24"/>
          <w:rtl/>
        </w:rPr>
        <w:t>לפי ס׳ 35 לחוק שירות בטחון</w:t>
      </w:r>
      <w:r w:rsidR="00736DA9" w:rsidRPr="004764F3">
        <w:rPr>
          <w:rFonts w:ascii="David" w:hAnsi="David" w:cs="David" w:hint="cs"/>
          <w:sz w:val="24"/>
          <w:szCs w:val="24"/>
          <w:rtl/>
        </w:rPr>
        <w:t>-</w:t>
      </w:r>
      <w:r w:rsidR="000170F4" w:rsidRPr="004764F3">
        <w:rPr>
          <w:rFonts w:ascii="David" w:eastAsiaTheme="minorHAnsi" w:hAnsi="David" w:cs="David" w:hint="cs"/>
          <w:sz w:val="24"/>
          <w:szCs w:val="24"/>
          <w:rtl/>
        </w:rPr>
        <w:t xml:space="preserve"> </w:t>
      </w:r>
      <w:r w:rsidR="000170F4" w:rsidRPr="004764F3">
        <w:rPr>
          <w:rFonts w:ascii="David" w:eastAsiaTheme="minorHAnsi" w:hAnsi="David" w:cs="David" w:hint="cs"/>
          <w:sz w:val="24"/>
          <w:szCs w:val="24"/>
          <w:rtl/>
          <w:lang w:eastAsia="en-US"/>
        </w:rPr>
        <w:t>אי-התייצבות לשירות סדיר בכוונה להשתמט משירות הבטחון</w:t>
      </w:r>
      <w:r w:rsidR="00A21C5A" w:rsidRPr="004764F3">
        <w:rPr>
          <w:rFonts w:ascii="David" w:eastAsiaTheme="minorHAnsi" w:hAnsi="David" w:cs="David" w:hint="cs"/>
          <w:sz w:val="24"/>
          <w:szCs w:val="24"/>
          <w:rtl/>
        </w:rPr>
        <w:t xml:space="preserve">, נעשית </w:t>
      </w:r>
      <w:r w:rsidRPr="004764F3">
        <w:rPr>
          <w:rFonts w:ascii="David" w:hAnsi="David" w:cs="David" w:hint="cs"/>
          <w:sz w:val="24"/>
          <w:szCs w:val="24"/>
          <w:rtl/>
        </w:rPr>
        <w:t xml:space="preserve">הבחנה בין </w:t>
      </w:r>
      <w:r w:rsidR="00A21C5A" w:rsidRPr="004764F3">
        <w:rPr>
          <w:rFonts w:ascii="David" w:hAnsi="David" w:cs="David" w:hint="cs"/>
          <w:sz w:val="24"/>
          <w:szCs w:val="24"/>
          <w:rtl/>
        </w:rPr>
        <w:t xml:space="preserve">סעיף קטן </w:t>
      </w:r>
      <w:r w:rsidR="00736DA9" w:rsidRPr="004764F3">
        <w:rPr>
          <w:rFonts w:ascii="David" w:hAnsi="David" w:cs="David" w:hint="cs"/>
          <w:sz w:val="24"/>
          <w:szCs w:val="24"/>
          <w:rtl/>
        </w:rPr>
        <w:t>(א)</w:t>
      </w:r>
      <w:r w:rsidR="00A21C5A" w:rsidRPr="004764F3">
        <w:rPr>
          <w:rFonts w:ascii="David" w:hAnsi="David" w:cs="David" w:hint="cs"/>
          <w:sz w:val="24"/>
          <w:szCs w:val="24"/>
          <w:rtl/>
        </w:rPr>
        <w:t>(</w:t>
      </w:r>
      <w:r w:rsidR="00736DA9" w:rsidRPr="004764F3">
        <w:rPr>
          <w:rFonts w:ascii="David" w:hAnsi="David" w:cs="David" w:hint="cs"/>
          <w:sz w:val="24"/>
          <w:szCs w:val="24"/>
          <w:rtl/>
        </w:rPr>
        <w:t>1</w:t>
      </w:r>
      <w:r w:rsidR="00A21C5A" w:rsidRPr="004764F3">
        <w:rPr>
          <w:rFonts w:ascii="David" w:hAnsi="David" w:cs="David" w:hint="cs"/>
          <w:sz w:val="24"/>
          <w:szCs w:val="24"/>
          <w:rtl/>
        </w:rPr>
        <w:t xml:space="preserve">) </w:t>
      </w:r>
      <w:r w:rsidR="00C63D9B" w:rsidRPr="004764F3">
        <w:rPr>
          <w:rFonts w:ascii="David" w:hAnsi="David" w:cs="David" w:hint="cs"/>
          <w:sz w:val="24"/>
          <w:szCs w:val="24"/>
          <w:rtl/>
        </w:rPr>
        <w:t xml:space="preserve">אשר </w:t>
      </w:r>
      <w:r w:rsidR="00CA116C" w:rsidRPr="004764F3">
        <w:rPr>
          <w:rFonts w:ascii="David" w:hAnsi="David" w:cs="David" w:hint="cs"/>
          <w:sz w:val="24"/>
          <w:szCs w:val="24"/>
          <w:rtl/>
        </w:rPr>
        <w:t xml:space="preserve">דינה שנתיים מאסר </w:t>
      </w:r>
      <w:r w:rsidR="00A21C5A" w:rsidRPr="004764F3">
        <w:rPr>
          <w:rFonts w:ascii="David" w:hAnsi="David" w:cs="David" w:hint="cs"/>
          <w:sz w:val="24"/>
          <w:szCs w:val="24"/>
          <w:rtl/>
        </w:rPr>
        <w:t xml:space="preserve">לבין סעיף קטן </w:t>
      </w:r>
      <w:r w:rsidR="00736DA9" w:rsidRPr="004764F3">
        <w:rPr>
          <w:rFonts w:ascii="David" w:hAnsi="David" w:cs="David" w:hint="cs"/>
          <w:sz w:val="24"/>
          <w:szCs w:val="24"/>
          <w:rtl/>
        </w:rPr>
        <w:t xml:space="preserve">(ב)(1) </w:t>
      </w:r>
      <w:r w:rsidR="00A21C5A" w:rsidRPr="004764F3">
        <w:rPr>
          <w:rFonts w:ascii="David" w:hAnsi="David" w:cs="David" w:hint="cs"/>
          <w:sz w:val="24"/>
          <w:szCs w:val="24"/>
          <w:rtl/>
        </w:rPr>
        <w:t xml:space="preserve">אשר מהווה עבירה בנסיבות </w:t>
      </w:r>
      <w:r w:rsidR="00736DA9" w:rsidRPr="004764F3">
        <w:rPr>
          <w:rFonts w:ascii="David" w:hAnsi="David" w:cs="David" w:hint="cs"/>
          <w:sz w:val="24"/>
          <w:szCs w:val="24"/>
          <w:rtl/>
        </w:rPr>
        <w:t>מחמירות</w:t>
      </w:r>
      <w:r w:rsidR="00CA116C" w:rsidRPr="004764F3">
        <w:rPr>
          <w:rFonts w:ascii="David" w:hAnsi="David" w:cs="David" w:hint="cs"/>
          <w:sz w:val="24"/>
          <w:szCs w:val="24"/>
          <w:rtl/>
        </w:rPr>
        <w:t xml:space="preserve"> ודינה חמש שנות מאסר</w:t>
      </w:r>
      <w:r w:rsidR="00736DA9" w:rsidRPr="004764F3">
        <w:rPr>
          <w:rFonts w:ascii="David" w:hAnsi="David" w:cs="David" w:hint="cs"/>
          <w:sz w:val="24"/>
          <w:szCs w:val="24"/>
          <w:rtl/>
        </w:rPr>
        <w:t>.</w:t>
      </w:r>
      <w:r w:rsidR="003D214E" w:rsidRPr="004764F3">
        <w:rPr>
          <w:rFonts w:ascii="David" w:hAnsi="David" w:cs="David" w:hint="cs"/>
          <w:sz w:val="24"/>
          <w:szCs w:val="24"/>
          <w:rtl/>
        </w:rPr>
        <w:t xml:space="preserve"> </w:t>
      </w:r>
      <w:r w:rsidR="002E6B1E" w:rsidRPr="004764F3">
        <w:rPr>
          <w:rFonts w:ascii="David" w:hAnsi="David" w:cs="David" w:hint="cs"/>
          <w:sz w:val="24"/>
          <w:szCs w:val="24"/>
          <w:rtl/>
        </w:rPr>
        <w:t xml:space="preserve">ס׳ 44(ד) לחוק קובע כי צו שפורסם ברשומות, רואים אותו כאילו הגיע לידיעת האדם. </w:t>
      </w:r>
      <w:r w:rsidR="00EE2326" w:rsidRPr="004764F3">
        <w:rPr>
          <w:rFonts w:ascii="David" w:hAnsi="David" w:cs="David" w:hint="cs"/>
          <w:sz w:val="24"/>
          <w:szCs w:val="24"/>
          <w:rtl/>
        </w:rPr>
        <w:t xml:space="preserve">בפסק הדין </w:t>
      </w:r>
      <w:r w:rsidR="00CA116C" w:rsidRPr="004764F3">
        <w:rPr>
          <w:rFonts w:ascii="David" w:hAnsi="David" w:cs="David" w:hint="cs"/>
          <w:sz w:val="24"/>
          <w:szCs w:val="24"/>
          <w:rtl/>
        </w:rPr>
        <w:t xml:space="preserve">נקבע כי </w:t>
      </w:r>
      <w:r w:rsidR="004F15CF" w:rsidRPr="004764F3">
        <w:rPr>
          <w:rFonts w:ascii="David" w:hAnsi="David" w:cs="David" w:hint="cs"/>
          <w:sz w:val="24"/>
          <w:szCs w:val="24"/>
          <w:rtl/>
        </w:rPr>
        <w:t>עבירה לפי ס׳ 35(א)(1)</w:t>
      </w:r>
      <w:r w:rsidR="00160D53" w:rsidRPr="004764F3">
        <w:rPr>
          <w:rFonts w:ascii="David" w:hAnsi="David" w:cs="David" w:hint="cs"/>
          <w:sz w:val="24"/>
          <w:szCs w:val="24"/>
          <w:rtl/>
        </w:rPr>
        <w:t xml:space="preserve"> דורשת כוונה פלילית </w:t>
      </w:r>
      <w:r w:rsidR="007D2B05" w:rsidRPr="004764F3">
        <w:rPr>
          <w:rFonts w:ascii="David" w:hAnsi="David" w:cs="David" w:hint="cs"/>
          <w:sz w:val="24"/>
          <w:szCs w:val="24"/>
          <w:rtl/>
        </w:rPr>
        <w:t xml:space="preserve">אשר לפיה </w:t>
      </w:r>
      <w:r w:rsidR="00F31E43" w:rsidRPr="004764F3">
        <w:rPr>
          <w:rFonts w:ascii="David" w:hAnsi="David" w:cs="David" w:hint="cs"/>
          <w:sz w:val="24"/>
          <w:szCs w:val="24"/>
          <w:rtl/>
        </w:rPr>
        <w:t xml:space="preserve">די </w:t>
      </w:r>
      <w:r w:rsidR="00F556FF" w:rsidRPr="004764F3">
        <w:rPr>
          <w:rFonts w:ascii="David" w:hAnsi="David" w:cs="David" w:hint="cs"/>
          <w:sz w:val="24"/>
          <w:szCs w:val="24"/>
          <w:rtl/>
        </w:rPr>
        <w:t>כי</w:t>
      </w:r>
      <w:r w:rsidR="00F31E43" w:rsidRPr="004764F3">
        <w:rPr>
          <w:rFonts w:ascii="David" w:hAnsi="David" w:cs="David" w:hint="cs"/>
          <w:sz w:val="24"/>
          <w:szCs w:val="24"/>
          <w:rtl/>
        </w:rPr>
        <w:t xml:space="preserve"> הנאשם </w:t>
      </w:r>
      <w:r w:rsidR="007D2B05" w:rsidRPr="004764F3">
        <w:rPr>
          <w:rFonts w:ascii="David" w:hAnsi="David" w:cs="David" w:hint="cs"/>
          <w:sz w:val="24"/>
          <w:szCs w:val="24"/>
          <w:rtl/>
        </w:rPr>
        <w:t>ידע</w:t>
      </w:r>
      <w:r w:rsidR="00F31E43" w:rsidRPr="004764F3">
        <w:rPr>
          <w:rFonts w:ascii="David" w:hAnsi="David" w:cs="David" w:hint="cs"/>
          <w:sz w:val="24"/>
          <w:szCs w:val="24"/>
          <w:rtl/>
        </w:rPr>
        <w:t xml:space="preserve"> שיש חובה המוטלת עליו </w:t>
      </w:r>
      <w:r w:rsidR="00160D53" w:rsidRPr="004764F3">
        <w:rPr>
          <w:rFonts w:ascii="David" w:hAnsi="David" w:cs="David" w:hint="cs"/>
          <w:sz w:val="24"/>
          <w:szCs w:val="24"/>
          <w:rtl/>
        </w:rPr>
        <w:t xml:space="preserve">אם על פי ידיעה </w:t>
      </w:r>
      <w:r w:rsidR="00160D53" w:rsidRPr="004764F3">
        <w:rPr>
          <w:rFonts w:ascii="David" w:eastAsiaTheme="minorHAnsi" w:hAnsi="David" w:cs="David" w:hint="cs"/>
          <w:sz w:val="24"/>
          <w:szCs w:val="24"/>
          <w:rtl/>
          <w:lang w:eastAsia="en-US"/>
        </w:rPr>
        <w:t>"קונסטרוקטיבית"</w:t>
      </w:r>
      <w:r w:rsidR="00160D53" w:rsidRPr="004764F3">
        <w:rPr>
          <w:rFonts w:ascii="David" w:hAnsi="David" w:cs="David" w:hint="cs"/>
          <w:sz w:val="24"/>
          <w:szCs w:val="24"/>
          <w:rtl/>
        </w:rPr>
        <w:t xml:space="preserve"> מכוח ס׳ 44(ד) לעיל ואם על פי ידיעה של ממש, וכי אין </w:t>
      </w:r>
      <w:r w:rsidR="007D2B05" w:rsidRPr="004764F3">
        <w:rPr>
          <w:rFonts w:ascii="David" w:hAnsi="David" w:cs="David" w:hint="cs"/>
          <w:sz w:val="24"/>
          <w:szCs w:val="24"/>
          <w:rtl/>
        </w:rPr>
        <w:t>הוא מילא</w:t>
      </w:r>
      <w:r w:rsidR="00160D53" w:rsidRPr="004764F3">
        <w:rPr>
          <w:rFonts w:ascii="David" w:hAnsi="David" w:cs="David" w:hint="cs"/>
          <w:sz w:val="24"/>
          <w:szCs w:val="24"/>
          <w:rtl/>
        </w:rPr>
        <w:t xml:space="preserve"> באופן רצוני חובה זו. </w:t>
      </w:r>
      <w:r w:rsidR="007D2B05" w:rsidRPr="004764F3">
        <w:rPr>
          <w:rFonts w:ascii="David" w:hAnsi="David" w:cs="David" w:hint="cs"/>
          <w:sz w:val="24"/>
          <w:szCs w:val="24"/>
          <w:rtl/>
        </w:rPr>
        <w:t>לעומת זאת,</w:t>
      </w:r>
      <w:r w:rsidR="00EE2326" w:rsidRPr="004764F3">
        <w:rPr>
          <w:rFonts w:ascii="David" w:hAnsi="David" w:cs="David" w:hint="cs"/>
          <w:sz w:val="24"/>
          <w:szCs w:val="24"/>
          <w:rtl/>
        </w:rPr>
        <w:t xml:space="preserve"> </w:t>
      </w:r>
      <w:r w:rsidR="007D2B05" w:rsidRPr="004764F3">
        <w:rPr>
          <w:rFonts w:ascii="David" w:hAnsi="David" w:cs="David" w:hint="cs"/>
          <w:sz w:val="24"/>
          <w:szCs w:val="24"/>
          <w:rtl/>
        </w:rPr>
        <w:t xml:space="preserve">עבירה בנסיבות מחמירות, היינו לפי ס׳ 35(ב)(1) דורשת כוונה נוספת, </w:t>
      </w:r>
      <w:r w:rsidR="00D84A7F" w:rsidRPr="004764F3">
        <w:rPr>
          <w:rFonts w:ascii="David" w:hAnsi="David" w:cs="David" w:hint="cs"/>
          <w:sz w:val="24"/>
          <w:szCs w:val="24"/>
          <w:rtl/>
        </w:rPr>
        <w:t>כוונה להשתמט משירות הביטחון</w:t>
      </w:r>
      <w:r w:rsidR="00B951F9" w:rsidRPr="004764F3">
        <w:rPr>
          <w:rFonts w:ascii="David" w:hAnsi="David" w:cs="David" w:hint="cs"/>
          <w:sz w:val="24"/>
          <w:szCs w:val="24"/>
          <w:rtl/>
        </w:rPr>
        <w:t xml:space="preserve">. </w:t>
      </w:r>
      <w:r w:rsidR="007B4F1E" w:rsidRPr="004764F3">
        <w:rPr>
          <w:rFonts w:ascii="David" w:hAnsi="David" w:cs="David" w:hint="cs"/>
          <w:sz w:val="24"/>
          <w:szCs w:val="24"/>
          <w:rtl/>
        </w:rPr>
        <w:t>בדיון הנוסף שנערך,</w:t>
      </w:r>
      <w:r w:rsidR="00B55450" w:rsidRPr="004764F3">
        <w:rPr>
          <w:rStyle w:val="a5"/>
          <w:rFonts w:ascii="David" w:hAnsi="David" w:cs="David" w:hint="cs"/>
          <w:sz w:val="24"/>
          <w:szCs w:val="24"/>
          <w:rtl/>
        </w:rPr>
        <w:footnoteReference w:id="6"/>
      </w:r>
      <w:r w:rsidR="007B4F1E" w:rsidRPr="004764F3">
        <w:rPr>
          <w:rFonts w:ascii="David" w:hAnsi="David" w:cs="David" w:hint="cs"/>
          <w:sz w:val="24"/>
          <w:szCs w:val="24"/>
          <w:rtl/>
        </w:rPr>
        <w:t xml:space="preserve"> השופט </w:t>
      </w:r>
      <w:proofErr w:type="spellStart"/>
      <w:r w:rsidR="007B4F1E" w:rsidRPr="004764F3">
        <w:rPr>
          <w:rFonts w:ascii="David" w:hAnsi="David" w:cs="David" w:hint="cs"/>
          <w:sz w:val="24"/>
          <w:szCs w:val="24"/>
          <w:rtl/>
        </w:rPr>
        <w:t>לנדוי</w:t>
      </w:r>
      <w:proofErr w:type="spellEnd"/>
      <w:r w:rsidR="00305868" w:rsidRPr="004764F3">
        <w:rPr>
          <w:rFonts w:ascii="David" w:hAnsi="David" w:cs="David" w:hint="cs"/>
          <w:sz w:val="24"/>
          <w:szCs w:val="24"/>
          <w:rtl/>
        </w:rPr>
        <w:t xml:space="preserve"> </w:t>
      </w:r>
      <w:r w:rsidR="00C65CB0" w:rsidRPr="004764F3">
        <w:rPr>
          <w:rFonts w:ascii="David" w:hAnsi="David" w:cs="David" w:hint="cs"/>
          <w:sz w:val="24"/>
          <w:szCs w:val="24"/>
          <w:rtl/>
        </w:rPr>
        <w:t xml:space="preserve">הרחיב וציין כי </w:t>
      </w:r>
      <w:r w:rsidR="001716CE" w:rsidRPr="004764F3">
        <w:rPr>
          <w:rFonts w:ascii="David" w:hAnsi="David" w:cs="David" w:hint="cs"/>
          <w:sz w:val="24"/>
          <w:szCs w:val="24"/>
          <w:rtl/>
        </w:rPr>
        <w:t>הכוונה</w:t>
      </w:r>
      <w:r w:rsidR="00C65CB0" w:rsidRPr="004764F3">
        <w:rPr>
          <w:rFonts w:ascii="David" w:hAnsi="David" w:cs="David" w:hint="cs"/>
          <w:sz w:val="24"/>
          <w:szCs w:val="24"/>
          <w:rtl/>
        </w:rPr>
        <w:t xml:space="preserve"> להשתמט משירות הביטחון היא המניע ש</w:t>
      </w:r>
      <w:r w:rsidR="001716CE" w:rsidRPr="004764F3">
        <w:rPr>
          <w:rFonts w:ascii="David" w:hAnsi="David" w:cs="David" w:hint="cs"/>
          <w:sz w:val="24"/>
          <w:szCs w:val="24"/>
          <w:rtl/>
        </w:rPr>
        <w:t xml:space="preserve">המריץ את הנאשם שלא לציית לצו התייצבות, כוונה מיוחדת זו נועדה להבדיל </w:t>
      </w:r>
      <w:r w:rsidR="00A4056E" w:rsidRPr="004764F3">
        <w:rPr>
          <w:rFonts w:ascii="David" w:hAnsi="David" w:cs="David" w:hint="cs"/>
          <w:sz w:val="24"/>
          <w:szCs w:val="24"/>
          <w:rtl/>
        </w:rPr>
        <w:t xml:space="preserve">בין המניע לעיל לבין מניעים אשר אינם נכללים בהגדרה העבירה. </w:t>
      </w:r>
      <w:r w:rsidR="000A7F1B" w:rsidRPr="004764F3">
        <w:rPr>
          <w:rFonts w:ascii="David" w:hAnsi="David" w:cs="David" w:hint="cs"/>
          <w:sz w:val="24"/>
          <w:szCs w:val="24"/>
          <w:rtl/>
        </w:rPr>
        <w:t xml:space="preserve">בהמשך, השופט התייחס להצעת </w:t>
      </w:r>
      <w:r w:rsidR="000A7F1B" w:rsidRPr="004764F3">
        <w:rPr>
          <w:rFonts w:ascii="David" w:eastAsiaTheme="minorHAnsi" w:hAnsi="David" w:cs="David" w:hint="cs"/>
          <w:sz w:val="24"/>
          <w:szCs w:val="24"/>
          <w:rtl/>
          <w:lang w:eastAsia="en-US"/>
        </w:rPr>
        <w:t>ה-</w:t>
      </w:r>
      <w:r w:rsidR="000A7F1B" w:rsidRPr="004764F3">
        <w:rPr>
          <w:rFonts w:ascii="David" w:eastAsiaTheme="minorHAnsi" w:hAnsi="David" w:cs="David" w:hint="cs"/>
          <w:sz w:val="24"/>
          <w:szCs w:val="24"/>
          <w:lang w:eastAsia="en-US"/>
        </w:rPr>
        <w:t>MODEL PENAL CODE</w:t>
      </w:r>
      <w:r w:rsidR="000A7F1B" w:rsidRPr="004764F3">
        <w:rPr>
          <w:rFonts w:ascii="David" w:eastAsiaTheme="minorHAnsi" w:hAnsi="David" w:cs="David" w:hint="cs"/>
          <w:sz w:val="24"/>
          <w:szCs w:val="24"/>
          <w:rtl/>
          <w:lang w:eastAsia="en-US"/>
        </w:rPr>
        <w:t xml:space="preserve"> של המכון המשפטי האמריקני</w:t>
      </w:r>
      <w:r w:rsidR="000A7F1B" w:rsidRPr="004764F3">
        <w:rPr>
          <w:rFonts w:ascii="David" w:hAnsi="David" w:cs="David" w:hint="cs"/>
          <w:sz w:val="24"/>
          <w:szCs w:val="24"/>
          <w:rtl/>
        </w:rPr>
        <w:t xml:space="preserve">, </w:t>
      </w:r>
      <w:r w:rsidR="000D08C9" w:rsidRPr="004764F3">
        <w:rPr>
          <w:rFonts w:ascii="David" w:hAnsi="David" w:cs="David" w:hint="cs"/>
          <w:sz w:val="24"/>
          <w:szCs w:val="24"/>
          <w:rtl/>
        </w:rPr>
        <w:t>לפיה יש לעשות שימוש במונח התנהגות תכליתית</w:t>
      </w:r>
      <w:r w:rsidR="009B25D1" w:rsidRPr="004764F3">
        <w:rPr>
          <w:rFonts w:ascii="David" w:eastAsia="MS Mincho" w:hAnsi="David" w:cs="David" w:hint="cs"/>
          <w:sz w:val="24"/>
          <w:szCs w:val="24"/>
          <w:rtl/>
          <w:lang w:eastAsia="en-US"/>
        </w:rPr>
        <w:t xml:space="preserve"> (</w:t>
      </w:r>
      <w:r w:rsidR="00C277FC" w:rsidRPr="004764F3">
        <w:rPr>
          <w:rFonts w:ascii="David" w:eastAsia="MS Mincho" w:hAnsi="David" w:cs="David" w:hint="cs"/>
          <w:sz w:val="24"/>
          <w:szCs w:val="24"/>
          <w:lang w:eastAsia="en-US"/>
        </w:rPr>
        <w:t xml:space="preserve"> PURPOSELY</w:t>
      </w:r>
      <w:r w:rsidR="009B25D1" w:rsidRPr="004764F3">
        <w:rPr>
          <w:rFonts w:ascii="David" w:eastAsia="MS Mincho" w:hAnsi="David" w:cs="David" w:hint="cs"/>
          <w:sz w:val="24"/>
          <w:szCs w:val="24"/>
          <w:rtl/>
          <w:lang w:eastAsia="en-US"/>
        </w:rPr>
        <w:t>‎</w:t>
      </w:r>
      <w:r w:rsidR="009B25D1" w:rsidRPr="004764F3">
        <w:rPr>
          <w:rFonts w:ascii="David" w:eastAsia="MS Mincho" w:hAnsi="David" w:cs="David" w:hint="cs"/>
          <w:sz w:val="24"/>
          <w:szCs w:val="24"/>
          <w:lang w:eastAsia="en-US"/>
        </w:rPr>
        <w:t>ACTING</w:t>
      </w:r>
      <w:r w:rsidR="00C277FC" w:rsidRPr="004764F3">
        <w:rPr>
          <w:rFonts w:ascii="David" w:eastAsia="MS Mincho" w:hAnsi="David" w:cs="David" w:hint="cs"/>
          <w:sz w:val="24"/>
          <w:szCs w:val="24"/>
          <w:rtl/>
          <w:lang w:eastAsia="en-US"/>
        </w:rPr>
        <w:t xml:space="preserve">) </w:t>
      </w:r>
      <w:r w:rsidR="000D08C9" w:rsidRPr="004764F3">
        <w:rPr>
          <w:rFonts w:ascii="David" w:hAnsi="David" w:cs="David" w:hint="cs"/>
          <w:sz w:val="24"/>
          <w:szCs w:val="24"/>
          <w:rtl/>
        </w:rPr>
        <w:t xml:space="preserve">לבין התנהגות </w:t>
      </w:r>
      <w:r w:rsidR="009B25D1" w:rsidRPr="004764F3">
        <w:rPr>
          <w:rFonts w:ascii="David" w:hAnsi="David" w:cs="David" w:hint="cs"/>
          <w:sz w:val="24"/>
          <w:szCs w:val="24"/>
          <w:rtl/>
        </w:rPr>
        <w:t xml:space="preserve">שנעשתה ביודעין </w:t>
      </w:r>
      <w:r w:rsidR="00385D14" w:rsidRPr="004764F3">
        <w:rPr>
          <w:rFonts w:ascii="David" w:hAnsi="David" w:cs="David" w:hint="cs"/>
          <w:sz w:val="24"/>
          <w:szCs w:val="24"/>
          <w:rtl/>
        </w:rPr>
        <w:t>(</w:t>
      </w:r>
      <w:r w:rsidR="009B25D1" w:rsidRPr="004764F3">
        <w:rPr>
          <w:rFonts w:ascii="David" w:eastAsia="MS Mincho" w:hAnsi="David" w:cs="David" w:hint="cs"/>
          <w:sz w:val="24"/>
          <w:szCs w:val="24"/>
          <w:lang w:eastAsia="en-US"/>
        </w:rPr>
        <w:t>KNOWINGLY</w:t>
      </w:r>
      <w:r w:rsidR="00385D14" w:rsidRPr="004764F3">
        <w:rPr>
          <w:rFonts w:ascii="David" w:hAnsi="David" w:cs="David" w:hint="cs"/>
          <w:sz w:val="24"/>
          <w:szCs w:val="24"/>
          <w:rtl/>
        </w:rPr>
        <w:t>)</w:t>
      </w:r>
      <w:r w:rsidR="009B25D1" w:rsidRPr="004764F3">
        <w:rPr>
          <w:rFonts w:ascii="David" w:hAnsi="David" w:cs="David" w:hint="cs"/>
          <w:sz w:val="24"/>
          <w:szCs w:val="24"/>
          <w:rtl/>
        </w:rPr>
        <w:t xml:space="preserve"> ולוותר על השימוש במונח ״כוונה״</w:t>
      </w:r>
      <w:r w:rsidR="00821663" w:rsidRPr="004764F3">
        <w:rPr>
          <w:rFonts w:ascii="David" w:hAnsi="David" w:cs="David" w:hint="cs"/>
          <w:sz w:val="24"/>
          <w:szCs w:val="24"/>
          <w:rtl/>
        </w:rPr>
        <w:t xml:space="preserve">. כחלק מביאור הבחנה זו, </w:t>
      </w:r>
      <w:r w:rsidR="009C3CB4" w:rsidRPr="004764F3">
        <w:rPr>
          <w:rFonts w:ascii="David" w:hAnsi="David" w:cs="David" w:hint="cs"/>
          <w:sz w:val="24"/>
          <w:szCs w:val="24"/>
          <w:rtl/>
        </w:rPr>
        <w:t xml:space="preserve">כותבי ההצעה </w:t>
      </w:r>
      <w:r w:rsidR="00EF71ED" w:rsidRPr="004764F3">
        <w:rPr>
          <w:rFonts w:ascii="David" w:hAnsi="David" w:cs="David" w:hint="cs"/>
          <w:sz w:val="24"/>
          <w:szCs w:val="24"/>
          <w:rtl/>
        </w:rPr>
        <w:t>התייחסו למונח ״ידיעה״ כ</w:t>
      </w:r>
      <w:r w:rsidR="003C6B43" w:rsidRPr="004764F3">
        <w:rPr>
          <w:rFonts w:ascii="David" w:hAnsi="David" w:cs="David" w:hint="cs"/>
          <w:sz w:val="24"/>
          <w:szCs w:val="24"/>
          <w:rtl/>
        </w:rPr>
        <w:t>פונקציה או רכיב של כוונה פלילית</w:t>
      </w:r>
      <w:r w:rsidR="00205FBB" w:rsidRPr="004764F3">
        <w:rPr>
          <w:rFonts w:ascii="David" w:hAnsi="David" w:cs="David" w:hint="cs"/>
          <w:sz w:val="24"/>
          <w:szCs w:val="24"/>
          <w:rtl/>
        </w:rPr>
        <w:t xml:space="preserve">. בהמשך לדברים לעיל, </w:t>
      </w:r>
      <w:r w:rsidR="003C6B43" w:rsidRPr="004764F3">
        <w:rPr>
          <w:rFonts w:ascii="David" w:hAnsi="David" w:cs="David" w:hint="cs"/>
          <w:sz w:val="24"/>
          <w:szCs w:val="24"/>
          <w:rtl/>
        </w:rPr>
        <w:t xml:space="preserve">השופט </w:t>
      </w:r>
      <w:proofErr w:type="spellStart"/>
      <w:r w:rsidR="003C6B43" w:rsidRPr="004764F3">
        <w:rPr>
          <w:rFonts w:ascii="David" w:hAnsi="David" w:cs="David" w:hint="cs"/>
          <w:sz w:val="24"/>
          <w:szCs w:val="24"/>
          <w:rtl/>
        </w:rPr>
        <w:t>לנדוי</w:t>
      </w:r>
      <w:proofErr w:type="spellEnd"/>
      <w:r w:rsidR="003C6B43" w:rsidRPr="004764F3">
        <w:rPr>
          <w:rFonts w:ascii="David" w:hAnsi="David" w:cs="David" w:hint="cs"/>
          <w:sz w:val="24"/>
          <w:szCs w:val="24"/>
          <w:rtl/>
        </w:rPr>
        <w:t xml:space="preserve"> </w:t>
      </w:r>
      <w:r w:rsidR="007B4F1E" w:rsidRPr="004764F3">
        <w:rPr>
          <w:rFonts w:ascii="David" w:hAnsi="David" w:cs="David" w:hint="cs"/>
          <w:sz w:val="24"/>
          <w:szCs w:val="24"/>
          <w:rtl/>
        </w:rPr>
        <w:t xml:space="preserve">הדגיש </w:t>
      </w:r>
      <w:r w:rsidR="002C79DA" w:rsidRPr="004764F3">
        <w:rPr>
          <w:rFonts w:ascii="David" w:hAnsi="David" w:cs="David" w:hint="cs"/>
          <w:sz w:val="24"/>
          <w:szCs w:val="24"/>
          <w:rtl/>
        </w:rPr>
        <w:t xml:space="preserve">כי </w:t>
      </w:r>
      <w:r w:rsidR="007B4F1E" w:rsidRPr="004764F3">
        <w:rPr>
          <w:rFonts w:ascii="David" w:hAnsi="David" w:cs="David" w:hint="cs"/>
          <w:sz w:val="24"/>
          <w:szCs w:val="24"/>
          <w:rtl/>
        </w:rPr>
        <w:t xml:space="preserve">אותה ידיעה </w:t>
      </w:r>
      <w:r w:rsidR="007B4F1E" w:rsidRPr="004764F3">
        <w:rPr>
          <w:rFonts w:ascii="David" w:eastAsiaTheme="minorHAnsi" w:hAnsi="David" w:cs="David" w:hint="cs"/>
          <w:sz w:val="24"/>
          <w:szCs w:val="24"/>
          <w:rtl/>
          <w:lang w:eastAsia="en-US"/>
        </w:rPr>
        <w:t>"קונסטרוקטיבית"</w:t>
      </w:r>
      <w:r w:rsidR="007B4F1E" w:rsidRPr="004764F3">
        <w:rPr>
          <w:rFonts w:ascii="David" w:hAnsi="David" w:cs="David" w:hint="cs"/>
          <w:sz w:val="24"/>
          <w:szCs w:val="24"/>
          <w:rtl/>
        </w:rPr>
        <w:t xml:space="preserve"> מכוח ס׳ 44(ד) </w:t>
      </w:r>
      <w:r w:rsidR="00284B93" w:rsidRPr="004764F3">
        <w:rPr>
          <w:rFonts w:ascii="David" w:hAnsi="David" w:cs="David" w:hint="cs"/>
          <w:sz w:val="24"/>
          <w:szCs w:val="24"/>
          <w:rtl/>
        </w:rPr>
        <w:t>חלה רק לשם הוכחת הכוונה הפלילית הנדרשת בסעיף 35(א)(1)</w:t>
      </w:r>
      <w:r w:rsidR="00A2352C" w:rsidRPr="004764F3">
        <w:rPr>
          <w:rFonts w:ascii="David" w:hAnsi="David" w:cs="David" w:hint="cs"/>
          <w:sz w:val="24"/>
          <w:szCs w:val="24"/>
          <w:rtl/>
        </w:rPr>
        <w:t>,</w:t>
      </w:r>
      <w:r w:rsidR="00267BCD" w:rsidRPr="004764F3">
        <w:rPr>
          <w:rFonts w:ascii="David" w:hAnsi="David" w:cs="David" w:hint="cs"/>
          <w:sz w:val="24"/>
          <w:szCs w:val="24"/>
          <w:rtl/>
        </w:rPr>
        <w:t xml:space="preserve"> ואילו לשם הוכחת הכוונה הפלילית הספציפית קרי, כוונת ההשתמטות, </w:t>
      </w:r>
      <w:r w:rsidR="00305CA5" w:rsidRPr="004764F3">
        <w:rPr>
          <w:rFonts w:ascii="David" w:hAnsi="David" w:cs="David" w:hint="cs"/>
          <w:sz w:val="24"/>
          <w:szCs w:val="24"/>
          <w:rtl/>
        </w:rPr>
        <w:t xml:space="preserve">אין לייחס לנאשם ידיעה מכוח </w:t>
      </w:r>
      <w:r w:rsidR="00305CA5" w:rsidRPr="004764F3">
        <w:rPr>
          <w:rFonts w:ascii="David" w:eastAsiaTheme="minorHAnsi" w:hAnsi="David" w:cs="David" w:hint="cs"/>
          <w:sz w:val="24"/>
          <w:szCs w:val="24"/>
          <w:rtl/>
          <w:lang w:eastAsia="en-US"/>
        </w:rPr>
        <w:t>הקונסטרוקציה המשפטית</w:t>
      </w:r>
      <w:r w:rsidR="00305CA5" w:rsidRPr="004764F3">
        <w:rPr>
          <w:rFonts w:ascii="David" w:hAnsi="David" w:cs="David" w:hint="cs"/>
          <w:sz w:val="24"/>
          <w:szCs w:val="24"/>
          <w:rtl/>
        </w:rPr>
        <w:t xml:space="preserve"> </w:t>
      </w:r>
      <w:r w:rsidR="002A6332" w:rsidRPr="004764F3">
        <w:rPr>
          <w:rFonts w:ascii="David" w:hAnsi="David" w:cs="David" w:hint="cs"/>
          <w:sz w:val="24"/>
          <w:szCs w:val="24"/>
          <w:rtl/>
        </w:rPr>
        <w:t xml:space="preserve">כאשר העבירה דורשת הלך רוח סובייקטיבי </w:t>
      </w:r>
      <w:r w:rsidR="00B1025B" w:rsidRPr="004764F3">
        <w:rPr>
          <w:rFonts w:ascii="David" w:hAnsi="David" w:cs="David" w:hint="cs"/>
          <w:sz w:val="24"/>
          <w:szCs w:val="24"/>
          <w:rtl/>
        </w:rPr>
        <w:t>מסוים</w:t>
      </w:r>
      <w:r w:rsidR="002A6332" w:rsidRPr="004764F3">
        <w:rPr>
          <w:rFonts w:ascii="David" w:hAnsi="David" w:cs="David" w:hint="cs"/>
          <w:sz w:val="24"/>
          <w:szCs w:val="24"/>
          <w:rtl/>
        </w:rPr>
        <w:t xml:space="preserve">. כלומר, בעבירה הדורשת כוונה פלילית </w:t>
      </w:r>
      <w:r w:rsidR="00F243BB" w:rsidRPr="004764F3">
        <w:rPr>
          <w:rFonts w:ascii="David" w:hAnsi="David" w:cs="David" w:hint="cs"/>
          <w:sz w:val="24"/>
          <w:szCs w:val="24"/>
          <w:rtl/>
        </w:rPr>
        <w:t xml:space="preserve">רגילה בלבד, </w:t>
      </w:r>
      <w:r w:rsidR="00B1025B" w:rsidRPr="004764F3">
        <w:rPr>
          <w:rFonts w:ascii="David" w:hAnsi="David" w:cs="David" w:hint="cs"/>
          <w:sz w:val="24"/>
          <w:szCs w:val="24"/>
          <w:rtl/>
        </w:rPr>
        <w:t>הבחינה הינה אובייקטיבית במהותה</w:t>
      </w:r>
      <w:r w:rsidR="00A2352C" w:rsidRPr="004764F3">
        <w:rPr>
          <w:rFonts w:ascii="David" w:hAnsi="David" w:cs="David" w:hint="cs"/>
          <w:sz w:val="24"/>
          <w:szCs w:val="24"/>
          <w:rtl/>
        </w:rPr>
        <w:t xml:space="preserve"> ולכן, ניתן לייחס לנאשם ידיעה </w:t>
      </w:r>
      <w:r w:rsidR="00A2352C" w:rsidRPr="004764F3">
        <w:rPr>
          <w:rFonts w:ascii="David" w:eastAsiaTheme="minorHAnsi" w:hAnsi="David" w:cs="David" w:hint="cs"/>
          <w:sz w:val="24"/>
          <w:szCs w:val="24"/>
          <w:rtl/>
          <w:lang w:eastAsia="en-US"/>
        </w:rPr>
        <w:t>"קונסטרוקטיבית"</w:t>
      </w:r>
      <w:r w:rsidR="00A2352C" w:rsidRPr="004764F3">
        <w:rPr>
          <w:rFonts w:ascii="David" w:hAnsi="David" w:cs="David" w:hint="cs"/>
          <w:sz w:val="24"/>
          <w:szCs w:val="24"/>
          <w:rtl/>
        </w:rPr>
        <w:t xml:space="preserve">. </w:t>
      </w:r>
    </w:p>
    <w:p w14:paraId="1DCF29E0" w14:textId="77777777" w:rsidR="00DF6FFD" w:rsidRPr="00DF6FFD" w:rsidRDefault="00DF6FFD" w:rsidP="007E4E3B">
      <w:pPr>
        <w:pStyle w:val="a6"/>
        <w:bidi/>
        <w:spacing w:line="276" w:lineRule="auto"/>
        <w:jc w:val="both"/>
        <w:rPr>
          <w:rFonts w:ascii="David" w:eastAsia="MS Mincho" w:hAnsi="David" w:cs="David"/>
          <w:sz w:val="24"/>
          <w:szCs w:val="24"/>
          <w:rtl/>
          <w:lang w:eastAsia="en-US"/>
        </w:rPr>
      </w:pPr>
    </w:p>
    <w:p w14:paraId="23D3C17B" w14:textId="77777777" w:rsidR="00DF6FFD" w:rsidRPr="004764F3" w:rsidRDefault="00DF6FFD" w:rsidP="007E4E3B">
      <w:pPr>
        <w:bidi/>
        <w:spacing w:line="276" w:lineRule="auto"/>
        <w:jc w:val="both"/>
        <w:rPr>
          <w:rFonts w:ascii="David" w:hAnsi="David" w:cs="David"/>
          <w:rtl/>
        </w:rPr>
      </w:pPr>
      <w:r w:rsidRPr="000E0CFA">
        <w:rPr>
          <w:rFonts w:ascii="David" w:hAnsi="David" w:cs="David" w:hint="cs"/>
          <w:b/>
          <w:bCs/>
          <w:rtl/>
        </w:rPr>
        <w:t>פסק הדין בעניין סטנט</w:t>
      </w:r>
      <w:r w:rsidRPr="004764F3">
        <w:rPr>
          <w:rFonts w:ascii="David" w:hAnsi="David" w:cs="David" w:hint="cs"/>
          <w:rtl/>
        </w:rPr>
        <w:t xml:space="preserve"> עוסק בעניינו של אזרח אנגלי ששידר שידורי רדיו בתקופת מלחמת העולם השנייה אשר סייעו לנאצים. זאת, במטרה להגן על עצמו ועל משפחתו ולמנוע את שליחתם למחנה ריכוז. במקרה זה ניכר כי כוונתו לא הייתה לסייע לאויב. עם זאת, השופט בביהמ״ש קמא אמר כי ״</w:t>
      </w:r>
      <w:r w:rsidRPr="004764F3">
        <w:rPr>
          <w:rFonts w:ascii="David" w:hAnsi="David" w:cs="David"/>
          <w:rtl/>
        </w:rPr>
        <w:t>אדם  נתפס כמי שמתכוון לתוצאות הטבעיות של מעשיו. אם כן, אם הוא עושה מעשה שיש בו כדי לסייע לאויב,</w:t>
      </w:r>
      <w:r w:rsidRPr="004764F3">
        <w:rPr>
          <w:rFonts w:ascii="David" w:hAnsi="David" w:cs="David" w:hint="cs"/>
          <w:rtl/>
        </w:rPr>
        <w:t xml:space="preserve"> </w:t>
      </w:r>
      <w:r w:rsidRPr="004764F3">
        <w:rPr>
          <w:rFonts w:ascii="David" w:hAnsi="David" w:cs="David"/>
          <w:rtl/>
        </w:rPr>
        <w:t>יש להניח שהוא עשה אותו מתוך כוונה לסייע</w:t>
      </w:r>
      <w:r w:rsidRPr="004764F3">
        <w:rPr>
          <w:rFonts w:ascii="David" w:hAnsi="David" w:cs="David" w:hint="cs"/>
          <w:rtl/>
        </w:rPr>
        <w:t xml:space="preserve"> </w:t>
      </w:r>
      <w:r w:rsidRPr="004764F3">
        <w:rPr>
          <w:rFonts w:ascii="David" w:hAnsi="David" w:cs="David"/>
          <w:rtl/>
        </w:rPr>
        <w:t>לאויב</w:t>
      </w:r>
      <w:r w:rsidRPr="004764F3">
        <w:rPr>
          <w:rFonts w:ascii="David" w:hAnsi="David" w:cs="David" w:hint="cs"/>
          <w:rtl/>
        </w:rPr>
        <w:t>״.</w:t>
      </w:r>
      <w:r w:rsidRPr="004764F3">
        <w:rPr>
          <w:rStyle w:val="a5"/>
          <w:rFonts w:ascii="David" w:hAnsi="David" w:cs="David"/>
          <w:rtl/>
        </w:rPr>
        <w:footnoteReference w:id="7"/>
      </w:r>
      <w:r w:rsidRPr="004764F3">
        <w:rPr>
          <w:rFonts w:ascii="David" w:hAnsi="David" w:cs="David" w:hint="cs"/>
          <w:rtl/>
        </w:rPr>
        <w:t xml:space="preserve"> לאחר הרשעתו הגיש ערעור אשר בו נקבע כי מקום בו נעשו מעשים ע״י אדם הכפוף לכוחו של אחר, במיוחד לכוחו </w:t>
      </w:r>
      <w:r w:rsidRPr="004764F3">
        <w:rPr>
          <w:rFonts w:ascii="David" w:hAnsi="David" w:cs="David" w:hint="cs"/>
          <w:rtl/>
        </w:rPr>
        <w:lastRenderedPageBreak/>
        <w:t xml:space="preserve">של אויב אכזרי, לא ניתן לומר כי יש להסיק שאותו אדם התכוון לתוצאות הטבעיות של מעשיו רק מהעובדה שהוא עשה אותם. אין להניח את כוונת הנאשם אלא יש להוכיח אותה כלומר, חבר המושבעים רשאי להניח כי התקיימה הכוונה הנדרשת אם הוא חושב </w:t>
      </w:r>
      <w:r w:rsidRPr="004764F3">
        <w:rPr>
          <w:rFonts w:ascii="David" w:hAnsi="David" w:cs="David"/>
          <w:rtl/>
        </w:rPr>
        <w:t>שהמעשה נעשה כתוצאה מפעולה חופשית של הנאשם</w:t>
      </w:r>
      <w:r w:rsidRPr="004764F3">
        <w:rPr>
          <w:rFonts w:ascii="David" w:hAnsi="David" w:cs="David" w:hint="cs"/>
          <w:rtl/>
        </w:rPr>
        <w:t>. עם זאת, חבר המושבעים אינו</w:t>
      </w:r>
      <w:r w:rsidRPr="004764F3">
        <w:rPr>
          <w:rFonts w:ascii="David" w:hAnsi="David" w:cs="David" w:hint="cs"/>
          <w:rtl/>
          <w:lang w:bidi="he"/>
        </w:rPr>
        <w:t xml:space="preserve"> רשאי להניח כי התקיימה הכוונה הנדרשת אם הנסיבות מראות שהמעשה נעשה בכפיפות לכוחו של האויב. עליהם להרשיע את הנאשם רק אם שוכנעו באמצעות הראיות כי מעשיו נעשו בכוונה לסייע לאויב ואם היה ספק בעניין, זכאי האסיר לזיכוי. הנאשם זוכה בביהמ״ש לערעורים מאחר ולא הוכחה כוונתו.</w:t>
      </w:r>
      <w:r w:rsidRPr="004764F3">
        <w:rPr>
          <w:rStyle w:val="a5"/>
          <w:rFonts w:ascii="David" w:hAnsi="David" w:cs="David"/>
          <w:rtl/>
          <w:lang w:bidi="he"/>
        </w:rPr>
        <w:footnoteReference w:id="8"/>
      </w:r>
    </w:p>
    <w:p w14:paraId="0CDA0A8F" w14:textId="77777777" w:rsidR="00DF6FFD" w:rsidRPr="004764F3" w:rsidRDefault="00DF6FFD" w:rsidP="007E4E3B">
      <w:pPr>
        <w:tabs>
          <w:tab w:val="left" w:pos="2109"/>
        </w:tabs>
        <w:bidi/>
        <w:spacing w:line="276" w:lineRule="auto"/>
        <w:jc w:val="both"/>
        <w:rPr>
          <w:rFonts w:ascii="David" w:hAnsi="David" w:cs="David"/>
          <w:rtl/>
        </w:rPr>
      </w:pPr>
    </w:p>
    <w:p w14:paraId="214EBAD4" w14:textId="24870649" w:rsidR="009B2B59" w:rsidRPr="004764F3" w:rsidRDefault="00143511" w:rsidP="007E4E3B">
      <w:pPr>
        <w:bidi/>
        <w:spacing w:line="276" w:lineRule="auto"/>
        <w:jc w:val="both"/>
        <w:rPr>
          <w:rFonts w:ascii="David" w:hAnsi="David" w:cs="David"/>
          <w:rtl/>
        </w:rPr>
      </w:pPr>
      <w:r w:rsidRPr="004764F3">
        <w:rPr>
          <w:rFonts w:ascii="David" w:hAnsi="David" w:cs="David" w:hint="cs"/>
          <w:rtl/>
        </w:rPr>
        <w:t>בפס</w:t>
      </w:r>
      <w:r w:rsidR="00A2045B" w:rsidRPr="004764F3">
        <w:rPr>
          <w:rFonts w:ascii="David" w:hAnsi="David" w:cs="David" w:hint="cs"/>
          <w:rtl/>
        </w:rPr>
        <w:t>ק</w:t>
      </w:r>
      <w:r w:rsidRPr="004764F3">
        <w:rPr>
          <w:rFonts w:ascii="David" w:hAnsi="David" w:cs="David" w:hint="cs"/>
          <w:rtl/>
        </w:rPr>
        <w:t xml:space="preserve"> הדין</w:t>
      </w:r>
      <w:r w:rsidR="007E52E0" w:rsidRPr="004764F3">
        <w:rPr>
          <w:rFonts w:ascii="David" w:hAnsi="David" w:cs="David" w:hint="cs"/>
          <w:rtl/>
        </w:rPr>
        <w:t xml:space="preserve"> בעניין מורגן, לורד</w:t>
      </w:r>
      <w:r w:rsidRPr="004764F3">
        <w:rPr>
          <w:rFonts w:ascii="David" w:hAnsi="David" w:cs="David" w:hint="cs"/>
          <w:rtl/>
        </w:rPr>
        <w:t xml:space="preserve"> </w:t>
      </w:r>
      <w:r w:rsidR="009624B8" w:rsidRPr="004764F3">
        <w:rPr>
          <w:rFonts w:ascii="David" w:hAnsi="David" w:cs="David" w:hint="cs"/>
          <w:rtl/>
        </w:rPr>
        <w:t xml:space="preserve">סימון </w:t>
      </w:r>
      <w:r w:rsidRPr="004764F3">
        <w:rPr>
          <w:rFonts w:ascii="David" w:hAnsi="David" w:cs="David" w:hint="cs"/>
          <w:rtl/>
        </w:rPr>
        <w:t>מבצע אבחנה</w:t>
      </w:r>
      <w:r w:rsidR="00DA3FE4" w:rsidRPr="004764F3">
        <w:rPr>
          <w:rFonts w:ascii="David" w:hAnsi="David" w:cs="David" w:hint="cs"/>
          <w:rtl/>
        </w:rPr>
        <w:t xml:space="preserve"> </w:t>
      </w:r>
      <w:r w:rsidRPr="004764F3">
        <w:rPr>
          <w:rFonts w:ascii="David" w:hAnsi="David" w:cs="David" w:hint="cs"/>
          <w:rtl/>
        </w:rPr>
        <w:t>בין פשעים הדורשים כוונה בסיסית לבין אלו הדורשים כוונה נסתרת.</w:t>
      </w:r>
      <w:r w:rsidR="007E52E0" w:rsidRPr="004764F3">
        <w:rPr>
          <w:rStyle w:val="a5"/>
          <w:rFonts w:ascii="David" w:hAnsi="David" w:cs="David"/>
          <w:rtl/>
        </w:rPr>
        <w:footnoteReference w:id="9"/>
      </w:r>
      <w:r w:rsidRPr="004764F3">
        <w:rPr>
          <w:rFonts w:ascii="David" w:hAnsi="David" w:cs="David" w:hint="cs"/>
          <w:rtl/>
        </w:rPr>
        <w:t xml:space="preserve"> הוא קובע כי </w:t>
      </w:r>
      <w:r w:rsidR="000D12EB" w:rsidRPr="004764F3">
        <w:rPr>
          <w:rFonts w:ascii="David" w:hAnsi="David" w:cs="David" w:hint="cs"/>
          <w:rtl/>
        </w:rPr>
        <w:t xml:space="preserve">פשעים אשר להוכחתם נדרשת כוונה בסיסית, הינם פשעים שהגדרתם מבטאת ולעיתים קרובות אף </w:t>
      </w:r>
      <w:r w:rsidR="00D27901" w:rsidRPr="004764F3">
        <w:rPr>
          <w:rFonts w:ascii="David" w:hAnsi="David" w:cs="David" w:hint="cs"/>
          <w:rtl/>
        </w:rPr>
        <w:t>מרמזת</w:t>
      </w:r>
      <w:r w:rsidR="000D12EB" w:rsidRPr="004764F3">
        <w:rPr>
          <w:rFonts w:ascii="David" w:hAnsi="David" w:cs="David" w:hint="cs"/>
          <w:rtl/>
        </w:rPr>
        <w:t xml:space="preserve"> </w:t>
      </w:r>
      <w:r w:rsidR="00CB076E" w:rsidRPr="004764F3">
        <w:rPr>
          <w:rFonts w:ascii="David" w:hAnsi="David" w:cs="David" w:hint="cs"/>
          <w:rtl/>
        </w:rPr>
        <w:t>יסוד נפשי</w:t>
      </w:r>
      <w:r w:rsidR="00041D75" w:rsidRPr="004764F3">
        <w:rPr>
          <w:rFonts w:ascii="David" w:hAnsi="David" w:cs="David" w:hint="cs"/>
          <w:rtl/>
        </w:rPr>
        <w:t xml:space="preserve"> (</w:t>
      </w:r>
      <w:proofErr w:type="spellStart"/>
      <w:r w:rsidR="00041D75" w:rsidRPr="004764F3">
        <w:rPr>
          <w:rFonts w:ascii="David" w:hAnsi="David" w:cs="David" w:hint="cs"/>
          <w:rtl/>
          <w:lang w:bidi="he"/>
        </w:rPr>
        <w:t>mens</w:t>
      </w:r>
      <w:proofErr w:type="spellEnd"/>
      <w:r w:rsidR="00041D75" w:rsidRPr="004764F3">
        <w:rPr>
          <w:rFonts w:ascii="David" w:hAnsi="David" w:cs="David" w:hint="cs"/>
          <w:rtl/>
          <w:lang w:bidi="he"/>
        </w:rPr>
        <w:t xml:space="preserve"> </w:t>
      </w:r>
      <w:proofErr w:type="spellStart"/>
      <w:r w:rsidR="00041D75" w:rsidRPr="004764F3">
        <w:rPr>
          <w:rFonts w:ascii="David" w:hAnsi="David" w:cs="David" w:hint="cs"/>
          <w:rtl/>
          <w:lang w:bidi="he"/>
        </w:rPr>
        <w:t>rea</w:t>
      </w:r>
      <w:proofErr w:type="spellEnd"/>
      <w:r w:rsidR="00041D75" w:rsidRPr="004764F3">
        <w:rPr>
          <w:rFonts w:ascii="David" w:hAnsi="David" w:cs="David" w:hint="cs"/>
          <w:rtl/>
          <w:lang w:bidi="he"/>
        </w:rPr>
        <w:t>)</w:t>
      </w:r>
      <w:r w:rsidR="00041D75" w:rsidRPr="004764F3">
        <w:rPr>
          <w:rFonts w:ascii="David" w:hAnsi="David" w:cs="David" w:hint="cs"/>
          <w:rtl/>
        </w:rPr>
        <w:t xml:space="preserve"> שאינ</w:t>
      </w:r>
      <w:r w:rsidR="00691FCA" w:rsidRPr="004764F3">
        <w:rPr>
          <w:rFonts w:ascii="David" w:hAnsi="David" w:cs="David" w:hint="cs"/>
          <w:rtl/>
        </w:rPr>
        <w:t>ו</w:t>
      </w:r>
      <w:r w:rsidR="00041D75" w:rsidRPr="004764F3">
        <w:rPr>
          <w:rFonts w:ascii="David" w:hAnsi="David" w:cs="David" w:hint="cs"/>
          <w:rtl/>
        </w:rPr>
        <w:t xml:space="preserve"> </w:t>
      </w:r>
      <w:r w:rsidR="008D43D4" w:rsidRPr="004764F3">
        <w:rPr>
          <w:rFonts w:ascii="David" w:hAnsi="David" w:cs="David" w:hint="cs"/>
          <w:rtl/>
        </w:rPr>
        <w:t>משתרע מעבר</w:t>
      </w:r>
      <w:r w:rsidR="00041D75" w:rsidRPr="004764F3">
        <w:rPr>
          <w:rFonts w:ascii="David" w:hAnsi="David" w:cs="David" w:hint="cs"/>
          <w:rtl/>
        </w:rPr>
        <w:t xml:space="preserve"> </w:t>
      </w:r>
      <w:r w:rsidR="008D43D4" w:rsidRPr="004764F3">
        <w:rPr>
          <w:rFonts w:ascii="David" w:hAnsi="David" w:cs="David" w:hint="cs"/>
          <w:rtl/>
        </w:rPr>
        <w:t>ל</w:t>
      </w:r>
      <w:r w:rsidR="00041D75" w:rsidRPr="004764F3">
        <w:rPr>
          <w:rFonts w:ascii="David" w:hAnsi="David" w:cs="David" w:hint="cs"/>
          <w:rtl/>
        </w:rPr>
        <w:t>יסוד העובדתי (</w:t>
      </w:r>
      <w:proofErr w:type="spellStart"/>
      <w:r w:rsidR="00041D75" w:rsidRPr="004764F3">
        <w:rPr>
          <w:rFonts w:ascii="David" w:hAnsi="David" w:cs="David" w:hint="cs"/>
          <w:rtl/>
          <w:lang w:bidi="he"/>
        </w:rPr>
        <w:t>actus</w:t>
      </w:r>
      <w:proofErr w:type="spellEnd"/>
      <w:r w:rsidR="00041D75" w:rsidRPr="004764F3">
        <w:rPr>
          <w:rFonts w:ascii="David" w:hAnsi="David" w:cs="David" w:hint="cs"/>
          <w:rtl/>
          <w:lang w:bidi="he"/>
        </w:rPr>
        <w:t xml:space="preserve"> </w:t>
      </w:r>
      <w:proofErr w:type="spellStart"/>
      <w:r w:rsidR="00041D75" w:rsidRPr="004764F3">
        <w:rPr>
          <w:rFonts w:ascii="David" w:hAnsi="David" w:cs="David" w:hint="cs"/>
          <w:rtl/>
          <w:lang w:bidi="he"/>
        </w:rPr>
        <w:t>reus</w:t>
      </w:r>
      <w:proofErr w:type="spellEnd"/>
      <w:r w:rsidR="00041D75" w:rsidRPr="004764F3">
        <w:rPr>
          <w:rFonts w:ascii="David" w:hAnsi="David" w:cs="David" w:hint="cs"/>
          <w:rtl/>
          <w:lang w:bidi="he"/>
        </w:rPr>
        <w:t>)</w:t>
      </w:r>
      <w:r w:rsidR="00E13273" w:rsidRPr="004764F3">
        <w:rPr>
          <w:rFonts w:ascii="David" w:hAnsi="David" w:cs="David" w:hint="cs"/>
          <w:rtl/>
          <w:lang w:bidi="he"/>
        </w:rPr>
        <w:t>.</w:t>
      </w:r>
      <w:r w:rsidR="00711AE6" w:rsidRPr="004764F3">
        <w:rPr>
          <w:rFonts w:ascii="David" w:hAnsi="David" w:cs="David" w:hint="cs"/>
          <w:rtl/>
          <w:lang w:bidi="he"/>
        </w:rPr>
        <w:t xml:space="preserve"> כמו כן, הוא טוען כי בדרך כלל </w:t>
      </w:r>
      <w:r w:rsidR="009F025A" w:rsidRPr="004764F3">
        <w:rPr>
          <w:rFonts w:ascii="David" w:hAnsi="David" w:cs="David" w:hint="cs"/>
          <w:rtl/>
          <w:lang w:bidi="he"/>
        </w:rPr>
        <w:t>היסוד העובדתי</w:t>
      </w:r>
      <w:r w:rsidR="00711AE6" w:rsidRPr="004764F3">
        <w:rPr>
          <w:rFonts w:ascii="David" w:hAnsi="David" w:cs="David" w:hint="cs"/>
          <w:rtl/>
          <w:lang w:bidi="he"/>
        </w:rPr>
        <w:t xml:space="preserve"> מורכב ממעשה </w:t>
      </w:r>
      <w:r w:rsidR="00DA3FE4" w:rsidRPr="004764F3">
        <w:rPr>
          <w:rFonts w:ascii="David" w:hAnsi="David" w:cs="David" w:hint="cs"/>
          <w:rtl/>
          <w:lang w:bidi="he"/>
        </w:rPr>
        <w:t>ו</w:t>
      </w:r>
      <w:r w:rsidR="00691FCA" w:rsidRPr="004764F3">
        <w:rPr>
          <w:rFonts w:ascii="David" w:hAnsi="David" w:cs="David" w:hint="cs"/>
          <w:rtl/>
          <w:lang w:bidi="he"/>
        </w:rPr>
        <w:t>מתוצאה</w:t>
      </w:r>
      <w:r w:rsidR="00C839EE" w:rsidRPr="004764F3">
        <w:rPr>
          <w:rFonts w:ascii="David" w:hAnsi="David" w:cs="David" w:hint="cs"/>
          <w:rtl/>
          <w:lang w:bidi="he"/>
        </w:rPr>
        <w:t xml:space="preserve"> הנלווית לו</w:t>
      </w:r>
      <w:r w:rsidR="009F025A" w:rsidRPr="004764F3">
        <w:rPr>
          <w:rFonts w:ascii="David" w:hAnsi="David" w:cs="David" w:hint="cs"/>
          <w:rtl/>
          <w:lang w:bidi="he"/>
        </w:rPr>
        <w:t xml:space="preserve"> וכי בפשעים הדורשים כוונה בסיסית, ההשלכות עשויות להיות קשורות בקשר הדו</w:t>
      </w:r>
      <w:r w:rsidR="00F42982" w:rsidRPr="004764F3">
        <w:rPr>
          <w:rFonts w:ascii="David" w:hAnsi="David" w:cs="David" w:hint="cs"/>
          <w:rtl/>
          <w:lang w:bidi="he"/>
        </w:rPr>
        <w:t>ק</w:t>
      </w:r>
      <w:r w:rsidR="009F025A" w:rsidRPr="004764F3">
        <w:rPr>
          <w:rFonts w:ascii="David" w:hAnsi="David" w:cs="David" w:hint="cs"/>
          <w:rtl/>
          <w:lang w:bidi="he"/>
        </w:rPr>
        <w:t xml:space="preserve"> למעשה א</w:t>
      </w:r>
      <w:r w:rsidR="00F42982" w:rsidRPr="004764F3">
        <w:rPr>
          <w:rFonts w:ascii="David" w:hAnsi="David" w:cs="David" w:hint="cs"/>
          <w:rtl/>
          <w:lang w:bidi="he"/>
        </w:rPr>
        <w:t xml:space="preserve">ו קשורות באופן </w:t>
      </w:r>
      <w:r w:rsidR="00F42982" w:rsidRPr="0037071F">
        <w:rPr>
          <w:rFonts w:ascii="David" w:hAnsi="David" w:cs="David" w:hint="cs"/>
          <w:rtl/>
          <w:lang w:bidi="he"/>
        </w:rPr>
        <w:t xml:space="preserve">מרוחק יותר. </w:t>
      </w:r>
      <w:r w:rsidR="004462B1" w:rsidRPr="0037071F">
        <w:rPr>
          <w:rFonts w:ascii="David" w:hAnsi="David" w:cs="David" w:hint="cs"/>
          <w:rtl/>
          <w:lang w:bidi="he"/>
        </w:rPr>
        <w:t>לדוגמא,</w:t>
      </w:r>
      <w:r w:rsidR="006453B0" w:rsidRPr="0037071F">
        <w:rPr>
          <w:rFonts w:ascii="David" w:hAnsi="David" w:cs="David" w:hint="cs"/>
          <w:rtl/>
          <w:lang w:bidi="he"/>
        </w:rPr>
        <w:t xml:space="preserve"> </w:t>
      </w:r>
      <w:r w:rsidR="00A45EBE" w:rsidRPr="0037071F">
        <w:rPr>
          <w:rFonts w:ascii="David" w:hAnsi="David" w:cs="David" w:hint="cs"/>
          <w:rtl/>
          <w:lang w:bidi="he"/>
        </w:rPr>
        <w:t>ב</w:t>
      </w:r>
      <w:r w:rsidR="006453B0" w:rsidRPr="0037071F">
        <w:rPr>
          <w:rFonts w:ascii="David" w:hAnsi="David" w:cs="David" w:hint="cs"/>
          <w:rtl/>
          <w:lang w:bidi="he"/>
        </w:rPr>
        <w:t xml:space="preserve">עבירת התקיפה </w:t>
      </w:r>
      <w:r w:rsidR="00A45EBE" w:rsidRPr="0037071F">
        <w:rPr>
          <w:rFonts w:ascii="David" w:hAnsi="David" w:cs="David" w:hint="cs"/>
          <w:rtl/>
          <w:lang w:bidi="he"/>
        </w:rPr>
        <w:t>ההשלכות קשורות בקשר הדוק למעשה</w:t>
      </w:r>
      <w:r w:rsidR="00C210F0" w:rsidRPr="0037071F">
        <w:rPr>
          <w:rFonts w:ascii="David" w:hAnsi="David" w:cs="David" w:hint="cs"/>
          <w:rtl/>
          <w:lang w:bidi="he"/>
        </w:rPr>
        <w:t>,</w:t>
      </w:r>
      <w:r w:rsidR="00072443" w:rsidRPr="0037071F">
        <w:rPr>
          <w:rFonts w:ascii="David" w:hAnsi="David" w:cs="David" w:hint="cs"/>
          <w:rtl/>
          <w:lang w:bidi="he"/>
        </w:rPr>
        <w:t xml:space="preserve"> </w:t>
      </w:r>
      <w:r w:rsidR="004462B1" w:rsidRPr="0037071F">
        <w:rPr>
          <w:rFonts w:ascii="David" w:hAnsi="David" w:cs="David" w:hint="cs"/>
          <w:rtl/>
          <w:lang w:bidi="he"/>
        </w:rPr>
        <w:t>היסוד העובדתי של תקיפה הינו מעשה</w:t>
      </w:r>
      <w:r w:rsidR="001F04B3" w:rsidRPr="0037071F">
        <w:rPr>
          <w:rFonts w:ascii="David" w:hAnsi="David" w:cs="David" w:hint="cs"/>
          <w:rtl/>
          <w:lang w:bidi="he"/>
        </w:rPr>
        <w:t xml:space="preserve"> הגורם לאדם</w:t>
      </w:r>
      <w:r w:rsidR="00C84E5E" w:rsidRPr="0037071F">
        <w:rPr>
          <w:rFonts w:ascii="David" w:hAnsi="David" w:cs="David" w:hint="cs"/>
          <w:rtl/>
          <w:lang w:bidi="he"/>
        </w:rPr>
        <w:t xml:space="preserve"> אחר לחשוש</w:t>
      </w:r>
      <w:r w:rsidR="001F04B3" w:rsidRPr="0037071F">
        <w:rPr>
          <w:rFonts w:ascii="David" w:hAnsi="David" w:cs="David" w:hint="cs"/>
          <w:rtl/>
          <w:lang w:bidi="he"/>
        </w:rPr>
        <w:t xml:space="preserve"> </w:t>
      </w:r>
      <w:r w:rsidR="00C84E5E" w:rsidRPr="0037071F">
        <w:rPr>
          <w:rFonts w:ascii="David" w:hAnsi="David" w:cs="David" w:hint="cs"/>
          <w:rtl/>
          <w:lang w:bidi="he"/>
        </w:rPr>
        <w:t>מ</w:t>
      </w:r>
      <w:r w:rsidR="001F04B3" w:rsidRPr="0037071F">
        <w:rPr>
          <w:rFonts w:ascii="David" w:hAnsi="David" w:cs="David" w:hint="cs"/>
          <w:rtl/>
          <w:lang w:bidi="he"/>
        </w:rPr>
        <w:t>אלימות בלתי חוקית ומיידית</w:t>
      </w:r>
      <w:r w:rsidR="00EA3A3A" w:rsidRPr="0037071F">
        <w:rPr>
          <w:rFonts w:ascii="David" w:hAnsi="David" w:cs="David" w:hint="cs"/>
          <w:rtl/>
          <w:lang w:bidi="he"/>
        </w:rPr>
        <w:t>,</w:t>
      </w:r>
      <w:r w:rsidR="00072443" w:rsidRPr="0037071F">
        <w:rPr>
          <w:rFonts w:ascii="David" w:hAnsi="David" w:cs="David" w:hint="cs"/>
          <w:rtl/>
          <w:lang w:bidi="he"/>
        </w:rPr>
        <w:t xml:space="preserve"> בעוד </w:t>
      </w:r>
      <w:r w:rsidR="002026D9" w:rsidRPr="0037071F">
        <w:rPr>
          <w:rFonts w:ascii="David" w:hAnsi="David" w:cs="David" w:hint="cs"/>
          <w:rtl/>
        </w:rPr>
        <w:t>היסוד הנפשי הולם</w:t>
      </w:r>
      <w:r w:rsidR="00691C46" w:rsidRPr="0037071F">
        <w:rPr>
          <w:rFonts w:ascii="David" w:hAnsi="David" w:cs="David" w:hint="cs"/>
          <w:rtl/>
        </w:rPr>
        <w:t xml:space="preserve"> </w:t>
      </w:r>
      <w:r w:rsidR="002E4491" w:rsidRPr="0037071F">
        <w:rPr>
          <w:rFonts w:ascii="David" w:hAnsi="David" w:cs="David" w:hint="cs"/>
          <w:rtl/>
        </w:rPr>
        <w:t>זאת בדיוק</w:t>
      </w:r>
      <w:r w:rsidR="00072443" w:rsidRPr="0037071F">
        <w:rPr>
          <w:rFonts w:ascii="David" w:hAnsi="David" w:cs="David" w:hint="cs"/>
          <w:rtl/>
        </w:rPr>
        <w:t xml:space="preserve">. דוגמא </w:t>
      </w:r>
      <w:r w:rsidR="006D2740" w:rsidRPr="0037071F">
        <w:rPr>
          <w:rFonts w:ascii="David" w:hAnsi="David" w:cs="David" w:hint="cs"/>
          <w:rtl/>
        </w:rPr>
        <w:t>לעבירה אשר בה ההשלכות קשורות למעשה</w:t>
      </w:r>
      <w:r w:rsidR="00EA3A3A" w:rsidRPr="0037071F">
        <w:rPr>
          <w:rFonts w:ascii="David" w:hAnsi="David" w:cs="David" w:hint="cs"/>
          <w:rtl/>
        </w:rPr>
        <w:t xml:space="preserve"> אך</w:t>
      </w:r>
      <w:r w:rsidR="006D2740" w:rsidRPr="0037071F">
        <w:rPr>
          <w:rFonts w:ascii="David" w:hAnsi="David" w:cs="David" w:hint="cs"/>
          <w:rtl/>
        </w:rPr>
        <w:t xml:space="preserve"> באופן מרוחק יותר הינה עבירה</w:t>
      </w:r>
      <w:r w:rsidR="006D2740" w:rsidRPr="004764F3">
        <w:rPr>
          <w:rFonts w:ascii="David" w:hAnsi="David" w:cs="David" w:hint="cs"/>
          <w:rtl/>
        </w:rPr>
        <w:t xml:space="preserve"> של פציעה שלא כדין</w:t>
      </w:r>
      <w:r w:rsidR="0060602B" w:rsidRPr="004764F3">
        <w:rPr>
          <w:rFonts w:ascii="David" w:hAnsi="David" w:cs="David" w:hint="cs"/>
          <w:rtl/>
        </w:rPr>
        <w:t xml:space="preserve">. נניח כי הפעולה הינה לחיצה על ההדק, </w:t>
      </w:r>
      <w:r w:rsidR="0088313D" w:rsidRPr="004764F3">
        <w:rPr>
          <w:rFonts w:ascii="David" w:hAnsi="David" w:cs="David" w:hint="cs"/>
          <w:rtl/>
        </w:rPr>
        <w:t xml:space="preserve">במצב זה ישנן מספר השלכות כימיות, מכניות, בליסטיות ופיזיולוגיות בטרם </w:t>
      </w:r>
      <w:r w:rsidR="0063208F" w:rsidRPr="004764F3">
        <w:rPr>
          <w:rFonts w:ascii="David" w:hAnsi="David" w:cs="David" w:hint="cs"/>
          <w:rtl/>
        </w:rPr>
        <w:t>פציעתו של אדם בנסיבות שאינן מוצדקות לפי החוק</w:t>
      </w:r>
      <w:r w:rsidR="0052399E" w:rsidRPr="004764F3">
        <w:rPr>
          <w:rFonts w:ascii="David" w:hAnsi="David" w:cs="David" w:hint="cs"/>
          <w:rtl/>
        </w:rPr>
        <w:t>, היינו בטרם הושגה התוצאה הכרוכה ביסוד העובדתי אך גם כאן, המחשבה הפלילית מת</w:t>
      </w:r>
      <w:r w:rsidR="00C210F0" w:rsidRPr="004764F3">
        <w:rPr>
          <w:rFonts w:ascii="David" w:hAnsi="David" w:cs="David" w:hint="cs"/>
          <w:rtl/>
        </w:rPr>
        <w:t>כת</w:t>
      </w:r>
      <w:r w:rsidR="0052399E" w:rsidRPr="004764F3">
        <w:rPr>
          <w:rFonts w:ascii="David" w:hAnsi="David" w:cs="David" w:hint="cs"/>
          <w:rtl/>
        </w:rPr>
        <w:t>בת בקירוב ליסוד העובדתי</w:t>
      </w:r>
      <w:r w:rsidR="00845B61" w:rsidRPr="004764F3">
        <w:rPr>
          <w:rFonts w:ascii="David" w:hAnsi="David" w:cs="David" w:hint="cs"/>
          <w:rtl/>
        </w:rPr>
        <w:t xml:space="preserve">. </w:t>
      </w:r>
    </w:p>
    <w:p w14:paraId="38CC278F" w14:textId="77777777" w:rsidR="00691FCA" w:rsidRPr="004764F3" w:rsidRDefault="00691FCA" w:rsidP="007E4E3B">
      <w:pPr>
        <w:bidi/>
        <w:spacing w:line="276" w:lineRule="auto"/>
        <w:jc w:val="both"/>
        <w:rPr>
          <w:rFonts w:ascii="David" w:hAnsi="David" w:cs="David"/>
          <w:rtl/>
        </w:rPr>
      </w:pPr>
    </w:p>
    <w:p w14:paraId="68B2C2BB" w14:textId="42C736F4" w:rsidR="00FA6F55" w:rsidRPr="004764F3" w:rsidRDefault="0037071F" w:rsidP="007E4E3B">
      <w:pPr>
        <w:bidi/>
        <w:spacing w:line="276" w:lineRule="auto"/>
        <w:jc w:val="both"/>
        <w:rPr>
          <w:rFonts w:ascii="David" w:hAnsi="David" w:cs="David"/>
          <w:rtl/>
        </w:rPr>
      </w:pPr>
      <w:r>
        <w:rPr>
          <w:rFonts w:ascii="David" w:hAnsi="David" w:cs="David" w:hint="cs"/>
          <w:rtl/>
        </w:rPr>
        <w:t xml:space="preserve">בהמשך דבריו, מציין הלורד כי </w:t>
      </w:r>
      <w:r w:rsidR="00CB076E" w:rsidRPr="004764F3">
        <w:rPr>
          <w:rFonts w:ascii="David" w:hAnsi="David" w:cs="David" w:hint="cs"/>
          <w:rtl/>
        </w:rPr>
        <w:t xml:space="preserve">הוכחת היסוד </w:t>
      </w:r>
      <w:r w:rsidR="002026D9" w:rsidRPr="004764F3">
        <w:rPr>
          <w:rFonts w:ascii="David" w:hAnsi="David" w:cs="David" w:hint="cs"/>
          <w:rtl/>
        </w:rPr>
        <w:t>העובדתי</w:t>
      </w:r>
      <w:r w:rsidR="00CB076E" w:rsidRPr="004764F3">
        <w:rPr>
          <w:rFonts w:ascii="David" w:hAnsi="David" w:cs="David" w:hint="cs"/>
          <w:rtl/>
        </w:rPr>
        <w:t xml:space="preserve"> מעלה בדרך כלל הנחה של יסוד </w:t>
      </w:r>
      <w:r w:rsidR="002026D9" w:rsidRPr="004764F3">
        <w:rPr>
          <w:rFonts w:ascii="David" w:hAnsi="David" w:cs="David" w:hint="cs"/>
          <w:rtl/>
        </w:rPr>
        <w:t xml:space="preserve">נפשי </w:t>
      </w:r>
      <w:r w:rsidR="00EC1BA6" w:rsidRPr="004764F3">
        <w:rPr>
          <w:rFonts w:ascii="David" w:hAnsi="David" w:cs="David" w:hint="cs"/>
          <w:rtl/>
        </w:rPr>
        <w:t>מקבי</w:t>
      </w:r>
      <w:r w:rsidR="009E1200" w:rsidRPr="004764F3">
        <w:rPr>
          <w:rFonts w:ascii="David" w:hAnsi="David" w:cs="David" w:hint="cs"/>
          <w:rtl/>
        </w:rPr>
        <w:t>ל</w:t>
      </w:r>
      <w:r w:rsidR="00D7605D" w:rsidRPr="004764F3">
        <w:rPr>
          <w:rFonts w:ascii="David" w:hAnsi="David" w:cs="David" w:hint="cs"/>
          <w:rtl/>
        </w:rPr>
        <w:t xml:space="preserve"> היינו, מעשה המתבצע בדרך כלל תוך ראיית הנולד </w:t>
      </w:r>
      <w:r w:rsidR="00EC1BA6" w:rsidRPr="004764F3">
        <w:rPr>
          <w:rFonts w:ascii="David" w:hAnsi="David" w:cs="David" w:hint="cs"/>
          <w:rtl/>
        </w:rPr>
        <w:t xml:space="preserve">של השלכותיו הסבירות. </w:t>
      </w:r>
      <w:r w:rsidR="001C23AE" w:rsidRPr="004764F3">
        <w:rPr>
          <w:rFonts w:ascii="David" w:hAnsi="David" w:cs="David" w:hint="cs"/>
          <w:rtl/>
        </w:rPr>
        <w:t>הלורד מציין כי הוא מדגיש את ה</w:t>
      </w:r>
      <w:r w:rsidR="00993E49" w:rsidRPr="004764F3">
        <w:rPr>
          <w:rFonts w:ascii="David" w:hAnsi="David" w:cs="David" w:hint="cs"/>
          <w:rtl/>
        </w:rPr>
        <w:t>מילים ״בדרך כלל״ מכיוון שבנסיבות מסוימות</w:t>
      </w:r>
      <w:r w:rsidR="003F1C8C" w:rsidRPr="004764F3">
        <w:rPr>
          <w:rFonts w:ascii="David" w:hAnsi="David" w:cs="David" w:hint="cs"/>
          <w:rtl/>
        </w:rPr>
        <w:t xml:space="preserve"> ההיסק</w:t>
      </w:r>
      <w:r w:rsidR="00993E49" w:rsidRPr="004764F3">
        <w:rPr>
          <w:rFonts w:ascii="David" w:hAnsi="David" w:cs="David" w:hint="cs"/>
          <w:rtl/>
        </w:rPr>
        <w:t xml:space="preserve"> </w:t>
      </w:r>
      <w:r w:rsidR="003F1C8C" w:rsidRPr="004764F3">
        <w:rPr>
          <w:rFonts w:ascii="David" w:hAnsi="David" w:cs="David" w:hint="cs"/>
          <w:rtl/>
        </w:rPr>
        <w:t>אינו</w:t>
      </w:r>
      <w:r w:rsidR="00993E49" w:rsidRPr="004764F3">
        <w:rPr>
          <w:rFonts w:ascii="David" w:hAnsi="David" w:cs="David" w:hint="cs"/>
          <w:rtl/>
        </w:rPr>
        <w:t xml:space="preserve"> יכול להיות טבעי. </w:t>
      </w:r>
      <w:r w:rsidR="004A223F" w:rsidRPr="004764F3">
        <w:rPr>
          <w:rFonts w:ascii="David" w:hAnsi="David" w:cs="David" w:hint="cs"/>
          <w:rtl/>
        </w:rPr>
        <w:t>כך למשל,</w:t>
      </w:r>
      <w:r w:rsidR="00DD4F40" w:rsidRPr="004764F3">
        <w:rPr>
          <w:rFonts w:ascii="David" w:hAnsi="David" w:cs="David" w:hint="cs"/>
          <w:rtl/>
        </w:rPr>
        <w:t xml:space="preserve"> </w:t>
      </w:r>
      <w:r w:rsidR="004C3FE0" w:rsidRPr="004764F3">
        <w:rPr>
          <w:rFonts w:ascii="David" w:hAnsi="David" w:cs="David" w:hint="cs"/>
          <w:rtl/>
        </w:rPr>
        <w:t>הוכחה כי</w:t>
      </w:r>
      <w:r w:rsidR="007D220D" w:rsidRPr="004764F3">
        <w:rPr>
          <w:rFonts w:ascii="David" w:hAnsi="David" w:cs="David" w:hint="cs"/>
          <w:rtl/>
        </w:rPr>
        <w:t xml:space="preserve"> הנאשם ד</w:t>
      </w:r>
      <w:r w:rsidR="00DD4F40" w:rsidRPr="004764F3">
        <w:rPr>
          <w:rFonts w:ascii="David" w:hAnsi="David" w:cs="David" w:hint="cs"/>
          <w:rtl/>
        </w:rPr>
        <w:t>ח</w:t>
      </w:r>
      <w:r w:rsidR="007D220D" w:rsidRPr="004764F3">
        <w:rPr>
          <w:rFonts w:ascii="David" w:hAnsi="David" w:cs="David" w:hint="cs"/>
          <w:rtl/>
        </w:rPr>
        <w:t xml:space="preserve">ף את מרפקו </w:t>
      </w:r>
      <w:r w:rsidR="00DD4F40" w:rsidRPr="004764F3">
        <w:rPr>
          <w:rFonts w:ascii="David" w:hAnsi="David" w:cs="David" w:hint="cs"/>
          <w:rtl/>
        </w:rPr>
        <w:t>בחוזקה לתוך בטנו של אדם זר ברכבת צפופה</w:t>
      </w:r>
      <w:r w:rsidR="00300C5F" w:rsidRPr="004764F3">
        <w:rPr>
          <w:rFonts w:ascii="David" w:hAnsi="David" w:cs="David" w:hint="cs"/>
          <w:rtl/>
        </w:rPr>
        <w:t xml:space="preserve"> עשויה להוביל למסקנה שונה באשר לכוונת הנאשם</w:t>
      </w:r>
      <w:r w:rsidR="005670E4" w:rsidRPr="004764F3">
        <w:rPr>
          <w:rFonts w:ascii="David" w:hAnsi="David" w:cs="David" w:hint="cs"/>
          <w:rtl/>
        </w:rPr>
        <w:t>,</w:t>
      </w:r>
      <w:r w:rsidR="00300C5F" w:rsidRPr="004764F3">
        <w:rPr>
          <w:rFonts w:ascii="David" w:hAnsi="David" w:cs="David" w:hint="cs"/>
          <w:rtl/>
        </w:rPr>
        <w:t xml:space="preserve"> מאשר הוכחה כי עשה את אותו מעשה </w:t>
      </w:r>
      <w:r w:rsidR="00346A80" w:rsidRPr="004764F3">
        <w:rPr>
          <w:rFonts w:ascii="David" w:hAnsi="David" w:cs="David" w:hint="cs"/>
          <w:rtl/>
        </w:rPr>
        <w:t>כאשר היה לבדו עם הזר במהלך ויכוח זועם.</w:t>
      </w:r>
      <w:r w:rsidR="008331DF" w:rsidRPr="004764F3">
        <w:rPr>
          <w:rFonts w:ascii="David" w:hAnsi="David" w:cs="David" w:hint="cs"/>
          <w:rtl/>
        </w:rPr>
        <w:t xml:space="preserve"> </w:t>
      </w:r>
      <w:r w:rsidR="007B5CFC" w:rsidRPr="004764F3">
        <w:rPr>
          <w:rFonts w:ascii="David" w:hAnsi="David" w:cs="David" w:hint="cs"/>
          <w:rtl/>
          <w:lang w:bidi="he"/>
        </w:rPr>
        <w:t>אם הפשע הוא בעל כוונה בסיסית, כך שה</w:t>
      </w:r>
      <w:r w:rsidR="00FA6F55" w:rsidRPr="004764F3">
        <w:rPr>
          <w:rFonts w:ascii="David" w:hAnsi="David" w:cs="David" w:hint="cs"/>
          <w:rtl/>
          <w:lang w:bidi="he"/>
        </w:rPr>
        <w:t xml:space="preserve">יסוד הנפשי אינו </w:t>
      </w:r>
      <w:r w:rsidR="00C51453" w:rsidRPr="004764F3">
        <w:rPr>
          <w:rFonts w:ascii="David" w:hAnsi="David" w:cs="David" w:hint="cs"/>
          <w:rtl/>
          <w:lang w:bidi="he"/>
        </w:rPr>
        <w:t>משתרע</w:t>
      </w:r>
      <w:r w:rsidR="00FA6F55" w:rsidRPr="004764F3">
        <w:rPr>
          <w:rFonts w:ascii="David" w:hAnsi="David" w:cs="David" w:hint="cs"/>
          <w:rtl/>
          <w:lang w:bidi="he"/>
        </w:rPr>
        <w:t xml:space="preserve"> מעבר ליסוד העובדתי, הוכחת היסוד העובדתי היא, בדרך כלל, הוכחה מספקת </w:t>
      </w:r>
      <w:r w:rsidR="00C51453" w:rsidRPr="004764F3">
        <w:rPr>
          <w:rFonts w:ascii="David" w:hAnsi="David" w:cs="David" w:hint="cs"/>
          <w:rtl/>
          <w:lang w:bidi="he"/>
        </w:rPr>
        <w:t xml:space="preserve">לכאורה </w:t>
      </w:r>
      <w:r w:rsidR="00FA6F55" w:rsidRPr="004764F3">
        <w:rPr>
          <w:rFonts w:ascii="David" w:hAnsi="David" w:cs="David" w:hint="cs"/>
          <w:rtl/>
          <w:lang w:bidi="he"/>
        </w:rPr>
        <w:t xml:space="preserve">של היסוד הנפשי. </w:t>
      </w:r>
      <w:r w:rsidR="00E15C0B" w:rsidRPr="004764F3">
        <w:rPr>
          <w:rFonts w:ascii="David" w:hAnsi="David" w:cs="David" w:hint="cs"/>
          <w:rtl/>
          <w:lang w:bidi="he"/>
        </w:rPr>
        <w:t>כך, אם תוכיח התביעה כי הנאשם לחץ על הדק הנשק ובכך, פצע קורבן, לרוב תהא זו הוכחה מספקת לא רק ליסוד העובדתי של עבירת פציעה שלא כדין</w:t>
      </w:r>
      <w:r w:rsidR="00760503" w:rsidRPr="004764F3">
        <w:rPr>
          <w:rFonts w:ascii="David" w:hAnsi="David" w:cs="David" w:hint="cs"/>
          <w:rtl/>
          <w:lang w:bidi="he"/>
        </w:rPr>
        <w:t>,</w:t>
      </w:r>
      <w:r w:rsidR="00E15C0B" w:rsidRPr="004764F3">
        <w:rPr>
          <w:rFonts w:ascii="David" w:hAnsi="David" w:cs="David" w:hint="cs"/>
          <w:rtl/>
          <w:lang w:bidi="he"/>
        </w:rPr>
        <w:t xml:space="preserve"> אלא </w:t>
      </w:r>
      <w:r w:rsidR="00F22CD1" w:rsidRPr="004764F3">
        <w:rPr>
          <w:rFonts w:ascii="David" w:hAnsi="David" w:cs="David" w:hint="cs"/>
          <w:rtl/>
          <w:lang w:bidi="he"/>
        </w:rPr>
        <w:t>גם ליסוד הנפשי ה</w:t>
      </w:r>
      <w:r w:rsidR="00760503" w:rsidRPr="004764F3">
        <w:rPr>
          <w:rFonts w:ascii="David" w:hAnsi="David" w:cs="David" w:hint="cs"/>
          <w:rtl/>
          <w:lang w:bidi="he"/>
        </w:rPr>
        <w:t>נדרש</w:t>
      </w:r>
      <w:r w:rsidR="00F22CD1" w:rsidRPr="004764F3">
        <w:rPr>
          <w:rFonts w:ascii="David" w:hAnsi="David" w:cs="David" w:hint="cs"/>
          <w:rtl/>
          <w:lang w:bidi="he"/>
        </w:rPr>
        <w:t xml:space="preserve">. עם זאת, </w:t>
      </w:r>
      <w:r w:rsidR="00D9513D" w:rsidRPr="004764F3">
        <w:rPr>
          <w:rFonts w:ascii="David" w:hAnsi="David" w:cs="David" w:hint="cs"/>
          <w:rtl/>
          <w:lang w:bidi="he"/>
        </w:rPr>
        <w:t xml:space="preserve">כאשר הפשע הינו של כוונה נסתרת, הוכחת היסוד העובדתי מספרת מעט על היסוד </w:t>
      </w:r>
      <w:r w:rsidR="00D9513D" w:rsidRPr="004764F3">
        <w:rPr>
          <w:rFonts w:ascii="David" w:hAnsi="David" w:cs="David" w:hint="cs"/>
          <w:color w:val="000000" w:themeColor="text1"/>
          <w:rtl/>
          <w:lang w:bidi="he"/>
        </w:rPr>
        <w:t>הנפשי</w:t>
      </w:r>
      <w:r w:rsidR="008331DF" w:rsidRPr="004764F3">
        <w:rPr>
          <w:rFonts w:ascii="David" w:hAnsi="David" w:cs="David" w:hint="cs"/>
          <w:color w:val="000000" w:themeColor="text1"/>
          <w:rtl/>
          <w:lang w:bidi="he"/>
        </w:rPr>
        <w:t xml:space="preserve"> ככל </w:t>
      </w:r>
      <w:r w:rsidR="008331DF" w:rsidRPr="004764F3">
        <w:rPr>
          <w:rFonts w:ascii="David" w:hAnsi="David" w:cs="David" w:hint="cs"/>
          <w:rtl/>
          <w:lang w:bidi="he"/>
        </w:rPr>
        <w:t>שהיא משתרעת מע</w:t>
      </w:r>
      <w:r w:rsidR="00253894" w:rsidRPr="004764F3">
        <w:rPr>
          <w:rFonts w:ascii="David" w:hAnsi="David" w:cs="David" w:hint="cs"/>
          <w:rtl/>
          <w:lang w:bidi="he"/>
        </w:rPr>
        <w:t>בר</w:t>
      </w:r>
      <w:r w:rsidR="008331DF" w:rsidRPr="004764F3">
        <w:rPr>
          <w:rFonts w:ascii="David" w:hAnsi="David" w:cs="David" w:hint="cs"/>
          <w:rtl/>
          <w:lang w:bidi="he"/>
        </w:rPr>
        <w:t xml:space="preserve"> ליסוד העובדתי</w:t>
      </w:r>
      <w:r w:rsidR="00D9513D" w:rsidRPr="004764F3">
        <w:rPr>
          <w:rFonts w:ascii="David" w:hAnsi="David" w:cs="David" w:hint="cs"/>
          <w:rtl/>
          <w:lang w:bidi="he"/>
        </w:rPr>
        <w:t xml:space="preserve"> ולכן, הוכחה כי א׳ פצע את ב׳, ולו במתכוון, אינה מקימה כשלעצמה חזקה כי א׳ התכוון בכך לגרום </w:t>
      </w:r>
      <w:r w:rsidR="008331DF" w:rsidRPr="004764F3">
        <w:rPr>
          <w:rFonts w:ascii="David" w:hAnsi="David" w:cs="David" w:hint="cs"/>
          <w:rtl/>
          <w:lang w:bidi="he"/>
        </w:rPr>
        <w:t xml:space="preserve">לפגיעה גופנית חמורה ב-ב׳. </w:t>
      </w:r>
    </w:p>
    <w:p w14:paraId="30776297" w14:textId="5148C9FB" w:rsidR="009B2B59" w:rsidRPr="004764F3" w:rsidRDefault="009B2B59" w:rsidP="007E4E3B">
      <w:pPr>
        <w:bidi/>
        <w:spacing w:line="276" w:lineRule="auto"/>
        <w:jc w:val="both"/>
        <w:rPr>
          <w:rFonts w:ascii="David" w:hAnsi="David" w:cs="David"/>
          <w:rtl/>
        </w:rPr>
      </w:pPr>
    </w:p>
    <w:p w14:paraId="5025AB07" w14:textId="56126E49" w:rsidR="004928DF" w:rsidRPr="004764F3" w:rsidRDefault="00575DF8" w:rsidP="007E4E3B">
      <w:pPr>
        <w:bidi/>
        <w:spacing w:line="276" w:lineRule="auto"/>
        <w:jc w:val="both"/>
        <w:rPr>
          <w:rFonts w:ascii="David" w:hAnsi="David" w:cs="David"/>
          <w:rtl/>
        </w:rPr>
      </w:pPr>
      <w:r w:rsidRPr="000E0CFA">
        <w:rPr>
          <w:rFonts w:ascii="David" w:hAnsi="David" w:cs="David" w:hint="cs"/>
          <w:b/>
          <w:bCs/>
          <w:rtl/>
        </w:rPr>
        <w:t>כפי שנאמר בפס״ד מורגן,</w:t>
      </w:r>
      <w:r w:rsidRPr="004764F3">
        <w:rPr>
          <w:rFonts w:ascii="David" w:hAnsi="David" w:cs="David" w:hint="cs"/>
          <w:rtl/>
        </w:rPr>
        <w:t xml:space="preserve"> עבירת התקיפה במשפט המקובל </w:t>
      </w:r>
      <w:r w:rsidR="001D24E6" w:rsidRPr="004764F3">
        <w:rPr>
          <w:rFonts w:ascii="David" w:hAnsi="David" w:cs="David" w:hint="cs"/>
          <w:rtl/>
        </w:rPr>
        <w:t xml:space="preserve">הינה עבירה הדורשת כוונה כללית. </w:t>
      </w:r>
      <w:r w:rsidR="009E7AA7" w:rsidRPr="004764F3">
        <w:rPr>
          <w:rFonts w:ascii="David" w:hAnsi="David" w:cs="David" w:hint="cs"/>
          <w:rtl/>
        </w:rPr>
        <w:t>ביהמ״ש במינסוטה נדרש לשאלה האם עבירת התקיפה (</w:t>
      </w:r>
      <w:r w:rsidR="009E7AA7" w:rsidRPr="004764F3">
        <w:rPr>
          <w:rFonts w:ascii="David" w:hAnsi="David" w:cs="David"/>
        </w:rPr>
        <w:t>an assault-harm offense</w:t>
      </w:r>
      <w:r w:rsidR="009E7AA7" w:rsidRPr="004764F3">
        <w:rPr>
          <w:rFonts w:ascii="David" w:hAnsi="David" w:cs="David" w:hint="cs"/>
          <w:rtl/>
        </w:rPr>
        <w:t>)</w:t>
      </w:r>
      <w:r w:rsidR="006D61AD" w:rsidRPr="004764F3">
        <w:rPr>
          <w:rFonts w:ascii="David" w:hAnsi="David" w:cs="David" w:hint="cs"/>
          <w:rtl/>
        </w:rPr>
        <w:t xml:space="preserve"> </w:t>
      </w:r>
      <w:r w:rsidR="009E7AA7" w:rsidRPr="004764F3">
        <w:rPr>
          <w:rFonts w:ascii="David" w:hAnsi="David" w:cs="David" w:hint="cs"/>
          <w:rtl/>
        </w:rPr>
        <w:t xml:space="preserve">הינה עבירת כוונה </w:t>
      </w:r>
      <w:r w:rsidR="007C14B6" w:rsidRPr="004764F3">
        <w:rPr>
          <w:rFonts w:ascii="David" w:hAnsi="David" w:cs="David" w:hint="cs"/>
          <w:rtl/>
        </w:rPr>
        <w:t>ספציפית</w:t>
      </w:r>
      <w:r w:rsidR="009E7AA7" w:rsidRPr="004764F3">
        <w:rPr>
          <w:rFonts w:ascii="David" w:hAnsi="David" w:cs="David" w:hint="cs"/>
          <w:rtl/>
        </w:rPr>
        <w:t xml:space="preserve"> או שמא עבירת כוונה כללית</w:t>
      </w:r>
      <w:r w:rsidR="00FD3DAA" w:rsidRPr="004764F3">
        <w:rPr>
          <w:rFonts w:ascii="David" w:hAnsi="David" w:cs="David" w:hint="cs"/>
          <w:rtl/>
        </w:rPr>
        <w:t>.</w:t>
      </w:r>
      <w:r w:rsidR="004A3D2E" w:rsidRPr="004764F3">
        <w:rPr>
          <w:rStyle w:val="a5"/>
          <w:rFonts w:ascii="David" w:hAnsi="David" w:cs="David"/>
          <w:rtl/>
        </w:rPr>
        <w:footnoteReference w:id="10"/>
      </w:r>
      <w:r w:rsidR="00CC75DE" w:rsidRPr="004764F3">
        <w:rPr>
          <w:rFonts w:ascii="David" w:hAnsi="David" w:cs="David" w:hint="cs"/>
          <w:rtl/>
        </w:rPr>
        <w:t xml:space="preserve"> </w:t>
      </w:r>
      <w:r w:rsidR="006F407A" w:rsidRPr="004764F3">
        <w:rPr>
          <w:rFonts w:ascii="David" w:hAnsi="David" w:cs="David" w:hint="cs"/>
          <w:rtl/>
        </w:rPr>
        <w:t xml:space="preserve">נקבע כי </w:t>
      </w:r>
      <w:r w:rsidR="00FD3DAA" w:rsidRPr="004764F3">
        <w:rPr>
          <w:rFonts w:ascii="David" w:hAnsi="David" w:cs="David" w:hint="cs"/>
          <w:rtl/>
        </w:rPr>
        <w:t>עבירת התקיפה</w:t>
      </w:r>
      <w:r w:rsidR="00CB0C3A" w:rsidRPr="004764F3">
        <w:rPr>
          <w:rFonts w:ascii="David" w:hAnsi="David" w:cs="David" w:hint="cs"/>
          <w:rtl/>
        </w:rPr>
        <w:t xml:space="preserve"> תתגבש</w:t>
      </w:r>
      <w:r w:rsidR="00AC525F" w:rsidRPr="004764F3">
        <w:rPr>
          <w:rFonts w:ascii="David" w:hAnsi="David" w:cs="David" w:hint="cs"/>
          <w:rtl/>
        </w:rPr>
        <w:t xml:space="preserve"> בעשיית מעשה בכוונה לגרום פחד או חשש לאחר מפני נזק גוף </w:t>
      </w:r>
      <w:proofErr w:type="spellStart"/>
      <w:r w:rsidR="00AC525F" w:rsidRPr="004764F3">
        <w:rPr>
          <w:rFonts w:ascii="David" w:hAnsi="David" w:cs="David" w:hint="cs"/>
          <w:rtl/>
        </w:rPr>
        <w:t>מי</w:t>
      </w:r>
      <w:r w:rsidR="006F407A" w:rsidRPr="004764F3">
        <w:rPr>
          <w:rFonts w:ascii="David" w:hAnsi="David" w:cs="David" w:hint="cs"/>
          <w:rtl/>
        </w:rPr>
        <w:t>י</w:t>
      </w:r>
      <w:r w:rsidR="00AC525F" w:rsidRPr="004764F3">
        <w:rPr>
          <w:rFonts w:ascii="David" w:hAnsi="David" w:cs="David" w:hint="cs"/>
          <w:rtl/>
        </w:rPr>
        <w:t>ד</w:t>
      </w:r>
      <w:r w:rsidR="006A4CE8" w:rsidRPr="004764F3">
        <w:rPr>
          <w:rFonts w:ascii="David" w:hAnsi="David" w:cs="David" w:hint="cs"/>
          <w:rtl/>
        </w:rPr>
        <w:t>י</w:t>
      </w:r>
      <w:proofErr w:type="spellEnd"/>
      <w:r w:rsidR="006A4CE8" w:rsidRPr="004764F3">
        <w:rPr>
          <w:rFonts w:ascii="David" w:hAnsi="David" w:cs="David" w:hint="cs"/>
          <w:rtl/>
        </w:rPr>
        <w:t>, וכי</w:t>
      </w:r>
      <w:r w:rsidR="00BA2048" w:rsidRPr="004764F3">
        <w:rPr>
          <w:rFonts w:ascii="David" w:hAnsi="David" w:cs="David" w:hint="cs"/>
          <w:rtl/>
        </w:rPr>
        <w:t xml:space="preserve"> </w:t>
      </w:r>
      <w:r w:rsidR="00104377" w:rsidRPr="004764F3">
        <w:rPr>
          <w:rFonts w:ascii="David" w:hAnsi="David" w:cs="David" w:hint="cs"/>
          <w:rtl/>
        </w:rPr>
        <w:t xml:space="preserve">אין </w:t>
      </w:r>
      <w:r w:rsidR="006A4CE8" w:rsidRPr="004764F3">
        <w:rPr>
          <w:rFonts w:ascii="David" w:hAnsi="David" w:cs="David" w:hint="cs"/>
          <w:rtl/>
        </w:rPr>
        <w:t>העבירה אינה דורשת</w:t>
      </w:r>
      <w:r w:rsidR="00BA2048" w:rsidRPr="004764F3">
        <w:rPr>
          <w:rFonts w:ascii="David" w:hAnsi="David" w:cs="David" w:hint="cs"/>
          <w:rtl/>
        </w:rPr>
        <w:t xml:space="preserve"> ממצא של פגיעה ממשית בקורבן</w:t>
      </w:r>
      <w:r w:rsidR="00104377" w:rsidRPr="004764F3">
        <w:rPr>
          <w:rFonts w:ascii="David" w:hAnsi="David" w:cs="David" w:hint="cs"/>
          <w:rtl/>
        </w:rPr>
        <w:t xml:space="preserve">. המחוקק הגדיר את עבירת התקיפה </w:t>
      </w:r>
      <w:r w:rsidR="00FD3DAA" w:rsidRPr="004764F3">
        <w:rPr>
          <w:rFonts w:ascii="David" w:hAnsi="David" w:cs="David" w:hint="cs"/>
          <w:rtl/>
        </w:rPr>
        <w:t>כדלקמן</w:t>
      </w:r>
      <w:r w:rsidR="0027249A" w:rsidRPr="004764F3">
        <w:rPr>
          <w:rFonts w:ascii="David" w:hAnsi="David" w:cs="David" w:hint="cs"/>
          <w:rtl/>
        </w:rPr>
        <w:t xml:space="preserve">: </w:t>
      </w:r>
      <w:r w:rsidR="00FD3DAA" w:rsidRPr="004764F3">
        <w:rPr>
          <w:rFonts w:ascii="David" w:hAnsi="David" w:cs="David" w:hint="cs"/>
          <w:rtl/>
        </w:rPr>
        <w:t>״גרימת כאב מכוונת של... נזק גופני לאחר״</w:t>
      </w:r>
      <w:r w:rsidR="006F407A" w:rsidRPr="004764F3">
        <w:rPr>
          <w:rFonts w:ascii="David" w:hAnsi="David" w:cs="David" w:hint="cs"/>
          <w:rtl/>
        </w:rPr>
        <w:t>.</w:t>
      </w:r>
      <w:r w:rsidR="001578CB" w:rsidRPr="004764F3">
        <w:rPr>
          <w:rStyle w:val="a5"/>
          <w:rFonts w:ascii="David" w:hAnsi="David" w:cs="David"/>
          <w:rtl/>
        </w:rPr>
        <w:footnoteReference w:id="11"/>
      </w:r>
      <w:r w:rsidR="0027249A" w:rsidRPr="004764F3">
        <w:rPr>
          <w:rFonts w:ascii="David" w:hAnsi="David" w:cs="David" w:hint="cs"/>
          <w:rtl/>
        </w:rPr>
        <w:t xml:space="preserve"> בימה״ש הכריע כי </w:t>
      </w:r>
      <w:r w:rsidR="00CC75DE" w:rsidRPr="004764F3">
        <w:rPr>
          <w:rFonts w:ascii="David" w:hAnsi="David" w:cs="David" w:hint="cs"/>
          <w:rtl/>
        </w:rPr>
        <w:t xml:space="preserve">עבירת התקיפה הינה עבירת כוונה כללית </w:t>
      </w:r>
      <w:r w:rsidR="00543998" w:rsidRPr="004764F3">
        <w:rPr>
          <w:rFonts w:ascii="David" w:hAnsi="David" w:cs="David" w:hint="cs"/>
          <w:rtl/>
        </w:rPr>
        <w:t>וכי</w:t>
      </w:r>
      <w:r w:rsidR="009D74E9" w:rsidRPr="004764F3">
        <w:rPr>
          <w:rFonts w:ascii="David" w:hAnsi="David" w:cs="David" w:hint="cs"/>
          <w:rtl/>
        </w:rPr>
        <w:t xml:space="preserve"> </w:t>
      </w:r>
      <w:r w:rsidR="00AC525F" w:rsidRPr="004764F3">
        <w:rPr>
          <w:rFonts w:ascii="David" w:hAnsi="David" w:cs="David" w:hint="cs"/>
          <w:rtl/>
        </w:rPr>
        <w:t>ההתנהגות האסורה ה</w:t>
      </w:r>
      <w:r w:rsidR="0027249A" w:rsidRPr="004764F3">
        <w:rPr>
          <w:rFonts w:ascii="David" w:hAnsi="David" w:cs="David" w:hint="cs"/>
          <w:rtl/>
        </w:rPr>
        <w:t>ינה</w:t>
      </w:r>
      <w:r w:rsidR="00AC525F" w:rsidRPr="004764F3">
        <w:rPr>
          <w:rFonts w:ascii="David" w:hAnsi="David" w:cs="David" w:hint="cs"/>
          <w:rtl/>
        </w:rPr>
        <w:t xml:space="preserve"> פעולה פיזית, הגורמת נזק גופני לאחר</w:t>
      </w:r>
      <w:r w:rsidR="009D74E9" w:rsidRPr="004764F3">
        <w:rPr>
          <w:rFonts w:ascii="David" w:hAnsi="David" w:cs="David" w:hint="cs"/>
          <w:rtl/>
        </w:rPr>
        <w:t xml:space="preserve">. </w:t>
      </w:r>
      <w:r w:rsidR="00F930FD" w:rsidRPr="004764F3">
        <w:rPr>
          <w:rFonts w:ascii="David" w:hAnsi="David" w:cs="David" w:hint="cs"/>
          <w:rtl/>
        </w:rPr>
        <w:t xml:space="preserve">ביהמ״ש מנמק את החלטתו </w:t>
      </w:r>
      <w:r w:rsidR="00143B85" w:rsidRPr="004764F3">
        <w:rPr>
          <w:rFonts w:ascii="David" w:hAnsi="David" w:cs="David" w:hint="cs"/>
          <w:rtl/>
        </w:rPr>
        <w:t xml:space="preserve">באומרו </w:t>
      </w:r>
      <w:r w:rsidR="003A4228" w:rsidRPr="004764F3">
        <w:rPr>
          <w:rFonts w:ascii="David" w:hAnsi="David" w:cs="David" w:hint="cs"/>
          <w:rtl/>
        </w:rPr>
        <w:t xml:space="preserve">כי </w:t>
      </w:r>
      <w:r w:rsidR="00E9560E" w:rsidRPr="004764F3">
        <w:rPr>
          <w:rFonts w:ascii="David" w:hAnsi="David" w:cs="David" w:hint="cs"/>
          <w:rtl/>
        </w:rPr>
        <w:t>על אף</w:t>
      </w:r>
      <w:r w:rsidR="00143B85" w:rsidRPr="004764F3">
        <w:rPr>
          <w:rFonts w:ascii="David" w:hAnsi="David" w:cs="David" w:hint="cs"/>
          <w:rtl/>
        </w:rPr>
        <w:t xml:space="preserve"> דרישת</w:t>
      </w:r>
      <w:r w:rsidR="00E9560E" w:rsidRPr="004764F3">
        <w:rPr>
          <w:rFonts w:ascii="David" w:hAnsi="David" w:cs="David" w:hint="cs"/>
          <w:rtl/>
        </w:rPr>
        <w:t xml:space="preserve"> </w:t>
      </w:r>
      <w:r w:rsidR="00C16053" w:rsidRPr="004764F3">
        <w:rPr>
          <w:rFonts w:ascii="David" w:hAnsi="David" w:cs="David" w:hint="cs"/>
          <w:rtl/>
        </w:rPr>
        <w:t xml:space="preserve">לשון סעיף העבירה </w:t>
      </w:r>
      <w:r w:rsidR="00143B85" w:rsidRPr="004764F3">
        <w:rPr>
          <w:rFonts w:ascii="David" w:hAnsi="David" w:cs="David" w:hint="cs"/>
          <w:rtl/>
        </w:rPr>
        <w:t xml:space="preserve">להוכיח את </w:t>
      </w:r>
      <w:r w:rsidR="003A4228" w:rsidRPr="004764F3">
        <w:rPr>
          <w:rFonts w:ascii="David" w:hAnsi="David" w:cs="David" w:hint="cs"/>
          <w:rtl/>
        </w:rPr>
        <w:t xml:space="preserve">כוונת הנאשם לעשות את המעשה הפיזי, </w:t>
      </w:r>
      <w:r w:rsidR="00C16053" w:rsidRPr="004764F3">
        <w:rPr>
          <w:rFonts w:ascii="David" w:hAnsi="David" w:cs="David" w:hint="cs"/>
          <w:rtl/>
        </w:rPr>
        <w:t xml:space="preserve">אין בלשון הסעיף </w:t>
      </w:r>
      <w:r w:rsidR="00F930FD" w:rsidRPr="004764F3">
        <w:rPr>
          <w:rFonts w:ascii="David" w:hAnsi="David" w:cs="David" w:hint="cs"/>
          <w:rtl/>
        </w:rPr>
        <w:t xml:space="preserve">כל דרישה להוכחה כי הנאשם התכוון להפר את החוק או לגרום לתוצאה </w:t>
      </w:r>
      <w:r w:rsidR="00DC0651" w:rsidRPr="004764F3">
        <w:rPr>
          <w:rFonts w:ascii="David" w:hAnsi="David" w:cs="David" w:hint="cs"/>
          <w:rtl/>
        </w:rPr>
        <w:t>מסוימת</w:t>
      </w:r>
      <w:r w:rsidR="00C72758" w:rsidRPr="004764F3">
        <w:rPr>
          <w:rFonts w:ascii="David" w:hAnsi="David" w:cs="David" w:hint="cs"/>
          <w:rtl/>
        </w:rPr>
        <w:t>. אם כן,</w:t>
      </w:r>
      <w:r w:rsidR="001578CB" w:rsidRPr="004764F3">
        <w:rPr>
          <w:rFonts w:ascii="David" w:hAnsi="David" w:cs="David" w:hint="cs"/>
          <w:rtl/>
        </w:rPr>
        <w:t xml:space="preserve"> </w:t>
      </w:r>
      <w:r w:rsidR="006F250E" w:rsidRPr="004764F3">
        <w:rPr>
          <w:rFonts w:ascii="David" w:hAnsi="David" w:cs="David" w:hint="cs"/>
          <w:rtl/>
        </w:rPr>
        <w:t>בעבירת התקיפה כוונת הנאשם, להבדיל מ</w:t>
      </w:r>
      <w:r w:rsidR="00C72758" w:rsidRPr="004764F3">
        <w:rPr>
          <w:rFonts w:ascii="David" w:hAnsi="David" w:cs="David" w:hint="cs"/>
          <w:rtl/>
        </w:rPr>
        <w:t xml:space="preserve">ההשפעה על הקורבן, הופכת למוקד החקירה. </w:t>
      </w:r>
      <w:r w:rsidR="004C765C" w:rsidRPr="004764F3">
        <w:rPr>
          <w:rFonts w:ascii="David" w:hAnsi="David" w:cs="David" w:hint="cs"/>
          <w:rtl/>
        </w:rPr>
        <w:t xml:space="preserve">אילו התכוון המחוקק לדרוש יסוד נפשי נוסף </w:t>
      </w:r>
      <w:r w:rsidR="00A209C2" w:rsidRPr="004764F3">
        <w:rPr>
          <w:rFonts w:ascii="David" w:hAnsi="David" w:cs="David" w:hint="cs"/>
          <w:rtl/>
        </w:rPr>
        <w:t>של</w:t>
      </w:r>
      <w:r w:rsidR="004C765C" w:rsidRPr="004764F3">
        <w:rPr>
          <w:rFonts w:ascii="David" w:hAnsi="David" w:cs="David" w:hint="cs"/>
          <w:rtl/>
        </w:rPr>
        <w:t xml:space="preserve"> כוונה מיוחדת</w:t>
      </w:r>
      <w:r w:rsidR="00A209C2" w:rsidRPr="004764F3">
        <w:rPr>
          <w:rFonts w:ascii="David" w:hAnsi="David" w:cs="David" w:hint="cs"/>
          <w:rtl/>
        </w:rPr>
        <w:t>, היה יכול לנסח את סעיף העבירה באופן הבא ״מעשה ש</w:t>
      </w:r>
      <w:r w:rsidR="001C58E8" w:rsidRPr="004764F3">
        <w:rPr>
          <w:rFonts w:ascii="David" w:hAnsi="David" w:cs="David" w:hint="cs"/>
          <w:rtl/>
        </w:rPr>
        <w:t xml:space="preserve">נעשה בכוונה לגרום נזק גופני לאחר״. </w:t>
      </w:r>
    </w:p>
    <w:p w14:paraId="25AA5129" w14:textId="77777777" w:rsidR="00FA3DD8" w:rsidRPr="004764F3" w:rsidRDefault="00FA3DD8" w:rsidP="007E4E3B">
      <w:pPr>
        <w:bidi/>
        <w:spacing w:line="276" w:lineRule="auto"/>
        <w:jc w:val="both"/>
        <w:rPr>
          <w:rFonts w:ascii="David" w:hAnsi="David" w:cs="David"/>
          <w:rtl/>
        </w:rPr>
      </w:pPr>
    </w:p>
    <w:p w14:paraId="7FB1DAD7" w14:textId="2327C474" w:rsidR="00FA3DD8" w:rsidRPr="004764F3" w:rsidRDefault="00FA3DD8" w:rsidP="007E4E3B">
      <w:pPr>
        <w:bidi/>
        <w:spacing w:line="276" w:lineRule="auto"/>
        <w:jc w:val="both"/>
        <w:rPr>
          <w:rFonts w:ascii="David" w:hAnsi="David" w:cs="David"/>
          <w:rtl/>
        </w:rPr>
      </w:pPr>
      <w:r w:rsidRPr="004764F3">
        <w:rPr>
          <w:rFonts w:ascii="David" w:hAnsi="David" w:cs="David" w:hint="cs"/>
          <w:rtl/>
        </w:rPr>
        <w:t xml:space="preserve">ביהמ״ש בקליפורניה </w:t>
      </w:r>
      <w:r w:rsidR="00551E13" w:rsidRPr="004764F3">
        <w:rPr>
          <w:rFonts w:ascii="David" w:hAnsi="David" w:cs="David" w:hint="cs"/>
          <w:rtl/>
        </w:rPr>
        <w:t xml:space="preserve">סיפק הבחנה נוספת לפיה, </w:t>
      </w:r>
      <w:r w:rsidRPr="004764F3">
        <w:rPr>
          <w:rFonts w:ascii="David" w:hAnsi="David" w:cs="David" w:hint="cs"/>
          <w:rtl/>
        </w:rPr>
        <w:t>עבירת כוונה כללית קיימת כאשר ההגדרה הסטטוטורית של ה</w:t>
      </w:r>
      <w:r w:rsidR="002A32C8" w:rsidRPr="004764F3">
        <w:rPr>
          <w:rFonts w:ascii="David" w:hAnsi="David" w:cs="David" w:hint="cs"/>
          <w:rtl/>
        </w:rPr>
        <w:t xml:space="preserve">עבירה מכילה </w:t>
      </w:r>
      <w:r w:rsidR="00A50374" w:rsidRPr="004764F3">
        <w:rPr>
          <w:rFonts w:ascii="David" w:hAnsi="David" w:cs="David" w:hint="cs"/>
          <w:rtl/>
        </w:rPr>
        <w:t>תיאור של מעשה מסוים בלבד, ללא התייחסות לכוונה לעשות מעשה נוסף או להשיג תוצאה עתידית.</w:t>
      </w:r>
      <w:r w:rsidR="000F4842" w:rsidRPr="004764F3">
        <w:rPr>
          <w:rStyle w:val="a5"/>
          <w:rFonts w:ascii="David" w:hAnsi="David" w:cs="David"/>
          <w:rtl/>
        </w:rPr>
        <w:footnoteReference w:id="12"/>
      </w:r>
      <w:r w:rsidR="00A50374" w:rsidRPr="004764F3">
        <w:rPr>
          <w:rFonts w:ascii="David" w:hAnsi="David" w:cs="David" w:hint="cs"/>
          <w:rtl/>
        </w:rPr>
        <w:t xml:space="preserve"> באותו מקרה נקבע אף כי </w:t>
      </w:r>
      <w:r w:rsidRPr="004764F3">
        <w:rPr>
          <w:rFonts w:ascii="David" w:hAnsi="David" w:cs="David" w:hint="cs"/>
          <w:rtl/>
        </w:rPr>
        <w:t>כליאת שווא</w:t>
      </w:r>
      <w:r w:rsidR="00551E13" w:rsidRPr="004764F3">
        <w:rPr>
          <w:rFonts w:ascii="David" w:hAnsi="David" w:cs="David" w:hint="cs"/>
          <w:rtl/>
        </w:rPr>
        <w:t xml:space="preserve"> </w:t>
      </w:r>
      <w:r w:rsidR="000F4842" w:rsidRPr="004764F3">
        <w:rPr>
          <w:rFonts w:ascii="David" w:hAnsi="David" w:cs="David" w:hint="cs"/>
          <w:rtl/>
        </w:rPr>
        <w:t xml:space="preserve">אשר הינה כלשון החוק ״פגיעה בלתי חוקית בחירותו האישית של הזולת״ </w:t>
      </w:r>
      <w:r w:rsidR="00551E13" w:rsidRPr="004764F3">
        <w:rPr>
          <w:rFonts w:ascii="David" w:hAnsi="David" w:cs="David" w:hint="cs"/>
          <w:rtl/>
        </w:rPr>
        <w:t>מהווה עבירה העונה להגדרה זו היינו, הינה</w:t>
      </w:r>
      <w:r w:rsidRPr="004764F3">
        <w:rPr>
          <w:rFonts w:ascii="David" w:hAnsi="David" w:cs="David" w:hint="cs"/>
          <w:rtl/>
        </w:rPr>
        <w:t xml:space="preserve"> עבירת כוונה כללית.</w:t>
      </w:r>
      <w:r w:rsidR="000F4842" w:rsidRPr="004764F3">
        <w:rPr>
          <w:rStyle w:val="a5"/>
          <w:rFonts w:ascii="David" w:hAnsi="David" w:cs="David"/>
          <w:rtl/>
        </w:rPr>
        <w:footnoteReference w:id="13"/>
      </w:r>
    </w:p>
    <w:p w14:paraId="31C9DDE4" w14:textId="77777777" w:rsidR="003C609B" w:rsidRPr="004764F3" w:rsidRDefault="003C609B" w:rsidP="007E4E3B">
      <w:pPr>
        <w:bidi/>
        <w:spacing w:line="276" w:lineRule="auto"/>
        <w:jc w:val="both"/>
        <w:rPr>
          <w:rFonts w:ascii="David" w:hAnsi="David" w:cs="David"/>
          <w:rtl/>
        </w:rPr>
      </w:pPr>
    </w:p>
    <w:p w14:paraId="0E1766FE" w14:textId="0DFC3CFD" w:rsidR="000A4B74" w:rsidRPr="004764F3" w:rsidRDefault="00DE0DA0" w:rsidP="007E4E3B">
      <w:pPr>
        <w:bidi/>
        <w:spacing w:line="276" w:lineRule="auto"/>
        <w:jc w:val="both"/>
        <w:rPr>
          <w:rFonts w:ascii="David" w:hAnsi="David" w:cs="David"/>
          <w:rtl/>
        </w:rPr>
      </w:pPr>
      <w:r w:rsidRPr="004764F3">
        <w:rPr>
          <w:rFonts w:ascii="David" w:hAnsi="David" w:cs="David" w:hint="cs"/>
          <w:rtl/>
        </w:rPr>
        <w:lastRenderedPageBreak/>
        <w:t xml:space="preserve">בפסק הדין </w:t>
      </w:r>
      <w:r w:rsidRPr="000E0CFA">
        <w:rPr>
          <w:rFonts w:ascii="David" w:hAnsi="David" w:cs="David" w:hint="cs"/>
          <w:b/>
          <w:bCs/>
          <w:rtl/>
        </w:rPr>
        <w:t>בעניין לושי</w:t>
      </w:r>
      <w:r w:rsidR="00E52F8A">
        <w:rPr>
          <w:rFonts w:ascii="David" w:hAnsi="David" w:cs="David" w:hint="cs"/>
          <w:rtl/>
        </w:rPr>
        <w:t>,</w:t>
      </w:r>
      <w:r w:rsidR="00657F7D" w:rsidRPr="004764F3">
        <w:rPr>
          <w:rFonts w:ascii="David" w:hAnsi="David" w:cs="David" w:hint="cs"/>
          <w:rtl/>
        </w:rPr>
        <w:t xml:space="preserve"> ביהמ״ש </w:t>
      </w:r>
      <w:r w:rsidR="00185787" w:rsidRPr="004764F3">
        <w:rPr>
          <w:rFonts w:ascii="David" w:hAnsi="David" w:cs="David" w:hint="cs"/>
          <w:rtl/>
        </w:rPr>
        <w:t xml:space="preserve">דן בעבירה לפי ס׳ 244 </w:t>
      </w:r>
      <w:r w:rsidR="005206E0" w:rsidRPr="004764F3">
        <w:rPr>
          <w:rFonts w:ascii="David" w:hAnsi="David" w:cs="David" w:hint="cs"/>
          <w:rtl/>
        </w:rPr>
        <w:t>לחוק העונשין (דאז)</w:t>
      </w:r>
      <w:r w:rsidR="008F4F6B" w:rsidRPr="004764F3">
        <w:rPr>
          <w:rFonts w:ascii="David" w:hAnsi="David" w:cs="David" w:hint="cs"/>
          <w:rtl/>
        </w:rPr>
        <w:t>,</w:t>
      </w:r>
      <w:r w:rsidR="00185787" w:rsidRPr="004764F3">
        <w:rPr>
          <w:rFonts w:ascii="David" w:hAnsi="David" w:cs="David" w:hint="cs"/>
          <w:rtl/>
        </w:rPr>
        <w:t xml:space="preserve"> שיבוש הליכי משפט</w:t>
      </w:r>
      <w:r w:rsidR="00EF0C33" w:rsidRPr="004764F3">
        <w:rPr>
          <w:rFonts w:ascii="David" w:hAnsi="David" w:cs="David" w:hint="cs"/>
          <w:rtl/>
        </w:rPr>
        <w:t>: ״</w:t>
      </w:r>
      <w:r w:rsidR="00EF0C33" w:rsidRPr="004764F3">
        <w:rPr>
          <w:rFonts w:ascii="David" w:hAnsi="David" w:cs="David"/>
          <w:rtl/>
        </w:rPr>
        <w:t xml:space="preserve">העושה דבר בכוונה למנוע או להכשיל הליך שיפוטי או להביא לידי עיוות דין, בין בסיכול הזמנתו של עד, בין בהעלמת ראיות ובין בדרך אחרת, דינו - מאסר שלוש שנים; לעניין זה, 'הליך שיפוטי' </w:t>
      </w:r>
      <w:r w:rsidR="00EF0C33" w:rsidRPr="004764F3">
        <w:rPr>
          <w:rFonts w:ascii="David" w:hAnsi="David" w:cs="David"/>
        </w:rPr>
        <w:softHyphen/>
      </w:r>
      <w:r w:rsidR="00EF0C33" w:rsidRPr="004764F3">
        <w:rPr>
          <w:rFonts w:ascii="David" w:hAnsi="David" w:cs="David"/>
          <w:rtl/>
        </w:rPr>
        <w:t>לרבות חקירה פלילית והוצאה לפועל של הוראת בית-משפט".</w:t>
      </w:r>
      <w:r w:rsidR="00EF0C33" w:rsidRPr="004764F3">
        <w:rPr>
          <w:rFonts w:ascii="David" w:hAnsi="David" w:cs="David" w:hint="cs"/>
          <w:rtl/>
        </w:rPr>
        <w:t xml:space="preserve"> נקבע כי </w:t>
      </w:r>
      <w:r w:rsidR="00CB0C3A" w:rsidRPr="004764F3">
        <w:rPr>
          <w:rFonts w:ascii="David" w:hAnsi="David" w:cs="David" w:hint="cs"/>
          <w:rtl/>
        </w:rPr>
        <w:t xml:space="preserve">על מנת שתתגבש העבירה, אין הסעיף </w:t>
      </w:r>
      <w:r w:rsidR="00EF0C33" w:rsidRPr="004764F3">
        <w:rPr>
          <w:rFonts w:ascii="David" w:hAnsi="David" w:cs="David" w:hint="cs"/>
          <w:rtl/>
        </w:rPr>
        <w:t xml:space="preserve">דורש </w:t>
      </w:r>
      <w:r w:rsidR="00CB0C3A" w:rsidRPr="004764F3">
        <w:rPr>
          <w:rFonts w:ascii="David" w:hAnsi="David" w:cs="David" w:hint="cs"/>
          <w:rtl/>
        </w:rPr>
        <w:t>שלמעשה שנעשה תהא השפעה בפועל על הליכי המשפט</w:t>
      </w:r>
      <w:r w:rsidR="00EF3E2C" w:rsidRPr="004764F3">
        <w:rPr>
          <w:rFonts w:ascii="David" w:hAnsi="David" w:cs="David" w:hint="cs"/>
          <w:rtl/>
        </w:rPr>
        <w:t xml:space="preserve"> כלומר, לא נדרשת זיקה בין הרכיב ההתנהגותי ״העושה דבר״, לבין התוצאה של הכשלת הליך שיפוטי.</w:t>
      </w:r>
      <w:r w:rsidR="005C4FCC" w:rsidRPr="004764F3">
        <w:rPr>
          <w:rFonts w:ascii="David" w:hAnsi="David" w:cs="David" w:hint="cs"/>
          <w:rtl/>
        </w:rPr>
        <w:t xml:space="preserve"> לעומת זאת, כאשר המחוקק מעוניין ליצור זיקה בין </w:t>
      </w:r>
      <w:r w:rsidR="002C06B8" w:rsidRPr="004764F3">
        <w:rPr>
          <w:rFonts w:ascii="David" w:hAnsi="David" w:cs="David" w:hint="cs"/>
          <w:rtl/>
        </w:rPr>
        <w:t xml:space="preserve">ההתנהגות לתוצאה, הוא עושה זאת </w:t>
      </w:r>
      <w:r w:rsidR="00E03231" w:rsidRPr="004764F3">
        <w:rPr>
          <w:rFonts w:ascii="David" w:hAnsi="David" w:cs="David" w:hint="cs"/>
          <w:rtl/>
        </w:rPr>
        <w:t xml:space="preserve">בדרך כלל </w:t>
      </w:r>
      <w:r w:rsidR="002C06B8" w:rsidRPr="004764F3">
        <w:rPr>
          <w:rFonts w:ascii="David" w:hAnsi="David" w:cs="David" w:hint="cs"/>
          <w:rtl/>
        </w:rPr>
        <w:t>באמצעות שימוש במילים כגון ״שיש בה כדי״ ו-״עלול״</w:t>
      </w:r>
      <w:r w:rsidR="00E03231" w:rsidRPr="004764F3">
        <w:rPr>
          <w:rFonts w:ascii="David" w:hAnsi="David" w:cs="David" w:hint="cs"/>
          <w:rtl/>
        </w:rPr>
        <w:t xml:space="preserve"> כלומר, בצורה מפורשת.</w:t>
      </w:r>
      <w:r w:rsidR="00EF3E2C" w:rsidRPr="004764F3">
        <w:rPr>
          <w:rFonts w:ascii="David" w:hAnsi="David" w:cs="David" w:hint="cs"/>
          <w:rtl/>
        </w:rPr>
        <w:t xml:space="preserve"> הסעיף</w:t>
      </w:r>
      <w:r w:rsidR="00E03231" w:rsidRPr="004764F3">
        <w:rPr>
          <w:rFonts w:ascii="David" w:hAnsi="David" w:cs="David" w:hint="cs"/>
          <w:rtl/>
        </w:rPr>
        <w:t xml:space="preserve"> כלשונו</w:t>
      </w:r>
      <w:r w:rsidR="00EF3E2C" w:rsidRPr="004764F3">
        <w:rPr>
          <w:rFonts w:ascii="David" w:hAnsi="David" w:cs="David" w:hint="cs"/>
          <w:rtl/>
        </w:rPr>
        <w:t xml:space="preserve"> </w:t>
      </w:r>
      <w:r w:rsidR="008B5562" w:rsidRPr="004764F3">
        <w:rPr>
          <w:rFonts w:ascii="David" w:hAnsi="David" w:cs="David" w:hint="cs"/>
          <w:rtl/>
        </w:rPr>
        <w:t>מסתפק בהוכחת ״כוונה</w:t>
      </w:r>
      <w:r w:rsidR="003C09C3" w:rsidRPr="004764F3">
        <w:rPr>
          <w:rFonts w:ascii="David" w:hAnsi="David" w:cs="David" w:hint="cs"/>
          <w:rtl/>
        </w:rPr>
        <w:t>״</w:t>
      </w:r>
      <w:r w:rsidR="008B5562" w:rsidRPr="004764F3">
        <w:rPr>
          <w:rFonts w:ascii="David" w:hAnsi="David" w:cs="David" w:hint="cs"/>
          <w:rtl/>
        </w:rPr>
        <w:t xml:space="preserve"> בלבד ו</w:t>
      </w:r>
      <w:r w:rsidR="00EF3E2C" w:rsidRPr="004764F3">
        <w:rPr>
          <w:rFonts w:ascii="David" w:hAnsi="David" w:cs="David" w:hint="cs"/>
          <w:rtl/>
        </w:rPr>
        <w:t>טו</w:t>
      </w:r>
      <w:r w:rsidR="00DA764C" w:rsidRPr="004764F3">
        <w:rPr>
          <w:rFonts w:ascii="David" w:hAnsi="David" w:cs="David" w:hint="cs"/>
          <w:rtl/>
        </w:rPr>
        <w:t>מן</w:t>
      </w:r>
      <w:r w:rsidR="008B5562" w:rsidRPr="004764F3">
        <w:rPr>
          <w:rFonts w:ascii="David" w:hAnsi="David" w:cs="David" w:hint="cs"/>
          <w:rtl/>
        </w:rPr>
        <w:t xml:space="preserve"> </w:t>
      </w:r>
      <w:r w:rsidR="00DA764C" w:rsidRPr="004764F3">
        <w:rPr>
          <w:rFonts w:ascii="David" w:hAnsi="David" w:cs="David" w:hint="cs"/>
          <w:rtl/>
        </w:rPr>
        <w:t>בחובו מגוון רחב של מעשים אשר די בהוכחתם לצד הוכחת הכוונה</w:t>
      </w:r>
      <w:r w:rsidR="000A4B74" w:rsidRPr="004764F3">
        <w:rPr>
          <w:rFonts w:ascii="David" w:hAnsi="David" w:cs="David" w:hint="cs"/>
          <w:rtl/>
        </w:rPr>
        <w:t xml:space="preserve"> האמורה</w:t>
      </w:r>
      <w:r w:rsidR="00DA764C" w:rsidRPr="004764F3">
        <w:rPr>
          <w:rFonts w:ascii="David" w:hAnsi="David" w:cs="David" w:hint="cs"/>
          <w:rtl/>
        </w:rPr>
        <w:t>, על מנת שתתגבש העבירה.</w:t>
      </w:r>
      <w:r w:rsidR="003C09C3" w:rsidRPr="004764F3">
        <w:rPr>
          <w:rStyle w:val="a5"/>
          <w:rFonts w:ascii="David" w:hAnsi="David" w:cs="David"/>
          <w:rtl/>
        </w:rPr>
        <w:footnoteReference w:id="14"/>
      </w:r>
      <w:r w:rsidR="00E03231" w:rsidRPr="004764F3">
        <w:rPr>
          <w:rFonts w:ascii="David" w:hAnsi="David" w:cs="David" w:hint="cs"/>
          <w:rtl/>
        </w:rPr>
        <w:t xml:space="preserve"> </w:t>
      </w:r>
    </w:p>
    <w:p w14:paraId="3107D3B2" w14:textId="77777777" w:rsidR="006227F4" w:rsidRPr="004764F3" w:rsidRDefault="006227F4" w:rsidP="007E4E3B">
      <w:pPr>
        <w:bidi/>
        <w:spacing w:line="276" w:lineRule="auto"/>
        <w:jc w:val="both"/>
        <w:rPr>
          <w:rFonts w:ascii="David" w:hAnsi="David" w:cs="David"/>
          <w:rtl/>
        </w:rPr>
      </w:pPr>
    </w:p>
    <w:p w14:paraId="409C0AE9" w14:textId="1ECA25B4" w:rsidR="0053605D" w:rsidRPr="004764F3" w:rsidRDefault="00226622" w:rsidP="007E4E3B">
      <w:pPr>
        <w:bidi/>
        <w:spacing w:line="276" w:lineRule="auto"/>
        <w:jc w:val="both"/>
        <w:rPr>
          <w:rFonts w:ascii="David" w:hAnsi="David" w:cs="David"/>
          <w:rtl/>
        </w:rPr>
      </w:pPr>
      <w:r w:rsidRPr="000E0CFA">
        <w:rPr>
          <w:rFonts w:ascii="David" w:hAnsi="David" w:cs="David" w:hint="cs"/>
          <w:b/>
          <w:bCs/>
          <w:rtl/>
        </w:rPr>
        <w:t>בפרשת</w:t>
      </w:r>
      <w:r w:rsidR="00742577" w:rsidRPr="000E0CFA">
        <w:rPr>
          <w:rFonts w:ascii="David" w:hAnsi="David" w:cs="David" w:hint="cs"/>
          <w:b/>
          <w:bCs/>
          <w:rtl/>
        </w:rPr>
        <w:t xml:space="preserve"> </w:t>
      </w:r>
      <w:proofErr w:type="spellStart"/>
      <w:r w:rsidR="00742577" w:rsidRPr="000E0CFA">
        <w:rPr>
          <w:rFonts w:ascii="David" w:hAnsi="David" w:cs="David" w:hint="cs"/>
          <w:b/>
          <w:bCs/>
          <w:rtl/>
        </w:rPr>
        <w:t>ליכטמן</w:t>
      </w:r>
      <w:proofErr w:type="spellEnd"/>
      <w:r w:rsidR="005E3B0F" w:rsidRPr="004764F3">
        <w:rPr>
          <w:rFonts w:ascii="David" w:hAnsi="David" w:cs="David" w:hint="cs"/>
          <w:rtl/>
        </w:rPr>
        <w:t xml:space="preserve"> </w:t>
      </w:r>
      <w:r w:rsidRPr="004764F3">
        <w:rPr>
          <w:rFonts w:ascii="David" w:hAnsi="David" w:cs="David" w:hint="cs"/>
          <w:rtl/>
        </w:rPr>
        <w:t xml:space="preserve">אשר </w:t>
      </w:r>
      <w:r w:rsidR="005E3B0F" w:rsidRPr="004764F3">
        <w:rPr>
          <w:rFonts w:ascii="David" w:hAnsi="David" w:cs="David" w:hint="cs"/>
          <w:rtl/>
        </w:rPr>
        <w:t>עוסק</w:t>
      </w:r>
      <w:r w:rsidRPr="004764F3">
        <w:rPr>
          <w:rFonts w:ascii="David" w:hAnsi="David" w:cs="David" w:hint="cs"/>
          <w:rtl/>
        </w:rPr>
        <w:t xml:space="preserve">ת בין היתר  </w:t>
      </w:r>
      <w:r w:rsidR="005E3B0F" w:rsidRPr="004764F3">
        <w:rPr>
          <w:rFonts w:ascii="David" w:hAnsi="David" w:cs="David" w:hint="cs"/>
          <w:rtl/>
        </w:rPr>
        <w:t>בעבירת איומים לפי ס׳ 192</w:t>
      </w:r>
      <w:r w:rsidRPr="004764F3">
        <w:rPr>
          <w:rFonts w:ascii="David" w:hAnsi="David" w:cs="David" w:hint="cs"/>
          <w:rtl/>
        </w:rPr>
        <w:t>,</w:t>
      </w:r>
      <w:r w:rsidR="005E3B0F" w:rsidRPr="004764F3">
        <w:rPr>
          <w:rFonts w:ascii="David" w:hAnsi="David" w:cs="David" w:hint="cs"/>
          <w:rtl/>
        </w:rPr>
        <w:t xml:space="preserve"> ה</w:t>
      </w:r>
      <w:r w:rsidR="00D54D37" w:rsidRPr="004764F3">
        <w:rPr>
          <w:rFonts w:ascii="David" w:hAnsi="David" w:cs="David" w:hint="cs"/>
          <w:rtl/>
        </w:rPr>
        <w:t xml:space="preserve">שופט גולדברג מציין כי ישנם שני יסודות לעבירת האיומים: יסוד המעשה </w:t>
      </w:r>
      <w:r w:rsidR="00D54D37" w:rsidRPr="004764F3">
        <w:rPr>
          <w:rFonts w:ascii="David" w:hAnsi="David" w:cs="David"/>
          <w:rtl/>
        </w:rPr>
        <w:t>"המאיים על אדם בכל דרך שהי</w:t>
      </w:r>
      <w:r w:rsidR="00300620" w:rsidRPr="004764F3">
        <w:rPr>
          <w:rFonts w:ascii="David" w:hAnsi="David" w:cs="David" w:hint="cs"/>
          <w:rtl/>
        </w:rPr>
        <w:t>א</w:t>
      </w:r>
      <w:r w:rsidR="00D54D37" w:rsidRPr="004764F3">
        <w:rPr>
          <w:rFonts w:ascii="David" w:hAnsi="David" w:cs="David"/>
          <w:rtl/>
        </w:rPr>
        <w:t xml:space="preserve"> בפגיעה שלא כדין בגופו, בחירותו, בנכסיו, בשמו הטוב או בפרנסתו, שלו או של אדם אחר"</w:t>
      </w:r>
      <w:r w:rsidR="0053605D" w:rsidRPr="004764F3">
        <w:rPr>
          <w:rFonts w:ascii="David" w:hAnsi="David" w:cs="David" w:hint="cs"/>
          <w:rtl/>
        </w:rPr>
        <w:t xml:space="preserve">, ויסוד נפשי </w:t>
      </w:r>
      <w:r w:rsidR="0053605D" w:rsidRPr="004764F3">
        <w:rPr>
          <w:rFonts w:ascii="David" w:hAnsi="David" w:cs="David"/>
          <w:rtl/>
        </w:rPr>
        <w:t>"בכוונה להפחיד את האדם או להקניטו...".</w:t>
      </w:r>
      <w:r w:rsidR="0053605D" w:rsidRPr="004764F3">
        <w:rPr>
          <w:rFonts w:ascii="David" w:hAnsi="David" w:cs="David" w:hint="cs"/>
          <w:rtl/>
        </w:rPr>
        <w:t xml:space="preserve"> האינטרס החברתי המוגן בעבירה זו הינ</w:t>
      </w:r>
      <w:r w:rsidR="007E49CA" w:rsidRPr="004764F3">
        <w:rPr>
          <w:rFonts w:ascii="David" w:hAnsi="David" w:cs="David" w:hint="cs"/>
          <w:rtl/>
        </w:rPr>
        <w:t xml:space="preserve">ו להגן על שלוות נפשו של הפרט </w:t>
      </w:r>
      <w:r w:rsidR="006454B7" w:rsidRPr="004764F3">
        <w:rPr>
          <w:rFonts w:ascii="David" w:hAnsi="David" w:cs="David" w:hint="cs"/>
          <w:rtl/>
        </w:rPr>
        <w:t>מפני מעשי הקטנה והפחדה שאינם מתבצעים כדין</w:t>
      </w:r>
      <w:r w:rsidR="0038535D" w:rsidRPr="004764F3">
        <w:rPr>
          <w:rFonts w:ascii="David" w:hAnsi="David" w:cs="David" w:hint="cs"/>
          <w:rtl/>
        </w:rPr>
        <w:t xml:space="preserve">. עם זאת, על אף אינטרס זה המכוון להגנה על הפרט, אין לבחון </w:t>
      </w:r>
      <w:r w:rsidR="00AE3AFD" w:rsidRPr="004764F3">
        <w:rPr>
          <w:rFonts w:ascii="David" w:hAnsi="David" w:cs="David" w:hint="cs"/>
          <w:rtl/>
        </w:rPr>
        <w:t>את יסוד המעשה</w:t>
      </w:r>
      <w:r w:rsidR="00805406" w:rsidRPr="004764F3">
        <w:rPr>
          <w:rFonts w:ascii="David" w:hAnsi="David" w:cs="David" w:hint="cs"/>
          <w:rtl/>
        </w:rPr>
        <w:t xml:space="preserve"> בהתבסס על </w:t>
      </w:r>
      <w:r w:rsidR="00AE3AFD" w:rsidRPr="004764F3">
        <w:rPr>
          <w:rFonts w:ascii="David" w:hAnsi="David" w:cs="David" w:hint="cs"/>
          <w:rtl/>
        </w:rPr>
        <w:t>הרגשתו הסובייקטיבית של האדם אשר כלפיו הופנה האיום</w:t>
      </w:r>
      <w:r w:rsidR="00793D61" w:rsidRPr="004764F3">
        <w:rPr>
          <w:rFonts w:ascii="David" w:hAnsi="David" w:cs="David" w:hint="cs"/>
          <w:rtl/>
        </w:rPr>
        <w:t>.</w:t>
      </w:r>
      <w:r w:rsidR="00815427" w:rsidRPr="004764F3">
        <w:rPr>
          <w:rStyle w:val="a5"/>
          <w:rFonts w:ascii="David" w:hAnsi="David" w:cs="David"/>
          <w:rtl/>
        </w:rPr>
        <w:footnoteReference w:id="15"/>
      </w:r>
      <w:r w:rsidR="00793D61" w:rsidRPr="004764F3">
        <w:rPr>
          <w:rFonts w:ascii="David" w:hAnsi="David" w:cs="David" w:hint="cs"/>
          <w:rtl/>
        </w:rPr>
        <w:t xml:space="preserve"> </w:t>
      </w:r>
      <w:r w:rsidR="0050005F" w:rsidRPr="004764F3">
        <w:rPr>
          <w:rFonts w:ascii="David" w:hAnsi="David" w:cs="David" w:hint="cs"/>
          <w:rtl/>
        </w:rPr>
        <w:t>הערכתו של האדם הסביר, על רקע מכלול נסיבות המקרה</w:t>
      </w:r>
      <w:r w:rsidR="00052B82" w:rsidRPr="004764F3">
        <w:rPr>
          <w:rFonts w:ascii="David" w:hAnsi="David" w:cs="David" w:hint="cs"/>
          <w:rtl/>
        </w:rPr>
        <w:t xml:space="preserve"> הוא המבחן לקיומו של איום כלומר, הבחינה האם התשכלל היסוד העובדתי בעבירה הינה בחינה אובייקטיבית במהותה. </w:t>
      </w:r>
      <w:r w:rsidR="00EA2D74" w:rsidRPr="004764F3">
        <w:rPr>
          <w:rFonts w:ascii="David" w:hAnsi="David" w:cs="David" w:hint="cs"/>
          <w:rtl/>
        </w:rPr>
        <w:t>לצד בחינה אובייקטיבית זאת, יש להוכיח כ</w:t>
      </w:r>
      <w:r w:rsidR="00971E3C" w:rsidRPr="004764F3">
        <w:rPr>
          <w:rFonts w:ascii="David" w:hAnsi="David" w:cs="David" w:hint="cs"/>
          <w:rtl/>
        </w:rPr>
        <w:t>י בעת עשיית מעשה האיום, התכוון המאיים להפחיד ולהק</w:t>
      </w:r>
      <w:r w:rsidR="001B710A" w:rsidRPr="004764F3">
        <w:rPr>
          <w:rFonts w:ascii="David" w:hAnsi="David" w:cs="David" w:hint="cs"/>
          <w:rtl/>
        </w:rPr>
        <w:t>ניט</w:t>
      </w:r>
      <w:r w:rsidR="00815427" w:rsidRPr="004764F3">
        <w:rPr>
          <w:rFonts w:ascii="David" w:hAnsi="David" w:cs="David" w:hint="cs"/>
          <w:rtl/>
        </w:rPr>
        <w:t xml:space="preserve"> את המאוים</w:t>
      </w:r>
      <w:r w:rsidR="001B710A" w:rsidRPr="004764F3">
        <w:rPr>
          <w:rFonts w:ascii="David" w:hAnsi="David" w:cs="David" w:hint="cs"/>
          <w:rtl/>
        </w:rPr>
        <w:t xml:space="preserve"> וכי זו הייתה שאיפתו באותה העת. </w:t>
      </w:r>
      <w:r w:rsidR="00C11CE6" w:rsidRPr="004764F3">
        <w:rPr>
          <w:rFonts w:ascii="David" w:hAnsi="David" w:cs="David" w:hint="cs"/>
          <w:rtl/>
        </w:rPr>
        <w:t>אם כן, הכוונה הנדרשת בעבירת איומים הינה ביחס לאותו מעשה אסור</w:t>
      </w:r>
      <w:r w:rsidR="001A126E" w:rsidRPr="004764F3">
        <w:rPr>
          <w:rFonts w:ascii="David" w:hAnsi="David" w:cs="David" w:hint="cs"/>
          <w:rtl/>
        </w:rPr>
        <w:t xml:space="preserve">. </w:t>
      </w:r>
    </w:p>
    <w:p w14:paraId="49270E31" w14:textId="77777777" w:rsidR="00300620" w:rsidRPr="004764F3" w:rsidRDefault="00300620" w:rsidP="007E4E3B">
      <w:pPr>
        <w:bidi/>
        <w:spacing w:line="276" w:lineRule="auto"/>
        <w:jc w:val="both"/>
        <w:rPr>
          <w:rFonts w:ascii="David" w:hAnsi="David" w:cs="David"/>
          <w:rtl/>
        </w:rPr>
      </w:pPr>
    </w:p>
    <w:p w14:paraId="5C9FBE99" w14:textId="39BFCD79" w:rsidR="007A3B19" w:rsidRDefault="00074F7D" w:rsidP="007E4E3B">
      <w:pPr>
        <w:bidi/>
        <w:spacing w:line="276" w:lineRule="auto"/>
        <w:jc w:val="both"/>
        <w:rPr>
          <w:rFonts w:ascii="David" w:hAnsi="David" w:cs="David"/>
          <w:rtl/>
        </w:rPr>
      </w:pPr>
      <w:r w:rsidRPr="000E0CFA">
        <w:rPr>
          <w:rFonts w:ascii="David" w:hAnsi="David" w:cs="David" w:hint="cs"/>
          <w:b/>
          <w:bCs/>
          <w:rtl/>
        </w:rPr>
        <w:t>פסק הדין בעניין אלבה</w:t>
      </w:r>
      <w:r w:rsidRPr="004764F3">
        <w:rPr>
          <w:rFonts w:ascii="David" w:hAnsi="David" w:cs="David" w:hint="cs"/>
          <w:rtl/>
        </w:rPr>
        <w:t xml:space="preserve"> ניתן </w:t>
      </w:r>
      <w:r w:rsidR="00697A4E" w:rsidRPr="004764F3">
        <w:rPr>
          <w:rFonts w:ascii="David" w:hAnsi="David" w:cs="David" w:hint="cs"/>
          <w:rtl/>
        </w:rPr>
        <w:t>כשנ</w:t>
      </w:r>
      <w:r w:rsidR="00CE2CF2" w:rsidRPr="004764F3">
        <w:rPr>
          <w:rFonts w:ascii="David" w:hAnsi="David" w:cs="David" w:hint="cs"/>
          <w:rtl/>
        </w:rPr>
        <w:t>תיים לאחר תיקון 39</w:t>
      </w:r>
      <w:r w:rsidRPr="004764F3">
        <w:rPr>
          <w:rFonts w:ascii="David" w:hAnsi="David" w:cs="David" w:hint="cs"/>
          <w:rtl/>
        </w:rPr>
        <w:t xml:space="preserve">, </w:t>
      </w:r>
      <w:r w:rsidRPr="004764F3">
        <w:rPr>
          <w:rFonts w:ascii="David" w:hAnsi="David" w:cs="David"/>
          <w:rtl/>
        </w:rPr>
        <w:t>השופט מצא</w:t>
      </w:r>
      <w:r w:rsidR="00CE2CF2" w:rsidRPr="004764F3">
        <w:rPr>
          <w:rFonts w:ascii="David" w:hAnsi="David" w:cs="David" w:hint="cs"/>
          <w:rtl/>
        </w:rPr>
        <w:t xml:space="preserve"> מ</w:t>
      </w:r>
      <w:r w:rsidR="00210503" w:rsidRPr="004764F3">
        <w:rPr>
          <w:rFonts w:ascii="David" w:hAnsi="David" w:cs="David" w:hint="cs"/>
          <w:rtl/>
        </w:rPr>
        <w:t>בצע</w:t>
      </w:r>
      <w:r w:rsidR="00CE2CF2" w:rsidRPr="004764F3">
        <w:rPr>
          <w:rFonts w:ascii="David" w:hAnsi="David" w:cs="David" w:hint="cs"/>
          <w:rtl/>
        </w:rPr>
        <w:t xml:space="preserve"> הבחנה מעניינת בדבר המונח ״כוונה״</w:t>
      </w:r>
      <w:r w:rsidR="00210503" w:rsidRPr="004764F3">
        <w:rPr>
          <w:rFonts w:ascii="David" w:hAnsi="David" w:cs="David" w:hint="cs"/>
          <w:rtl/>
        </w:rPr>
        <w:t xml:space="preserve"> </w:t>
      </w:r>
      <w:r w:rsidR="009715F8" w:rsidRPr="004764F3">
        <w:rPr>
          <w:rFonts w:ascii="David" w:hAnsi="David" w:cs="David" w:hint="cs"/>
          <w:rtl/>
        </w:rPr>
        <w:t>בטרם התיקון ולאחריו</w:t>
      </w:r>
      <w:r w:rsidR="00CE2CF2" w:rsidRPr="004764F3">
        <w:rPr>
          <w:rFonts w:ascii="David" w:hAnsi="David" w:cs="David" w:hint="cs"/>
          <w:rtl/>
        </w:rPr>
        <w:t xml:space="preserve">: </w:t>
      </w:r>
      <w:r w:rsidR="00410E33" w:rsidRPr="004764F3">
        <w:rPr>
          <w:rFonts w:ascii="David" w:hAnsi="David" w:cs="David" w:hint="cs"/>
          <w:rtl/>
        </w:rPr>
        <w:t>״</w:t>
      </w:r>
      <w:r w:rsidR="00CE2CF2" w:rsidRPr="004764F3">
        <w:rPr>
          <w:rFonts w:ascii="David" w:hAnsi="David" w:cs="David"/>
          <w:rtl/>
        </w:rPr>
        <w:t>עבירות התנהגותיות הקבועות בחיקוקים קיימים, שהגדרתן כוללת יסוד נפשי של כוונה לגרום לתוצאה מסוימת, נותרו עבירות כוונה כמשמען בעבר, ולא הפכו, בעקבות שינויי המינוח שנקבעו בסעיף 20(א) החדש, לעבירות שדי לשכלולן במודעות גרידא</w:t>
      </w:r>
      <w:r w:rsidR="00410E33" w:rsidRPr="004764F3">
        <w:rPr>
          <w:rFonts w:ascii="David" w:hAnsi="David" w:cs="David" w:hint="cs"/>
          <w:rtl/>
        </w:rPr>
        <w:t>...</w:t>
      </w:r>
      <w:r w:rsidR="00410E33" w:rsidRPr="004764F3">
        <w:rPr>
          <w:rFonts w:ascii="David" w:hAnsi="David" w:cs="David"/>
          <w:rtl/>
        </w:rPr>
        <w:t xml:space="preserve"> כדאי להדגיש, כי בהגדרת עבירות ה"כוונה" הבחין המחוקק, מאז ומתמיד</w:t>
      </w:r>
      <w:r w:rsidR="00410E33" w:rsidRPr="004764F3">
        <w:rPr>
          <w:rFonts w:ascii="David" w:hAnsi="David" w:cs="David"/>
        </w:rPr>
        <w:t xml:space="preserve">, </w:t>
      </w:r>
      <w:r w:rsidR="00410E33" w:rsidRPr="004764F3">
        <w:rPr>
          <w:rFonts w:ascii="David" w:hAnsi="David" w:cs="David"/>
          <w:rtl/>
        </w:rPr>
        <w:t>בין חפצו של מבצע העבירה להשיג מטרה מסוימת לבין גרימתה בפועל של תוצאה אסורה. הווי אומר: מטרתו של המבצע להשיג תוצאה מסוימת נתפסת כיסוד של המחשבה הפלילית הנדרשת בהגדרת העבירה, בין שהתרחשות התוצאה נמנית עם רכיבי היסוד העובדתי (עבירה "</w:t>
      </w:r>
      <w:proofErr w:type="spellStart"/>
      <w:r w:rsidR="00410E33" w:rsidRPr="004764F3">
        <w:rPr>
          <w:rFonts w:ascii="David" w:hAnsi="David" w:cs="David"/>
          <w:rtl/>
        </w:rPr>
        <w:t>תוצאתית</w:t>
      </w:r>
      <w:proofErr w:type="spellEnd"/>
      <w:r w:rsidR="00410E33" w:rsidRPr="004764F3">
        <w:rPr>
          <w:rFonts w:ascii="David" w:hAnsi="David" w:cs="David"/>
          <w:rtl/>
        </w:rPr>
        <w:t>") ובין שאינה מהווה חלק מיסוד זה (עבירה "התנהגותית")</w:t>
      </w:r>
      <w:r w:rsidR="00410E33" w:rsidRPr="004764F3">
        <w:rPr>
          <w:rFonts w:ascii="David" w:hAnsi="David" w:cs="David" w:hint="cs"/>
          <w:rtl/>
        </w:rPr>
        <w:t>״.</w:t>
      </w:r>
      <w:r w:rsidR="00210503" w:rsidRPr="004764F3">
        <w:rPr>
          <w:rStyle w:val="a5"/>
          <w:rFonts w:ascii="David" w:hAnsi="David" w:cs="David"/>
          <w:rtl/>
        </w:rPr>
        <w:footnoteReference w:id="16"/>
      </w:r>
    </w:p>
    <w:p w14:paraId="71B4D5BA" w14:textId="77777777" w:rsidR="007A3B19" w:rsidRDefault="007A3B19" w:rsidP="007E4E3B">
      <w:pPr>
        <w:bidi/>
        <w:spacing w:line="276" w:lineRule="auto"/>
        <w:jc w:val="both"/>
        <w:rPr>
          <w:rFonts w:ascii="David" w:hAnsi="David" w:cs="David"/>
          <w:rtl/>
        </w:rPr>
      </w:pPr>
    </w:p>
    <w:p w14:paraId="1D6158C8" w14:textId="77777777" w:rsidR="00300620" w:rsidRDefault="00300620" w:rsidP="007E4E3B">
      <w:pPr>
        <w:bidi/>
        <w:spacing w:line="276" w:lineRule="auto"/>
        <w:jc w:val="both"/>
        <w:rPr>
          <w:rFonts w:ascii="David" w:hAnsi="David" w:cs="David"/>
          <w:rtl/>
        </w:rPr>
      </w:pPr>
    </w:p>
    <w:sectPr w:rsidR="00300620" w:rsidSect="007E4E3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5B5B" w14:textId="77777777" w:rsidR="00A24DEA" w:rsidRDefault="00A24DEA" w:rsidP="00557F38">
      <w:r>
        <w:separator/>
      </w:r>
    </w:p>
  </w:endnote>
  <w:endnote w:type="continuationSeparator" w:id="0">
    <w:p w14:paraId="3E11C52E" w14:textId="77777777" w:rsidR="00A24DEA" w:rsidRDefault="00A24DEA" w:rsidP="0055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78BF" w14:textId="77777777" w:rsidR="00FC502B" w:rsidRDefault="00FC502B">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8143" w14:textId="77777777" w:rsidR="00FC502B" w:rsidRDefault="00FC502B">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6D63" w14:textId="77777777" w:rsidR="00FC502B" w:rsidRDefault="00FC502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8877" w14:textId="77777777" w:rsidR="00A24DEA" w:rsidRDefault="00A24DEA" w:rsidP="00557F38">
      <w:r>
        <w:separator/>
      </w:r>
    </w:p>
  </w:footnote>
  <w:footnote w:type="continuationSeparator" w:id="0">
    <w:p w14:paraId="376F62E4" w14:textId="77777777" w:rsidR="00A24DEA" w:rsidRDefault="00A24DEA" w:rsidP="00557F38">
      <w:r>
        <w:continuationSeparator/>
      </w:r>
    </w:p>
  </w:footnote>
  <w:footnote w:id="1">
    <w:p w14:paraId="5196BD18" w14:textId="2110DFC5" w:rsidR="00557F38" w:rsidRPr="004764F3" w:rsidRDefault="00557F38" w:rsidP="00B55450">
      <w:pPr>
        <w:widowControl w:val="0"/>
        <w:tabs>
          <w:tab w:val="left" w:pos="1040"/>
        </w:tabs>
        <w:autoSpaceDE w:val="0"/>
        <w:autoSpaceDN w:val="0"/>
        <w:bidi/>
        <w:jc w:val="both"/>
        <w:rPr>
          <w:rFonts w:asciiTheme="majorBidi" w:hAnsiTheme="majorBidi" w:cstheme="majorBidi"/>
          <w:sz w:val="20"/>
          <w:szCs w:val="20"/>
          <w:rtl/>
        </w:rPr>
      </w:pPr>
      <w:r w:rsidRPr="004764F3">
        <w:rPr>
          <w:rStyle w:val="a5"/>
          <w:rFonts w:asciiTheme="majorBidi" w:hAnsiTheme="majorBidi" w:cstheme="majorBidi"/>
          <w:sz w:val="20"/>
          <w:szCs w:val="20"/>
        </w:rPr>
        <w:footnoteRef/>
      </w:r>
      <w:r w:rsidRPr="004764F3">
        <w:rPr>
          <w:rFonts w:asciiTheme="majorBidi" w:hAnsiTheme="majorBidi" w:cstheme="majorBidi"/>
          <w:sz w:val="20"/>
          <w:szCs w:val="20"/>
          <w:rtl/>
        </w:rPr>
        <w:t xml:space="preserve"> </w:t>
      </w:r>
      <w:r w:rsidRPr="004764F3">
        <w:rPr>
          <w:rFonts w:asciiTheme="majorBidi" w:hAnsiTheme="majorBidi" w:cstheme="majorBidi"/>
          <w:w w:val="110"/>
          <w:sz w:val="20"/>
          <w:szCs w:val="20"/>
        </w:rPr>
        <w:t>Ballentine</w:t>
      </w:r>
      <w:r w:rsidRPr="004764F3">
        <w:rPr>
          <w:rFonts w:asciiTheme="majorBidi" w:hAnsiTheme="majorBidi" w:cstheme="majorBidi"/>
          <w:spacing w:val="-15"/>
          <w:w w:val="110"/>
          <w:sz w:val="20"/>
          <w:szCs w:val="20"/>
        </w:rPr>
        <w:t xml:space="preserve"> </w:t>
      </w:r>
      <w:r w:rsidRPr="004764F3">
        <w:rPr>
          <w:rFonts w:asciiTheme="majorBidi" w:hAnsiTheme="majorBidi" w:cstheme="majorBidi"/>
          <w:w w:val="110"/>
          <w:sz w:val="20"/>
          <w:szCs w:val="20"/>
        </w:rPr>
        <w:t>'s</w:t>
      </w:r>
      <w:r w:rsidRPr="004764F3">
        <w:rPr>
          <w:rFonts w:asciiTheme="majorBidi" w:hAnsiTheme="majorBidi" w:cstheme="majorBidi"/>
          <w:spacing w:val="39"/>
          <w:w w:val="110"/>
          <w:sz w:val="20"/>
          <w:szCs w:val="20"/>
        </w:rPr>
        <w:t xml:space="preserve"> </w:t>
      </w:r>
      <w:r w:rsidRPr="004764F3">
        <w:rPr>
          <w:rFonts w:asciiTheme="majorBidi" w:hAnsiTheme="majorBidi" w:cstheme="majorBidi"/>
          <w:w w:val="110"/>
          <w:sz w:val="20"/>
          <w:szCs w:val="20"/>
        </w:rPr>
        <w:t>Law</w:t>
      </w:r>
      <w:r w:rsidRPr="004764F3">
        <w:rPr>
          <w:rFonts w:asciiTheme="majorBidi" w:hAnsiTheme="majorBidi" w:cstheme="majorBidi"/>
          <w:spacing w:val="42"/>
          <w:w w:val="110"/>
          <w:sz w:val="20"/>
          <w:szCs w:val="20"/>
        </w:rPr>
        <w:t xml:space="preserve"> </w:t>
      </w:r>
      <w:r w:rsidRPr="004764F3">
        <w:rPr>
          <w:rFonts w:asciiTheme="majorBidi" w:hAnsiTheme="majorBidi" w:cstheme="majorBidi"/>
          <w:spacing w:val="-2"/>
          <w:w w:val="110"/>
          <w:sz w:val="20"/>
          <w:szCs w:val="20"/>
        </w:rPr>
        <w:t>Dictionary</w:t>
      </w:r>
      <w:r w:rsidR="004764F3" w:rsidRPr="004764F3">
        <w:rPr>
          <w:rFonts w:asciiTheme="majorBidi" w:hAnsiTheme="majorBidi" w:cstheme="majorBidi"/>
          <w:sz w:val="20"/>
          <w:szCs w:val="20"/>
        </w:rPr>
        <w:t>.</w:t>
      </w:r>
    </w:p>
  </w:footnote>
  <w:footnote w:id="2">
    <w:p w14:paraId="0464778D" w14:textId="48F7A7FA" w:rsidR="00CE0B9A" w:rsidRPr="004764F3" w:rsidRDefault="00CE0B9A" w:rsidP="00923095">
      <w:pPr>
        <w:pStyle w:val="a3"/>
        <w:bidi/>
        <w:rPr>
          <w:rFonts w:asciiTheme="majorBidi" w:hAnsiTheme="majorBidi" w:cstheme="majorBidi"/>
        </w:rPr>
      </w:pPr>
      <w:r w:rsidRPr="004764F3">
        <w:rPr>
          <w:rStyle w:val="a5"/>
          <w:rFonts w:asciiTheme="majorBidi" w:hAnsiTheme="majorBidi" w:cstheme="majorBidi"/>
        </w:rPr>
        <w:footnoteRef/>
      </w:r>
      <w:r w:rsidRPr="004764F3">
        <w:rPr>
          <w:rFonts w:asciiTheme="majorBidi" w:hAnsiTheme="majorBidi" w:cstheme="majorBidi"/>
          <w:rtl/>
        </w:rPr>
        <w:t xml:space="preserve"> </w:t>
      </w:r>
      <w:r w:rsidR="004764F3" w:rsidRPr="004764F3">
        <w:rPr>
          <w:rFonts w:asciiTheme="majorBidi" w:hAnsiTheme="majorBidi" w:cstheme="majorBidi"/>
          <w:rtl/>
        </w:rPr>
        <w:t>.</w:t>
      </w:r>
      <w:r w:rsidRPr="004764F3">
        <w:rPr>
          <w:rFonts w:asciiTheme="majorBidi" w:hAnsiTheme="majorBidi" w:cstheme="majorBidi"/>
          <w:color w:val="000000"/>
          <w:shd w:val="clear" w:color="auto" w:fill="FFFFFF"/>
        </w:rPr>
        <w:t>People v. Overman, 126 Cal. App. 4th 1344</w:t>
      </w:r>
    </w:p>
  </w:footnote>
  <w:footnote w:id="3">
    <w:p w14:paraId="556008B5" w14:textId="172D97F3" w:rsidR="00204C5C" w:rsidRPr="004764F3" w:rsidRDefault="00204C5C" w:rsidP="00923095">
      <w:pPr>
        <w:pStyle w:val="a3"/>
        <w:bidi/>
        <w:rPr>
          <w:rFonts w:asciiTheme="majorBidi" w:hAnsiTheme="majorBidi" w:cstheme="majorBidi"/>
          <w:rtl/>
        </w:rPr>
      </w:pPr>
      <w:r w:rsidRPr="004764F3">
        <w:rPr>
          <w:rStyle w:val="a5"/>
          <w:rFonts w:asciiTheme="majorBidi" w:hAnsiTheme="majorBidi" w:cstheme="majorBidi"/>
        </w:rPr>
        <w:footnoteRef/>
      </w:r>
      <w:r w:rsidRPr="004764F3">
        <w:rPr>
          <w:rFonts w:asciiTheme="majorBidi" w:hAnsiTheme="majorBidi" w:cstheme="majorBidi"/>
          <w:rtl/>
        </w:rPr>
        <w:t xml:space="preserve"> </w:t>
      </w:r>
      <w:r w:rsidRPr="004764F3">
        <w:rPr>
          <w:rFonts w:asciiTheme="majorBidi" w:hAnsiTheme="majorBidi" w:cstheme="majorBidi"/>
          <w:color w:val="000000"/>
          <w:rtl/>
        </w:rPr>
        <w:t xml:space="preserve">ע"פ 125/50 </w:t>
      </w:r>
      <w:r w:rsidRPr="004764F3">
        <w:rPr>
          <w:rFonts w:asciiTheme="majorBidi" w:hAnsiTheme="majorBidi" w:cstheme="majorBidi"/>
          <w:b/>
          <w:bCs/>
          <w:color w:val="000000"/>
          <w:rtl/>
        </w:rPr>
        <w:t>יעקובוביץ’ נ' היועץ המשפטי לממשלת ישראל</w:t>
      </w:r>
      <w:r w:rsidRPr="004764F3">
        <w:rPr>
          <w:rFonts w:asciiTheme="majorBidi" w:hAnsiTheme="majorBidi" w:cstheme="majorBidi"/>
          <w:color w:val="000000"/>
          <w:rtl/>
        </w:rPr>
        <w:t>, ו 514 (1952</w:t>
      </w:r>
      <w:r w:rsidR="004764F3" w:rsidRPr="004764F3">
        <w:rPr>
          <w:rFonts w:asciiTheme="majorBidi" w:hAnsiTheme="majorBidi" w:cstheme="majorBidi"/>
          <w:color w:val="000000"/>
        </w:rPr>
        <w:t>(</w:t>
      </w:r>
      <w:r w:rsidR="004764F3" w:rsidRPr="004764F3">
        <w:rPr>
          <w:rFonts w:asciiTheme="majorBidi" w:hAnsiTheme="majorBidi" w:cstheme="majorBidi"/>
          <w:rtl/>
        </w:rPr>
        <w:t>.</w:t>
      </w:r>
    </w:p>
  </w:footnote>
  <w:footnote w:id="4">
    <w:p w14:paraId="6334AADB" w14:textId="0C0D5751" w:rsidR="00204C5C" w:rsidRPr="004764F3" w:rsidRDefault="00204C5C" w:rsidP="00204C5C">
      <w:pPr>
        <w:bidi/>
        <w:rPr>
          <w:rFonts w:asciiTheme="majorBidi" w:hAnsiTheme="majorBidi" w:cstheme="majorBidi"/>
          <w:sz w:val="20"/>
          <w:szCs w:val="20"/>
          <w:rtl/>
        </w:rPr>
      </w:pPr>
      <w:r w:rsidRPr="004764F3">
        <w:rPr>
          <w:rStyle w:val="a5"/>
          <w:rFonts w:asciiTheme="majorBidi" w:hAnsiTheme="majorBidi" w:cstheme="majorBidi"/>
          <w:sz w:val="20"/>
          <w:szCs w:val="20"/>
        </w:rPr>
        <w:footnoteRef/>
      </w:r>
      <w:r w:rsidRPr="004764F3">
        <w:rPr>
          <w:rFonts w:asciiTheme="majorBidi" w:hAnsiTheme="majorBidi" w:cstheme="majorBidi"/>
          <w:sz w:val="20"/>
          <w:szCs w:val="20"/>
          <w:rtl/>
        </w:rPr>
        <w:t xml:space="preserve"> </w:t>
      </w:r>
      <w:r w:rsidRPr="004764F3">
        <w:rPr>
          <w:rFonts w:asciiTheme="majorBidi" w:eastAsiaTheme="minorHAnsi" w:hAnsiTheme="majorBidi" w:cstheme="majorBidi"/>
          <w:color w:val="000000"/>
          <w:sz w:val="20"/>
          <w:szCs w:val="20"/>
          <w:rtl/>
        </w:rPr>
        <w:t>בע"פ 118/53 </w:t>
      </w:r>
      <w:proofErr w:type="spellStart"/>
      <w:r w:rsidRPr="004764F3">
        <w:rPr>
          <w:rFonts w:asciiTheme="majorBidi" w:eastAsiaTheme="minorHAnsi" w:hAnsiTheme="majorBidi" w:cstheme="majorBidi"/>
          <w:b/>
          <w:bCs/>
          <w:color w:val="000000"/>
          <w:sz w:val="20"/>
          <w:szCs w:val="20"/>
          <w:rtl/>
        </w:rPr>
        <w:t>מנדלברוט</w:t>
      </w:r>
      <w:proofErr w:type="spellEnd"/>
      <w:r w:rsidRPr="004764F3">
        <w:rPr>
          <w:rFonts w:asciiTheme="majorBidi" w:eastAsiaTheme="minorHAnsi" w:hAnsiTheme="majorBidi" w:cstheme="majorBidi"/>
          <w:b/>
          <w:bCs/>
          <w:color w:val="000000"/>
          <w:sz w:val="20"/>
          <w:szCs w:val="20"/>
          <w:rtl/>
        </w:rPr>
        <w:t xml:space="preserve"> נ' היועץ המשפטי לממשלה</w:t>
      </w:r>
      <w:r w:rsidRPr="004764F3">
        <w:rPr>
          <w:rFonts w:asciiTheme="majorBidi" w:eastAsiaTheme="minorHAnsi" w:hAnsiTheme="majorBidi" w:cstheme="majorBidi"/>
          <w:color w:val="000000"/>
          <w:sz w:val="20"/>
          <w:szCs w:val="20"/>
          <w:rtl/>
        </w:rPr>
        <w:t> פ"ד י 281, 315 (1956).</w:t>
      </w:r>
    </w:p>
  </w:footnote>
  <w:footnote w:id="5">
    <w:p w14:paraId="0C597A97" w14:textId="4C98A638" w:rsidR="00B55450" w:rsidRPr="004764F3" w:rsidRDefault="00B55450" w:rsidP="00B55450">
      <w:pPr>
        <w:tabs>
          <w:tab w:val="left" w:pos="2109"/>
        </w:tabs>
        <w:bidi/>
        <w:rPr>
          <w:rFonts w:asciiTheme="majorBidi" w:hAnsiTheme="majorBidi" w:cstheme="majorBidi"/>
          <w:sz w:val="20"/>
          <w:szCs w:val="20"/>
          <w:rtl/>
        </w:rPr>
      </w:pPr>
      <w:r w:rsidRPr="004764F3">
        <w:rPr>
          <w:rStyle w:val="a5"/>
          <w:rFonts w:asciiTheme="majorBidi" w:hAnsiTheme="majorBidi" w:cstheme="majorBidi"/>
          <w:sz w:val="20"/>
          <w:szCs w:val="20"/>
        </w:rPr>
        <w:footnoteRef/>
      </w:r>
      <w:r w:rsidRPr="004764F3">
        <w:rPr>
          <w:rFonts w:asciiTheme="majorBidi" w:hAnsiTheme="majorBidi" w:cstheme="majorBidi"/>
          <w:sz w:val="20"/>
          <w:szCs w:val="20"/>
          <w:rtl/>
        </w:rPr>
        <w:t xml:space="preserve"> ע"פ 172/68 </w:t>
      </w:r>
      <w:r w:rsidRPr="004764F3">
        <w:rPr>
          <w:rFonts w:asciiTheme="majorBidi" w:hAnsiTheme="majorBidi" w:cstheme="majorBidi"/>
          <w:b/>
          <w:bCs/>
          <w:sz w:val="20"/>
          <w:szCs w:val="20"/>
          <w:rtl/>
        </w:rPr>
        <w:t xml:space="preserve">סולומון </w:t>
      </w:r>
      <w:proofErr w:type="spellStart"/>
      <w:r w:rsidRPr="004764F3">
        <w:rPr>
          <w:rFonts w:asciiTheme="majorBidi" w:hAnsiTheme="majorBidi" w:cstheme="majorBidi"/>
          <w:b/>
          <w:bCs/>
          <w:sz w:val="20"/>
          <w:szCs w:val="20"/>
          <w:rtl/>
        </w:rPr>
        <w:t>המטפרסט</w:t>
      </w:r>
      <w:proofErr w:type="spellEnd"/>
      <w:r w:rsidRPr="004764F3">
        <w:rPr>
          <w:rFonts w:asciiTheme="majorBidi" w:hAnsiTheme="majorBidi" w:cstheme="majorBidi"/>
          <w:b/>
          <w:bCs/>
          <w:sz w:val="20"/>
          <w:szCs w:val="20"/>
          <w:rtl/>
        </w:rPr>
        <w:t xml:space="preserve"> נ' היועץ המשפטי לממשלה</w:t>
      </w:r>
      <w:r w:rsidRPr="004764F3">
        <w:rPr>
          <w:rFonts w:asciiTheme="majorBidi" w:hAnsiTheme="majorBidi" w:cstheme="majorBidi"/>
          <w:sz w:val="20"/>
          <w:szCs w:val="20"/>
        </w:rPr>
        <w:t xml:space="preserve">, </w:t>
      </w:r>
      <w:proofErr w:type="spellStart"/>
      <w:r w:rsidRPr="004764F3">
        <w:rPr>
          <w:rFonts w:asciiTheme="majorBidi" w:hAnsiTheme="majorBidi" w:cstheme="majorBidi"/>
          <w:sz w:val="20"/>
          <w:szCs w:val="20"/>
          <w:rtl/>
        </w:rPr>
        <w:t>כב</w:t>
      </w:r>
      <w:proofErr w:type="spellEnd"/>
      <w:r w:rsidRPr="004764F3">
        <w:rPr>
          <w:rFonts w:asciiTheme="majorBidi" w:hAnsiTheme="majorBidi" w:cstheme="majorBidi"/>
          <w:sz w:val="20"/>
          <w:szCs w:val="20"/>
          <w:rtl/>
        </w:rPr>
        <w:t>(2) 003 (1968)‏</w:t>
      </w:r>
      <w:r w:rsidRPr="004764F3">
        <w:rPr>
          <w:rFonts w:asciiTheme="majorBidi" w:hAnsiTheme="majorBidi" w:cstheme="majorBidi"/>
          <w:color w:val="000000"/>
          <w:sz w:val="20"/>
          <w:szCs w:val="20"/>
          <w:rtl/>
        </w:rPr>
        <w:t>‏</w:t>
      </w:r>
      <w:r w:rsidR="004764F3" w:rsidRPr="004764F3">
        <w:rPr>
          <w:rFonts w:asciiTheme="majorBidi" w:hAnsiTheme="majorBidi" w:cstheme="majorBidi"/>
          <w:sz w:val="20"/>
          <w:szCs w:val="20"/>
          <w:rtl/>
        </w:rPr>
        <w:t>.</w:t>
      </w:r>
    </w:p>
  </w:footnote>
  <w:footnote w:id="6">
    <w:p w14:paraId="72227752" w14:textId="3E827A5C" w:rsidR="00B55450" w:rsidRPr="004764F3" w:rsidRDefault="00B55450" w:rsidP="00B55450">
      <w:pPr>
        <w:tabs>
          <w:tab w:val="left" w:pos="2109"/>
        </w:tabs>
        <w:bidi/>
        <w:rPr>
          <w:rFonts w:asciiTheme="majorBidi" w:hAnsiTheme="majorBidi" w:cstheme="majorBidi"/>
          <w:sz w:val="20"/>
          <w:szCs w:val="20"/>
          <w:rtl/>
        </w:rPr>
      </w:pPr>
      <w:r w:rsidRPr="004764F3">
        <w:rPr>
          <w:rStyle w:val="a5"/>
          <w:rFonts w:asciiTheme="majorBidi" w:hAnsiTheme="majorBidi" w:cstheme="majorBidi"/>
          <w:sz w:val="20"/>
          <w:szCs w:val="20"/>
        </w:rPr>
        <w:footnoteRef/>
      </w:r>
      <w:r w:rsidRPr="004764F3">
        <w:rPr>
          <w:rFonts w:asciiTheme="majorBidi" w:hAnsiTheme="majorBidi" w:cstheme="majorBidi"/>
          <w:sz w:val="20"/>
          <w:szCs w:val="20"/>
          <w:rtl/>
        </w:rPr>
        <w:t xml:space="preserve"> </w:t>
      </w:r>
      <w:r w:rsidRPr="004764F3">
        <w:rPr>
          <w:rFonts w:asciiTheme="majorBidi" w:hAnsiTheme="majorBidi" w:cstheme="majorBidi"/>
          <w:color w:val="000000"/>
          <w:sz w:val="20"/>
          <w:szCs w:val="20"/>
          <w:rtl/>
        </w:rPr>
        <w:t xml:space="preserve">ד"נ 8/68 סולומון </w:t>
      </w:r>
      <w:proofErr w:type="spellStart"/>
      <w:r w:rsidRPr="004764F3">
        <w:rPr>
          <w:rFonts w:asciiTheme="majorBidi" w:hAnsiTheme="majorBidi" w:cstheme="majorBidi"/>
          <w:color w:val="000000"/>
          <w:sz w:val="20"/>
          <w:szCs w:val="20"/>
          <w:rtl/>
        </w:rPr>
        <w:t>המטפרסט</w:t>
      </w:r>
      <w:proofErr w:type="spellEnd"/>
      <w:r w:rsidRPr="004764F3">
        <w:rPr>
          <w:rFonts w:asciiTheme="majorBidi" w:hAnsiTheme="majorBidi" w:cstheme="majorBidi"/>
          <w:color w:val="000000"/>
          <w:sz w:val="20"/>
          <w:szCs w:val="20"/>
          <w:rtl/>
        </w:rPr>
        <w:t xml:space="preserve"> נ' היועץ המשפטי לממשלה, </w:t>
      </w:r>
      <w:proofErr w:type="spellStart"/>
      <w:r w:rsidRPr="004764F3">
        <w:rPr>
          <w:rFonts w:asciiTheme="majorBidi" w:hAnsiTheme="majorBidi" w:cstheme="majorBidi"/>
          <w:color w:val="000000"/>
          <w:sz w:val="20"/>
          <w:szCs w:val="20"/>
          <w:rtl/>
        </w:rPr>
        <w:t>כב</w:t>
      </w:r>
      <w:proofErr w:type="spellEnd"/>
      <w:r w:rsidRPr="004764F3">
        <w:rPr>
          <w:rFonts w:asciiTheme="majorBidi" w:hAnsiTheme="majorBidi" w:cstheme="majorBidi"/>
          <w:color w:val="000000"/>
          <w:sz w:val="20"/>
          <w:szCs w:val="20"/>
          <w:rtl/>
        </w:rPr>
        <w:t>(2) 536 (1968</w:t>
      </w:r>
      <w:r w:rsidR="004764F3" w:rsidRPr="004764F3">
        <w:rPr>
          <w:rFonts w:asciiTheme="majorBidi" w:hAnsiTheme="majorBidi" w:cstheme="majorBidi"/>
          <w:color w:val="000000"/>
          <w:sz w:val="20"/>
          <w:szCs w:val="20"/>
          <w:rtl/>
        </w:rPr>
        <w:t>).</w:t>
      </w:r>
    </w:p>
    <w:p w14:paraId="6227F574" w14:textId="2F486CCA" w:rsidR="00B55450" w:rsidRDefault="00B55450">
      <w:pPr>
        <w:pStyle w:val="a3"/>
        <w:rPr>
          <w:rtl/>
        </w:rPr>
      </w:pPr>
    </w:p>
  </w:footnote>
  <w:footnote w:id="7">
    <w:p w14:paraId="0DB241A3" w14:textId="77777777" w:rsidR="00DF6FFD" w:rsidRPr="009F313A" w:rsidRDefault="00DF6FFD" w:rsidP="00DF6FFD">
      <w:pPr>
        <w:pStyle w:val="a3"/>
        <w:bidi/>
        <w:rPr>
          <w:rFonts w:asciiTheme="majorBidi" w:hAnsiTheme="majorBidi" w:cstheme="majorBidi"/>
          <w:rtl/>
        </w:rPr>
      </w:pPr>
      <w:r w:rsidRPr="009F313A">
        <w:rPr>
          <w:rStyle w:val="a5"/>
          <w:rFonts w:asciiTheme="majorBidi" w:hAnsiTheme="majorBidi" w:cstheme="majorBidi"/>
        </w:rPr>
        <w:footnoteRef/>
      </w:r>
      <w:r w:rsidRPr="009F313A">
        <w:rPr>
          <w:rFonts w:asciiTheme="majorBidi" w:hAnsiTheme="majorBidi" w:cstheme="majorBidi"/>
        </w:rPr>
        <w:t xml:space="preserve"> R v. </w:t>
      </w:r>
      <w:proofErr w:type="spellStart"/>
      <w:r w:rsidRPr="009F313A">
        <w:rPr>
          <w:rFonts w:asciiTheme="majorBidi" w:hAnsiTheme="majorBidi" w:cstheme="majorBidi"/>
        </w:rPr>
        <w:t>Steane</w:t>
      </w:r>
      <w:proofErr w:type="spellEnd"/>
      <w:r w:rsidRPr="009F313A">
        <w:rPr>
          <w:rFonts w:asciiTheme="majorBidi" w:hAnsiTheme="majorBidi" w:cstheme="majorBidi"/>
        </w:rPr>
        <w:t xml:space="preserve"> [1947] K.B. 997.</w:t>
      </w:r>
    </w:p>
  </w:footnote>
  <w:footnote w:id="8">
    <w:p w14:paraId="0A8CB54D" w14:textId="77777777" w:rsidR="00DF6FFD" w:rsidRPr="009F313A" w:rsidRDefault="00DF6FFD" w:rsidP="00DF6FFD">
      <w:pPr>
        <w:pStyle w:val="a3"/>
        <w:bidi/>
        <w:rPr>
          <w:rFonts w:asciiTheme="majorBidi" w:hAnsiTheme="majorBidi" w:cstheme="majorBidi"/>
          <w:rtl/>
        </w:rPr>
      </w:pPr>
      <w:r w:rsidRPr="009F313A">
        <w:rPr>
          <w:rStyle w:val="a5"/>
          <w:rFonts w:asciiTheme="majorBidi" w:hAnsiTheme="majorBidi" w:cstheme="majorBidi"/>
        </w:rPr>
        <w:footnoteRef/>
      </w:r>
      <w:r w:rsidRPr="009F313A">
        <w:rPr>
          <w:rFonts w:asciiTheme="majorBidi" w:hAnsiTheme="majorBidi" w:cstheme="majorBidi"/>
        </w:rPr>
        <w:t xml:space="preserve"> R v. </w:t>
      </w:r>
      <w:proofErr w:type="spellStart"/>
      <w:r w:rsidRPr="009F313A">
        <w:rPr>
          <w:rFonts w:asciiTheme="majorBidi" w:hAnsiTheme="majorBidi" w:cstheme="majorBidi"/>
        </w:rPr>
        <w:t>Steane</w:t>
      </w:r>
      <w:proofErr w:type="spellEnd"/>
      <w:r w:rsidRPr="009F313A">
        <w:rPr>
          <w:rFonts w:asciiTheme="majorBidi" w:hAnsiTheme="majorBidi" w:cstheme="majorBidi"/>
        </w:rPr>
        <w:t xml:space="preserve"> [1947] 1 All ER 813.</w:t>
      </w:r>
    </w:p>
  </w:footnote>
  <w:footnote w:id="9">
    <w:p w14:paraId="54C33CCC" w14:textId="6BB69D4E" w:rsidR="007E52E0" w:rsidRPr="009F313A" w:rsidRDefault="007E52E0" w:rsidP="004764F3">
      <w:pPr>
        <w:pStyle w:val="NormalWeb"/>
        <w:bidi/>
        <w:spacing w:before="0" w:beforeAutospacing="0" w:after="0" w:afterAutospacing="0"/>
        <w:jc w:val="both"/>
        <w:textAlignment w:val="baseline"/>
        <w:rPr>
          <w:rFonts w:asciiTheme="majorBidi" w:hAnsiTheme="majorBidi" w:cstheme="majorBidi"/>
          <w:color w:val="333335"/>
          <w:sz w:val="20"/>
          <w:szCs w:val="20"/>
          <w:rtl/>
        </w:rPr>
      </w:pPr>
      <w:r>
        <w:rPr>
          <w:rStyle w:val="a5"/>
        </w:rPr>
        <w:footnoteRef/>
      </w:r>
      <w:r w:rsidRPr="009F313A">
        <w:rPr>
          <w:rFonts w:asciiTheme="majorBidi" w:hAnsiTheme="majorBidi" w:cstheme="majorBidi"/>
          <w:sz w:val="20"/>
          <w:szCs w:val="20"/>
        </w:rPr>
        <w:t xml:space="preserve"> Lord Simon of </w:t>
      </w:r>
      <w:proofErr w:type="spellStart"/>
      <w:r w:rsidRPr="009F313A">
        <w:rPr>
          <w:rFonts w:asciiTheme="majorBidi" w:hAnsiTheme="majorBidi" w:cstheme="majorBidi"/>
          <w:sz w:val="20"/>
          <w:szCs w:val="20"/>
        </w:rPr>
        <w:t>Glaisdale</w:t>
      </w:r>
      <w:proofErr w:type="spellEnd"/>
      <w:r w:rsidRPr="009F313A">
        <w:rPr>
          <w:rFonts w:asciiTheme="majorBidi" w:hAnsiTheme="majorBidi" w:cstheme="majorBidi"/>
          <w:sz w:val="20"/>
          <w:szCs w:val="20"/>
        </w:rPr>
        <w:t xml:space="preserve"> in </w:t>
      </w:r>
      <w:r w:rsidRPr="009F313A">
        <w:rPr>
          <w:rFonts w:asciiTheme="majorBidi" w:hAnsiTheme="majorBidi" w:cstheme="majorBidi"/>
          <w:i/>
          <w:iCs/>
          <w:sz w:val="20"/>
          <w:szCs w:val="20"/>
        </w:rPr>
        <w:t>Reg. v. Morgan</w:t>
      </w:r>
      <w:r w:rsidRPr="009F313A">
        <w:rPr>
          <w:rFonts w:asciiTheme="majorBidi" w:hAnsiTheme="majorBidi" w:cstheme="majorBidi"/>
          <w:sz w:val="20"/>
          <w:szCs w:val="20"/>
        </w:rPr>
        <w:t xml:space="preserve"> [1976] A.C. 182, 216-218.</w:t>
      </w:r>
    </w:p>
  </w:footnote>
  <w:footnote w:id="10">
    <w:p w14:paraId="0FC8B234" w14:textId="3E5BDE82" w:rsidR="004A3D2E" w:rsidRPr="009624B8" w:rsidRDefault="004A3D2E" w:rsidP="001578CB">
      <w:pPr>
        <w:pStyle w:val="a9"/>
        <w:bidi/>
        <w:spacing w:before="4" w:line="218" w:lineRule="auto"/>
        <w:ind w:right="124"/>
        <w:jc w:val="both"/>
        <w:rPr>
          <w:sz w:val="20"/>
          <w:szCs w:val="20"/>
          <w:lang w:bidi="he-IL"/>
        </w:rPr>
      </w:pPr>
      <w:r w:rsidRPr="009F313A">
        <w:rPr>
          <w:rStyle w:val="a5"/>
          <w:rFonts w:asciiTheme="majorBidi" w:hAnsiTheme="majorBidi" w:cstheme="majorBidi"/>
          <w:sz w:val="20"/>
          <w:szCs w:val="20"/>
        </w:rPr>
        <w:footnoteRef/>
      </w:r>
      <w:r w:rsidRPr="009F313A">
        <w:rPr>
          <w:rFonts w:asciiTheme="majorBidi" w:hAnsiTheme="majorBidi" w:cstheme="majorBidi"/>
          <w:sz w:val="20"/>
          <w:szCs w:val="20"/>
          <w:rtl/>
        </w:rPr>
        <w:t xml:space="preserve"> </w:t>
      </w:r>
      <w:r w:rsidRPr="009F313A">
        <w:rPr>
          <w:rFonts w:asciiTheme="majorBidi" w:hAnsiTheme="majorBidi" w:cstheme="majorBidi"/>
          <w:color w:val="000000"/>
          <w:sz w:val="20"/>
          <w:szCs w:val="20"/>
          <w:shd w:val="clear" w:color="auto" w:fill="FFFFFF"/>
        </w:rPr>
        <w:t>State v. Fleck, 810 N.W.2d 303</w:t>
      </w:r>
      <w:r w:rsidR="009624B8" w:rsidRPr="009F313A">
        <w:rPr>
          <w:rFonts w:asciiTheme="majorBidi" w:hAnsiTheme="majorBidi" w:cstheme="majorBidi"/>
          <w:sz w:val="20"/>
          <w:szCs w:val="20"/>
          <w:lang w:bidi="he-IL"/>
        </w:rPr>
        <w:t>, 308-309.</w:t>
      </w:r>
    </w:p>
  </w:footnote>
  <w:footnote w:id="11">
    <w:p w14:paraId="19DB882B" w14:textId="7FF28B04" w:rsidR="001578CB" w:rsidRPr="009F313A" w:rsidRDefault="001578CB" w:rsidP="001D5D0A">
      <w:pPr>
        <w:pStyle w:val="a3"/>
        <w:bidi/>
        <w:rPr>
          <w:rFonts w:asciiTheme="majorBidi" w:hAnsiTheme="majorBidi" w:cstheme="majorBidi"/>
        </w:rPr>
      </w:pPr>
      <w:r w:rsidRPr="009F313A">
        <w:rPr>
          <w:rStyle w:val="a5"/>
          <w:rFonts w:asciiTheme="majorBidi" w:hAnsiTheme="majorBidi" w:cstheme="majorBidi"/>
        </w:rPr>
        <w:footnoteRef/>
      </w:r>
      <w:r w:rsidRPr="009F313A">
        <w:rPr>
          <w:rFonts w:asciiTheme="majorBidi" w:hAnsiTheme="majorBidi" w:cstheme="majorBidi"/>
          <w:rtl/>
        </w:rPr>
        <w:t xml:space="preserve"> </w:t>
      </w:r>
      <w:r w:rsidRPr="009F313A">
        <w:rPr>
          <w:rFonts w:asciiTheme="majorBidi" w:hAnsiTheme="majorBidi" w:cstheme="majorBidi"/>
          <w:color w:val="212121"/>
          <w:bdr w:val="none" w:sz="0" w:space="0" w:color="auto" w:frame="1"/>
        </w:rPr>
        <w:t xml:space="preserve">Minn. Stat. § 609.02, </w:t>
      </w:r>
      <w:proofErr w:type="spellStart"/>
      <w:r w:rsidRPr="009F313A">
        <w:rPr>
          <w:rFonts w:asciiTheme="majorBidi" w:hAnsiTheme="majorBidi" w:cstheme="majorBidi"/>
          <w:color w:val="212121"/>
          <w:bdr w:val="none" w:sz="0" w:space="0" w:color="auto" w:frame="1"/>
        </w:rPr>
        <w:t>subd</w:t>
      </w:r>
      <w:proofErr w:type="spellEnd"/>
      <w:r w:rsidRPr="009F313A">
        <w:rPr>
          <w:rFonts w:asciiTheme="majorBidi" w:hAnsiTheme="majorBidi" w:cstheme="majorBidi"/>
          <w:color w:val="212121"/>
          <w:bdr w:val="none" w:sz="0" w:space="0" w:color="auto" w:frame="1"/>
        </w:rPr>
        <w:t>. 10(2)</w:t>
      </w:r>
      <w:r w:rsidRPr="009F313A">
        <w:rPr>
          <w:rFonts w:asciiTheme="majorBidi" w:hAnsiTheme="majorBidi" w:cstheme="majorBidi"/>
          <w:color w:val="212121"/>
        </w:rPr>
        <w:t>.</w:t>
      </w:r>
    </w:p>
  </w:footnote>
  <w:footnote w:id="12">
    <w:p w14:paraId="4F085F85" w14:textId="51E377DF" w:rsidR="000F4842" w:rsidRPr="009F313A" w:rsidRDefault="000F4842" w:rsidP="001D5D0A">
      <w:pPr>
        <w:pStyle w:val="a3"/>
        <w:bidi/>
        <w:rPr>
          <w:rFonts w:asciiTheme="majorBidi" w:hAnsiTheme="majorBidi" w:cstheme="majorBidi"/>
          <w:rtl/>
        </w:rPr>
      </w:pPr>
      <w:r w:rsidRPr="009F313A">
        <w:rPr>
          <w:rStyle w:val="a5"/>
          <w:rFonts w:asciiTheme="majorBidi" w:hAnsiTheme="majorBidi" w:cstheme="majorBidi"/>
        </w:rPr>
        <w:footnoteRef/>
      </w:r>
      <w:r w:rsidRPr="009F313A">
        <w:rPr>
          <w:rFonts w:asciiTheme="majorBidi" w:hAnsiTheme="majorBidi" w:cstheme="majorBidi"/>
          <w:rtl/>
        </w:rPr>
        <w:t xml:space="preserve"> </w:t>
      </w:r>
      <w:r w:rsidR="005A41AF" w:rsidRPr="009F313A">
        <w:rPr>
          <w:rFonts w:asciiTheme="majorBidi" w:hAnsiTheme="majorBidi" w:cstheme="majorBidi"/>
          <w:color w:val="000000"/>
          <w:shd w:val="clear" w:color="auto" w:fill="FFFFFF"/>
        </w:rPr>
        <w:t>People v. Fernandez, 26 Cal. App. 4th 710</w:t>
      </w:r>
      <w:r w:rsidR="009F313A" w:rsidRPr="009F313A">
        <w:rPr>
          <w:rFonts w:asciiTheme="majorBidi" w:hAnsiTheme="majorBidi" w:cstheme="majorBidi"/>
          <w:color w:val="000000"/>
          <w:shd w:val="clear" w:color="auto" w:fill="FFFFFF"/>
        </w:rPr>
        <w:t>, 717.</w:t>
      </w:r>
      <w:r w:rsidR="005A41AF" w:rsidRPr="009F313A">
        <w:rPr>
          <w:rFonts w:asciiTheme="majorBidi" w:hAnsiTheme="majorBidi" w:cstheme="majorBidi"/>
          <w:rtl/>
        </w:rPr>
        <w:t xml:space="preserve"> </w:t>
      </w:r>
    </w:p>
  </w:footnote>
  <w:footnote w:id="13">
    <w:p w14:paraId="47A860FE" w14:textId="1DFC7B8A" w:rsidR="000F4842" w:rsidRPr="009F313A" w:rsidRDefault="000F4842" w:rsidP="001D5D0A">
      <w:pPr>
        <w:pStyle w:val="a3"/>
        <w:bidi/>
        <w:rPr>
          <w:rFonts w:asciiTheme="majorBidi" w:hAnsiTheme="majorBidi" w:cstheme="majorBidi"/>
        </w:rPr>
      </w:pPr>
      <w:r w:rsidRPr="009F313A">
        <w:rPr>
          <w:rStyle w:val="a5"/>
          <w:rFonts w:asciiTheme="majorBidi" w:hAnsiTheme="majorBidi" w:cstheme="majorBidi"/>
        </w:rPr>
        <w:footnoteRef/>
      </w:r>
      <w:r w:rsidRPr="009F313A">
        <w:rPr>
          <w:rFonts w:asciiTheme="majorBidi" w:hAnsiTheme="majorBidi" w:cstheme="majorBidi"/>
          <w:rtl/>
        </w:rPr>
        <w:t xml:space="preserve"> </w:t>
      </w:r>
      <w:r w:rsidRPr="009F313A">
        <w:rPr>
          <w:rFonts w:asciiTheme="majorBidi" w:hAnsiTheme="majorBidi" w:cstheme="majorBidi"/>
          <w:bdr w:val="none" w:sz="0" w:space="0" w:color="auto" w:frame="1"/>
          <w:shd w:val="clear" w:color="auto" w:fill="FFFFFF"/>
        </w:rPr>
        <w:t>Cal. Penal Code § 236</w:t>
      </w:r>
    </w:p>
  </w:footnote>
  <w:footnote w:id="14">
    <w:p w14:paraId="30C961E2" w14:textId="29AF515D" w:rsidR="003C09C3" w:rsidRPr="009F313A" w:rsidRDefault="003C09C3" w:rsidP="001D5D0A">
      <w:pPr>
        <w:tabs>
          <w:tab w:val="left" w:pos="2581"/>
        </w:tabs>
        <w:bidi/>
        <w:rPr>
          <w:rFonts w:asciiTheme="majorBidi" w:hAnsiTheme="majorBidi" w:cstheme="majorBidi"/>
          <w:color w:val="000000"/>
          <w:sz w:val="20"/>
          <w:szCs w:val="20"/>
          <w:rtl/>
        </w:rPr>
      </w:pPr>
      <w:r w:rsidRPr="009F313A">
        <w:rPr>
          <w:rStyle w:val="a5"/>
          <w:rFonts w:asciiTheme="majorBidi" w:hAnsiTheme="majorBidi" w:cstheme="majorBidi"/>
          <w:sz w:val="20"/>
          <w:szCs w:val="20"/>
        </w:rPr>
        <w:footnoteRef/>
      </w:r>
      <w:r w:rsidRPr="009F313A">
        <w:rPr>
          <w:rFonts w:asciiTheme="majorBidi" w:hAnsiTheme="majorBidi" w:cstheme="majorBidi"/>
          <w:sz w:val="20"/>
          <w:szCs w:val="20"/>
          <w:rtl/>
        </w:rPr>
        <w:t xml:space="preserve"> </w:t>
      </w:r>
      <w:r w:rsidR="008F4F6B" w:rsidRPr="009F313A">
        <w:rPr>
          <w:rFonts w:asciiTheme="majorBidi" w:hAnsiTheme="majorBidi" w:cstheme="majorBidi"/>
          <w:sz w:val="20"/>
          <w:szCs w:val="20"/>
          <w:rtl/>
        </w:rPr>
        <w:t>ע"פ 150/88 </w:t>
      </w:r>
      <w:r w:rsidR="008F4F6B" w:rsidRPr="009F313A">
        <w:rPr>
          <w:rFonts w:asciiTheme="majorBidi" w:hAnsiTheme="majorBidi" w:cstheme="majorBidi"/>
          <w:b/>
          <w:bCs/>
          <w:sz w:val="20"/>
          <w:szCs w:val="20"/>
          <w:rtl/>
        </w:rPr>
        <w:t>אליהו לושי נ' מדינת ישראל</w:t>
      </w:r>
      <w:r w:rsidR="008F4F6B" w:rsidRPr="009F313A">
        <w:rPr>
          <w:rFonts w:asciiTheme="majorBidi" w:hAnsiTheme="majorBidi" w:cstheme="majorBidi"/>
          <w:sz w:val="20"/>
          <w:szCs w:val="20"/>
        </w:rPr>
        <w:t xml:space="preserve"> </w:t>
      </w:r>
      <w:proofErr w:type="spellStart"/>
      <w:r w:rsidR="008F4F6B" w:rsidRPr="009F313A">
        <w:rPr>
          <w:rFonts w:asciiTheme="majorBidi" w:hAnsiTheme="majorBidi" w:cstheme="majorBidi"/>
          <w:sz w:val="20"/>
          <w:szCs w:val="20"/>
          <w:rtl/>
        </w:rPr>
        <w:t>מב</w:t>
      </w:r>
      <w:proofErr w:type="spellEnd"/>
      <w:r w:rsidR="008F4F6B" w:rsidRPr="009F313A">
        <w:rPr>
          <w:rFonts w:asciiTheme="majorBidi" w:hAnsiTheme="majorBidi" w:cstheme="majorBidi"/>
          <w:sz w:val="20"/>
          <w:szCs w:val="20"/>
          <w:rtl/>
        </w:rPr>
        <w:t>(2) 650</w:t>
      </w:r>
      <w:r w:rsidR="009624B8" w:rsidRPr="009F313A">
        <w:rPr>
          <w:rFonts w:asciiTheme="majorBidi" w:hAnsiTheme="majorBidi" w:cstheme="majorBidi"/>
          <w:sz w:val="20"/>
          <w:szCs w:val="20"/>
          <w:rtl/>
        </w:rPr>
        <w:t xml:space="preserve">, </w:t>
      </w:r>
      <w:r w:rsidR="009F313A" w:rsidRPr="009F313A">
        <w:rPr>
          <w:rFonts w:asciiTheme="majorBidi" w:hAnsiTheme="majorBidi" w:cstheme="majorBidi"/>
          <w:sz w:val="20"/>
          <w:szCs w:val="20"/>
          <w:rtl/>
        </w:rPr>
        <w:t>659-658</w:t>
      </w:r>
      <w:r w:rsidR="008F4F6B" w:rsidRPr="009F313A">
        <w:rPr>
          <w:rFonts w:asciiTheme="majorBidi" w:hAnsiTheme="majorBidi" w:cstheme="majorBidi"/>
          <w:sz w:val="20"/>
          <w:szCs w:val="20"/>
          <w:rtl/>
        </w:rPr>
        <w:t xml:space="preserve"> (1988)‏</w:t>
      </w:r>
      <w:r w:rsidR="008F4F6B" w:rsidRPr="009F313A">
        <w:rPr>
          <w:rFonts w:asciiTheme="majorBidi" w:hAnsiTheme="majorBidi" w:cstheme="majorBidi"/>
          <w:color w:val="000000"/>
          <w:sz w:val="20"/>
          <w:szCs w:val="20"/>
          <w:rtl/>
        </w:rPr>
        <w:t>‏</w:t>
      </w:r>
      <w:r w:rsidR="009F313A" w:rsidRPr="009F313A">
        <w:rPr>
          <w:rFonts w:asciiTheme="majorBidi" w:hAnsiTheme="majorBidi" w:cstheme="majorBidi"/>
          <w:color w:val="000000"/>
          <w:sz w:val="20"/>
          <w:szCs w:val="20"/>
          <w:rtl/>
        </w:rPr>
        <w:t>.</w:t>
      </w:r>
    </w:p>
  </w:footnote>
  <w:footnote w:id="15">
    <w:p w14:paraId="14C16538" w14:textId="11FE8310" w:rsidR="00815427" w:rsidRDefault="00815427" w:rsidP="00846C24">
      <w:pPr>
        <w:pStyle w:val="a3"/>
        <w:bidi/>
        <w:rPr>
          <w:rtl/>
        </w:rPr>
      </w:pPr>
      <w:r w:rsidRPr="009F313A">
        <w:rPr>
          <w:rStyle w:val="a5"/>
          <w:rFonts w:asciiTheme="majorBidi" w:hAnsiTheme="majorBidi" w:cstheme="majorBidi"/>
        </w:rPr>
        <w:footnoteRef/>
      </w:r>
      <w:r w:rsidRPr="009F313A">
        <w:rPr>
          <w:rFonts w:asciiTheme="majorBidi" w:hAnsiTheme="majorBidi" w:cstheme="majorBidi"/>
          <w:rtl/>
        </w:rPr>
        <w:t xml:space="preserve"> </w:t>
      </w:r>
      <w:r w:rsidRPr="009F313A">
        <w:rPr>
          <w:rFonts w:asciiTheme="majorBidi" w:hAnsiTheme="majorBidi" w:cstheme="majorBidi"/>
          <w:color w:val="000000"/>
          <w:rtl/>
        </w:rPr>
        <w:t>ע"פ 103/88 </w:t>
      </w:r>
      <w:r w:rsidRPr="009F313A">
        <w:rPr>
          <w:rFonts w:asciiTheme="majorBidi" w:hAnsiTheme="majorBidi" w:cstheme="majorBidi"/>
          <w:b/>
          <w:bCs/>
          <w:color w:val="000000"/>
          <w:rtl/>
        </w:rPr>
        <w:t xml:space="preserve">משה </w:t>
      </w:r>
      <w:proofErr w:type="spellStart"/>
      <w:r w:rsidRPr="009F313A">
        <w:rPr>
          <w:rFonts w:asciiTheme="majorBidi" w:hAnsiTheme="majorBidi" w:cstheme="majorBidi"/>
          <w:b/>
          <w:bCs/>
          <w:color w:val="000000"/>
          <w:rtl/>
        </w:rPr>
        <w:t>ליכטמן</w:t>
      </w:r>
      <w:proofErr w:type="spellEnd"/>
      <w:r w:rsidRPr="009F313A">
        <w:rPr>
          <w:rFonts w:asciiTheme="majorBidi" w:hAnsiTheme="majorBidi" w:cstheme="majorBidi"/>
          <w:b/>
          <w:bCs/>
          <w:color w:val="000000"/>
          <w:rtl/>
        </w:rPr>
        <w:t xml:space="preserve"> נ' מדינת ישראל</w:t>
      </w:r>
      <w:r w:rsidRPr="009F313A">
        <w:rPr>
          <w:rFonts w:asciiTheme="majorBidi" w:hAnsiTheme="majorBidi" w:cstheme="majorBidi"/>
          <w:color w:val="000000"/>
        </w:rPr>
        <w:t xml:space="preserve"> </w:t>
      </w:r>
      <w:r w:rsidRPr="009F313A">
        <w:rPr>
          <w:rFonts w:asciiTheme="majorBidi" w:hAnsiTheme="majorBidi" w:cstheme="majorBidi"/>
          <w:color w:val="000000"/>
          <w:rtl/>
        </w:rPr>
        <w:t>מג(3) 373 (1989)‏‏</w:t>
      </w:r>
      <w:r w:rsidR="009624B8" w:rsidRPr="009F313A">
        <w:rPr>
          <w:rFonts w:asciiTheme="majorBidi" w:hAnsiTheme="majorBidi" w:cstheme="majorBidi"/>
          <w:rtl/>
        </w:rPr>
        <w:t>.</w:t>
      </w:r>
    </w:p>
  </w:footnote>
  <w:footnote w:id="16">
    <w:p w14:paraId="0D3819F1" w14:textId="6386EC5F" w:rsidR="00210503" w:rsidRPr="00210503" w:rsidRDefault="00210503" w:rsidP="00210503">
      <w:pPr>
        <w:bidi/>
        <w:spacing w:line="360" w:lineRule="auto"/>
        <w:jc w:val="both"/>
        <w:rPr>
          <w:rFonts w:ascii="David" w:hAnsi="David" w:cs="David"/>
          <w:sz w:val="20"/>
          <w:szCs w:val="20"/>
          <w:rtl/>
        </w:rPr>
      </w:pPr>
      <w:r w:rsidRPr="009F313A">
        <w:rPr>
          <w:rStyle w:val="a5"/>
          <w:rFonts w:asciiTheme="majorBidi" w:hAnsiTheme="majorBidi" w:cstheme="majorBidi"/>
          <w:sz w:val="20"/>
          <w:szCs w:val="20"/>
        </w:rPr>
        <w:footnoteRef/>
      </w:r>
      <w:r w:rsidRPr="009F313A">
        <w:rPr>
          <w:rFonts w:asciiTheme="majorBidi" w:hAnsiTheme="majorBidi" w:cstheme="majorBidi"/>
          <w:sz w:val="20"/>
          <w:szCs w:val="20"/>
          <w:rtl/>
        </w:rPr>
        <w:t xml:space="preserve"> </w:t>
      </w:r>
      <w:r w:rsidRPr="009F313A">
        <w:rPr>
          <w:rFonts w:asciiTheme="majorBidi" w:hAnsiTheme="majorBidi" w:cstheme="majorBidi"/>
          <w:color w:val="000000"/>
          <w:sz w:val="20"/>
          <w:szCs w:val="20"/>
          <w:rtl/>
        </w:rPr>
        <w:t>ע"פ 2831/95 הרב עידו אלבה נ' מדינת ישראל, נ(5) 221</w:t>
      </w:r>
      <w:r w:rsidR="009F313A" w:rsidRPr="009F313A">
        <w:rPr>
          <w:rFonts w:asciiTheme="majorBidi" w:hAnsiTheme="majorBidi" w:cstheme="majorBidi"/>
          <w:color w:val="000000"/>
          <w:sz w:val="20"/>
          <w:szCs w:val="20"/>
          <w:rtl/>
        </w:rPr>
        <w:t>, 272</w:t>
      </w:r>
      <w:r w:rsidRPr="009F313A">
        <w:rPr>
          <w:rFonts w:asciiTheme="majorBidi" w:hAnsiTheme="majorBidi" w:cstheme="majorBidi"/>
          <w:color w:val="000000"/>
          <w:sz w:val="20"/>
          <w:szCs w:val="20"/>
          <w:rtl/>
        </w:rPr>
        <w:t xml:space="preserve"> (1996)</w:t>
      </w:r>
      <w:r w:rsidR="009F313A" w:rsidRPr="009F313A">
        <w:rPr>
          <w:rFonts w:asciiTheme="majorBidi" w:hAnsiTheme="majorBidi" w:cstheme="majorBidi"/>
          <w:color w:val="000000"/>
          <w:sz w:val="20"/>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DCE7" w14:textId="77777777" w:rsidR="00FC502B" w:rsidRDefault="00FC502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8A56" w14:textId="33856D31" w:rsidR="00FC502B" w:rsidRPr="00FC502B" w:rsidRDefault="00FC502B">
    <w:pPr>
      <w:pStyle w:val="ac"/>
      <w:rPr>
        <w:rFonts w:ascii="David" w:hAnsi="David" w:cs="David"/>
      </w:rPr>
    </w:pPr>
    <w:r w:rsidRPr="00FC502B">
      <w:rPr>
        <w:rFonts w:ascii="David" w:hAnsi="David" w:cs="David"/>
        <w:rtl/>
      </w:rPr>
      <w:t>רז רחמני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4A0" w14:textId="77777777" w:rsidR="00FC502B" w:rsidRDefault="00FC502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C7028"/>
    <w:multiLevelType w:val="multilevel"/>
    <w:tmpl w:val="D842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912A4D"/>
    <w:multiLevelType w:val="hybridMultilevel"/>
    <w:tmpl w:val="69D8FCF0"/>
    <w:lvl w:ilvl="0" w:tplc="3014D9C2">
      <w:start w:val="5"/>
      <w:numFmt w:val="bullet"/>
      <w:lvlText w:val=""/>
      <w:lvlJc w:val="left"/>
      <w:pPr>
        <w:ind w:left="360" w:hanging="360"/>
      </w:pPr>
      <w:rPr>
        <w:rFonts w:ascii="Symbol" w:eastAsiaTheme="minorHAnsi"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C30C1"/>
    <w:multiLevelType w:val="multilevel"/>
    <w:tmpl w:val="445E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5093455">
    <w:abstractNumId w:val="2"/>
  </w:num>
  <w:num w:numId="2" w16cid:durableId="1720591410">
    <w:abstractNumId w:val="0"/>
  </w:num>
  <w:num w:numId="3" w16cid:durableId="2112895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1"/>
    <w:rsid w:val="000170F4"/>
    <w:rsid w:val="00025EBD"/>
    <w:rsid w:val="00026DBC"/>
    <w:rsid w:val="00030E35"/>
    <w:rsid w:val="00041D75"/>
    <w:rsid w:val="000505A2"/>
    <w:rsid w:val="00052B82"/>
    <w:rsid w:val="00054568"/>
    <w:rsid w:val="000571B0"/>
    <w:rsid w:val="00072443"/>
    <w:rsid w:val="00074F7D"/>
    <w:rsid w:val="000953CA"/>
    <w:rsid w:val="0009663D"/>
    <w:rsid w:val="000A4B74"/>
    <w:rsid w:val="000A7F1B"/>
    <w:rsid w:val="000D08C9"/>
    <w:rsid w:val="000D12EB"/>
    <w:rsid w:val="000D6AD0"/>
    <w:rsid w:val="000E0CFA"/>
    <w:rsid w:val="000E2C91"/>
    <w:rsid w:val="000F4842"/>
    <w:rsid w:val="00104377"/>
    <w:rsid w:val="00105016"/>
    <w:rsid w:val="00134405"/>
    <w:rsid w:val="00143511"/>
    <w:rsid w:val="00143B85"/>
    <w:rsid w:val="001578CB"/>
    <w:rsid w:val="00160D53"/>
    <w:rsid w:val="001716CE"/>
    <w:rsid w:val="00184F47"/>
    <w:rsid w:val="00185787"/>
    <w:rsid w:val="001928BF"/>
    <w:rsid w:val="001A126E"/>
    <w:rsid w:val="001B710A"/>
    <w:rsid w:val="001C23AE"/>
    <w:rsid w:val="001C2C37"/>
    <w:rsid w:val="001C37BA"/>
    <w:rsid w:val="001C58E8"/>
    <w:rsid w:val="001D24E6"/>
    <w:rsid w:val="001D5D0A"/>
    <w:rsid w:val="001E2995"/>
    <w:rsid w:val="001F04B3"/>
    <w:rsid w:val="002026D9"/>
    <w:rsid w:val="00204C5C"/>
    <w:rsid w:val="00205FBB"/>
    <w:rsid w:val="00210503"/>
    <w:rsid w:val="00217DE7"/>
    <w:rsid w:val="00226622"/>
    <w:rsid w:val="002337D3"/>
    <w:rsid w:val="00251AC1"/>
    <w:rsid w:val="00253894"/>
    <w:rsid w:val="0025636C"/>
    <w:rsid w:val="00267BCD"/>
    <w:rsid w:val="0027249A"/>
    <w:rsid w:val="00284B93"/>
    <w:rsid w:val="0029794C"/>
    <w:rsid w:val="002A32C8"/>
    <w:rsid w:val="002A5A1C"/>
    <w:rsid w:val="002A6332"/>
    <w:rsid w:val="002C06B8"/>
    <w:rsid w:val="002C79DA"/>
    <w:rsid w:val="002E4491"/>
    <w:rsid w:val="002E56D5"/>
    <w:rsid w:val="002E6B1E"/>
    <w:rsid w:val="00300620"/>
    <w:rsid w:val="00300C5F"/>
    <w:rsid w:val="00305868"/>
    <w:rsid w:val="00305CA5"/>
    <w:rsid w:val="00320A31"/>
    <w:rsid w:val="00346A80"/>
    <w:rsid w:val="0037071F"/>
    <w:rsid w:val="00381586"/>
    <w:rsid w:val="0038535D"/>
    <w:rsid w:val="00385D14"/>
    <w:rsid w:val="00390C91"/>
    <w:rsid w:val="003A3C9D"/>
    <w:rsid w:val="003A4228"/>
    <w:rsid w:val="003C09C3"/>
    <w:rsid w:val="003C609B"/>
    <w:rsid w:val="003C6B43"/>
    <w:rsid w:val="003C7911"/>
    <w:rsid w:val="003D214E"/>
    <w:rsid w:val="003D7906"/>
    <w:rsid w:val="003D7E87"/>
    <w:rsid w:val="003F1C8C"/>
    <w:rsid w:val="00402B3C"/>
    <w:rsid w:val="00410E33"/>
    <w:rsid w:val="0042729F"/>
    <w:rsid w:val="004349B2"/>
    <w:rsid w:val="00442470"/>
    <w:rsid w:val="004462B1"/>
    <w:rsid w:val="00456A1C"/>
    <w:rsid w:val="004764F3"/>
    <w:rsid w:val="00477C42"/>
    <w:rsid w:val="004928DF"/>
    <w:rsid w:val="004A223F"/>
    <w:rsid w:val="004A3D2E"/>
    <w:rsid w:val="004B72FB"/>
    <w:rsid w:val="004C3FE0"/>
    <w:rsid w:val="004C765C"/>
    <w:rsid w:val="004C77D1"/>
    <w:rsid w:val="004D62D9"/>
    <w:rsid w:val="004D719D"/>
    <w:rsid w:val="004F15CF"/>
    <w:rsid w:val="0050005F"/>
    <w:rsid w:val="00503EAF"/>
    <w:rsid w:val="00511B18"/>
    <w:rsid w:val="005206E0"/>
    <w:rsid w:val="0052399E"/>
    <w:rsid w:val="00525A20"/>
    <w:rsid w:val="00531B29"/>
    <w:rsid w:val="0053605D"/>
    <w:rsid w:val="00543998"/>
    <w:rsid w:val="00546D2C"/>
    <w:rsid w:val="00551E13"/>
    <w:rsid w:val="00557F38"/>
    <w:rsid w:val="005670E4"/>
    <w:rsid w:val="00575DF8"/>
    <w:rsid w:val="00576AB7"/>
    <w:rsid w:val="005863DB"/>
    <w:rsid w:val="00586A6A"/>
    <w:rsid w:val="005876A1"/>
    <w:rsid w:val="005A41AF"/>
    <w:rsid w:val="005A6A45"/>
    <w:rsid w:val="005B7DCB"/>
    <w:rsid w:val="005C4FCC"/>
    <w:rsid w:val="005D5AC3"/>
    <w:rsid w:val="005E3B0F"/>
    <w:rsid w:val="00600C0E"/>
    <w:rsid w:val="006025C1"/>
    <w:rsid w:val="0060602B"/>
    <w:rsid w:val="006227F4"/>
    <w:rsid w:val="006309ED"/>
    <w:rsid w:val="0063208F"/>
    <w:rsid w:val="006453B0"/>
    <w:rsid w:val="006454B7"/>
    <w:rsid w:val="00657F7D"/>
    <w:rsid w:val="0068692D"/>
    <w:rsid w:val="00691C46"/>
    <w:rsid w:val="00691FCA"/>
    <w:rsid w:val="0069292E"/>
    <w:rsid w:val="006950B9"/>
    <w:rsid w:val="006963B1"/>
    <w:rsid w:val="00697A4E"/>
    <w:rsid w:val="006A4CE8"/>
    <w:rsid w:val="006B3120"/>
    <w:rsid w:val="006D2740"/>
    <w:rsid w:val="006D2F04"/>
    <w:rsid w:val="006D61AD"/>
    <w:rsid w:val="006E31C6"/>
    <w:rsid w:val="006F250E"/>
    <w:rsid w:val="006F407A"/>
    <w:rsid w:val="0071098E"/>
    <w:rsid w:val="00711AE6"/>
    <w:rsid w:val="007220CB"/>
    <w:rsid w:val="00723876"/>
    <w:rsid w:val="0072778C"/>
    <w:rsid w:val="00736DA9"/>
    <w:rsid w:val="007377A7"/>
    <w:rsid w:val="007406E1"/>
    <w:rsid w:val="00742577"/>
    <w:rsid w:val="007459AE"/>
    <w:rsid w:val="0074694A"/>
    <w:rsid w:val="00760503"/>
    <w:rsid w:val="00770DFD"/>
    <w:rsid w:val="00791501"/>
    <w:rsid w:val="00793D61"/>
    <w:rsid w:val="007A3B19"/>
    <w:rsid w:val="007A49F2"/>
    <w:rsid w:val="007A77FC"/>
    <w:rsid w:val="007B4F1E"/>
    <w:rsid w:val="007B5CFC"/>
    <w:rsid w:val="007C14B6"/>
    <w:rsid w:val="007D1F4F"/>
    <w:rsid w:val="007D220D"/>
    <w:rsid w:val="007D2B05"/>
    <w:rsid w:val="007D5848"/>
    <w:rsid w:val="007E49CA"/>
    <w:rsid w:val="007E4E3B"/>
    <w:rsid w:val="007E52E0"/>
    <w:rsid w:val="00805406"/>
    <w:rsid w:val="00815427"/>
    <w:rsid w:val="00821663"/>
    <w:rsid w:val="008331DF"/>
    <w:rsid w:val="008442FB"/>
    <w:rsid w:val="00845B61"/>
    <w:rsid w:val="00846C24"/>
    <w:rsid w:val="00853BE8"/>
    <w:rsid w:val="0088313D"/>
    <w:rsid w:val="008A398C"/>
    <w:rsid w:val="008B5562"/>
    <w:rsid w:val="008D43D4"/>
    <w:rsid w:val="008E64E1"/>
    <w:rsid w:val="008F2DA9"/>
    <w:rsid w:val="008F4F6B"/>
    <w:rsid w:val="009220D5"/>
    <w:rsid w:val="00923095"/>
    <w:rsid w:val="00924B2C"/>
    <w:rsid w:val="00936BDD"/>
    <w:rsid w:val="0094514C"/>
    <w:rsid w:val="009577E2"/>
    <w:rsid w:val="009624B8"/>
    <w:rsid w:val="00962AA6"/>
    <w:rsid w:val="009715F8"/>
    <w:rsid w:val="00971E3C"/>
    <w:rsid w:val="009830EF"/>
    <w:rsid w:val="00993E49"/>
    <w:rsid w:val="009B25D1"/>
    <w:rsid w:val="009B2B59"/>
    <w:rsid w:val="009C00F6"/>
    <w:rsid w:val="009C3CB4"/>
    <w:rsid w:val="009D0E34"/>
    <w:rsid w:val="009D620D"/>
    <w:rsid w:val="009D74E9"/>
    <w:rsid w:val="009E1200"/>
    <w:rsid w:val="009E5E6F"/>
    <w:rsid w:val="009E7AA7"/>
    <w:rsid w:val="009F025A"/>
    <w:rsid w:val="009F2EC8"/>
    <w:rsid w:val="009F313A"/>
    <w:rsid w:val="009F4E6F"/>
    <w:rsid w:val="00A2045B"/>
    <w:rsid w:val="00A209C2"/>
    <w:rsid w:val="00A21C5A"/>
    <w:rsid w:val="00A2352C"/>
    <w:rsid w:val="00A24DEA"/>
    <w:rsid w:val="00A4056E"/>
    <w:rsid w:val="00A45EBE"/>
    <w:rsid w:val="00A50374"/>
    <w:rsid w:val="00A93D26"/>
    <w:rsid w:val="00A9636A"/>
    <w:rsid w:val="00AA6F80"/>
    <w:rsid w:val="00AB5349"/>
    <w:rsid w:val="00AB69DA"/>
    <w:rsid w:val="00AC2195"/>
    <w:rsid w:val="00AC525F"/>
    <w:rsid w:val="00AC7728"/>
    <w:rsid w:val="00AD3ACF"/>
    <w:rsid w:val="00AE060A"/>
    <w:rsid w:val="00AE3AFD"/>
    <w:rsid w:val="00AF0BFD"/>
    <w:rsid w:val="00B1025B"/>
    <w:rsid w:val="00B2002C"/>
    <w:rsid w:val="00B55450"/>
    <w:rsid w:val="00B619D7"/>
    <w:rsid w:val="00B63A6A"/>
    <w:rsid w:val="00B90BA7"/>
    <w:rsid w:val="00B951F9"/>
    <w:rsid w:val="00BA2048"/>
    <w:rsid w:val="00BC6D5A"/>
    <w:rsid w:val="00BE138E"/>
    <w:rsid w:val="00C11CE6"/>
    <w:rsid w:val="00C1317C"/>
    <w:rsid w:val="00C16053"/>
    <w:rsid w:val="00C1684D"/>
    <w:rsid w:val="00C17658"/>
    <w:rsid w:val="00C20EA6"/>
    <w:rsid w:val="00C210F0"/>
    <w:rsid w:val="00C277FC"/>
    <w:rsid w:val="00C51453"/>
    <w:rsid w:val="00C51A16"/>
    <w:rsid w:val="00C63D9B"/>
    <w:rsid w:val="00C65CB0"/>
    <w:rsid w:val="00C65E34"/>
    <w:rsid w:val="00C72758"/>
    <w:rsid w:val="00C839EE"/>
    <w:rsid w:val="00C84E5E"/>
    <w:rsid w:val="00CA116C"/>
    <w:rsid w:val="00CB076E"/>
    <w:rsid w:val="00CB0C3A"/>
    <w:rsid w:val="00CC75DE"/>
    <w:rsid w:val="00CC77DE"/>
    <w:rsid w:val="00CE0B9A"/>
    <w:rsid w:val="00CE2CF2"/>
    <w:rsid w:val="00CE3687"/>
    <w:rsid w:val="00D018BB"/>
    <w:rsid w:val="00D104B7"/>
    <w:rsid w:val="00D2143A"/>
    <w:rsid w:val="00D27901"/>
    <w:rsid w:val="00D32937"/>
    <w:rsid w:val="00D365D3"/>
    <w:rsid w:val="00D54D37"/>
    <w:rsid w:val="00D6560C"/>
    <w:rsid w:val="00D7605D"/>
    <w:rsid w:val="00D82F30"/>
    <w:rsid w:val="00D84A7F"/>
    <w:rsid w:val="00D9513D"/>
    <w:rsid w:val="00DA1612"/>
    <w:rsid w:val="00DA3FE4"/>
    <w:rsid w:val="00DA764C"/>
    <w:rsid w:val="00DB6019"/>
    <w:rsid w:val="00DC0651"/>
    <w:rsid w:val="00DC3CCB"/>
    <w:rsid w:val="00DD4F40"/>
    <w:rsid w:val="00DE0DA0"/>
    <w:rsid w:val="00DF6FFD"/>
    <w:rsid w:val="00E00114"/>
    <w:rsid w:val="00E03231"/>
    <w:rsid w:val="00E13273"/>
    <w:rsid w:val="00E15C0B"/>
    <w:rsid w:val="00E21BC4"/>
    <w:rsid w:val="00E22825"/>
    <w:rsid w:val="00E462E6"/>
    <w:rsid w:val="00E4638B"/>
    <w:rsid w:val="00E5180C"/>
    <w:rsid w:val="00E52F8A"/>
    <w:rsid w:val="00E63849"/>
    <w:rsid w:val="00E80C1F"/>
    <w:rsid w:val="00E828F3"/>
    <w:rsid w:val="00E84F8A"/>
    <w:rsid w:val="00E9560E"/>
    <w:rsid w:val="00E9718C"/>
    <w:rsid w:val="00EA2D74"/>
    <w:rsid w:val="00EA3A3A"/>
    <w:rsid w:val="00EC1BA6"/>
    <w:rsid w:val="00ED0364"/>
    <w:rsid w:val="00ED4B9C"/>
    <w:rsid w:val="00EE2326"/>
    <w:rsid w:val="00EF0C33"/>
    <w:rsid w:val="00EF3E2C"/>
    <w:rsid w:val="00EF6B6E"/>
    <w:rsid w:val="00EF71ED"/>
    <w:rsid w:val="00F00B5E"/>
    <w:rsid w:val="00F16B2C"/>
    <w:rsid w:val="00F22CD1"/>
    <w:rsid w:val="00F243BB"/>
    <w:rsid w:val="00F31E43"/>
    <w:rsid w:val="00F42982"/>
    <w:rsid w:val="00F556FF"/>
    <w:rsid w:val="00F66374"/>
    <w:rsid w:val="00F930FD"/>
    <w:rsid w:val="00F96F3C"/>
    <w:rsid w:val="00FA25D2"/>
    <w:rsid w:val="00FA3DD8"/>
    <w:rsid w:val="00FA6F55"/>
    <w:rsid w:val="00FC502B"/>
    <w:rsid w:val="00FD3DAA"/>
    <w:rsid w:val="00FD52B7"/>
    <w:rsid w:val="00FD629A"/>
    <w:rsid w:val="00FF0C83"/>
    <w:rsid w:val="00FF3B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F80A"/>
  <w15:chartTrackingRefBased/>
  <w15:docId w15:val="{AE82008E-4775-0146-9114-C1FE856B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AC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7F38"/>
    <w:rPr>
      <w:sz w:val="20"/>
      <w:szCs w:val="20"/>
    </w:rPr>
  </w:style>
  <w:style w:type="character" w:customStyle="1" w:styleId="a4">
    <w:name w:val="טקסט הערת שוליים תו"/>
    <w:basedOn w:val="a0"/>
    <w:link w:val="a3"/>
    <w:uiPriority w:val="99"/>
    <w:semiHidden/>
    <w:rsid w:val="00557F38"/>
    <w:rPr>
      <w:sz w:val="20"/>
      <w:szCs w:val="20"/>
    </w:rPr>
  </w:style>
  <w:style w:type="character" w:styleId="a5">
    <w:name w:val="footnote reference"/>
    <w:basedOn w:val="a0"/>
    <w:uiPriority w:val="99"/>
    <w:semiHidden/>
    <w:unhideWhenUsed/>
    <w:rsid w:val="00557F38"/>
    <w:rPr>
      <w:vertAlign w:val="superscript"/>
    </w:rPr>
  </w:style>
  <w:style w:type="paragraph" w:styleId="NormalWeb">
    <w:name w:val="Normal (Web)"/>
    <w:basedOn w:val="a"/>
    <w:uiPriority w:val="99"/>
    <w:unhideWhenUsed/>
    <w:rsid w:val="0025636C"/>
    <w:pPr>
      <w:spacing w:before="100" w:beforeAutospacing="1" w:after="100" w:afterAutospacing="1"/>
    </w:pPr>
  </w:style>
  <w:style w:type="character" w:customStyle="1" w:styleId="ts-alignment-element">
    <w:name w:val="ts-alignment-element"/>
    <w:basedOn w:val="a0"/>
    <w:rsid w:val="00E4638B"/>
  </w:style>
  <w:style w:type="paragraph" w:styleId="a6">
    <w:name w:val="Plain Text"/>
    <w:basedOn w:val="a"/>
    <w:link w:val="a7"/>
    <w:rsid w:val="002E6B1E"/>
    <w:rPr>
      <w:rFonts w:ascii="Courier New" w:hAnsi="Courier New" w:cs="Courier New"/>
      <w:sz w:val="20"/>
      <w:szCs w:val="20"/>
      <w:lang w:eastAsia="he-IL"/>
    </w:rPr>
  </w:style>
  <w:style w:type="character" w:customStyle="1" w:styleId="a7">
    <w:name w:val="טקסט רגיל תו"/>
    <w:basedOn w:val="a0"/>
    <w:link w:val="a6"/>
    <w:rsid w:val="002E6B1E"/>
    <w:rPr>
      <w:rFonts w:ascii="Courier New" w:eastAsia="Times New Roman" w:hAnsi="Courier New" w:cs="Courier New"/>
      <w:sz w:val="20"/>
      <w:szCs w:val="20"/>
      <w:lang w:eastAsia="he-IL"/>
    </w:rPr>
  </w:style>
  <w:style w:type="character" w:styleId="Hyperlink">
    <w:name w:val="Hyperlink"/>
    <w:basedOn w:val="a0"/>
    <w:unhideWhenUsed/>
    <w:rsid w:val="0094514C"/>
    <w:rPr>
      <w:color w:val="0000FF"/>
      <w:u w:val="single"/>
    </w:rPr>
  </w:style>
  <w:style w:type="paragraph" w:styleId="a8">
    <w:name w:val="List Paragraph"/>
    <w:basedOn w:val="a"/>
    <w:uiPriority w:val="34"/>
    <w:qFormat/>
    <w:rsid w:val="00C17658"/>
    <w:pPr>
      <w:ind w:left="720"/>
      <w:contextualSpacing/>
    </w:pPr>
  </w:style>
  <w:style w:type="character" w:styleId="FollowedHyperlink">
    <w:name w:val="FollowedHyperlink"/>
    <w:basedOn w:val="a0"/>
    <w:uiPriority w:val="99"/>
    <w:semiHidden/>
    <w:unhideWhenUsed/>
    <w:rsid w:val="00C17658"/>
    <w:rPr>
      <w:color w:val="954F72" w:themeColor="followedHyperlink"/>
      <w:u w:val="single"/>
    </w:rPr>
  </w:style>
  <w:style w:type="paragraph" w:styleId="a9">
    <w:name w:val="Body Text"/>
    <w:basedOn w:val="a"/>
    <w:link w:val="aa"/>
    <w:uiPriority w:val="1"/>
    <w:qFormat/>
    <w:rsid w:val="00962AA6"/>
    <w:pPr>
      <w:widowControl w:val="0"/>
      <w:autoSpaceDE w:val="0"/>
      <w:autoSpaceDN w:val="0"/>
    </w:pPr>
    <w:rPr>
      <w:sz w:val="23"/>
      <w:szCs w:val="23"/>
      <w:lang w:bidi="ar-SA"/>
    </w:rPr>
  </w:style>
  <w:style w:type="character" w:customStyle="1" w:styleId="aa">
    <w:name w:val="גוף טקסט תו"/>
    <w:basedOn w:val="a0"/>
    <w:link w:val="a9"/>
    <w:uiPriority w:val="1"/>
    <w:rsid w:val="00962AA6"/>
    <w:rPr>
      <w:rFonts w:ascii="Times New Roman" w:eastAsia="Times New Roman" w:hAnsi="Times New Roman" w:cs="Times New Roman"/>
      <w:sz w:val="23"/>
      <w:szCs w:val="23"/>
      <w:lang w:bidi="ar-SA"/>
    </w:rPr>
  </w:style>
  <w:style w:type="character" w:styleId="ab">
    <w:name w:val="Emphasis"/>
    <w:basedOn w:val="a0"/>
    <w:uiPriority w:val="20"/>
    <w:qFormat/>
    <w:rsid w:val="0072778C"/>
    <w:rPr>
      <w:i/>
      <w:iCs/>
    </w:rPr>
  </w:style>
  <w:style w:type="character" w:customStyle="1" w:styleId="qa-answer-card-narrative-link">
    <w:name w:val="qa-answer-card-narrative-link"/>
    <w:basedOn w:val="a0"/>
    <w:rsid w:val="005D5AC3"/>
  </w:style>
  <w:style w:type="character" w:customStyle="1" w:styleId="qa-answer-card-delimeter">
    <w:name w:val="qa-answer-card-delimeter"/>
    <w:basedOn w:val="a0"/>
    <w:rsid w:val="005D5AC3"/>
  </w:style>
  <w:style w:type="character" w:customStyle="1" w:styleId="sssh">
    <w:name w:val="ss_sh"/>
    <w:basedOn w:val="a0"/>
    <w:rsid w:val="00A209C2"/>
  </w:style>
  <w:style w:type="character" w:customStyle="1" w:styleId="ssrfcpassagedeactivated">
    <w:name w:val="ss_rfcpassage_deactivated"/>
    <w:basedOn w:val="a0"/>
    <w:rsid w:val="00A209C2"/>
  </w:style>
  <w:style w:type="character" w:customStyle="1" w:styleId="big-number">
    <w:name w:val="big-number"/>
    <w:basedOn w:val="a0"/>
    <w:rsid w:val="006227F4"/>
  </w:style>
  <w:style w:type="character" w:customStyle="1" w:styleId="default">
    <w:name w:val="default"/>
    <w:basedOn w:val="a0"/>
    <w:rsid w:val="006227F4"/>
  </w:style>
  <w:style w:type="paragraph" w:styleId="ac">
    <w:name w:val="header"/>
    <w:basedOn w:val="a"/>
    <w:link w:val="ad"/>
    <w:uiPriority w:val="99"/>
    <w:unhideWhenUsed/>
    <w:rsid w:val="00BC6D5A"/>
    <w:pPr>
      <w:tabs>
        <w:tab w:val="center" w:pos="4153"/>
        <w:tab w:val="right" w:pos="8306"/>
      </w:tabs>
    </w:pPr>
  </w:style>
  <w:style w:type="character" w:customStyle="1" w:styleId="ad">
    <w:name w:val="כותרת עליונה תו"/>
    <w:basedOn w:val="a0"/>
    <w:link w:val="ac"/>
    <w:uiPriority w:val="99"/>
    <w:rsid w:val="00BC6D5A"/>
    <w:rPr>
      <w:rFonts w:ascii="Times New Roman" w:eastAsia="Times New Roman" w:hAnsi="Times New Roman" w:cs="Times New Roman"/>
    </w:rPr>
  </w:style>
  <w:style w:type="paragraph" w:styleId="ae">
    <w:name w:val="footer"/>
    <w:basedOn w:val="a"/>
    <w:link w:val="af"/>
    <w:uiPriority w:val="99"/>
    <w:unhideWhenUsed/>
    <w:rsid w:val="00BC6D5A"/>
    <w:pPr>
      <w:tabs>
        <w:tab w:val="center" w:pos="4153"/>
        <w:tab w:val="right" w:pos="8306"/>
      </w:tabs>
    </w:pPr>
  </w:style>
  <w:style w:type="character" w:customStyle="1" w:styleId="af">
    <w:name w:val="כותרת תחתונה תו"/>
    <w:basedOn w:val="a0"/>
    <w:link w:val="ae"/>
    <w:uiPriority w:val="99"/>
    <w:rsid w:val="00BC6D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1153">
      <w:bodyDiv w:val="1"/>
      <w:marLeft w:val="0"/>
      <w:marRight w:val="0"/>
      <w:marTop w:val="0"/>
      <w:marBottom w:val="0"/>
      <w:divBdr>
        <w:top w:val="none" w:sz="0" w:space="0" w:color="auto"/>
        <w:left w:val="none" w:sz="0" w:space="0" w:color="auto"/>
        <w:bottom w:val="none" w:sz="0" w:space="0" w:color="auto"/>
        <w:right w:val="none" w:sz="0" w:space="0" w:color="auto"/>
      </w:divBdr>
      <w:divsChild>
        <w:div w:id="352611253">
          <w:marLeft w:val="0"/>
          <w:marRight w:val="0"/>
          <w:marTop w:val="0"/>
          <w:marBottom w:val="0"/>
          <w:divBdr>
            <w:top w:val="none" w:sz="0" w:space="0" w:color="auto"/>
            <w:left w:val="none" w:sz="0" w:space="0" w:color="auto"/>
            <w:bottom w:val="none" w:sz="0" w:space="0" w:color="auto"/>
            <w:right w:val="none" w:sz="0" w:space="0" w:color="auto"/>
          </w:divBdr>
        </w:div>
        <w:div w:id="1808083497">
          <w:marLeft w:val="0"/>
          <w:marRight w:val="0"/>
          <w:marTop w:val="0"/>
          <w:marBottom w:val="0"/>
          <w:divBdr>
            <w:top w:val="none" w:sz="0" w:space="0" w:color="auto"/>
            <w:left w:val="none" w:sz="0" w:space="0" w:color="auto"/>
            <w:bottom w:val="single" w:sz="6" w:space="8" w:color="292828"/>
            <w:right w:val="none" w:sz="0" w:space="0" w:color="auto"/>
          </w:divBdr>
          <w:divsChild>
            <w:div w:id="434593034">
              <w:marLeft w:val="0"/>
              <w:marRight w:val="0"/>
              <w:marTop w:val="0"/>
              <w:marBottom w:val="0"/>
              <w:divBdr>
                <w:top w:val="none" w:sz="0" w:space="0" w:color="auto"/>
                <w:left w:val="none" w:sz="0" w:space="0" w:color="auto"/>
                <w:bottom w:val="none" w:sz="0" w:space="0" w:color="auto"/>
                <w:right w:val="none" w:sz="0" w:space="0" w:color="auto"/>
              </w:divBdr>
              <w:divsChild>
                <w:div w:id="1360546982">
                  <w:marLeft w:val="0"/>
                  <w:marRight w:val="0"/>
                  <w:marTop w:val="0"/>
                  <w:marBottom w:val="0"/>
                  <w:divBdr>
                    <w:top w:val="none" w:sz="0" w:space="0" w:color="auto"/>
                    <w:left w:val="none" w:sz="0" w:space="0" w:color="auto"/>
                    <w:bottom w:val="none" w:sz="0" w:space="0" w:color="auto"/>
                    <w:right w:val="none" w:sz="0" w:space="0" w:color="auto"/>
                  </w:divBdr>
                  <w:divsChild>
                    <w:div w:id="37886690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81827341">
      <w:bodyDiv w:val="1"/>
      <w:marLeft w:val="0"/>
      <w:marRight w:val="0"/>
      <w:marTop w:val="0"/>
      <w:marBottom w:val="0"/>
      <w:divBdr>
        <w:top w:val="none" w:sz="0" w:space="0" w:color="auto"/>
        <w:left w:val="none" w:sz="0" w:space="0" w:color="auto"/>
        <w:bottom w:val="none" w:sz="0" w:space="0" w:color="auto"/>
        <w:right w:val="none" w:sz="0" w:space="0" w:color="auto"/>
      </w:divBdr>
    </w:div>
    <w:div w:id="1385911446">
      <w:bodyDiv w:val="1"/>
      <w:marLeft w:val="0"/>
      <w:marRight w:val="0"/>
      <w:marTop w:val="0"/>
      <w:marBottom w:val="0"/>
      <w:divBdr>
        <w:top w:val="none" w:sz="0" w:space="0" w:color="auto"/>
        <w:left w:val="none" w:sz="0" w:space="0" w:color="auto"/>
        <w:bottom w:val="none" w:sz="0" w:space="0" w:color="auto"/>
        <w:right w:val="none" w:sz="0" w:space="0" w:color="auto"/>
      </w:divBdr>
    </w:div>
    <w:div w:id="1465348533">
      <w:bodyDiv w:val="1"/>
      <w:marLeft w:val="0"/>
      <w:marRight w:val="0"/>
      <w:marTop w:val="0"/>
      <w:marBottom w:val="0"/>
      <w:divBdr>
        <w:top w:val="none" w:sz="0" w:space="0" w:color="auto"/>
        <w:left w:val="none" w:sz="0" w:space="0" w:color="auto"/>
        <w:bottom w:val="none" w:sz="0" w:space="0" w:color="auto"/>
        <w:right w:val="none" w:sz="0" w:space="0" w:color="auto"/>
      </w:divBdr>
      <w:divsChild>
        <w:div w:id="583760429">
          <w:marLeft w:val="0"/>
          <w:marRight w:val="0"/>
          <w:marTop w:val="0"/>
          <w:marBottom w:val="0"/>
          <w:divBdr>
            <w:top w:val="none" w:sz="0" w:space="0" w:color="auto"/>
            <w:left w:val="none" w:sz="0" w:space="0" w:color="auto"/>
            <w:bottom w:val="none" w:sz="0" w:space="0" w:color="auto"/>
            <w:right w:val="none" w:sz="0" w:space="0" w:color="auto"/>
          </w:divBdr>
        </w:div>
        <w:div w:id="829638470">
          <w:marLeft w:val="0"/>
          <w:marRight w:val="0"/>
          <w:marTop w:val="0"/>
          <w:marBottom w:val="0"/>
          <w:divBdr>
            <w:top w:val="none" w:sz="0" w:space="0" w:color="auto"/>
            <w:left w:val="none" w:sz="0" w:space="0" w:color="auto"/>
            <w:bottom w:val="none" w:sz="0" w:space="0" w:color="auto"/>
            <w:right w:val="none" w:sz="0" w:space="0" w:color="auto"/>
          </w:divBdr>
        </w:div>
        <w:div w:id="1895500950">
          <w:marLeft w:val="0"/>
          <w:marRight w:val="0"/>
          <w:marTop w:val="0"/>
          <w:marBottom w:val="0"/>
          <w:divBdr>
            <w:top w:val="none" w:sz="0" w:space="0" w:color="auto"/>
            <w:left w:val="none" w:sz="0" w:space="0" w:color="auto"/>
            <w:bottom w:val="single" w:sz="6" w:space="8" w:color="292828"/>
            <w:right w:val="none" w:sz="0" w:space="0" w:color="auto"/>
          </w:divBdr>
          <w:divsChild>
            <w:div w:id="861474403">
              <w:marLeft w:val="0"/>
              <w:marRight w:val="0"/>
              <w:marTop w:val="0"/>
              <w:marBottom w:val="0"/>
              <w:divBdr>
                <w:top w:val="none" w:sz="0" w:space="0" w:color="auto"/>
                <w:left w:val="none" w:sz="0" w:space="0" w:color="auto"/>
                <w:bottom w:val="none" w:sz="0" w:space="0" w:color="auto"/>
                <w:right w:val="none" w:sz="0" w:space="0" w:color="auto"/>
              </w:divBdr>
              <w:divsChild>
                <w:div w:id="38938661">
                  <w:marLeft w:val="0"/>
                  <w:marRight w:val="0"/>
                  <w:marTop w:val="0"/>
                  <w:marBottom w:val="0"/>
                  <w:divBdr>
                    <w:top w:val="none" w:sz="0" w:space="0" w:color="auto"/>
                    <w:left w:val="none" w:sz="0" w:space="0" w:color="auto"/>
                    <w:bottom w:val="none" w:sz="0" w:space="0" w:color="auto"/>
                    <w:right w:val="none" w:sz="0" w:space="0" w:color="auto"/>
                  </w:divBdr>
                  <w:divsChild>
                    <w:div w:id="16379067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76650005">
      <w:bodyDiv w:val="1"/>
      <w:marLeft w:val="0"/>
      <w:marRight w:val="0"/>
      <w:marTop w:val="0"/>
      <w:marBottom w:val="0"/>
      <w:divBdr>
        <w:top w:val="none" w:sz="0" w:space="0" w:color="auto"/>
        <w:left w:val="none" w:sz="0" w:space="0" w:color="auto"/>
        <w:bottom w:val="none" w:sz="0" w:space="0" w:color="auto"/>
        <w:right w:val="none" w:sz="0" w:space="0" w:color="auto"/>
      </w:divBdr>
      <w:divsChild>
        <w:div w:id="379332232">
          <w:marLeft w:val="0"/>
          <w:marRight w:val="0"/>
          <w:marTop w:val="0"/>
          <w:marBottom w:val="0"/>
          <w:divBdr>
            <w:top w:val="none" w:sz="0" w:space="0" w:color="auto"/>
            <w:left w:val="none" w:sz="0" w:space="0" w:color="auto"/>
            <w:bottom w:val="none" w:sz="0" w:space="0" w:color="auto"/>
            <w:right w:val="none" w:sz="0" w:space="0" w:color="auto"/>
          </w:divBdr>
        </w:div>
        <w:div w:id="1238593181">
          <w:marLeft w:val="0"/>
          <w:marRight w:val="0"/>
          <w:marTop w:val="0"/>
          <w:marBottom w:val="0"/>
          <w:divBdr>
            <w:top w:val="none" w:sz="0" w:space="0" w:color="auto"/>
            <w:left w:val="none" w:sz="0" w:space="0" w:color="auto"/>
            <w:bottom w:val="none" w:sz="0" w:space="0" w:color="auto"/>
            <w:right w:val="none" w:sz="0" w:space="0" w:color="auto"/>
          </w:divBdr>
        </w:div>
        <w:div w:id="2018532651">
          <w:marLeft w:val="0"/>
          <w:marRight w:val="0"/>
          <w:marTop w:val="0"/>
          <w:marBottom w:val="0"/>
          <w:divBdr>
            <w:top w:val="none" w:sz="0" w:space="0" w:color="auto"/>
            <w:left w:val="none" w:sz="0" w:space="0" w:color="auto"/>
            <w:bottom w:val="none" w:sz="0" w:space="0" w:color="auto"/>
            <w:right w:val="none" w:sz="0" w:space="0" w:color="auto"/>
          </w:divBdr>
          <w:divsChild>
            <w:div w:id="853499203">
              <w:marLeft w:val="0"/>
              <w:marRight w:val="0"/>
              <w:marTop w:val="0"/>
              <w:marBottom w:val="0"/>
              <w:divBdr>
                <w:top w:val="none" w:sz="0" w:space="0" w:color="auto"/>
                <w:left w:val="none" w:sz="0" w:space="0" w:color="auto"/>
                <w:bottom w:val="none" w:sz="0" w:space="0" w:color="auto"/>
                <w:right w:val="none" w:sz="0" w:space="0" w:color="auto"/>
              </w:divBdr>
              <w:divsChild>
                <w:div w:id="417793696">
                  <w:marLeft w:val="0"/>
                  <w:marRight w:val="0"/>
                  <w:marTop w:val="0"/>
                  <w:marBottom w:val="0"/>
                  <w:divBdr>
                    <w:top w:val="none" w:sz="0" w:space="0" w:color="auto"/>
                    <w:left w:val="none" w:sz="0" w:space="0" w:color="auto"/>
                    <w:bottom w:val="none" w:sz="0" w:space="0" w:color="auto"/>
                    <w:right w:val="none" w:sz="0" w:space="0" w:color="auto"/>
                  </w:divBdr>
                  <w:divsChild>
                    <w:div w:id="5286152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898200244">
      <w:bodyDiv w:val="1"/>
      <w:marLeft w:val="0"/>
      <w:marRight w:val="0"/>
      <w:marTop w:val="0"/>
      <w:marBottom w:val="0"/>
      <w:divBdr>
        <w:top w:val="none" w:sz="0" w:space="0" w:color="auto"/>
        <w:left w:val="none" w:sz="0" w:space="0" w:color="auto"/>
        <w:bottom w:val="none" w:sz="0" w:space="0" w:color="auto"/>
        <w:right w:val="none" w:sz="0" w:space="0" w:color="auto"/>
      </w:divBdr>
    </w:div>
    <w:div w:id="20823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870A-01DE-5441-861A-FB8FF271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Pages>
  <Words>1598</Words>
  <Characters>7990</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Rahmany</dc:creator>
  <cp:keywords/>
  <dc:description/>
  <cp:lastModifiedBy>Raz Rachmany</cp:lastModifiedBy>
  <cp:revision>9</cp:revision>
  <cp:lastPrinted>2023-07-25T08:58:00Z</cp:lastPrinted>
  <dcterms:created xsi:type="dcterms:W3CDTF">2023-05-29T10:22:00Z</dcterms:created>
  <dcterms:modified xsi:type="dcterms:W3CDTF">2024-03-06T08:59:00Z</dcterms:modified>
</cp:coreProperties>
</file>