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48B3" w14:textId="21075A8B" w:rsidR="004C1F3C" w:rsidRPr="005D1F2D" w:rsidRDefault="001B7FAE" w:rsidP="009F0089">
      <w:pPr>
        <w:spacing w:line="360" w:lineRule="auto"/>
        <w:jc w:val="both"/>
        <w:rPr>
          <w:rFonts w:ascii="David" w:hAnsi="David" w:cs="David"/>
        </w:rPr>
      </w:pPr>
      <w:r w:rsidRPr="001B7FAE">
        <w:rPr>
          <w:rFonts w:ascii="David" w:hAnsi="David" w:cs="David" w:hint="cs"/>
          <w:b/>
          <w:bCs/>
          <w:rtl/>
        </w:rPr>
        <w:t>א)</w:t>
      </w:r>
      <w:r>
        <w:rPr>
          <w:rFonts w:ascii="David" w:hAnsi="David" w:cs="David" w:hint="cs"/>
          <w:rtl/>
        </w:rPr>
        <w:t xml:space="preserve"> </w:t>
      </w:r>
      <w:r w:rsidR="0009231F" w:rsidRPr="005D1F2D">
        <w:rPr>
          <w:rFonts w:ascii="David" w:hAnsi="David" w:cs="David"/>
          <w:rtl/>
        </w:rPr>
        <w:t xml:space="preserve">בהתאם </w:t>
      </w:r>
      <w:r w:rsidR="00607DA0" w:rsidRPr="005D1F2D">
        <w:rPr>
          <w:rFonts w:ascii="David" w:hAnsi="David" w:cs="David"/>
          <w:b/>
          <w:bCs/>
          <w:rtl/>
        </w:rPr>
        <w:t>ס׳ 3(ז)(1)</w:t>
      </w:r>
      <w:r w:rsidR="007344C5" w:rsidRPr="005D1F2D">
        <w:rPr>
          <w:rFonts w:ascii="David" w:hAnsi="David" w:cs="David" w:hint="cs"/>
          <w:rtl/>
        </w:rPr>
        <w:t xml:space="preserve"> לחוק הסדר התדיינויות בסכסוכי משפחה</w:t>
      </w:r>
      <w:r w:rsidR="00AA2ED5" w:rsidRPr="005D1F2D">
        <w:rPr>
          <w:rFonts w:ascii="David" w:hAnsi="David" w:cs="David" w:hint="cs"/>
          <w:rtl/>
        </w:rPr>
        <w:t xml:space="preserve"> (להלן: החוק)</w:t>
      </w:r>
      <w:r w:rsidR="007344C5" w:rsidRPr="005D1F2D">
        <w:rPr>
          <w:rFonts w:ascii="David" w:hAnsi="David" w:cs="David" w:hint="cs"/>
          <w:rtl/>
        </w:rPr>
        <w:t>,</w:t>
      </w:r>
      <w:r w:rsidR="00607DA0" w:rsidRPr="005D1F2D">
        <w:rPr>
          <w:rFonts w:ascii="David" w:hAnsi="David" w:cs="David"/>
          <w:rtl/>
        </w:rPr>
        <w:t xml:space="preserve"> צד לבקשה </w:t>
      </w:r>
      <w:r w:rsidR="004B6146" w:rsidRPr="005D1F2D">
        <w:rPr>
          <w:rFonts w:ascii="David" w:hAnsi="David" w:cs="David" w:hint="cs"/>
          <w:rtl/>
        </w:rPr>
        <w:t xml:space="preserve">ליישוב סכסוך </w:t>
      </w:r>
      <w:r w:rsidR="00607DA0" w:rsidRPr="005D1F2D">
        <w:rPr>
          <w:rFonts w:ascii="David" w:hAnsi="David" w:cs="David"/>
          <w:rtl/>
        </w:rPr>
        <w:t xml:space="preserve">רשאי להגיש בקשה לסעד דחוף </w:t>
      </w:r>
      <w:r w:rsidR="00924BE3" w:rsidRPr="005D1F2D">
        <w:rPr>
          <w:rFonts w:ascii="David" w:hAnsi="David" w:cs="David"/>
          <w:rtl/>
        </w:rPr>
        <w:t xml:space="preserve">או זמני </w:t>
      </w:r>
      <w:r w:rsidR="00607DA0" w:rsidRPr="005D1F2D">
        <w:rPr>
          <w:rFonts w:ascii="David" w:hAnsi="David" w:cs="David"/>
          <w:rtl/>
        </w:rPr>
        <w:t>על אף תקופת עיכוב ההליכים</w:t>
      </w:r>
      <w:r w:rsidR="00924BE3" w:rsidRPr="005D1F2D">
        <w:rPr>
          <w:rFonts w:ascii="David" w:hAnsi="David" w:cs="David"/>
          <w:rtl/>
        </w:rPr>
        <w:t xml:space="preserve"> לפי </w:t>
      </w:r>
      <w:r w:rsidR="00924BE3" w:rsidRPr="005D1F2D">
        <w:rPr>
          <w:rFonts w:ascii="David" w:hAnsi="David" w:cs="David"/>
          <w:b/>
          <w:bCs/>
          <w:rtl/>
        </w:rPr>
        <w:t>ס׳ 3(ה)</w:t>
      </w:r>
      <w:r w:rsidR="00924BE3" w:rsidRPr="005D1F2D">
        <w:rPr>
          <w:rFonts w:ascii="David" w:hAnsi="David" w:cs="David"/>
          <w:rtl/>
        </w:rPr>
        <w:t xml:space="preserve">. </w:t>
      </w:r>
      <w:r w:rsidR="00005E12">
        <w:rPr>
          <w:rFonts w:ascii="David" w:hAnsi="David" w:cs="David" w:hint="cs"/>
          <w:rtl/>
        </w:rPr>
        <w:t>לעניין</w:t>
      </w:r>
      <w:r w:rsidR="0078538A" w:rsidRPr="005D1F2D">
        <w:rPr>
          <w:rFonts w:ascii="David" w:hAnsi="David" w:cs="David" w:hint="cs"/>
          <w:rtl/>
        </w:rPr>
        <w:t xml:space="preserve"> מזונות ילדים, ניתן להגיש בקשה לסעד זמני </w:t>
      </w:r>
      <w:r w:rsidR="00005E12">
        <w:rPr>
          <w:rFonts w:ascii="David" w:hAnsi="David" w:cs="David" w:hint="cs"/>
          <w:rtl/>
        </w:rPr>
        <w:t>בכדי</w:t>
      </w:r>
      <w:r w:rsidR="0078538A" w:rsidRPr="005D1F2D">
        <w:rPr>
          <w:rFonts w:ascii="David" w:hAnsi="David" w:cs="David" w:hint="cs"/>
          <w:rtl/>
        </w:rPr>
        <w:t xml:space="preserve"> לשמור על המצב הקיים או לסעד דחוף לפי </w:t>
      </w:r>
      <w:r w:rsidR="0078538A" w:rsidRPr="005D1F2D">
        <w:rPr>
          <w:rFonts w:ascii="David" w:hAnsi="David" w:cs="David" w:hint="cs"/>
          <w:b/>
          <w:bCs/>
          <w:rtl/>
        </w:rPr>
        <w:t xml:space="preserve">ס׳ 12(א)(3) </w:t>
      </w:r>
      <w:r w:rsidR="0078538A" w:rsidRPr="005D1F2D">
        <w:rPr>
          <w:rFonts w:ascii="David" w:hAnsi="David" w:cs="David"/>
          <w:rtl/>
        </w:rPr>
        <w:t>לתקנות להסדר התדיינויות בסכסוכי משפחה.</w:t>
      </w:r>
      <w:r w:rsidR="00044F53" w:rsidRPr="005D1F2D">
        <w:rPr>
          <w:rFonts w:ascii="David" w:hAnsi="David" w:cs="David" w:hint="cs"/>
          <w:rtl/>
        </w:rPr>
        <w:t xml:space="preserve"> </w:t>
      </w:r>
      <w:r w:rsidR="00733345" w:rsidRPr="005D1F2D">
        <w:rPr>
          <w:rFonts w:ascii="David" w:hAnsi="David" w:cs="David"/>
          <w:rtl/>
        </w:rPr>
        <w:t>עדנה מעוניינת להבטיח מזונות לילדיה</w:t>
      </w:r>
      <w:r w:rsidR="00135A7A" w:rsidRPr="005D1F2D">
        <w:rPr>
          <w:rFonts w:ascii="David" w:hAnsi="David" w:cs="David"/>
          <w:rtl/>
        </w:rPr>
        <w:t xml:space="preserve"> באופן מיידי</w:t>
      </w:r>
      <w:r w:rsidR="00B712F2" w:rsidRPr="005D1F2D">
        <w:rPr>
          <w:rFonts w:ascii="David" w:hAnsi="David" w:cs="David" w:hint="cs"/>
          <w:rtl/>
        </w:rPr>
        <w:t xml:space="preserve"> על מנת </w:t>
      </w:r>
      <w:r w:rsidR="009547DC" w:rsidRPr="005D1F2D">
        <w:rPr>
          <w:rFonts w:ascii="David" w:hAnsi="David" w:cs="David" w:hint="cs"/>
          <w:rtl/>
        </w:rPr>
        <w:t>שלא יחוו חרפת רעב</w:t>
      </w:r>
      <w:r w:rsidR="00564125" w:rsidRPr="005D1F2D">
        <w:rPr>
          <w:rFonts w:ascii="David" w:hAnsi="David" w:cs="David"/>
          <w:rtl/>
        </w:rPr>
        <w:t xml:space="preserve"> ולכן, </w:t>
      </w:r>
      <w:r w:rsidR="00044F53" w:rsidRPr="005D1F2D">
        <w:rPr>
          <w:rFonts w:ascii="David" w:hAnsi="David" w:cs="David" w:hint="cs"/>
          <w:rtl/>
        </w:rPr>
        <w:t>עליה</w:t>
      </w:r>
      <w:r w:rsidR="00F57CDD" w:rsidRPr="005D1F2D">
        <w:rPr>
          <w:rFonts w:ascii="David" w:hAnsi="David" w:cs="David" w:hint="cs"/>
          <w:rtl/>
        </w:rPr>
        <w:t xml:space="preserve"> להגיש בקשה לסעד </w:t>
      </w:r>
      <w:r w:rsidR="00044F53" w:rsidRPr="005D1F2D">
        <w:rPr>
          <w:rFonts w:ascii="David" w:hAnsi="David" w:cs="David" w:hint="cs"/>
          <w:rtl/>
        </w:rPr>
        <w:t xml:space="preserve">דחוף. </w:t>
      </w:r>
      <w:r w:rsidR="006E7D22" w:rsidRPr="005D1F2D">
        <w:rPr>
          <w:rFonts w:ascii="David" w:hAnsi="David" w:cs="David" w:hint="cs"/>
          <w:rtl/>
        </w:rPr>
        <w:t xml:space="preserve">יתרה מכך, </w:t>
      </w:r>
      <w:r w:rsidR="00044F53" w:rsidRPr="005D1F2D">
        <w:rPr>
          <w:rFonts w:ascii="David" w:hAnsi="David" w:cs="David" w:hint="cs"/>
          <w:rtl/>
        </w:rPr>
        <w:t xml:space="preserve">לאור </w:t>
      </w:r>
      <w:r w:rsidR="006E7D22" w:rsidRPr="005D1F2D">
        <w:rPr>
          <w:rFonts w:ascii="David" w:hAnsi="David" w:cs="David" w:hint="cs"/>
          <w:b/>
          <w:bCs/>
          <w:rtl/>
        </w:rPr>
        <w:t xml:space="preserve">ס׳ 12(3)(ה) </w:t>
      </w:r>
      <w:r w:rsidR="00A31F3A" w:rsidRPr="005D1F2D">
        <w:rPr>
          <w:rFonts w:ascii="David" w:hAnsi="David" w:cs="David" w:hint="cs"/>
          <w:rtl/>
        </w:rPr>
        <w:t>לתקנות,</w:t>
      </w:r>
      <w:r w:rsidR="00A31F3A" w:rsidRPr="005D1F2D">
        <w:rPr>
          <w:rFonts w:ascii="David" w:hAnsi="David" w:cs="David" w:hint="cs"/>
          <w:b/>
          <w:bCs/>
          <w:rtl/>
        </w:rPr>
        <w:t xml:space="preserve"> </w:t>
      </w:r>
      <w:r w:rsidR="006E7D22" w:rsidRPr="005D1F2D">
        <w:rPr>
          <w:rFonts w:ascii="David" w:hAnsi="David" w:cs="David" w:hint="cs"/>
          <w:rtl/>
        </w:rPr>
        <w:t xml:space="preserve">בקשה בעניין מזונות זמניים לא תוגש בתקופת עיכוב ההליכים אלא בדרך של בקשה לסעד דחוף. </w:t>
      </w:r>
      <w:r w:rsidR="007344C5" w:rsidRPr="005D1F2D">
        <w:rPr>
          <w:rFonts w:ascii="David" w:hAnsi="David" w:cs="David" w:hint="cs"/>
          <w:rtl/>
        </w:rPr>
        <w:t xml:space="preserve">עדנה תוכל לפנות לערכאה </w:t>
      </w:r>
      <w:r w:rsidR="000D5BD7" w:rsidRPr="005D1F2D">
        <w:rPr>
          <w:rFonts w:ascii="David" w:hAnsi="David" w:cs="David" w:hint="cs"/>
          <w:rtl/>
        </w:rPr>
        <w:t>שיפוטית</w:t>
      </w:r>
      <w:r w:rsidR="005629BD" w:rsidRPr="005D1F2D">
        <w:rPr>
          <w:rFonts w:ascii="David" w:hAnsi="David" w:cs="David" w:hint="cs"/>
          <w:rtl/>
        </w:rPr>
        <w:t xml:space="preserve"> המוסמכת לכך לפי דין</w:t>
      </w:r>
      <w:r w:rsidR="00005E12">
        <w:rPr>
          <w:rFonts w:ascii="David" w:hAnsi="David" w:cs="David" w:hint="cs"/>
          <w:rtl/>
        </w:rPr>
        <w:t xml:space="preserve"> דהיינו, </w:t>
      </w:r>
      <w:r w:rsidR="000D5BD7" w:rsidRPr="005D1F2D">
        <w:rPr>
          <w:rFonts w:ascii="David" w:hAnsi="David" w:cs="David" w:hint="cs"/>
          <w:rtl/>
        </w:rPr>
        <w:t>ביהמ״ש או ביד״ר</w:t>
      </w:r>
      <w:r w:rsidR="005629BD" w:rsidRPr="005D1F2D">
        <w:rPr>
          <w:rFonts w:ascii="David" w:hAnsi="David" w:cs="David" w:hint="cs"/>
          <w:rtl/>
        </w:rPr>
        <w:t xml:space="preserve"> לפי </w:t>
      </w:r>
      <w:r w:rsidR="005629BD" w:rsidRPr="00005E12">
        <w:rPr>
          <w:rFonts w:ascii="David" w:hAnsi="David" w:cs="David" w:hint="cs"/>
          <w:b/>
          <w:bCs/>
          <w:rtl/>
        </w:rPr>
        <w:t>ס׳ 1</w:t>
      </w:r>
      <w:r w:rsidR="005629BD" w:rsidRPr="005D1F2D">
        <w:rPr>
          <w:rFonts w:ascii="David" w:hAnsi="David" w:cs="David" w:hint="cs"/>
          <w:rtl/>
        </w:rPr>
        <w:t xml:space="preserve"> לחוק</w:t>
      </w:r>
      <w:r w:rsidR="00B97715" w:rsidRPr="005D1F2D">
        <w:rPr>
          <w:rFonts w:ascii="David" w:hAnsi="David" w:cs="David" w:hint="cs"/>
          <w:rtl/>
        </w:rPr>
        <w:t xml:space="preserve"> ולכן, עדנה </w:t>
      </w:r>
      <w:r w:rsidR="007736E5" w:rsidRPr="005D1F2D">
        <w:rPr>
          <w:rFonts w:ascii="David" w:hAnsi="David" w:cs="David" w:hint="cs"/>
          <w:rtl/>
        </w:rPr>
        <w:t>רשאית</w:t>
      </w:r>
      <w:r w:rsidR="00B97715" w:rsidRPr="005D1F2D">
        <w:rPr>
          <w:rFonts w:ascii="David" w:hAnsi="David" w:cs="David" w:hint="cs"/>
          <w:rtl/>
        </w:rPr>
        <w:t xml:space="preserve"> לפנות לכל אחד מהם. </w:t>
      </w:r>
    </w:p>
    <w:p w14:paraId="077ACCBF" w14:textId="2E6B9C9D" w:rsidR="00CB4AD4" w:rsidRPr="00F62EA3" w:rsidRDefault="001B7FAE" w:rsidP="002711CB">
      <w:pPr>
        <w:spacing w:line="360" w:lineRule="auto"/>
        <w:jc w:val="both"/>
        <w:rPr>
          <w:rFonts w:ascii="David" w:hAnsi="David" w:cs="David"/>
          <w:rtl/>
        </w:rPr>
      </w:pPr>
      <w:r w:rsidRPr="001B7FAE">
        <w:rPr>
          <w:rFonts w:ascii="David" w:hAnsi="David" w:cs="David" w:hint="cs"/>
          <w:b/>
          <w:bCs/>
          <w:rtl/>
        </w:rPr>
        <w:t>ב)</w:t>
      </w:r>
      <w:r>
        <w:rPr>
          <w:rFonts w:ascii="David" w:hAnsi="David" w:cs="David" w:hint="cs"/>
          <w:rtl/>
        </w:rPr>
        <w:t xml:space="preserve"> </w:t>
      </w:r>
      <w:r w:rsidR="004223EF" w:rsidRPr="001B7FAE">
        <w:rPr>
          <w:rFonts w:ascii="David" w:hAnsi="David" w:cs="David" w:hint="cs"/>
          <w:rtl/>
        </w:rPr>
        <w:t xml:space="preserve">הצדדים </w:t>
      </w:r>
      <w:r w:rsidR="007576B0" w:rsidRPr="001B7FAE">
        <w:rPr>
          <w:rFonts w:ascii="David" w:hAnsi="David" w:cs="David" w:hint="cs"/>
          <w:rtl/>
        </w:rPr>
        <w:t xml:space="preserve">לא הגיעו להסדר </w:t>
      </w:r>
      <w:r w:rsidR="00A56E8A" w:rsidRPr="001B7FAE">
        <w:rPr>
          <w:rFonts w:ascii="David" w:hAnsi="David" w:cs="David" w:hint="cs"/>
          <w:rtl/>
        </w:rPr>
        <w:t>מוס</w:t>
      </w:r>
      <w:r w:rsidR="006B7979">
        <w:rPr>
          <w:rFonts w:ascii="David" w:hAnsi="David" w:cs="David" w:hint="cs"/>
          <w:rtl/>
        </w:rPr>
        <w:t>כם</w:t>
      </w:r>
      <w:r w:rsidR="00A56E8A" w:rsidRPr="001B7FAE">
        <w:rPr>
          <w:rFonts w:ascii="David" w:hAnsi="David" w:cs="David" w:hint="cs"/>
          <w:rtl/>
        </w:rPr>
        <w:t xml:space="preserve"> בהליך</w:t>
      </w:r>
      <w:r w:rsidR="004C15DD" w:rsidRPr="001B7FAE">
        <w:rPr>
          <w:rFonts w:ascii="David" w:hAnsi="David" w:cs="David" w:hint="cs"/>
          <w:rtl/>
        </w:rPr>
        <w:t xml:space="preserve"> והודיעו על כך לאחר 5 ימים כנדרש</w:t>
      </w:r>
      <w:r w:rsidR="00CC0A70" w:rsidRPr="001B7FAE">
        <w:rPr>
          <w:rFonts w:ascii="David" w:hAnsi="David" w:cs="David" w:hint="cs"/>
          <w:rtl/>
        </w:rPr>
        <w:t xml:space="preserve"> </w:t>
      </w:r>
      <w:r w:rsidR="00CC0A70" w:rsidRPr="001B7FAE">
        <w:rPr>
          <w:rFonts w:ascii="David" w:hAnsi="David" w:cs="David" w:hint="cs"/>
          <w:b/>
          <w:bCs/>
          <w:rtl/>
        </w:rPr>
        <w:t>בס׳ 3(ד) לחוק</w:t>
      </w:r>
      <w:r w:rsidR="00CC0A70" w:rsidRPr="001B7FAE">
        <w:rPr>
          <w:rFonts w:ascii="David" w:hAnsi="David" w:cs="David" w:hint="cs"/>
          <w:rtl/>
        </w:rPr>
        <w:t xml:space="preserve">. אבשלום </w:t>
      </w:r>
      <w:r w:rsidR="00A117C7" w:rsidRPr="001B7FAE">
        <w:rPr>
          <w:rFonts w:ascii="David" w:hAnsi="David" w:cs="David" w:hint="cs"/>
          <w:rtl/>
        </w:rPr>
        <w:t xml:space="preserve">פעל </w:t>
      </w:r>
      <w:r w:rsidR="006E4FD7" w:rsidRPr="001B7FAE">
        <w:rPr>
          <w:rFonts w:ascii="David" w:hAnsi="David" w:cs="David" w:hint="cs"/>
          <w:rtl/>
        </w:rPr>
        <w:t xml:space="preserve">בהתאם </w:t>
      </w:r>
      <w:r w:rsidR="006E4FD7" w:rsidRPr="001B7FAE">
        <w:rPr>
          <w:rFonts w:ascii="David" w:hAnsi="David" w:cs="David" w:hint="cs"/>
          <w:b/>
          <w:bCs/>
          <w:rtl/>
        </w:rPr>
        <w:t>לס׳ 4 לחוק</w:t>
      </w:r>
      <w:r w:rsidR="00A117C7" w:rsidRPr="001B7FAE">
        <w:rPr>
          <w:rFonts w:ascii="David" w:hAnsi="David" w:cs="David" w:hint="cs"/>
          <w:rtl/>
        </w:rPr>
        <w:t xml:space="preserve"> </w:t>
      </w:r>
      <w:r w:rsidR="006E4FD7" w:rsidRPr="001B7FAE">
        <w:rPr>
          <w:rFonts w:ascii="David" w:hAnsi="David" w:cs="David" w:hint="cs"/>
          <w:rtl/>
        </w:rPr>
        <w:t>כאשר הגיש תביעה לגירושין לביד״ר</w:t>
      </w:r>
      <w:r w:rsidR="00A117C7" w:rsidRPr="001B7FAE">
        <w:rPr>
          <w:rFonts w:ascii="David" w:hAnsi="David" w:cs="David" w:hint="cs"/>
          <w:rtl/>
        </w:rPr>
        <w:t>- הינו הצד שהגיש את הבקשה ליישוב הסכסוך</w:t>
      </w:r>
      <w:r w:rsidR="00BC0ABB" w:rsidRPr="001B7FAE">
        <w:rPr>
          <w:rFonts w:ascii="David" w:hAnsi="David" w:cs="David" w:hint="cs"/>
          <w:rtl/>
        </w:rPr>
        <w:t xml:space="preserve"> ו</w:t>
      </w:r>
      <w:r w:rsidR="00D542CB" w:rsidRPr="001B7FAE">
        <w:rPr>
          <w:rFonts w:ascii="David" w:hAnsi="David" w:cs="David" w:hint="cs"/>
          <w:rtl/>
        </w:rPr>
        <w:t xml:space="preserve">בתום תקופת עיכוב ההליכים </w:t>
      </w:r>
      <w:r w:rsidR="004F2381" w:rsidRPr="001B7FAE">
        <w:rPr>
          <w:rFonts w:ascii="David" w:hAnsi="David" w:cs="David" w:hint="cs"/>
          <w:rtl/>
        </w:rPr>
        <w:t xml:space="preserve">הגיש את תביעת הגירושין ביום ה-11 בעוד ניתנו לו 15 ימים לכך. </w:t>
      </w:r>
      <w:r w:rsidR="00FB7282" w:rsidRPr="001B7FAE">
        <w:rPr>
          <w:rFonts w:ascii="David" w:hAnsi="David" w:cs="David" w:hint="cs"/>
          <w:rtl/>
        </w:rPr>
        <w:t xml:space="preserve">אבשלום </w:t>
      </w:r>
      <w:r w:rsidR="00B47177" w:rsidRPr="001B7FAE">
        <w:rPr>
          <w:rFonts w:ascii="David" w:hAnsi="David" w:cs="David" w:hint="cs"/>
          <w:rtl/>
        </w:rPr>
        <w:t xml:space="preserve">הינו בעל זכות קדימה </w:t>
      </w:r>
      <w:r w:rsidR="004B4CB4" w:rsidRPr="001B7FAE">
        <w:rPr>
          <w:rFonts w:ascii="David" w:hAnsi="David" w:cs="David" w:hint="cs"/>
          <w:rtl/>
        </w:rPr>
        <w:t>ולכן, רשאי לבחור את הערכאה אותה מעדיף</w:t>
      </w:r>
      <w:r w:rsidR="002A2AF2" w:rsidRPr="001B7FAE">
        <w:rPr>
          <w:rFonts w:ascii="David" w:hAnsi="David" w:cs="David" w:hint="cs"/>
          <w:rtl/>
        </w:rPr>
        <w:t xml:space="preserve"> אשר מוסמכת לדון בעניין.</w:t>
      </w:r>
      <w:r w:rsidR="00FE77A4" w:rsidRPr="001B7FAE">
        <w:rPr>
          <w:rFonts w:ascii="David" w:hAnsi="David" w:cs="David" w:hint="cs"/>
          <w:rtl/>
        </w:rPr>
        <w:t xml:space="preserve"> </w:t>
      </w:r>
      <w:r w:rsidR="002F124C" w:rsidRPr="001B7FAE">
        <w:rPr>
          <w:rFonts w:ascii="David" w:hAnsi="David" w:cs="David" w:hint="cs"/>
          <w:rtl/>
        </w:rPr>
        <w:t>בהתאם</w:t>
      </w:r>
      <w:r w:rsidR="00FE77A4" w:rsidRPr="001B7FAE">
        <w:rPr>
          <w:rFonts w:ascii="David" w:hAnsi="David" w:cs="David" w:hint="cs"/>
          <w:rtl/>
        </w:rPr>
        <w:t xml:space="preserve"> </w:t>
      </w:r>
      <w:r w:rsidR="002F124C" w:rsidRPr="001B7FAE">
        <w:rPr>
          <w:rFonts w:ascii="David" w:hAnsi="David" w:cs="David" w:hint="cs"/>
          <w:b/>
          <w:bCs/>
          <w:rtl/>
        </w:rPr>
        <w:t>ל</w:t>
      </w:r>
      <w:r w:rsidR="00FE77A4" w:rsidRPr="001B7FAE">
        <w:rPr>
          <w:rFonts w:ascii="David" w:hAnsi="David" w:cs="David" w:hint="cs"/>
          <w:b/>
          <w:bCs/>
          <w:rtl/>
        </w:rPr>
        <w:t xml:space="preserve">ס׳ 1 </w:t>
      </w:r>
      <w:r w:rsidR="00D76748" w:rsidRPr="001B7FAE">
        <w:rPr>
          <w:rFonts w:ascii="David" w:hAnsi="David" w:cs="David" w:hint="cs"/>
          <w:b/>
          <w:bCs/>
          <w:rtl/>
        </w:rPr>
        <w:t>לחשבד״ר</w:t>
      </w:r>
      <w:r w:rsidR="00D76748" w:rsidRPr="001B7FAE">
        <w:rPr>
          <w:rFonts w:ascii="David" w:hAnsi="David" w:cs="David" w:hint="cs"/>
          <w:rtl/>
        </w:rPr>
        <w:t xml:space="preserve">, </w:t>
      </w:r>
      <w:r w:rsidR="00783AB7" w:rsidRPr="001B7FAE">
        <w:rPr>
          <w:rFonts w:ascii="David" w:hAnsi="David" w:cs="David" w:hint="cs"/>
          <w:rtl/>
        </w:rPr>
        <w:t xml:space="preserve">אבשלום ועדנה הינם </w:t>
      </w:r>
      <w:r w:rsidR="00783AB7" w:rsidRPr="001B7FAE">
        <w:rPr>
          <w:rFonts w:ascii="David" w:hAnsi="David" w:cs="David" w:hint="cs"/>
          <w:b/>
          <w:bCs/>
          <w:rtl/>
        </w:rPr>
        <w:t>י</w:t>
      </w:r>
      <w:r w:rsidR="00271765" w:rsidRPr="001B7FAE">
        <w:rPr>
          <w:rFonts w:ascii="David" w:hAnsi="David" w:cs="David" w:hint="cs"/>
          <w:b/>
          <w:bCs/>
          <w:rtl/>
        </w:rPr>
        <w:t>ה</w:t>
      </w:r>
      <w:r w:rsidR="00783AB7" w:rsidRPr="001B7FAE">
        <w:rPr>
          <w:rFonts w:ascii="David" w:hAnsi="David" w:cs="David" w:hint="cs"/>
          <w:b/>
          <w:bCs/>
          <w:rtl/>
        </w:rPr>
        <w:t xml:space="preserve">ודים, אזרחי מדינת ישראל </w:t>
      </w:r>
      <w:r w:rsidR="00271765" w:rsidRPr="001B7FAE">
        <w:rPr>
          <w:rFonts w:ascii="David" w:hAnsi="David" w:cs="David" w:hint="cs"/>
          <w:b/>
          <w:bCs/>
          <w:rtl/>
        </w:rPr>
        <w:t>ותושביה</w:t>
      </w:r>
      <w:r w:rsidR="00303A32" w:rsidRPr="001B7FAE">
        <w:rPr>
          <w:rFonts w:ascii="David" w:hAnsi="David" w:cs="David" w:hint="cs"/>
          <w:rtl/>
        </w:rPr>
        <w:t xml:space="preserve"> </w:t>
      </w:r>
      <w:r w:rsidR="003C51FD" w:rsidRPr="001B7FAE">
        <w:rPr>
          <w:rFonts w:ascii="David" w:hAnsi="David" w:cs="David" w:hint="cs"/>
          <w:rtl/>
        </w:rPr>
        <w:t>אשר מתגוררים בישראל</w:t>
      </w:r>
      <w:r w:rsidR="008A2114" w:rsidRPr="001B7FAE">
        <w:rPr>
          <w:rFonts w:ascii="David" w:hAnsi="David" w:cs="David" w:hint="cs"/>
          <w:rtl/>
        </w:rPr>
        <w:t xml:space="preserve">. בני הזוג נישאו </w:t>
      </w:r>
      <w:r w:rsidR="008A2114" w:rsidRPr="001B7FAE">
        <w:rPr>
          <w:rFonts w:ascii="David" w:hAnsi="David" w:cs="David" w:hint="cs"/>
          <w:b/>
          <w:bCs/>
          <w:rtl/>
        </w:rPr>
        <w:t>כדמו״י</w:t>
      </w:r>
      <w:r w:rsidR="008A2114" w:rsidRPr="001B7FAE">
        <w:rPr>
          <w:rFonts w:ascii="David" w:hAnsi="David" w:cs="David" w:hint="cs"/>
          <w:rtl/>
        </w:rPr>
        <w:t xml:space="preserve"> ולכן</w:t>
      </w:r>
      <w:r w:rsidR="00027EBC" w:rsidRPr="001B7FAE">
        <w:rPr>
          <w:rFonts w:ascii="David" w:hAnsi="David" w:cs="David" w:hint="cs"/>
          <w:rtl/>
        </w:rPr>
        <w:t xml:space="preserve">, </w:t>
      </w:r>
      <w:r w:rsidR="002F124C" w:rsidRPr="001B7FAE">
        <w:rPr>
          <w:rFonts w:ascii="David" w:hAnsi="David" w:cs="David" w:hint="cs"/>
          <w:u w:val="single"/>
          <w:rtl/>
        </w:rPr>
        <w:t>לביד״ר סמכות ייחודית לדון בתביעת הגירושין</w:t>
      </w:r>
      <w:r w:rsidR="002F124C" w:rsidRPr="001B7FAE">
        <w:rPr>
          <w:rFonts w:ascii="David" w:hAnsi="David" w:cs="David" w:hint="cs"/>
          <w:rtl/>
        </w:rPr>
        <w:t>.</w:t>
      </w:r>
      <w:r w:rsidR="00DE734C" w:rsidRPr="001B7FAE">
        <w:rPr>
          <w:rFonts w:ascii="David" w:hAnsi="David" w:cs="David" w:hint="cs"/>
          <w:rtl/>
        </w:rPr>
        <w:t xml:space="preserve"> באשר לנושאים האחרים, </w:t>
      </w:r>
      <w:r w:rsidR="00301CA4" w:rsidRPr="001B7FAE">
        <w:rPr>
          <w:rFonts w:ascii="David" w:hAnsi="David" w:cs="David" w:hint="cs"/>
          <w:b/>
          <w:bCs/>
          <w:rtl/>
        </w:rPr>
        <w:t>בג״ץ 59/08</w:t>
      </w:r>
      <w:r w:rsidR="00301CA4" w:rsidRPr="001B7FAE">
        <w:rPr>
          <w:rFonts w:ascii="David" w:hAnsi="David" w:cs="David" w:hint="cs"/>
          <w:rtl/>
        </w:rPr>
        <w:t xml:space="preserve"> (15 הדקות)</w:t>
      </w:r>
      <w:r w:rsidR="00AA17E3" w:rsidRPr="001B7FAE">
        <w:rPr>
          <w:rFonts w:ascii="David" w:hAnsi="David" w:cs="David" w:hint="cs"/>
          <w:rtl/>
        </w:rPr>
        <w:t xml:space="preserve"> קובע כי </w:t>
      </w:r>
      <w:r w:rsidR="00AA17E3" w:rsidRPr="001B7FAE">
        <w:rPr>
          <w:rFonts w:ascii="David" w:hAnsi="David" w:cs="David" w:hint="cs"/>
          <w:u w:val="single"/>
          <w:rtl/>
        </w:rPr>
        <w:t>מבחן הזמן</w:t>
      </w:r>
      <w:r w:rsidR="00AA17E3" w:rsidRPr="001B7FAE">
        <w:rPr>
          <w:rFonts w:ascii="David" w:hAnsi="David" w:cs="David" w:hint="cs"/>
          <w:rtl/>
        </w:rPr>
        <w:t xml:space="preserve"> הוא המכריע. אבשלום הקדים את עדנה </w:t>
      </w:r>
      <w:r w:rsidR="00665C7C" w:rsidRPr="001B7FAE">
        <w:rPr>
          <w:rFonts w:ascii="David" w:hAnsi="David" w:cs="David" w:hint="cs"/>
          <w:rtl/>
        </w:rPr>
        <w:t xml:space="preserve">ע״י כריכת </w:t>
      </w:r>
      <w:r w:rsidR="006A62E5" w:rsidRPr="001B7FAE">
        <w:rPr>
          <w:rFonts w:ascii="David" w:hAnsi="David" w:cs="David" w:hint="cs"/>
          <w:rtl/>
        </w:rPr>
        <w:t>רכוש, מזונות ילדים ומשמורת ולכ</w:t>
      </w:r>
      <w:r w:rsidR="00327C0E" w:rsidRPr="001B7FAE">
        <w:rPr>
          <w:rFonts w:ascii="David" w:hAnsi="David" w:cs="David" w:hint="cs"/>
          <w:rtl/>
        </w:rPr>
        <w:t>ן לביד״ר הסמכות ל</w:t>
      </w:r>
      <w:r w:rsidR="004B6B04">
        <w:rPr>
          <w:rFonts w:ascii="David" w:hAnsi="David" w:cs="David" w:hint="cs"/>
          <w:rtl/>
        </w:rPr>
        <w:t>ד</w:t>
      </w:r>
      <w:r w:rsidR="00327C0E" w:rsidRPr="001B7FAE">
        <w:rPr>
          <w:rFonts w:ascii="David" w:hAnsi="David" w:cs="David" w:hint="cs"/>
          <w:rtl/>
        </w:rPr>
        <w:t>ון בנושאים אלו</w:t>
      </w:r>
      <w:r w:rsidR="002C5099">
        <w:rPr>
          <w:rFonts w:ascii="David" w:hAnsi="David" w:cs="David" w:hint="cs"/>
          <w:rtl/>
        </w:rPr>
        <w:t xml:space="preserve"> (בכפוף למבחני הכריכה)</w:t>
      </w:r>
      <w:r w:rsidR="00327C0E" w:rsidRPr="001B7FAE">
        <w:rPr>
          <w:rFonts w:ascii="David" w:hAnsi="David" w:cs="David" w:hint="cs"/>
          <w:rtl/>
        </w:rPr>
        <w:t xml:space="preserve">. </w:t>
      </w:r>
      <w:r w:rsidR="00974CC0">
        <w:rPr>
          <w:rFonts w:ascii="David" w:hAnsi="David" w:cs="David" w:hint="cs"/>
          <w:rtl/>
        </w:rPr>
        <w:t>בנוסף, הגיש אבשלום תביעה לביהמ״ש לענייני משפחה</w:t>
      </w:r>
      <w:r w:rsidR="00FF0068">
        <w:rPr>
          <w:rFonts w:ascii="David" w:hAnsi="David" w:cs="David" w:hint="cs"/>
          <w:rtl/>
        </w:rPr>
        <w:t xml:space="preserve"> בעניין חלוקת הדירה </w:t>
      </w:r>
      <w:r w:rsidR="00136C95">
        <w:rPr>
          <w:rFonts w:ascii="David" w:hAnsi="David" w:cs="David" w:hint="cs"/>
          <w:rtl/>
        </w:rPr>
        <w:t>ולכן לו הסמכות בנושא.</w:t>
      </w:r>
      <w:r w:rsidR="00974CC0">
        <w:rPr>
          <w:rFonts w:ascii="David" w:hAnsi="David" w:cs="David" w:hint="cs"/>
          <w:rtl/>
        </w:rPr>
        <w:t xml:space="preserve"> </w:t>
      </w:r>
      <w:r w:rsidR="00327C0E" w:rsidRPr="001B7FAE">
        <w:rPr>
          <w:rFonts w:ascii="David" w:hAnsi="David" w:cs="David" w:hint="cs"/>
          <w:rtl/>
        </w:rPr>
        <w:t xml:space="preserve">אולם, עדנה </w:t>
      </w:r>
      <w:r w:rsidR="00316A05">
        <w:rPr>
          <w:rFonts w:ascii="David" w:hAnsi="David" w:cs="David" w:hint="cs"/>
          <w:rtl/>
        </w:rPr>
        <w:t xml:space="preserve">ניצלה את זכותה לפי </w:t>
      </w:r>
      <w:r w:rsidR="00316A05" w:rsidRPr="00316A05">
        <w:rPr>
          <w:rFonts w:ascii="David" w:hAnsi="David" w:cs="David" w:hint="cs"/>
          <w:b/>
          <w:bCs/>
          <w:rtl/>
        </w:rPr>
        <w:t>ס׳ 4 לחוק</w:t>
      </w:r>
      <w:r w:rsidR="00316A05">
        <w:rPr>
          <w:rFonts w:ascii="David" w:hAnsi="David" w:cs="David" w:hint="cs"/>
          <w:rtl/>
        </w:rPr>
        <w:t xml:space="preserve"> ו</w:t>
      </w:r>
      <w:r w:rsidR="00327C0E" w:rsidRPr="001B7FAE">
        <w:rPr>
          <w:rFonts w:ascii="David" w:hAnsi="David" w:cs="David" w:hint="cs"/>
          <w:rtl/>
        </w:rPr>
        <w:t xml:space="preserve">הגישה תביעה לביהמ״ש לענייני משפחה </w:t>
      </w:r>
      <w:r w:rsidR="00562D8F" w:rsidRPr="001B7FAE">
        <w:rPr>
          <w:rFonts w:ascii="David" w:hAnsi="David" w:cs="David" w:hint="cs"/>
          <w:rtl/>
        </w:rPr>
        <w:t>בעניין מזונו</w:t>
      </w:r>
      <w:r w:rsidR="00F266D6" w:rsidRPr="001B7FAE">
        <w:rPr>
          <w:rFonts w:ascii="David" w:hAnsi="David" w:cs="David" w:hint="cs"/>
          <w:rtl/>
        </w:rPr>
        <w:t>ת</w:t>
      </w:r>
      <w:r w:rsidR="00562D8F" w:rsidRPr="001B7FAE">
        <w:rPr>
          <w:rFonts w:ascii="David" w:hAnsi="David" w:cs="David" w:hint="cs"/>
          <w:rtl/>
        </w:rPr>
        <w:t xml:space="preserve"> האישה</w:t>
      </w:r>
      <w:r w:rsidR="002325CC" w:rsidRPr="001B7FAE">
        <w:rPr>
          <w:rFonts w:ascii="David" w:hAnsi="David" w:cs="David" w:hint="cs"/>
          <w:rtl/>
        </w:rPr>
        <w:t xml:space="preserve"> </w:t>
      </w:r>
      <w:r w:rsidR="00562D8F" w:rsidRPr="001B7FAE">
        <w:rPr>
          <w:rFonts w:ascii="David" w:hAnsi="David" w:cs="David" w:hint="cs"/>
          <w:rtl/>
        </w:rPr>
        <w:t>אשר לא נכרכו ע</w:t>
      </w:r>
      <w:r w:rsidR="00F266D6" w:rsidRPr="001B7FAE">
        <w:rPr>
          <w:rFonts w:ascii="David" w:hAnsi="David" w:cs="David" w:hint="cs"/>
          <w:rtl/>
        </w:rPr>
        <w:t xml:space="preserve">״י אבשלום ולכן, עניין </w:t>
      </w:r>
      <w:r w:rsidR="00F605E6" w:rsidRPr="001B7FAE">
        <w:rPr>
          <w:rFonts w:ascii="David" w:hAnsi="David" w:cs="David" w:hint="cs"/>
          <w:rtl/>
        </w:rPr>
        <w:t>זה יהיה בסמכות ביהמ״ש לענייני משפחה</w:t>
      </w:r>
      <w:r w:rsidR="00747B3C" w:rsidRPr="001B7FAE">
        <w:rPr>
          <w:rFonts w:ascii="David" w:hAnsi="David" w:cs="David" w:hint="cs"/>
          <w:rtl/>
        </w:rPr>
        <w:t xml:space="preserve"> לפי </w:t>
      </w:r>
      <w:r w:rsidR="00747B3C" w:rsidRPr="00316A05">
        <w:rPr>
          <w:rFonts w:ascii="David" w:hAnsi="David" w:cs="David" w:hint="cs"/>
          <w:b/>
          <w:bCs/>
          <w:rtl/>
        </w:rPr>
        <w:t xml:space="preserve">ס׳ </w:t>
      </w:r>
      <w:r w:rsidR="00F73269" w:rsidRPr="00316A05">
        <w:rPr>
          <w:rFonts w:ascii="David" w:hAnsi="David" w:cs="David" w:hint="cs"/>
          <w:b/>
          <w:bCs/>
          <w:rtl/>
        </w:rPr>
        <w:t>3(א)</w:t>
      </w:r>
      <w:r w:rsidR="00316A05">
        <w:rPr>
          <w:rFonts w:ascii="David" w:hAnsi="David" w:cs="David" w:hint="cs"/>
          <w:b/>
          <w:bCs/>
          <w:rtl/>
        </w:rPr>
        <w:t xml:space="preserve"> </w:t>
      </w:r>
      <w:r w:rsidR="00316A05" w:rsidRPr="00C81BC0">
        <w:rPr>
          <w:rFonts w:ascii="David" w:hAnsi="David" w:cs="David" w:hint="cs"/>
          <w:rtl/>
        </w:rPr>
        <w:t xml:space="preserve">לחוק </w:t>
      </w:r>
      <w:r w:rsidR="00007804" w:rsidRPr="00C81BC0">
        <w:rPr>
          <w:rFonts w:ascii="David" w:hAnsi="David" w:cs="David" w:hint="cs"/>
          <w:rtl/>
        </w:rPr>
        <w:t>ב</w:t>
      </w:r>
      <w:r w:rsidR="00C81BC0" w:rsidRPr="00C81BC0">
        <w:rPr>
          <w:rFonts w:ascii="David" w:hAnsi="David" w:cs="David" w:hint="cs"/>
          <w:rtl/>
        </w:rPr>
        <w:t>ית המשפט לענייני משפחה</w:t>
      </w:r>
      <w:r w:rsidR="0038183E">
        <w:rPr>
          <w:rFonts w:ascii="David" w:hAnsi="David" w:cs="David" w:hint="cs"/>
          <w:rtl/>
        </w:rPr>
        <w:t xml:space="preserve">. </w:t>
      </w:r>
      <w:r w:rsidR="00CF2BF0" w:rsidRPr="003F49E0">
        <w:rPr>
          <w:rFonts w:ascii="David" w:hAnsi="David" w:cs="David" w:hint="cs"/>
          <w:b/>
          <w:bCs/>
          <w:rtl/>
        </w:rPr>
        <w:t>ס׳ 3 לחשבד״ר</w:t>
      </w:r>
      <w:r w:rsidR="00B12C0D" w:rsidRPr="003F49E0">
        <w:rPr>
          <w:rFonts w:ascii="David" w:hAnsi="David" w:cs="David" w:hint="cs"/>
          <w:b/>
          <w:bCs/>
          <w:rtl/>
        </w:rPr>
        <w:t>-</w:t>
      </w:r>
      <w:r w:rsidR="00B12C0D">
        <w:rPr>
          <w:rFonts w:ascii="David" w:hAnsi="David" w:cs="David" w:hint="cs"/>
          <w:rtl/>
        </w:rPr>
        <w:t xml:space="preserve"> </w:t>
      </w:r>
      <w:r w:rsidR="00A513A3">
        <w:rPr>
          <w:rFonts w:ascii="David" w:hAnsi="David" w:cs="David" w:hint="cs"/>
          <w:rtl/>
        </w:rPr>
        <w:t>המבחן המשולש</w:t>
      </w:r>
      <w:r w:rsidR="00E26311">
        <w:rPr>
          <w:rFonts w:ascii="David" w:hAnsi="David" w:cs="David" w:hint="cs"/>
          <w:rtl/>
        </w:rPr>
        <w:t>,</w:t>
      </w:r>
      <w:r w:rsidR="00A513A3">
        <w:rPr>
          <w:rFonts w:ascii="David" w:hAnsi="David" w:cs="David" w:hint="cs"/>
          <w:rtl/>
        </w:rPr>
        <w:t xml:space="preserve"> </w:t>
      </w:r>
      <w:r w:rsidR="00A513A3" w:rsidRPr="00075FDB">
        <w:rPr>
          <w:rFonts w:ascii="David" w:hAnsi="David" w:cs="David" w:hint="cs"/>
          <w:b/>
          <w:bCs/>
          <w:rtl/>
        </w:rPr>
        <w:t>בג״</w:t>
      </w:r>
      <w:r w:rsidR="00CF2BF0" w:rsidRPr="00075FDB">
        <w:rPr>
          <w:rFonts w:ascii="David" w:hAnsi="David" w:cs="David" w:hint="cs"/>
          <w:b/>
          <w:bCs/>
          <w:rtl/>
        </w:rPr>
        <w:t>צ פייג-פלמן</w:t>
      </w:r>
      <w:r w:rsidR="00CF2BF0">
        <w:rPr>
          <w:rFonts w:ascii="David" w:hAnsi="David" w:cs="David" w:hint="cs"/>
          <w:rtl/>
        </w:rPr>
        <w:t>:</w:t>
      </w:r>
      <w:r w:rsidR="00B12C0D">
        <w:rPr>
          <w:rFonts w:ascii="David" w:hAnsi="David" w:cs="David" w:hint="cs"/>
          <w:rtl/>
        </w:rPr>
        <w:t xml:space="preserve"> </w:t>
      </w:r>
      <w:r w:rsidR="00FC3D87" w:rsidRPr="00075FDB">
        <w:rPr>
          <w:rFonts w:ascii="David" w:hAnsi="David" w:cs="David" w:hint="cs"/>
          <w:u w:val="single"/>
          <w:rtl/>
        </w:rPr>
        <w:t>1)האם תביעת הגירושין כנה?</w:t>
      </w:r>
      <w:r w:rsidR="00FC3D87">
        <w:rPr>
          <w:rFonts w:ascii="David" w:hAnsi="David" w:cs="David" w:hint="cs"/>
          <w:rtl/>
        </w:rPr>
        <w:t xml:space="preserve"> </w:t>
      </w:r>
      <w:r w:rsidR="00075FDB">
        <w:rPr>
          <w:rFonts w:ascii="David" w:hAnsi="David" w:cs="David" w:hint="cs"/>
          <w:rtl/>
        </w:rPr>
        <w:t xml:space="preserve">יש לבחון קיומה של עילה הלכתית לגירושין </w:t>
      </w:r>
      <w:r w:rsidR="00075FDB" w:rsidRPr="00075FDB">
        <w:rPr>
          <w:rFonts w:ascii="David" w:hAnsi="David" w:cs="David" w:hint="cs"/>
          <w:b/>
          <w:bCs/>
          <w:rtl/>
        </w:rPr>
        <w:t>(פס״ד תורג׳מן).</w:t>
      </w:r>
      <w:r w:rsidR="00075FDB">
        <w:rPr>
          <w:rFonts w:ascii="David" w:hAnsi="David" w:cs="David" w:hint="cs"/>
          <w:rtl/>
        </w:rPr>
        <w:t xml:space="preserve"> </w:t>
      </w:r>
      <w:r w:rsidR="00C16194">
        <w:rPr>
          <w:rFonts w:ascii="David" w:hAnsi="David" w:cs="David" w:hint="cs"/>
          <w:rtl/>
        </w:rPr>
        <w:t xml:space="preserve">בכתב התביעה אבשלום ציין כי ״נמאס לו מהריבים עם עדנה״, </w:t>
      </w:r>
      <w:r w:rsidR="009260DB">
        <w:rPr>
          <w:rFonts w:ascii="David" w:hAnsi="David" w:cs="David" w:hint="cs"/>
          <w:rtl/>
        </w:rPr>
        <w:t xml:space="preserve">אין בטיעון זה כדי להוות עילת </w:t>
      </w:r>
      <w:r w:rsidR="00075FDB">
        <w:rPr>
          <w:rFonts w:ascii="David" w:hAnsi="David" w:cs="David" w:hint="cs"/>
          <w:rtl/>
        </w:rPr>
        <w:t xml:space="preserve">גירושין. </w:t>
      </w:r>
      <w:r w:rsidR="00447943" w:rsidRPr="002F11F8">
        <w:rPr>
          <w:rFonts w:ascii="David" w:hAnsi="David" w:cs="David" w:hint="cs"/>
          <w:u w:val="single"/>
          <w:rtl/>
        </w:rPr>
        <w:t>2)האם הכריכה התבצעה כדין?</w:t>
      </w:r>
      <w:r w:rsidR="00823B62">
        <w:rPr>
          <w:rFonts w:ascii="David" w:hAnsi="David" w:cs="David" w:hint="cs"/>
          <w:rtl/>
        </w:rPr>
        <w:t xml:space="preserve"> כריכת הרכוש לא הייתה </w:t>
      </w:r>
      <w:r w:rsidR="004D3018">
        <w:rPr>
          <w:rFonts w:ascii="David" w:hAnsi="David" w:cs="David" w:hint="cs"/>
          <w:rtl/>
        </w:rPr>
        <w:t>מפורטת (</w:t>
      </w:r>
      <w:r w:rsidR="00593706">
        <w:rPr>
          <w:rFonts w:ascii="David" w:hAnsi="David" w:cs="David" w:hint="cs"/>
          <w:rtl/>
        </w:rPr>
        <w:t>יפורט</w:t>
      </w:r>
      <w:r w:rsidR="00F17D10">
        <w:rPr>
          <w:rFonts w:ascii="David" w:hAnsi="David" w:cs="David" w:hint="cs"/>
          <w:rtl/>
        </w:rPr>
        <w:t xml:space="preserve"> </w:t>
      </w:r>
      <w:r w:rsidR="00094F32">
        <w:rPr>
          <w:rFonts w:ascii="David" w:hAnsi="David" w:cs="David" w:hint="cs"/>
          <w:rtl/>
        </w:rPr>
        <w:t>להלן</w:t>
      </w:r>
      <w:r w:rsidR="00F17D10">
        <w:rPr>
          <w:rFonts w:ascii="David" w:hAnsi="David" w:cs="David" w:hint="cs"/>
          <w:rtl/>
        </w:rPr>
        <w:t xml:space="preserve">) </w:t>
      </w:r>
      <w:r w:rsidR="00072B44">
        <w:rPr>
          <w:rFonts w:ascii="David" w:hAnsi="David" w:cs="David" w:hint="cs"/>
          <w:rtl/>
        </w:rPr>
        <w:t>ו</w:t>
      </w:r>
      <w:r w:rsidR="00F17D10">
        <w:rPr>
          <w:rFonts w:ascii="David" w:hAnsi="David" w:cs="David" w:hint="cs"/>
          <w:rtl/>
        </w:rPr>
        <w:t>לא ניתן לכרוך מזונות ילדים (</w:t>
      </w:r>
      <w:r w:rsidR="00593706">
        <w:rPr>
          <w:rFonts w:ascii="David" w:hAnsi="David" w:cs="David" w:hint="cs"/>
          <w:rtl/>
        </w:rPr>
        <w:t xml:space="preserve">יפורט </w:t>
      </w:r>
      <w:r w:rsidR="00094F32">
        <w:rPr>
          <w:rFonts w:ascii="David" w:hAnsi="David" w:cs="David" w:hint="cs"/>
          <w:rtl/>
        </w:rPr>
        <w:t>להלן</w:t>
      </w:r>
      <w:r w:rsidR="00F17D10">
        <w:rPr>
          <w:rFonts w:ascii="David" w:hAnsi="David" w:cs="David" w:hint="cs"/>
          <w:rtl/>
        </w:rPr>
        <w:t>)</w:t>
      </w:r>
      <w:r w:rsidR="00072B44">
        <w:rPr>
          <w:rFonts w:ascii="David" w:hAnsi="David" w:cs="David" w:hint="cs"/>
          <w:rtl/>
        </w:rPr>
        <w:t xml:space="preserve">. </w:t>
      </w:r>
      <w:r w:rsidR="0080541F">
        <w:rPr>
          <w:rFonts w:ascii="David" w:hAnsi="David" w:cs="David" w:hint="cs"/>
          <w:rtl/>
        </w:rPr>
        <w:t>כמו״כ, דרישת</w:t>
      </w:r>
      <w:r w:rsidR="00C509EC">
        <w:rPr>
          <w:rFonts w:ascii="David" w:hAnsi="David" w:cs="David" w:hint="cs"/>
          <w:rtl/>
        </w:rPr>
        <w:t xml:space="preserve"> אבשלום כי ביד״ר ידון ״בהכל״ </w:t>
      </w:r>
      <w:r w:rsidR="00493D62">
        <w:rPr>
          <w:rFonts w:ascii="David" w:hAnsi="David" w:cs="David" w:hint="cs"/>
          <w:rtl/>
        </w:rPr>
        <w:t xml:space="preserve">אינה </w:t>
      </w:r>
      <w:r w:rsidR="002C37EC">
        <w:rPr>
          <w:rFonts w:ascii="David" w:hAnsi="David" w:cs="David" w:hint="cs"/>
          <w:rtl/>
        </w:rPr>
        <w:t>מפורשת</w:t>
      </w:r>
      <w:r w:rsidR="00493D62">
        <w:rPr>
          <w:rFonts w:ascii="David" w:hAnsi="David" w:cs="David" w:hint="cs"/>
          <w:rtl/>
        </w:rPr>
        <w:t xml:space="preserve">. </w:t>
      </w:r>
      <w:r w:rsidR="00493D62" w:rsidRPr="00777F42">
        <w:rPr>
          <w:rFonts w:ascii="David" w:hAnsi="David" w:cs="David" w:hint="cs"/>
          <w:u w:val="single"/>
          <w:rtl/>
        </w:rPr>
        <w:t>3)האם הכריכה כנה?</w:t>
      </w:r>
      <w:r w:rsidR="00777F42">
        <w:rPr>
          <w:rFonts w:ascii="David" w:hAnsi="David" w:cs="David" w:hint="cs"/>
          <w:rtl/>
        </w:rPr>
        <w:t xml:space="preserve"> </w:t>
      </w:r>
      <w:r w:rsidR="00F32842">
        <w:rPr>
          <w:rFonts w:ascii="David" w:hAnsi="David" w:cs="David" w:hint="cs"/>
          <w:rtl/>
        </w:rPr>
        <w:t xml:space="preserve">אבשלום הגיש תביעה לחלוקת הדירה לביהמ״ש לענייני משפחה לאחר שכרך את עניין הרכוש, פיצול התביעות </w:t>
      </w:r>
      <w:r w:rsidR="002F3AB3">
        <w:rPr>
          <w:rFonts w:ascii="David" w:hAnsi="David" w:cs="David" w:hint="cs"/>
          <w:rtl/>
        </w:rPr>
        <w:t>פוגם בכנות</w:t>
      </w:r>
      <w:r w:rsidR="00E777A3">
        <w:rPr>
          <w:rFonts w:ascii="David" w:hAnsi="David" w:cs="David" w:hint="cs"/>
          <w:rtl/>
        </w:rPr>
        <w:t xml:space="preserve"> הכריכה</w:t>
      </w:r>
      <w:r w:rsidR="002F3AB3">
        <w:rPr>
          <w:rFonts w:ascii="David" w:hAnsi="David" w:cs="David" w:hint="cs"/>
          <w:rtl/>
        </w:rPr>
        <w:t xml:space="preserve"> </w:t>
      </w:r>
      <w:r w:rsidR="002F3AB3" w:rsidRPr="00F86C8E">
        <w:rPr>
          <w:rFonts w:ascii="David" w:hAnsi="David" w:cs="David" w:hint="cs"/>
          <w:b/>
          <w:bCs/>
          <w:rtl/>
        </w:rPr>
        <w:t>(תורג׳מן)</w:t>
      </w:r>
      <w:r w:rsidR="00754313">
        <w:rPr>
          <w:rFonts w:ascii="David" w:hAnsi="David" w:cs="David" w:hint="cs"/>
          <w:b/>
          <w:bCs/>
          <w:rtl/>
        </w:rPr>
        <w:t xml:space="preserve"> </w:t>
      </w:r>
      <w:r w:rsidR="00754313" w:rsidRPr="00FE34EA">
        <w:rPr>
          <w:rFonts w:ascii="David" w:hAnsi="David" w:cs="David" w:hint="cs"/>
          <w:rtl/>
        </w:rPr>
        <w:t>ומעיד על כך שכוונת</w:t>
      </w:r>
      <w:r w:rsidR="00A52F28">
        <w:rPr>
          <w:rFonts w:ascii="David" w:hAnsi="David" w:cs="David" w:hint="cs"/>
          <w:rtl/>
        </w:rPr>
        <w:t>ו</w:t>
      </w:r>
      <w:r w:rsidR="00C52FC0" w:rsidRPr="00FE34EA">
        <w:rPr>
          <w:rFonts w:ascii="David" w:hAnsi="David" w:cs="David" w:hint="cs"/>
          <w:rtl/>
        </w:rPr>
        <w:t xml:space="preserve"> </w:t>
      </w:r>
      <w:r w:rsidR="00754313" w:rsidRPr="00FE34EA">
        <w:rPr>
          <w:rFonts w:ascii="David" w:hAnsi="David" w:cs="David" w:hint="cs"/>
          <w:rtl/>
        </w:rPr>
        <w:t xml:space="preserve">אינה </w:t>
      </w:r>
      <w:r w:rsidR="00C52FC0" w:rsidRPr="00FE34EA">
        <w:rPr>
          <w:rFonts w:ascii="David" w:hAnsi="David" w:cs="David" w:hint="cs"/>
          <w:rtl/>
        </w:rPr>
        <w:t>ה</w:t>
      </w:r>
      <w:r w:rsidR="008B3ED4">
        <w:rPr>
          <w:rFonts w:ascii="David" w:hAnsi="David" w:cs="David" w:hint="cs"/>
          <w:rtl/>
        </w:rPr>
        <w:t>שגת ה</w:t>
      </w:r>
      <w:r w:rsidR="00754313" w:rsidRPr="00FE34EA">
        <w:rPr>
          <w:rFonts w:ascii="David" w:hAnsi="David" w:cs="David" w:hint="cs"/>
          <w:rtl/>
        </w:rPr>
        <w:t>יעילות</w:t>
      </w:r>
      <w:r w:rsidR="00C52FC0" w:rsidRPr="00FE34EA">
        <w:rPr>
          <w:rFonts w:ascii="David" w:hAnsi="David" w:cs="David" w:hint="cs"/>
          <w:rtl/>
        </w:rPr>
        <w:t xml:space="preserve"> שבדיון תחת ערכאה אחת</w:t>
      </w:r>
      <w:r w:rsidR="00E777A3" w:rsidRPr="00FE34EA">
        <w:rPr>
          <w:rFonts w:ascii="David" w:hAnsi="David" w:cs="David" w:hint="cs"/>
          <w:rtl/>
        </w:rPr>
        <w:t>.</w:t>
      </w:r>
      <w:r w:rsidR="0036135A">
        <w:rPr>
          <w:rFonts w:ascii="David" w:hAnsi="David" w:cs="David" w:hint="cs"/>
          <w:rtl/>
        </w:rPr>
        <w:t xml:space="preserve"> </w:t>
      </w:r>
      <w:r w:rsidR="009D448B" w:rsidRPr="00032958">
        <w:rPr>
          <w:rFonts w:ascii="David" w:hAnsi="David" w:cs="David" w:hint="cs"/>
          <w:b/>
          <w:bCs/>
          <w:rtl/>
        </w:rPr>
        <w:t>בבג״ץ 2862/14</w:t>
      </w:r>
      <w:r w:rsidR="009D448B">
        <w:rPr>
          <w:rFonts w:ascii="David" w:hAnsi="David" w:cs="David" w:hint="cs"/>
          <w:rtl/>
        </w:rPr>
        <w:t xml:space="preserve"> נקבע כי היעדר הפירוט אינו מעיד על חוסר תו״ל ברם, הנסיבות היו שונות שכן,</w:t>
      </w:r>
      <w:r w:rsidR="002711CB">
        <w:rPr>
          <w:rFonts w:ascii="David" w:hAnsi="David" w:cs="David" w:hint="cs"/>
          <w:rtl/>
        </w:rPr>
        <w:t xml:space="preserve"> שם</w:t>
      </w:r>
      <w:r w:rsidR="009D448B">
        <w:rPr>
          <w:rFonts w:ascii="David" w:hAnsi="David" w:cs="David" w:hint="cs"/>
          <w:rtl/>
        </w:rPr>
        <w:t xml:space="preserve"> היעדר הפירוט נבע מחוסר בקיאות ודלות מגיש התביעה</w:t>
      </w:r>
      <w:r w:rsidR="009C5846">
        <w:rPr>
          <w:rFonts w:ascii="David" w:hAnsi="David" w:cs="David" w:hint="cs"/>
          <w:rtl/>
        </w:rPr>
        <w:t xml:space="preserve"> אולם, מאחר</w:t>
      </w:r>
      <w:r w:rsidR="00013AAA">
        <w:rPr>
          <w:rFonts w:ascii="David" w:hAnsi="David" w:cs="David" w:hint="cs"/>
          <w:rtl/>
        </w:rPr>
        <w:t xml:space="preserve"> ואבשלום אינו בעל השכלה</w:t>
      </w:r>
      <w:r w:rsidR="002716D8">
        <w:rPr>
          <w:rFonts w:ascii="David" w:hAnsi="David" w:cs="David" w:hint="cs"/>
          <w:rtl/>
        </w:rPr>
        <w:t xml:space="preserve"> ניתן לראות דמיון בין הנסיבות</w:t>
      </w:r>
      <w:r w:rsidR="009D448B">
        <w:rPr>
          <w:rFonts w:ascii="David" w:hAnsi="David" w:cs="David" w:hint="cs"/>
          <w:rtl/>
        </w:rPr>
        <w:t>.</w:t>
      </w:r>
      <w:r w:rsidR="009D448B" w:rsidRPr="009D448B">
        <w:rPr>
          <w:rFonts w:ascii="David" w:hAnsi="David" w:cs="David" w:hint="cs"/>
          <w:rtl/>
        </w:rPr>
        <w:t xml:space="preserve"> </w:t>
      </w:r>
      <w:r w:rsidR="008941CE" w:rsidRPr="006F7B7D">
        <w:rPr>
          <w:rFonts w:ascii="David" w:hAnsi="David" w:cs="David" w:hint="cs"/>
          <w:rtl/>
        </w:rPr>
        <w:t>עדנה תטען כי צריך שהרכוש יפורט בדקדקנות</w:t>
      </w:r>
      <w:r w:rsidR="00A8429E">
        <w:rPr>
          <w:rFonts w:ascii="David" w:hAnsi="David" w:cs="David" w:hint="cs"/>
          <w:rtl/>
        </w:rPr>
        <w:t xml:space="preserve"> </w:t>
      </w:r>
      <w:r w:rsidR="008941CE" w:rsidRPr="00A8429E">
        <w:rPr>
          <w:rFonts w:ascii="David" w:hAnsi="David" w:cs="David" w:hint="cs"/>
          <w:b/>
          <w:bCs/>
          <w:rtl/>
        </w:rPr>
        <w:t>(בג"ץ 5747/03)</w:t>
      </w:r>
      <w:r w:rsidR="00A8429E">
        <w:rPr>
          <w:rFonts w:ascii="David" w:hAnsi="David" w:cs="David" w:hint="cs"/>
          <w:rtl/>
        </w:rPr>
        <w:t>.</w:t>
      </w:r>
      <w:r w:rsidR="008941CE">
        <w:rPr>
          <w:rFonts w:ascii="David" w:hAnsi="David" w:cs="David" w:hint="cs"/>
          <w:rtl/>
        </w:rPr>
        <w:t xml:space="preserve"> </w:t>
      </w:r>
      <w:r w:rsidR="009D448B">
        <w:rPr>
          <w:rFonts w:ascii="David" w:hAnsi="David" w:cs="David" w:hint="cs"/>
          <w:rtl/>
        </w:rPr>
        <w:t xml:space="preserve">במקרה דנן, </w:t>
      </w:r>
      <w:r w:rsidR="000557BB">
        <w:rPr>
          <w:rFonts w:ascii="David" w:hAnsi="David" w:cs="David" w:hint="cs"/>
          <w:rtl/>
        </w:rPr>
        <w:t>אבשלום ל</w:t>
      </w:r>
      <w:r w:rsidR="00123849">
        <w:rPr>
          <w:rFonts w:ascii="David" w:hAnsi="David" w:cs="David" w:hint="cs"/>
          <w:rtl/>
        </w:rPr>
        <w:t xml:space="preserve">א פירט </w:t>
      </w:r>
      <w:r w:rsidR="00AE4E32">
        <w:rPr>
          <w:rFonts w:ascii="David" w:hAnsi="David" w:cs="David" w:hint="cs"/>
          <w:rtl/>
        </w:rPr>
        <w:t xml:space="preserve">כלל על </w:t>
      </w:r>
      <w:r w:rsidR="00D1223F">
        <w:rPr>
          <w:rFonts w:ascii="David" w:hAnsi="David" w:cs="David" w:hint="cs"/>
          <w:rtl/>
        </w:rPr>
        <w:t>סכום המזונות</w:t>
      </w:r>
      <w:r w:rsidR="00563B2B">
        <w:rPr>
          <w:rFonts w:ascii="David" w:hAnsi="David" w:cs="David" w:hint="cs"/>
          <w:rtl/>
        </w:rPr>
        <w:t xml:space="preserve"> או </w:t>
      </w:r>
      <w:r w:rsidR="00AE4E32">
        <w:rPr>
          <w:rFonts w:ascii="David" w:hAnsi="David" w:cs="David" w:hint="cs"/>
          <w:rtl/>
        </w:rPr>
        <w:t>רכוש הצדדים</w:t>
      </w:r>
      <w:r w:rsidR="003902D8">
        <w:rPr>
          <w:rFonts w:ascii="David" w:hAnsi="David" w:cs="David" w:hint="cs"/>
          <w:rtl/>
        </w:rPr>
        <w:t xml:space="preserve"> בתביעה</w:t>
      </w:r>
      <w:r w:rsidR="008E015B">
        <w:rPr>
          <w:rFonts w:ascii="David" w:hAnsi="David" w:cs="David" w:hint="cs"/>
          <w:rtl/>
        </w:rPr>
        <w:t>-</w:t>
      </w:r>
      <w:r w:rsidR="00877059">
        <w:rPr>
          <w:rFonts w:ascii="David" w:hAnsi="David" w:cs="David" w:hint="cs"/>
          <w:rtl/>
        </w:rPr>
        <w:t xml:space="preserve"> </w:t>
      </w:r>
      <w:r w:rsidR="008E015B">
        <w:rPr>
          <w:rFonts w:ascii="David" w:hAnsi="David" w:cs="David" w:hint="cs"/>
          <w:rtl/>
        </w:rPr>
        <w:t>דירה משותפת, דירה בנתניה, שתי מכוניות, חשבון בנק משותף וכו׳-</w:t>
      </w:r>
      <w:r w:rsidR="00F86C8E">
        <w:rPr>
          <w:rFonts w:ascii="David" w:hAnsi="David" w:cs="David" w:hint="cs"/>
          <w:rtl/>
        </w:rPr>
        <w:t xml:space="preserve"> בעוד </w:t>
      </w:r>
      <w:r w:rsidR="002E3BA5">
        <w:rPr>
          <w:rFonts w:ascii="David" w:hAnsi="David" w:cs="David" w:hint="cs"/>
          <w:rtl/>
        </w:rPr>
        <w:t xml:space="preserve">בתביעתו לביהמ״ש לענייני משפחה תבע לחלוקת הדירה </w:t>
      </w:r>
      <w:r w:rsidR="00DB78C3">
        <w:rPr>
          <w:rFonts w:ascii="David" w:hAnsi="David" w:cs="David" w:hint="cs"/>
          <w:rtl/>
        </w:rPr>
        <w:t xml:space="preserve">באור יהודה </w:t>
      </w:r>
      <w:r w:rsidR="002E3BA5">
        <w:rPr>
          <w:rFonts w:ascii="David" w:hAnsi="David" w:cs="David" w:hint="cs"/>
          <w:rtl/>
        </w:rPr>
        <w:t>באופן ספציפי</w:t>
      </w:r>
      <w:r w:rsidR="004B7826">
        <w:rPr>
          <w:rFonts w:ascii="David" w:hAnsi="David" w:cs="David" w:hint="cs"/>
          <w:rtl/>
        </w:rPr>
        <w:t xml:space="preserve">. </w:t>
      </w:r>
      <w:r w:rsidR="00A86D10">
        <w:rPr>
          <w:rFonts w:ascii="David" w:hAnsi="David" w:cs="David" w:hint="cs"/>
          <w:rtl/>
        </w:rPr>
        <w:t>מנגד,</w:t>
      </w:r>
      <w:r w:rsidR="009E13DC">
        <w:rPr>
          <w:rFonts w:ascii="David" w:hAnsi="David" w:cs="David" w:hint="cs"/>
          <w:rtl/>
        </w:rPr>
        <w:t xml:space="preserve"> </w:t>
      </w:r>
      <w:r w:rsidR="00A86D10">
        <w:rPr>
          <w:rFonts w:ascii="David" w:hAnsi="David" w:cs="David" w:hint="cs"/>
          <w:rtl/>
        </w:rPr>
        <w:t xml:space="preserve">אבשלום עשוי לטעון כי </w:t>
      </w:r>
      <w:r w:rsidR="00D96180">
        <w:rPr>
          <w:rFonts w:ascii="David" w:hAnsi="David" w:cs="David" w:hint="cs"/>
          <w:rtl/>
        </w:rPr>
        <w:t>בכל הנוגע לדירה בנתניה,</w:t>
      </w:r>
      <w:r w:rsidR="00D96180" w:rsidRPr="00D96180">
        <w:rPr>
          <w:rFonts w:ascii="David" w:hAnsi="David" w:cs="David" w:hint="cs"/>
          <w:rtl/>
        </w:rPr>
        <w:t xml:space="preserve"> </w:t>
      </w:r>
      <w:r w:rsidR="00D96180">
        <w:rPr>
          <w:rFonts w:ascii="David" w:hAnsi="David" w:cs="David" w:hint="cs"/>
          <w:rtl/>
        </w:rPr>
        <w:t xml:space="preserve">אין לייחס לו היעדר כנות </w:t>
      </w:r>
      <w:r w:rsidR="00A2240B">
        <w:rPr>
          <w:rFonts w:ascii="David" w:hAnsi="David" w:cs="David" w:hint="cs"/>
          <w:rtl/>
        </w:rPr>
        <w:t>מאחר ו</w:t>
      </w:r>
      <w:r w:rsidR="00A86D10">
        <w:rPr>
          <w:rFonts w:ascii="David" w:hAnsi="David" w:cs="David" w:hint="cs"/>
          <w:rtl/>
        </w:rPr>
        <w:t xml:space="preserve">רכוש פרטי לא ייחשב לבר חלוקה לפי </w:t>
      </w:r>
      <w:r w:rsidR="00A86D10" w:rsidRPr="005B3449">
        <w:rPr>
          <w:rFonts w:ascii="David" w:hAnsi="David" w:cs="David" w:hint="cs"/>
          <w:b/>
          <w:bCs/>
          <w:rtl/>
        </w:rPr>
        <w:t>ס׳ 5(א)(1)</w:t>
      </w:r>
      <w:r w:rsidR="00A86D10">
        <w:rPr>
          <w:rFonts w:ascii="David" w:hAnsi="David" w:cs="David" w:hint="cs"/>
          <w:rtl/>
        </w:rPr>
        <w:t xml:space="preserve"> לחוק יחסי ממון</w:t>
      </w:r>
      <w:r w:rsidR="00A2240B">
        <w:rPr>
          <w:rFonts w:ascii="David" w:hAnsi="David" w:cs="David" w:hint="cs"/>
          <w:rtl/>
        </w:rPr>
        <w:t>.</w:t>
      </w:r>
      <w:r w:rsidR="00A86D10">
        <w:rPr>
          <w:rFonts w:ascii="David" w:hAnsi="David" w:cs="David" w:hint="cs"/>
          <w:rtl/>
        </w:rPr>
        <w:t xml:space="preserve"> </w:t>
      </w:r>
      <w:r w:rsidR="00B30E40">
        <w:rPr>
          <w:rFonts w:ascii="David" w:hAnsi="David" w:cs="David" w:hint="cs"/>
          <w:rtl/>
        </w:rPr>
        <w:t xml:space="preserve">אולם, </w:t>
      </w:r>
      <w:r w:rsidR="00FA5FF7">
        <w:rPr>
          <w:rFonts w:ascii="David" w:hAnsi="David" w:cs="David" w:hint="cs"/>
          <w:rtl/>
        </w:rPr>
        <w:t xml:space="preserve">חזקה זו ניתנת לסתירה, </w:t>
      </w:r>
      <w:r w:rsidR="00D70EF5">
        <w:rPr>
          <w:rFonts w:ascii="David" w:hAnsi="David" w:cs="David" w:hint="cs"/>
          <w:rtl/>
        </w:rPr>
        <w:t xml:space="preserve">שכן, </w:t>
      </w:r>
      <w:r w:rsidR="00B30E40">
        <w:rPr>
          <w:rFonts w:ascii="David" w:hAnsi="David" w:cs="David" w:hint="cs"/>
          <w:rtl/>
        </w:rPr>
        <w:t>אבשלום משכיר את הדירה</w:t>
      </w:r>
      <w:r w:rsidR="00DF3819">
        <w:rPr>
          <w:rFonts w:ascii="David" w:hAnsi="David" w:cs="David" w:hint="cs"/>
          <w:rtl/>
        </w:rPr>
        <w:t xml:space="preserve"> </w:t>
      </w:r>
      <w:r w:rsidR="006B4A13">
        <w:rPr>
          <w:rFonts w:ascii="David" w:hAnsi="David" w:cs="David" w:hint="cs"/>
          <w:rtl/>
        </w:rPr>
        <w:t>ולכן, במידה ודמי השכירות מופקדים לחשבון המשותף</w:t>
      </w:r>
      <w:r w:rsidR="00BD0C51">
        <w:rPr>
          <w:rFonts w:ascii="David" w:hAnsi="David" w:cs="David" w:hint="cs"/>
          <w:rtl/>
        </w:rPr>
        <w:t xml:space="preserve">, הרי </w:t>
      </w:r>
      <w:r w:rsidR="003B5BE7">
        <w:rPr>
          <w:rFonts w:ascii="David" w:hAnsi="David" w:cs="David" w:hint="cs"/>
          <w:rtl/>
        </w:rPr>
        <w:t xml:space="preserve">שהדבר מעיד על רצונו </w:t>
      </w:r>
      <w:r w:rsidR="005B3449">
        <w:rPr>
          <w:rFonts w:ascii="David" w:hAnsi="David" w:cs="David" w:hint="cs"/>
          <w:rtl/>
        </w:rPr>
        <w:t>לשיתוף</w:t>
      </w:r>
      <w:r w:rsidR="00E95E32">
        <w:rPr>
          <w:rFonts w:ascii="David" w:hAnsi="David" w:cs="David" w:hint="cs"/>
          <w:rtl/>
        </w:rPr>
        <w:t xml:space="preserve"> בעניין</w:t>
      </w:r>
      <w:r w:rsidR="00D70EF5">
        <w:rPr>
          <w:rFonts w:ascii="David" w:hAnsi="David" w:cs="David" w:hint="cs"/>
          <w:rtl/>
        </w:rPr>
        <w:t xml:space="preserve">. </w:t>
      </w:r>
      <w:r w:rsidR="00AC3883" w:rsidRPr="00CA3ABF">
        <w:rPr>
          <w:rFonts w:ascii="David" w:hAnsi="David" w:cs="David" w:hint="cs"/>
          <w:b/>
          <w:bCs/>
          <w:rtl/>
        </w:rPr>
        <w:t>מירוץ הסמכויות-</w:t>
      </w:r>
      <w:r w:rsidR="00AC3883">
        <w:rPr>
          <w:rFonts w:ascii="David" w:hAnsi="David" w:cs="David" w:hint="cs"/>
          <w:rtl/>
        </w:rPr>
        <w:t xml:space="preserve"> </w:t>
      </w:r>
      <w:r w:rsidR="00BD58E9">
        <w:rPr>
          <w:rFonts w:ascii="David" w:hAnsi="David" w:cs="David" w:hint="cs"/>
          <w:rtl/>
        </w:rPr>
        <w:t xml:space="preserve">לביהמ״ש ולביד״ר סמכות מקבילה לדון בנושאים לעיל. ביד״ר הכריע כי לו הסמכות לדון </w:t>
      </w:r>
      <w:r w:rsidR="001F1970">
        <w:rPr>
          <w:rFonts w:ascii="David" w:hAnsi="David" w:cs="David" w:hint="cs"/>
          <w:rtl/>
        </w:rPr>
        <w:t xml:space="preserve">בכל הנושאים שנכרכו ואף במזונות האישה. </w:t>
      </w:r>
      <w:r w:rsidR="001F1A26">
        <w:rPr>
          <w:rFonts w:ascii="David" w:hAnsi="David" w:cs="David" w:hint="cs"/>
          <w:rtl/>
        </w:rPr>
        <w:t xml:space="preserve">ערכאה תימנע מלדון </w:t>
      </w:r>
      <w:r w:rsidR="003C6421">
        <w:rPr>
          <w:rFonts w:ascii="David" w:hAnsi="David" w:cs="David" w:hint="cs"/>
          <w:rtl/>
        </w:rPr>
        <w:t xml:space="preserve">בשאלת הכריכה </w:t>
      </w:r>
      <w:r w:rsidR="00C93D37">
        <w:rPr>
          <w:rFonts w:ascii="David" w:hAnsi="David" w:cs="David" w:hint="cs"/>
          <w:rtl/>
        </w:rPr>
        <w:t xml:space="preserve">כאשר ערכאה אחרת כבר הכריעה בנושא, זאת לאור </w:t>
      </w:r>
      <w:r w:rsidR="00C93D37" w:rsidRPr="00C93D37">
        <w:rPr>
          <w:rFonts w:ascii="David" w:hAnsi="David" w:cs="David" w:hint="cs"/>
          <w:u w:val="single"/>
          <w:rtl/>
        </w:rPr>
        <w:t>עקרון הכיבוד ההדדי</w:t>
      </w:r>
      <w:r w:rsidR="00C93D37">
        <w:rPr>
          <w:rFonts w:ascii="David" w:hAnsi="David" w:cs="David" w:hint="cs"/>
          <w:rtl/>
        </w:rPr>
        <w:t xml:space="preserve"> </w:t>
      </w:r>
      <w:r w:rsidR="00C93D37" w:rsidRPr="0083746A">
        <w:rPr>
          <w:rFonts w:ascii="David" w:hAnsi="David" w:cs="David" w:hint="cs"/>
          <w:b/>
          <w:bCs/>
          <w:rtl/>
        </w:rPr>
        <w:t>(</w:t>
      </w:r>
      <w:r w:rsidR="0083746A" w:rsidRPr="0083746A">
        <w:rPr>
          <w:rFonts w:ascii="David" w:hAnsi="David" w:cs="David" w:hint="cs"/>
          <w:b/>
          <w:bCs/>
          <w:rtl/>
        </w:rPr>
        <w:t>בג״צ פייג-פלמן)</w:t>
      </w:r>
      <w:r w:rsidR="00C93D37" w:rsidRPr="0083746A">
        <w:rPr>
          <w:rFonts w:ascii="David" w:hAnsi="David" w:cs="David" w:hint="cs"/>
          <w:b/>
          <w:bCs/>
          <w:rtl/>
        </w:rPr>
        <w:t xml:space="preserve">. </w:t>
      </w:r>
      <w:r w:rsidR="0068369E" w:rsidRPr="0068369E">
        <w:rPr>
          <w:rFonts w:ascii="David" w:hAnsi="David" w:cs="David" w:hint="cs"/>
          <w:rtl/>
        </w:rPr>
        <w:t xml:space="preserve">לפיכך, יש לבחון האם מתקיים </w:t>
      </w:r>
      <w:r w:rsidR="0068369E" w:rsidRPr="0068369E">
        <w:rPr>
          <w:rFonts w:ascii="David" w:hAnsi="David" w:cs="David" w:hint="cs"/>
          <w:b/>
          <w:bCs/>
          <w:rtl/>
        </w:rPr>
        <w:t>טעם מיוחד-</w:t>
      </w:r>
      <w:r w:rsidR="0068369E">
        <w:rPr>
          <w:rFonts w:ascii="David" w:hAnsi="David" w:cs="David" w:hint="cs"/>
          <w:b/>
          <w:bCs/>
          <w:rtl/>
        </w:rPr>
        <w:t xml:space="preserve"> </w:t>
      </w:r>
      <w:r w:rsidR="009970AB">
        <w:rPr>
          <w:rFonts w:ascii="David" w:hAnsi="David" w:cs="David" w:hint="cs"/>
          <w:rtl/>
        </w:rPr>
        <w:t xml:space="preserve">במקרה דנן </w:t>
      </w:r>
      <w:r w:rsidR="00DF7DF5">
        <w:rPr>
          <w:rFonts w:ascii="David" w:hAnsi="David" w:cs="David" w:hint="cs"/>
          <w:rtl/>
        </w:rPr>
        <w:t xml:space="preserve">קיים </w:t>
      </w:r>
      <w:r w:rsidR="00DF7DF5" w:rsidRPr="00CE5EB6">
        <w:rPr>
          <w:rFonts w:ascii="David" w:hAnsi="David" w:cs="David" w:hint="cs"/>
          <w:u w:val="single"/>
          <w:rtl/>
        </w:rPr>
        <w:t>פגם חמור היורד לשורש הסמכות:</w:t>
      </w:r>
      <w:r w:rsidR="00DF7DF5">
        <w:rPr>
          <w:rFonts w:ascii="David" w:hAnsi="David" w:cs="David" w:hint="cs"/>
          <w:rtl/>
        </w:rPr>
        <w:t xml:space="preserve"> </w:t>
      </w:r>
      <w:r w:rsidR="001C2B80">
        <w:rPr>
          <w:rFonts w:ascii="David" w:hAnsi="David" w:cs="David" w:hint="cs"/>
          <w:rtl/>
        </w:rPr>
        <w:t>לא התקיים דיון מקדים</w:t>
      </w:r>
      <w:r w:rsidR="00D16FCB">
        <w:rPr>
          <w:rFonts w:ascii="David" w:hAnsi="David" w:cs="David" w:hint="cs"/>
          <w:rtl/>
        </w:rPr>
        <w:t xml:space="preserve"> ונפרד</w:t>
      </w:r>
      <w:r w:rsidR="001C2B80">
        <w:rPr>
          <w:rFonts w:ascii="David" w:hAnsi="David" w:cs="David" w:hint="cs"/>
          <w:rtl/>
        </w:rPr>
        <w:t xml:space="preserve"> לעניין תנאי הכריכה</w:t>
      </w:r>
      <w:r w:rsidR="00931B31">
        <w:rPr>
          <w:rFonts w:ascii="David" w:hAnsi="David" w:cs="David" w:hint="cs"/>
          <w:rtl/>
        </w:rPr>
        <w:t xml:space="preserve"> </w:t>
      </w:r>
      <w:r w:rsidR="00931B31" w:rsidRPr="000B1A29">
        <w:rPr>
          <w:rFonts w:ascii="David" w:hAnsi="David" w:cs="David" w:hint="cs"/>
          <w:b/>
          <w:bCs/>
          <w:rtl/>
        </w:rPr>
        <w:t>(</w:t>
      </w:r>
      <w:r w:rsidR="000B1A29" w:rsidRPr="000B1A29">
        <w:rPr>
          <w:rFonts w:ascii="David" w:hAnsi="David" w:cs="David" w:hint="cs"/>
          <w:b/>
          <w:bCs/>
          <w:rtl/>
        </w:rPr>
        <w:t>בג״ץ 2862/14</w:t>
      </w:r>
      <w:r w:rsidR="000B1A29">
        <w:rPr>
          <w:rFonts w:ascii="David" w:hAnsi="David" w:cs="David" w:hint="cs"/>
          <w:b/>
          <w:bCs/>
          <w:rtl/>
        </w:rPr>
        <w:t>)</w:t>
      </w:r>
      <w:r w:rsidR="00CE5EB6">
        <w:rPr>
          <w:rFonts w:ascii="David" w:hAnsi="David" w:cs="David" w:hint="cs"/>
          <w:rtl/>
        </w:rPr>
        <w:t>,</w:t>
      </w:r>
      <w:r w:rsidR="00CE5EB6" w:rsidRPr="00CE5EB6">
        <w:rPr>
          <w:rFonts w:ascii="David" w:hAnsi="David" w:cs="David" w:hint="cs"/>
          <w:rtl/>
        </w:rPr>
        <w:t xml:space="preserve"> </w:t>
      </w:r>
      <w:r w:rsidR="00CE5EB6">
        <w:rPr>
          <w:rFonts w:ascii="David" w:hAnsi="David" w:cs="David" w:hint="cs"/>
          <w:rtl/>
        </w:rPr>
        <w:t xml:space="preserve">ביד״ר לא נימק את קביעתו ואף </w:t>
      </w:r>
      <w:r w:rsidR="00742977">
        <w:rPr>
          <w:rFonts w:ascii="David" w:hAnsi="David" w:cs="David" w:hint="cs"/>
          <w:rtl/>
        </w:rPr>
        <w:t>כלל בסמכותו את עניין מזונות האישה אשר כלל לא נכרכו.</w:t>
      </w:r>
      <w:r w:rsidR="00CE5EB6">
        <w:rPr>
          <w:rFonts w:ascii="David" w:hAnsi="David" w:cs="David" w:hint="cs"/>
          <w:rtl/>
        </w:rPr>
        <w:t xml:space="preserve"> בנוסף,</w:t>
      </w:r>
      <w:r w:rsidR="001C2B80">
        <w:rPr>
          <w:rFonts w:ascii="David" w:hAnsi="David" w:cs="David" w:hint="cs"/>
          <w:rtl/>
        </w:rPr>
        <w:t xml:space="preserve"> אבשלום </w:t>
      </w:r>
      <w:r w:rsidR="00240837">
        <w:rPr>
          <w:rFonts w:ascii="David" w:hAnsi="David" w:cs="David" w:hint="cs"/>
          <w:rtl/>
        </w:rPr>
        <w:t xml:space="preserve">השמיע את טענותיו בעוד </w:t>
      </w:r>
      <w:r w:rsidR="00112E24">
        <w:rPr>
          <w:rFonts w:ascii="David" w:hAnsi="David" w:cs="David" w:hint="cs"/>
          <w:rtl/>
        </w:rPr>
        <w:t xml:space="preserve">שנשללה זכותה של עדנה </w:t>
      </w:r>
      <w:r w:rsidR="004446CD">
        <w:rPr>
          <w:rFonts w:ascii="David" w:hAnsi="David" w:cs="David" w:hint="cs"/>
          <w:rtl/>
        </w:rPr>
        <w:t xml:space="preserve">להשמיע את טענותיה </w:t>
      </w:r>
      <w:r w:rsidR="00240837">
        <w:rPr>
          <w:rFonts w:ascii="David" w:hAnsi="David" w:cs="David" w:hint="cs"/>
          <w:rtl/>
        </w:rPr>
        <w:t>בדבר היעדר סמכות ביד״ר</w:t>
      </w:r>
      <w:r w:rsidR="008058A5">
        <w:rPr>
          <w:rFonts w:ascii="David" w:hAnsi="David" w:cs="David" w:hint="cs"/>
          <w:rtl/>
        </w:rPr>
        <w:t xml:space="preserve">, מדובר בחריגה מכללי הצדק </w:t>
      </w:r>
      <w:r w:rsidR="00EA3FF7">
        <w:rPr>
          <w:rFonts w:ascii="David" w:hAnsi="David" w:cs="David" w:hint="cs"/>
          <w:rtl/>
        </w:rPr>
        <w:t>הטבעי</w:t>
      </w:r>
      <w:r w:rsidR="004446CD">
        <w:rPr>
          <w:rFonts w:ascii="David" w:hAnsi="David" w:cs="David" w:hint="cs"/>
          <w:rtl/>
        </w:rPr>
        <w:t>.</w:t>
      </w:r>
      <w:r w:rsidR="00240837">
        <w:rPr>
          <w:rFonts w:ascii="David" w:hAnsi="David" w:cs="David" w:hint="cs"/>
          <w:rtl/>
        </w:rPr>
        <w:t xml:space="preserve"> </w:t>
      </w:r>
      <w:r w:rsidR="007B64AB">
        <w:rPr>
          <w:rFonts w:ascii="David" w:hAnsi="David" w:cs="David" w:hint="cs"/>
          <w:rtl/>
        </w:rPr>
        <w:t xml:space="preserve">יתרה </w:t>
      </w:r>
      <w:r w:rsidR="007B64AB">
        <w:rPr>
          <w:rFonts w:ascii="David" w:hAnsi="David" w:cs="David" w:hint="cs"/>
          <w:rtl/>
        </w:rPr>
        <w:lastRenderedPageBreak/>
        <w:t xml:space="preserve">מכך, </w:t>
      </w:r>
      <w:r w:rsidR="007536D2">
        <w:rPr>
          <w:rFonts w:ascii="David" w:hAnsi="David" w:cs="David" w:hint="cs"/>
          <w:rtl/>
        </w:rPr>
        <w:t xml:space="preserve">מזונות הילדים נכרכו </w:t>
      </w:r>
      <w:r w:rsidR="005F5128">
        <w:rPr>
          <w:rFonts w:ascii="David" w:hAnsi="David" w:cs="David" w:hint="cs"/>
          <w:rtl/>
        </w:rPr>
        <w:t>כאשר אינם ניתנים לכריכה</w:t>
      </w:r>
      <w:r w:rsidR="00094F32">
        <w:rPr>
          <w:rFonts w:ascii="David" w:hAnsi="David" w:cs="David" w:hint="cs"/>
          <w:rtl/>
        </w:rPr>
        <w:t xml:space="preserve"> </w:t>
      </w:r>
      <w:r w:rsidR="005F5128">
        <w:rPr>
          <w:rFonts w:ascii="David" w:hAnsi="David" w:cs="David" w:hint="cs"/>
          <w:rtl/>
        </w:rPr>
        <w:t>(יפורט ל</w:t>
      </w:r>
      <w:r w:rsidR="00094F32">
        <w:rPr>
          <w:rFonts w:ascii="David" w:hAnsi="David" w:cs="David" w:hint="cs"/>
          <w:rtl/>
        </w:rPr>
        <w:t>הלן</w:t>
      </w:r>
      <w:r w:rsidR="005F5128">
        <w:rPr>
          <w:rFonts w:ascii="David" w:hAnsi="David" w:cs="David" w:hint="cs"/>
          <w:rtl/>
        </w:rPr>
        <w:t>).</w:t>
      </w:r>
      <w:r w:rsidR="00F62EA3">
        <w:rPr>
          <w:rFonts w:ascii="David" w:hAnsi="David" w:cs="David" w:hint="cs"/>
          <w:rtl/>
        </w:rPr>
        <w:t xml:space="preserve"> </w:t>
      </w:r>
      <w:r w:rsidR="00596A2B" w:rsidRPr="006F5BD6">
        <w:rPr>
          <w:rFonts w:ascii="David" w:hAnsi="David" w:cs="David" w:hint="cs"/>
          <w:b/>
          <w:bCs/>
          <w:rtl/>
        </w:rPr>
        <w:t xml:space="preserve">סמכות הדיון </w:t>
      </w:r>
      <w:r w:rsidR="006F06C4" w:rsidRPr="006F5BD6">
        <w:rPr>
          <w:rFonts w:ascii="David" w:hAnsi="David" w:cs="David" w:hint="cs"/>
          <w:b/>
          <w:bCs/>
          <w:rtl/>
        </w:rPr>
        <w:t>בנושאים השונים:</w:t>
      </w:r>
      <w:r w:rsidR="006F5BD6" w:rsidRPr="006F5BD6">
        <w:rPr>
          <w:rFonts w:ascii="David" w:hAnsi="David" w:cs="David" w:hint="cs"/>
          <w:rtl/>
        </w:rPr>
        <w:t xml:space="preserve"> </w:t>
      </w:r>
      <w:r w:rsidR="006F5BD6">
        <w:rPr>
          <w:rFonts w:ascii="David" w:hAnsi="David" w:cs="David" w:hint="cs"/>
          <w:u w:val="single"/>
          <w:rtl/>
        </w:rPr>
        <w:t>א)</w:t>
      </w:r>
      <w:r w:rsidR="007E28A6" w:rsidRPr="006F5BD6">
        <w:rPr>
          <w:rFonts w:ascii="David" w:hAnsi="David" w:cs="David" w:hint="cs"/>
          <w:u w:val="single"/>
          <w:rtl/>
        </w:rPr>
        <w:t>תביעת הגירושין</w:t>
      </w:r>
      <w:r w:rsidR="00A90F70" w:rsidRPr="006F5BD6">
        <w:rPr>
          <w:rFonts w:ascii="David" w:hAnsi="David" w:cs="David" w:hint="cs"/>
          <w:u w:val="single"/>
          <w:rtl/>
        </w:rPr>
        <w:t>-</w:t>
      </w:r>
      <w:r w:rsidR="007E28A6" w:rsidRPr="006F5BD6">
        <w:rPr>
          <w:rFonts w:ascii="David" w:hAnsi="David" w:cs="David" w:hint="cs"/>
          <w:rtl/>
        </w:rPr>
        <w:t xml:space="preserve"> </w:t>
      </w:r>
      <w:r w:rsidR="00CB4AD4" w:rsidRPr="006F5BD6">
        <w:rPr>
          <w:rFonts w:ascii="David" w:hAnsi="David" w:cs="David" w:hint="cs"/>
          <w:rtl/>
        </w:rPr>
        <w:t xml:space="preserve">לביד״ר יש סמכות ייחודית לדון בנושא לפי </w:t>
      </w:r>
      <w:r w:rsidR="00CB4AD4" w:rsidRPr="006F5BD6">
        <w:rPr>
          <w:rFonts w:ascii="David" w:hAnsi="David" w:cs="David" w:hint="cs"/>
          <w:b/>
          <w:bCs/>
          <w:rtl/>
        </w:rPr>
        <w:t>ס׳ 1</w:t>
      </w:r>
      <w:r w:rsidR="00CB4AD4" w:rsidRPr="006F5BD6">
        <w:rPr>
          <w:rFonts w:ascii="David" w:hAnsi="David" w:cs="David" w:hint="cs"/>
          <w:rtl/>
        </w:rPr>
        <w:t xml:space="preserve"> לחשבד״ר.</w:t>
      </w:r>
      <w:r w:rsidR="006F5BD6" w:rsidRPr="006F5BD6">
        <w:rPr>
          <w:rFonts w:ascii="David" w:hAnsi="David" w:cs="David" w:hint="cs"/>
          <w:rtl/>
        </w:rPr>
        <w:t xml:space="preserve"> </w:t>
      </w:r>
      <w:r w:rsidR="006F5BD6">
        <w:rPr>
          <w:rFonts w:ascii="David" w:hAnsi="David" w:cs="David" w:hint="cs"/>
          <w:u w:val="single"/>
          <w:rtl/>
        </w:rPr>
        <w:t>ב)</w:t>
      </w:r>
      <w:r w:rsidR="00070EE1" w:rsidRPr="006F5BD6">
        <w:rPr>
          <w:rFonts w:ascii="David" w:hAnsi="David" w:cs="David" w:hint="cs"/>
          <w:u w:val="single"/>
          <w:rtl/>
        </w:rPr>
        <w:t>משמורת</w:t>
      </w:r>
      <w:r w:rsidR="00CB4AD4" w:rsidRPr="006F5BD6">
        <w:rPr>
          <w:rFonts w:ascii="David" w:hAnsi="David" w:cs="David" w:hint="cs"/>
          <w:u w:val="single"/>
          <w:rtl/>
        </w:rPr>
        <w:t>-</w:t>
      </w:r>
      <w:r w:rsidR="00CB4AD4" w:rsidRPr="006F5BD6">
        <w:rPr>
          <w:rFonts w:ascii="David" w:hAnsi="David" w:cs="David" w:hint="cs"/>
          <w:rtl/>
        </w:rPr>
        <w:t xml:space="preserve"> </w:t>
      </w:r>
      <w:r w:rsidR="00070EE1" w:rsidRPr="006F5BD6">
        <w:rPr>
          <w:rFonts w:ascii="David" w:hAnsi="David" w:cs="David" w:hint="cs"/>
          <w:rtl/>
        </w:rPr>
        <w:t xml:space="preserve">עניין </w:t>
      </w:r>
      <w:r w:rsidR="00072A14" w:rsidRPr="006F5BD6">
        <w:rPr>
          <w:rFonts w:ascii="David" w:hAnsi="David" w:cs="David" w:hint="cs"/>
          <w:rtl/>
        </w:rPr>
        <w:t>הכרוך מעצם טיב וטיבו לתביעת הגירושין</w:t>
      </w:r>
      <w:r w:rsidR="008A7B3F" w:rsidRPr="006F5BD6">
        <w:rPr>
          <w:rFonts w:ascii="David" w:hAnsi="David" w:cs="David" w:hint="cs"/>
          <w:rtl/>
        </w:rPr>
        <w:t xml:space="preserve"> ולכן, לביד״ר סמכות לדון בו </w:t>
      </w:r>
      <w:r w:rsidR="008A7B3F" w:rsidRPr="006F5BD6">
        <w:rPr>
          <w:rFonts w:ascii="David" w:hAnsi="David" w:cs="David" w:hint="cs"/>
          <w:b/>
          <w:bCs/>
          <w:rtl/>
        </w:rPr>
        <w:t>(שרעבי)</w:t>
      </w:r>
      <w:r w:rsidR="008A7B3F" w:rsidRPr="006F5BD6">
        <w:rPr>
          <w:rFonts w:ascii="David" w:hAnsi="David" w:cs="David" w:hint="cs"/>
          <w:rtl/>
        </w:rPr>
        <w:t>.</w:t>
      </w:r>
      <w:r w:rsidR="00312DBF" w:rsidRPr="006F5BD6">
        <w:rPr>
          <w:rFonts w:ascii="David" w:hAnsi="David" w:cs="David" w:hint="cs"/>
          <w:rtl/>
        </w:rPr>
        <w:t xml:space="preserve"> יש לבחון רק </w:t>
      </w:r>
      <w:r w:rsidR="00C27132" w:rsidRPr="006F5BD6">
        <w:rPr>
          <w:rFonts w:ascii="David" w:hAnsi="David" w:cs="David" w:hint="cs"/>
          <w:rtl/>
        </w:rPr>
        <w:t>אם תביעת הגירושין היא כנה.</w:t>
      </w:r>
      <w:r w:rsidR="006F5BD6" w:rsidRPr="006F5BD6">
        <w:rPr>
          <w:rFonts w:ascii="David" w:hAnsi="David" w:cs="David" w:hint="cs"/>
          <w:rtl/>
        </w:rPr>
        <w:t xml:space="preserve"> </w:t>
      </w:r>
      <w:r w:rsidR="006F5BD6">
        <w:rPr>
          <w:rFonts w:ascii="David" w:hAnsi="David" w:cs="David" w:hint="cs"/>
          <w:u w:val="single"/>
          <w:rtl/>
        </w:rPr>
        <w:t>ג)</w:t>
      </w:r>
      <w:r w:rsidR="009B223A" w:rsidRPr="006F5BD6">
        <w:rPr>
          <w:rFonts w:ascii="David" w:hAnsi="David" w:cs="David" w:hint="cs"/>
          <w:u w:val="single"/>
          <w:rtl/>
        </w:rPr>
        <w:t>מזונות אישה-</w:t>
      </w:r>
      <w:r w:rsidR="009B223A" w:rsidRPr="006F5BD6">
        <w:rPr>
          <w:rFonts w:ascii="David" w:hAnsi="David" w:cs="David" w:hint="cs"/>
          <w:rtl/>
        </w:rPr>
        <w:t xml:space="preserve"> </w:t>
      </w:r>
      <w:r w:rsidR="00D50C4B" w:rsidRPr="006F5BD6">
        <w:rPr>
          <w:rFonts w:ascii="David" w:hAnsi="David" w:cs="David" w:hint="cs"/>
          <w:rtl/>
        </w:rPr>
        <w:t>נדרשת כריכה מפורשת, אבשלום לא כרך את הנושא בתביעת הגירושין ולכן, לביהמ״ש הסמכות לדון בעניין</w:t>
      </w:r>
      <w:r w:rsidR="00ED771D" w:rsidRPr="006F5BD6">
        <w:rPr>
          <w:rFonts w:ascii="David" w:hAnsi="David" w:cs="David" w:hint="cs"/>
          <w:rtl/>
        </w:rPr>
        <w:t xml:space="preserve"> לפי </w:t>
      </w:r>
      <w:r w:rsidR="00ED771D" w:rsidRPr="006F5BD6">
        <w:rPr>
          <w:rFonts w:ascii="David" w:hAnsi="David" w:cs="David" w:hint="cs"/>
          <w:b/>
          <w:bCs/>
          <w:rtl/>
        </w:rPr>
        <w:t>ס׳ 25(ב)</w:t>
      </w:r>
      <w:r w:rsidR="00ED771D" w:rsidRPr="006F5BD6">
        <w:rPr>
          <w:rFonts w:ascii="David" w:hAnsi="David" w:cs="David" w:hint="cs"/>
          <w:rtl/>
        </w:rPr>
        <w:t xml:space="preserve"> לחוק </w:t>
      </w:r>
      <w:r w:rsidR="003830F8" w:rsidRPr="006F5BD6">
        <w:rPr>
          <w:rFonts w:ascii="David" w:hAnsi="David" w:cs="David" w:hint="cs"/>
          <w:rtl/>
        </w:rPr>
        <w:t xml:space="preserve">בית המשפט לענייני משפחה. </w:t>
      </w:r>
      <w:r w:rsidR="004579B8">
        <w:rPr>
          <w:rFonts w:ascii="David" w:hAnsi="David" w:cs="David" w:hint="cs"/>
          <w:rtl/>
        </w:rPr>
        <w:t xml:space="preserve">מנגד, </w:t>
      </w:r>
      <w:r w:rsidR="003830F8" w:rsidRPr="006F5BD6">
        <w:rPr>
          <w:rFonts w:ascii="David" w:hAnsi="David" w:cs="David" w:hint="cs"/>
          <w:rtl/>
        </w:rPr>
        <w:t>אבשלום</w:t>
      </w:r>
      <w:r w:rsidR="004579B8">
        <w:rPr>
          <w:rFonts w:ascii="David" w:hAnsi="David" w:cs="David" w:hint="cs"/>
          <w:rtl/>
        </w:rPr>
        <w:t xml:space="preserve"> יטען </w:t>
      </w:r>
      <w:r w:rsidR="00070D71" w:rsidRPr="006F5BD6">
        <w:rPr>
          <w:rFonts w:ascii="David" w:hAnsi="David" w:cs="David" w:hint="cs"/>
          <w:rtl/>
        </w:rPr>
        <w:t>לחוסר סמכות ביהמ״ש מאחר ו</w:t>
      </w:r>
      <w:r w:rsidR="003830F8" w:rsidRPr="006F5BD6">
        <w:rPr>
          <w:rFonts w:ascii="David" w:hAnsi="David" w:cs="David" w:hint="cs"/>
          <w:rtl/>
        </w:rPr>
        <w:t>כ</w:t>
      </w:r>
      <w:r w:rsidR="00070D71" w:rsidRPr="006F5BD6">
        <w:rPr>
          <w:rFonts w:ascii="David" w:hAnsi="David" w:cs="David" w:hint="cs"/>
          <w:rtl/>
        </w:rPr>
        <w:t xml:space="preserve">רך את ״הכל״, אך </w:t>
      </w:r>
      <w:r w:rsidR="004A631B" w:rsidRPr="006F5BD6">
        <w:rPr>
          <w:rFonts w:ascii="David" w:hAnsi="David" w:cs="David" w:hint="cs"/>
          <w:rtl/>
        </w:rPr>
        <w:t>כפי שהובהר לעיל,</w:t>
      </w:r>
      <w:r w:rsidR="00093356" w:rsidRPr="006F5BD6">
        <w:rPr>
          <w:rFonts w:ascii="David" w:hAnsi="David" w:cs="David" w:hint="cs"/>
          <w:rtl/>
        </w:rPr>
        <w:t xml:space="preserve"> </w:t>
      </w:r>
      <w:r w:rsidR="00644775" w:rsidRPr="006F5BD6">
        <w:rPr>
          <w:rFonts w:ascii="David" w:hAnsi="David" w:cs="David" w:hint="cs"/>
          <w:rtl/>
        </w:rPr>
        <w:t>על הכריכה להיות מפורשת ו</w:t>
      </w:r>
      <w:r w:rsidR="00A919D2" w:rsidRPr="006F5BD6">
        <w:rPr>
          <w:rFonts w:ascii="David" w:hAnsi="David" w:cs="David" w:hint="cs"/>
          <w:rtl/>
        </w:rPr>
        <w:t xml:space="preserve">הנסיבות אשר התקיימו </w:t>
      </w:r>
      <w:r w:rsidR="00A919D2" w:rsidRPr="006F5BD6">
        <w:rPr>
          <w:rFonts w:ascii="David" w:hAnsi="David" w:cs="David" w:hint="cs"/>
          <w:b/>
          <w:bCs/>
          <w:rtl/>
        </w:rPr>
        <w:t xml:space="preserve">בבג״ץ 2862/14 </w:t>
      </w:r>
      <w:r w:rsidR="00A919D2" w:rsidRPr="006F5BD6">
        <w:rPr>
          <w:rFonts w:ascii="David" w:hAnsi="David" w:cs="David" w:hint="cs"/>
          <w:rtl/>
        </w:rPr>
        <w:t>אינן מתקיימות כעת</w:t>
      </w:r>
      <w:r w:rsidR="009F0089" w:rsidRPr="006F5BD6">
        <w:rPr>
          <w:rFonts w:ascii="David" w:hAnsi="David" w:cs="David" w:hint="cs"/>
          <w:rtl/>
        </w:rPr>
        <w:t xml:space="preserve">. </w:t>
      </w:r>
      <w:r w:rsidR="0034271C" w:rsidRPr="006F5BD6">
        <w:rPr>
          <w:rFonts w:ascii="David" w:hAnsi="David" w:cs="David" w:hint="cs"/>
          <w:rtl/>
        </w:rPr>
        <w:t>בנוסף</w:t>
      </w:r>
      <w:r w:rsidR="00EB51DE" w:rsidRPr="006F5BD6">
        <w:rPr>
          <w:rFonts w:ascii="David" w:hAnsi="David" w:cs="David" w:hint="cs"/>
          <w:rtl/>
        </w:rPr>
        <w:t xml:space="preserve">, </w:t>
      </w:r>
      <w:r w:rsidR="00912636" w:rsidRPr="006F5BD6">
        <w:rPr>
          <w:rFonts w:ascii="David" w:hAnsi="David" w:cs="David" w:hint="cs"/>
          <w:rtl/>
        </w:rPr>
        <w:t>אבשלום</w:t>
      </w:r>
      <w:r w:rsidR="00EB51DE" w:rsidRPr="006F5BD6">
        <w:rPr>
          <w:rFonts w:ascii="David" w:hAnsi="David" w:cs="David" w:hint="cs"/>
          <w:rtl/>
        </w:rPr>
        <w:t xml:space="preserve"> אף לא </w:t>
      </w:r>
      <w:r w:rsidR="00BE0BB6" w:rsidRPr="006F5BD6">
        <w:rPr>
          <w:rFonts w:ascii="David" w:hAnsi="David" w:cs="David" w:hint="cs"/>
          <w:rtl/>
        </w:rPr>
        <w:t>נקב סכום כלשהו שאותו הוא מוכן לשלם לעדנה</w:t>
      </w:r>
      <w:r w:rsidR="00D50A63" w:rsidRPr="006F5BD6">
        <w:rPr>
          <w:rFonts w:ascii="David" w:hAnsi="David" w:cs="David" w:hint="cs"/>
          <w:rtl/>
        </w:rPr>
        <w:t>.</w:t>
      </w:r>
      <w:r w:rsidR="00C07752" w:rsidRPr="006F5BD6">
        <w:rPr>
          <w:rFonts w:ascii="David" w:hAnsi="David" w:cs="David" w:hint="cs"/>
          <w:rtl/>
        </w:rPr>
        <w:t xml:space="preserve"> נראה כי </w:t>
      </w:r>
      <w:r w:rsidR="00912636" w:rsidRPr="006F5BD6">
        <w:rPr>
          <w:rFonts w:ascii="David" w:hAnsi="David" w:cs="David" w:hint="cs"/>
          <w:rtl/>
        </w:rPr>
        <w:t xml:space="preserve">בקשתו מובאת על דרך סתם </w:t>
      </w:r>
      <w:r w:rsidR="00F47057" w:rsidRPr="006F5BD6">
        <w:rPr>
          <w:rFonts w:ascii="David" w:hAnsi="David" w:cs="David" w:hint="cs"/>
          <w:rtl/>
        </w:rPr>
        <w:t>ו</w:t>
      </w:r>
      <w:r w:rsidR="00C07752" w:rsidRPr="006F5BD6">
        <w:rPr>
          <w:rFonts w:ascii="David" w:hAnsi="David" w:cs="David" w:hint="cs"/>
          <w:rtl/>
        </w:rPr>
        <w:t>מטרתו הינה לשלול מעדנה בחירת מקום ש</w:t>
      </w:r>
      <w:r w:rsidR="00B63508" w:rsidRPr="006F5BD6">
        <w:rPr>
          <w:rFonts w:ascii="David" w:hAnsi="David" w:cs="David" w:hint="cs"/>
          <w:rtl/>
        </w:rPr>
        <w:t>יפ</w:t>
      </w:r>
      <w:r w:rsidR="00C07752" w:rsidRPr="006F5BD6">
        <w:rPr>
          <w:rFonts w:ascii="David" w:hAnsi="David" w:cs="David" w:hint="cs"/>
          <w:rtl/>
        </w:rPr>
        <w:t>וט הרצוי לה</w:t>
      </w:r>
      <w:r w:rsidR="00A133C2" w:rsidRPr="006F5BD6">
        <w:rPr>
          <w:rFonts w:ascii="David" w:hAnsi="David" w:cs="David" w:hint="cs"/>
          <w:rtl/>
        </w:rPr>
        <w:t xml:space="preserve"> לפי </w:t>
      </w:r>
      <w:r w:rsidR="00A133C2" w:rsidRPr="006F5BD6">
        <w:rPr>
          <w:rFonts w:ascii="David" w:hAnsi="David" w:cs="David" w:hint="cs"/>
          <w:b/>
          <w:bCs/>
          <w:rtl/>
        </w:rPr>
        <w:t>ס׳ 4</w:t>
      </w:r>
      <w:r w:rsidR="00A133C2" w:rsidRPr="006F5BD6">
        <w:rPr>
          <w:rFonts w:ascii="David" w:hAnsi="David" w:cs="David" w:hint="cs"/>
          <w:rtl/>
        </w:rPr>
        <w:t xml:space="preserve"> </w:t>
      </w:r>
      <w:r w:rsidR="002B7600" w:rsidRPr="006F5BD6">
        <w:rPr>
          <w:rFonts w:ascii="David" w:hAnsi="David" w:cs="David" w:hint="cs"/>
          <w:rtl/>
        </w:rPr>
        <w:t>לחשבד״ר</w:t>
      </w:r>
      <w:r w:rsidR="00B63508" w:rsidRPr="006F5BD6">
        <w:rPr>
          <w:rFonts w:ascii="David" w:hAnsi="David" w:cs="David" w:hint="cs"/>
          <w:rtl/>
        </w:rPr>
        <w:t xml:space="preserve"> </w:t>
      </w:r>
      <w:r w:rsidR="00B63508" w:rsidRPr="006F5BD6">
        <w:rPr>
          <w:rFonts w:ascii="David" w:hAnsi="David" w:cs="David" w:hint="cs"/>
          <w:b/>
          <w:bCs/>
          <w:rtl/>
        </w:rPr>
        <w:t>(שרגאי)</w:t>
      </w:r>
      <w:r w:rsidR="00D50A63" w:rsidRPr="006F5BD6">
        <w:rPr>
          <w:rFonts w:ascii="David" w:hAnsi="David" w:cs="David" w:hint="cs"/>
          <w:rtl/>
        </w:rPr>
        <w:t xml:space="preserve"> לפיכך, </w:t>
      </w:r>
      <w:r w:rsidR="00A023EA" w:rsidRPr="006F5BD6">
        <w:rPr>
          <w:rFonts w:ascii="David" w:hAnsi="David" w:cs="David" w:hint="cs"/>
          <w:rtl/>
        </w:rPr>
        <w:t>הסמכות נתונה לביהמ״ש</w:t>
      </w:r>
      <w:r w:rsidR="009F0089" w:rsidRPr="006F5BD6">
        <w:rPr>
          <w:rFonts w:ascii="David" w:hAnsi="David" w:cs="David" w:hint="cs"/>
          <w:rtl/>
        </w:rPr>
        <w:t xml:space="preserve">. </w:t>
      </w:r>
      <w:r w:rsidR="006F5BD6">
        <w:rPr>
          <w:rFonts w:ascii="David" w:hAnsi="David" w:cs="David" w:hint="cs"/>
          <w:u w:val="single"/>
          <w:rtl/>
        </w:rPr>
        <w:t>ד)</w:t>
      </w:r>
      <w:r w:rsidR="00D0105A" w:rsidRPr="006F5BD6">
        <w:rPr>
          <w:rFonts w:ascii="David" w:hAnsi="David" w:cs="David" w:hint="cs"/>
          <w:u w:val="single"/>
          <w:rtl/>
        </w:rPr>
        <w:t>מזונות ילדים-</w:t>
      </w:r>
      <w:r w:rsidR="00D0105A" w:rsidRPr="006F5BD6">
        <w:rPr>
          <w:rFonts w:ascii="David" w:hAnsi="David" w:cs="David" w:hint="cs"/>
          <w:rtl/>
        </w:rPr>
        <w:t xml:space="preserve"> </w:t>
      </w:r>
      <w:r w:rsidR="0089138C" w:rsidRPr="006F5BD6">
        <w:rPr>
          <w:rFonts w:ascii="David" w:hAnsi="David" w:cs="David" w:hint="cs"/>
          <w:rtl/>
        </w:rPr>
        <w:t xml:space="preserve">הלכת </w:t>
      </w:r>
      <w:r w:rsidR="0089138C" w:rsidRPr="006F5BD6">
        <w:rPr>
          <w:rFonts w:ascii="David" w:hAnsi="David" w:cs="David" w:hint="cs"/>
          <w:b/>
          <w:bCs/>
          <w:rtl/>
        </w:rPr>
        <w:t>שרגאי</w:t>
      </w:r>
      <w:r w:rsidR="0089138C" w:rsidRPr="006F5BD6">
        <w:rPr>
          <w:rFonts w:ascii="David" w:hAnsi="David" w:cs="David" w:hint="cs"/>
          <w:rtl/>
        </w:rPr>
        <w:t xml:space="preserve"> קובעת </w:t>
      </w:r>
      <w:r w:rsidR="00573A1B" w:rsidRPr="006F5BD6">
        <w:rPr>
          <w:rFonts w:ascii="David" w:hAnsi="David" w:cs="David" w:hint="cs"/>
          <w:rtl/>
        </w:rPr>
        <w:t xml:space="preserve">כי לא ניתן לכרוך מזונות ילדים, אלא בהסכמת הצדדים לפי </w:t>
      </w:r>
      <w:r w:rsidR="00573A1B" w:rsidRPr="006F5BD6">
        <w:rPr>
          <w:rFonts w:ascii="David" w:hAnsi="David" w:cs="David" w:hint="cs"/>
          <w:b/>
          <w:bCs/>
          <w:rtl/>
        </w:rPr>
        <w:t>ס׳ 9 ל</w:t>
      </w:r>
      <w:r w:rsidR="006475D0" w:rsidRPr="006F5BD6">
        <w:rPr>
          <w:rFonts w:ascii="David" w:hAnsi="David" w:cs="David" w:hint="cs"/>
          <w:b/>
          <w:bCs/>
          <w:rtl/>
        </w:rPr>
        <w:t>חשבד״ר</w:t>
      </w:r>
      <w:r w:rsidR="006475D0" w:rsidRPr="006F5BD6">
        <w:rPr>
          <w:rFonts w:ascii="David" w:hAnsi="David" w:cs="David" w:hint="cs"/>
          <w:rtl/>
        </w:rPr>
        <w:t xml:space="preserve">. לכל היותר, רשאי ההורה לבקש תביעה להשבת הוצאות ממי שמחויב לזון את הילד. </w:t>
      </w:r>
      <w:r w:rsidR="003208AD" w:rsidRPr="006F5BD6">
        <w:rPr>
          <w:rFonts w:ascii="David" w:hAnsi="David" w:cs="David" w:hint="cs"/>
          <w:rtl/>
        </w:rPr>
        <w:t xml:space="preserve">עדנה הביעה התנגדות מפורשת </w:t>
      </w:r>
      <w:r w:rsidR="00F34F60" w:rsidRPr="006F5BD6">
        <w:rPr>
          <w:rFonts w:ascii="David" w:hAnsi="David" w:cs="David" w:hint="cs"/>
          <w:rtl/>
        </w:rPr>
        <w:t>בביד״ר</w:t>
      </w:r>
      <w:r w:rsidR="000F2897" w:rsidRPr="006F5BD6">
        <w:rPr>
          <w:rFonts w:ascii="David" w:hAnsi="David" w:cs="David" w:hint="cs"/>
          <w:rtl/>
        </w:rPr>
        <w:t xml:space="preserve"> לכן ס׳ 9 לא מתקיים</w:t>
      </w:r>
      <w:r w:rsidR="005923F6" w:rsidRPr="006F5BD6">
        <w:rPr>
          <w:rFonts w:ascii="David" w:hAnsi="David" w:cs="David" w:hint="cs"/>
          <w:rtl/>
        </w:rPr>
        <w:t xml:space="preserve">. </w:t>
      </w:r>
      <w:r w:rsidR="001D4E81" w:rsidRPr="006F5BD6">
        <w:rPr>
          <w:rFonts w:ascii="David" w:hAnsi="David" w:cs="David" w:hint="cs"/>
          <w:rtl/>
        </w:rPr>
        <w:t xml:space="preserve">עם זאת, אבשלום יכול לטעון לדעת המיעוט מפי השופט הנדל אשר סבר כי ניתן לכרוך מזונות ילדים </w:t>
      </w:r>
      <w:r w:rsidR="005D5F33" w:rsidRPr="006F5BD6">
        <w:rPr>
          <w:rFonts w:ascii="David" w:hAnsi="David" w:cs="David" w:hint="cs"/>
          <w:b/>
          <w:bCs/>
          <w:rtl/>
        </w:rPr>
        <w:t>(</w:t>
      </w:r>
      <w:r w:rsidR="00842E78" w:rsidRPr="006F5BD6">
        <w:rPr>
          <w:rFonts w:ascii="David" w:hAnsi="David" w:cs="David" w:hint="cs"/>
          <w:b/>
          <w:bCs/>
          <w:rtl/>
        </w:rPr>
        <w:t xml:space="preserve">בע״מ </w:t>
      </w:r>
      <w:r w:rsidR="005D5F33" w:rsidRPr="006F5BD6">
        <w:rPr>
          <w:rFonts w:ascii="David" w:hAnsi="David" w:cs="David" w:hint="cs"/>
          <w:b/>
          <w:bCs/>
          <w:rtl/>
        </w:rPr>
        <w:t>7628</w:t>
      </w:r>
      <w:r w:rsidR="004B39AF" w:rsidRPr="006F5BD6">
        <w:rPr>
          <w:rFonts w:ascii="David" w:hAnsi="David" w:cs="David" w:hint="cs"/>
          <w:b/>
          <w:bCs/>
          <w:rtl/>
        </w:rPr>
        <w:t>/17</w:t>
      </w:r>
      <w:r w:rsidR="00842E78" w:rsidRPr="006F5BD6">
        <w:rPr>
          <w:rFonts w:ascii="David" w:hAnsi="David" w:cs="David" w:hint="cs"/>
          <w:b/>
          <w:bCs/>
          <w:rtl/>
        </w:rPr>
        <w:t>)</w:t>
      </w:r>
      <w:r w:rsidR="00842E78" w:rsidRPr="006F5BD6">
        <w:rPr>
          <w:rFonts w:ascii="David" w:hAnsi="David" w:cs="David" w:hint="cs"/>
          <w:rtl/>
        </w:rPr>
        <w:t>.</w:t>
      </w:r>
      <w:r w:rsidR="006F5BD6" w:rsidRPr="006F5BD6">
        <w:rPr>
          <w:rFonts w:ascii="David" w:hAnsi="David" w:cs="David" w:hint="cs"/>
          <w:rtl/>
        </w:rPr>
        <w:t xml:space="preserve"> </w:t>
      </w:r>
      <w:r w:rsidR="006F5BD6">
        <w:rPr>
          <w:rFonts w:ascii="David" w:hAnsi="David" w:cs="David" w:hint="cs"/>
          <w:u w:val="single"/>
          <w:rtl/>
        </w:rPr>
        <w:t>ה)</w:t>
      </w:r>
      <w:r w:rsidR="003F2F0B" w:rsidRPr="006F5BD6">
        <w:rPr>
          <w:rFonts w:ascii="David" w:hAnsi="David" w:cs="David" w:hint="cs"/>
          <w:u w:val="single"/>
          <w:rtl/>
        </w:rPr>
        <w:t>רכוש-</w:t>
      </w:r>
      <w:r w:rsidR="00587C5B" w:rsidRPr="006F5BD6">
        <w:rPr>
          <w:rFonts w:ascii="David" w:hAnsi="David" w:cs="David" w:hint="cs"/>
          <w:rtl/>
        </w:rPr>
        <w:t xml:space="preserve"> </w:t>
      </w:r>
      <w:r w:rsidR="009E7051" w:rsidRPr="006F5BD6">
        <w:rPr>
          <w:rFonts w:ascii="David" w:hAnsi="David" w:cs="David" w:hint="cs"/>
          <w:rtl/>
        </w:rPr>
        <w:t xml:space="preserve">לפי </w:t>
      </w:r>
      <w:r w:rsidR="009E7051" w:rsidRPr="006F5BD6">
        <w:rPr>
          <w:rFonts w:ascii="David" w:hAnsi="David" w:cs="David" w:hint="cs"/>
          <w:b/>
          <w:bCs/>
          <w:rtl/>
        </w:rPr>
        <w:t>גולדמן</w:t>
      </w:r>
      <w:r w:rsidR="009E7051" w:rsidRPr="006F5BD6">
        <w:rPr>
          <w:rFonts w:ascii="David" w:hAnsi="David" w:cs="David" w:hint="cs"/>
          <w:rtl/>
        </w:rPr>
        <w:t xml:space="preserve">, ניתן </w:t>
      </w:r>
      <w:r w:rsidR="003D0C5C" w:rsidRPr="006F5BD6">
        <w:rPr>
          <w:rFonts w:ascii="David" w:hAnsi="David" w:cs="David" w:hint="cs"/>
          <w:rtl/>
        </w:rPr>
        <w:t xml:space="preserve">לכרוך עניין </w:t>
      </w:r>
      <w:r w:rsidR="00BB02BE" w:rsidRPr="006F5BD6">
        <w:rPr>
          <w:rFonts w:ascii="David" w:hAnsi="David" w:cs="David" w:hint="cs"/>
          <w:rtl/>
        </w:rPr>
        <w:t xml:space="preserve">הדרוש לחיסול יעיל </w:t>
      </w:r>
      <w:r w:rsidR="00F5670B" w:rsidRPr="006F5BD6">
        <w:rPr>
          <w:rFonts w:ascii="David" w:hAnsi="David" w:cs="David" w:hint="cs"/>
          <w:rtl/>
        </w:rPr>
        <w:t xml:space="preserve">של הקשר, גם אם אינו מעמד אישי. אולם, </w:t>
      </w:r>
      <w:r w:rsidR="00350B6E" w:rsidRPr="006F5BD6">
        <w:rPr>
          <w:rFonts w:ascii="David" w:hAnsi="David" w:cs="David" w:hint="cs"/>
          <w:rtl/>
        </w:rPr>
        <w:t xml:space="preserve">על הכריכה להיות </w:t>
      </w:r>
      <w:r w:rsidR="00350B6E" w:rsidRPr="006F5BD6">
        <w:rPr>
          <w:rFonts w:ascii="David" w:hAnsi="David" w:cs="David" w:hint="cs"/>
          <w:u w:val="single"/>
          <w:rtl/>
        </w:rPr>
        <w:t>מפורשת ואקטיבית</w:t>
      </w:r>
      <w:r w:rsidR="006E1EA3" w:rsidRPr="006F5BD6">
        <w:rPr>
          <w:rFonts w:ascii="David" w:hAnsi="David" w:cs="David" w:hint="cs"/>
          <w:rtl/>
        </w:rPr>
        <w:t>.</w:t>
      </w:r>
      <w:r w:rsidR="00D81A40" w:rsidRPr="006F5BD6">
        <w:rPr>
          <w:rFonts w:ascii="David" w:hAnsi="David" w:cs="David" w:hint="cs"/>
          <w:rtl/>
        </w:rPr>
        <w:t xml:space="preserve"> </w:t>
      </w:r>
      <w:r w:rsidR="006E1EA3" w:rsidRPr="006F5BD6">
        <w:rPr>
          <w:rFonts w:ascii="David" w:hAnsi="David" w:cs="David" w:hint="cs"/>
          <w:rtl/>
        </w:rPr>
        <w:t>אבשלו</w:t>
      </w:r>
      <w:r w:rsidR="00C56CD3" w:rsidRPr="006F5BD6">
        <w:rPr>
          <w:rFonts w:ascii="David" w:hAnsi="David" w:cs="David" w:hint="cs"/>
          <w:rtl/>
        </w:rPr>
        <w:t xml:space="preserve">ם פיצל את התביעות כאשר בתביעת </w:t>
      </w:r>
      <w:r w:rsidR="00C03FEC" w:rsidRPr="006F5BD6">
        <w:rPr>
          <w:rFonts w:ascii="David" w:hAnsi="David" w:cs="David" w:hint="cs"/>
          <w:rtl/>
        </w:rPr>
        <w:t>הגירושין</w:t>
      </w:r>
      <w:r w:rsidR="00C56CD3" w:rsidRPr="006F5BD6">
        <w:rPr>
          <w:rFonts w:ascii="David" w:hAnsi="David" w:cs="David" w:hint="cs"/>
          <w:rtl/>
        </w:rPr>
        <w:t xml:space="preserve"> לא פירט כלל על עניין הרכו</w:t>
      </w:r>
      <w:r w:rsidR="00C03FEC" w:rsidRPr="006F5BD6">
        <w:rPr>
          <w:rFonts w:ascii="David" w:hAnsi="David" w:cs="David" w:hint="cs"/>
          <w:rtl/>
        </w:rPr>
        <w:t xml:space="preserve">ש בעוד בתביעתו לביהמ״ש </w:t>
      </w:r>
      <w:r w:rsidR="00676195" w:rsidRPr="006F5BD6">
        <w:rPr>
          <w:rFonts w:ascii="David" w:hAnsi="David" w:cs="David" w:hint="cs"/>
          <w:rtl/>
        </w:rPr>
        <w:t>כן פירט</w:t>
      </w:r>
      <w:r w:rsidR="00397E19" w:rsidRPr="006F5BD6">
        <w:rPr>
          <w:rFonts w:ascii="David" w:hAnsi="David" w:cs="David" w:hint="cs"/>
          <w:rtl/>
        </w:rPr>
        <w:t xml:space="preserve"> (ראה דין לעיל)</w:t>
      </w:r>
      <w:r w:rsidR="00AF2C37" w:rsidRPr="006F5BD6">
        <w:rPr>
          <w:rFonts w:ascii="David" w:hAnsi="David" w:cs="David" w:hint="cs"/>
          <w:rtl/>
        </w:rPr>
        <w:t xml:space="preserve">. </w:t>
      </w:r>
      <w:r w:rsidR="00016294" w:rsidRPr="006F5BD6">
        <w:rPr>
          <w:rFonts w:ascii="David" w:hAnsi="David" w:cs="David" w:hint="cs"/>
          <w:rtl/>
        </w:rPr>
        <w:t>על כן, כריכתו אינה מפורשת ואקטיבית ואינה עומדת במבחן המשולש</w:t>
      </w:r>
      <w:r w:rsidR="001A3CEB" w:rsidRPr="006F5BD6">
        <w:rPr>
          <w:rFonts w:ascii="David" w:hAnsi="David" w:cs="David" w:hint="cs"/>
          <w:rtl/>
        </w:rPr>
        <w:t>.</w:t>
      </w:r>
      <w:r w:rsidR="00216730" w:rsidRPr="006F5BD6">
        <w:rPr>
          <w:rFonts w:ascii="David" w:hAnsi="David" w:cs="David" w:hint="cs"/>
          <w:rtl/>
        </w:rPr>
        <w:t xml:space="preserve"> </w:t>
      </w:r>
      <w:r w:rsidR="00054BB3" w:rsidRPr="006F5BD6">
        <w:rPr>
          <w:rFonts w:ascii="David" w:hAnsi="David" w:cs="David" w:hint="cs"/>
          <w:rtl/>
        </w:rPr>
        <w:t>הסמכות לדון בעניין נתונה לביהמ״ש</w:t>
      </w:r>
      <w:r w:rsidR="00216730" w:rsidRPr="006F5BD6">
        <w:rPr>
          <w:rFonts w:ascii="David" w:hAnsi="David" w:cs="David" w:hint="cs"/>
          <w:rtl/>
        </w:rPr>
        <w:t>.</w:t>
      </w:r>
      <w:r w:rsidR="006F5BD6" w:rsidRPr="006F5BD6">
        <w:rPr>
          <w:rFonts w:ascii="David" w:hAnsi="David" w:cs="David" w:hint="cs"/>
          <w:rtl/>
        </w:rPr>
        <w:t xml:space="preserve"> </w:t>
      </w:r>
      <w:r w:rsidR="006F5BD6">
        <w:rPr>
          <w:rFonts w:ascii="David" w:hAnsi="David" w:cs="David" w:hint="cs"/>
          <w:u w:val="single"/>
          <w:rtl/>
        </w:rPr>
        <w:t>ו)</w:t>
      </w:r>
      <w:r w:rsidR="001A3CEB" w:rsidRPr="006F5BD6">
        <w:rPr>
          <w:rFonts w:ascii="David" w:hAnsi="David" w:cs="David" w:hint="cs"/>
          <w:u w:val="single"/>
          <w:rtl/>
        </w:rPr>
        <w:t>חינוך הילדים-</w:t>
      </w:r>
      <w:r w:rsidR="001A3CEB" w:rsidRPr="006F5BD6">
        <w:rPr>
          <w:rFonts w:ascii="David" w:hAnsi="David" w:cs="David" w:hint="cs"/>
          <w:rtl/>
        </w:rPr>
        <w:t xml:space="preserve"> </w:t>
      </w:r>
      <w:r w:rsidR="00316EE4" w:rsidRPr="006F5BD6">
        <w:rPr>
          <w:rFonts w:ascii="David" w:hAnsi="David" w:cs="David" w:hint="cs"/>
          <w:rtl/>
        </w:rPr>
        <w:t xml:space="preserve">עניין המשמורת אינו מקנה סמכות גם לגבי חינוך הילדים ולכן, ניתן לתבוע </w:t>
      </w:r>
      <w:r w:rsidR="00246E6C" w:rsidRPr="006F5BD6">
        <w:rPr>
          <w:rFonts w:ascii="David" w:hAnsi="David" w:cs="David" w:hint="cs"/>
          <w:rtl/>
        </w:rPr>
        <w:t xml:space="preserve">עניין זה בביהמ״ש </w:t>
      </w:r>
      <w:r w:rsidR="00246E6C" w:rsidRPr="006F5BD6">
        <w:rPr>
          <w:rFonts w:ascii="David" w:hAnsi="David" w:cs="David" w:hint="cs"/>
          <w:b/>
          <w:bCs/>
          <w:rtl/>
        </w:rPr>
        <w:t>(פלורסהיים)</w:t>
      </w:r>
      <w:r w:rsidR="00CB0C41" w:rsidRPr="006F5BD6">
        <w:rPr>
          <w:rFonts w:ascii="David" w:hAnsi="David" w:cs="David" w:hint="cs"/>
          <w:rtl/>
        </w:rPr>
        <w:t xml:space="preserve">. </w:t>
      </w:r>
    </w:p>
    <w:p w14:paraId="6896F1B5" w14:textId="6BEA8144" w:rsidR="007F381D" w:rsidRPr="00120EB4" w:rsidRDefault="002A5647" w:rsidP="00120EB4">
      <w:pPr>
        <w:spacing w:after="120" w:line="360" w:lineRule="auto"/>
        <w:jc w:val="both"/>
        <w:rPr>
          <w:rFonts w:ascii="David" w:hAnsi="David" w:cs="David"/>
        </w:rPr>
      </w:pPr>
      <w:bookmarkStart w:id="0" w:name="_Hlk24632042"/>
      <w:r w:rsidRPr="002A5647">
        <w:rPr>
          <w:rFonts w:ascii="David" w:hAnsi="David" w:cs="David" w:hint="cs"/>
          <w:b/>
          <w:bCs/>
          <w:rtl/>
        </w:rPr>
        <w:t>ג)</w:t>
      </w:r>
      <w:r>
        <w:rPr>
          <w:rFonts w:ascii="David" w:hAnsi="David" w:cs="David" w:hint="cs"/>
          <w:rtl/>
        </w:rPr>
        <w:t xml:space="preserve"> </w:t>
      </w:r>
      <w:r w:rsidR="002F3763" w:rsidRPr="002F3763">
        <w:rPr>
          <w:rFonts w:ascii="David" w:hAnsi="David" w:cs="David"/>
          <w:rtl/>
        </w:rPr>
        <w:t xml:space="preserve">תביעת הגירושין הסתיימה ולכן, לביד״ר אין סמכות מקורית לדון בעניין לפי </w:t>
      </w:r>
      <w:r w:rsidR="002F3763" w:rsidRPr="002F3763">
        <w:rPr>
          <w:rFonts w:ascii="David" w:hAnsi="David" w:cs="David"/>
          <w:b/>
          <w:bCs/>
          <w:rtl/>
        </w:rPr>
        <w:t>ס׳ 3</w:t>
      </w:r>
      <w:r w:rsidR="002F3763" w:rsidRPr="002F3763">
        <w:rPr>
          <w:rFonts w:ascii="David" w:hAnsi="David" w:cs="David"/>
          <w:rtl/>
        </w:rPr>
        <w:t xml:space="preserve"> לחשבד״ר. כמו כן, עדנה התנגדה מפורשת לסמכות ביד״ר לדון בכלל הנושאים בהזדמנות הראשונה שהייתה לה </w:t>
      </w:r>
      <w:r w:rsidR="002F3763" w:rsidRPr="002F3763">
        <w:rPr>
          <w:rFonts w:ascii="David" w:hAnsi="David" w:cs="David"/>
          <w:b/>
          <w:bCs/>
          <w:rtl/>
        </w:rPr>
        <w:t>(בג״צ 787/14)</w:t>
      </w:r>
      <w:r w:rsidR="002F3763" w:rsidRPr="002F3763">
        <w:rPr>
          <w:rFonts w:ascii="David" w:hAnsi="David" w:cs="David"/>
          <w:rtl/>
        </w:rPr>
        <w:t xml:space="preserve">. לפיכך, אין סמכות גם מכוח הסכמת הצדדים בהתאם </w:t>
      </w:r>
      <w:r w:rsidR="002F3763" w:rsidRPr="002F3763">
        <w:rPr>
          <w:rFonts w:ascii="David" w:hAnsi="David" w:cs="David"/>
          <w:b/>
          <w:bCs/>
          <w:rtl/>
        </w:rPr>
        <w:t>לס׳ 9</w:t>
      </w:r>
      <w:r w:rsidR="002F3763" w:rsidRPr="002F3763">
        <w:rPr>
          <w:rFonts w:ascii="David" w:hAnsi="David" w:cs="David"/>
          <w:rtl/>
        </w:rPr>
        <w:t xml:space="preserve"> לחשבד״ר לדון בנושא משמורת ילדים ומזונות ילדים (ניתן להסכים עליו).</w:t>
      </w:r>
      <w:r w:rsidR="00F62EA3">
        <w:rPr>
          <w:rFonts w:ascii="David" w:hAnsi="David" w:cs="David" w:hint="cs"/>
          <w:rtl/>
        </w:rPr>
        <w:t xml:space="preserve"> </w:t>
      </w:r>
      <w:r w:rsidR="002F3763" w:rsidRPr="002F3763">
        <w:rPr>
          <w:rFonts w:ascii="David" w:hAnsi="David" w:cs="David"/>
          <w:b/>
          <w:bCs/>
          <w:rtl/>
        </w:rPr>
        <w:t>האם יש לביד״ר סמכות נמשכת לדון בהסכם שאושר על ידו?</w:t>
      </w:r>
      <w:r w:rsidR="002F3763" w:rsidRPr="002F3763">
        <w:rPr>
          <w:rFonts w:ascii="David" w:hAnsi="David" w:cs="David"/>
          <w:rtl/>
        </w:rPr>
        <w:t xml:space="preserve"> נבחן לפי תנאי הפסיקה 1</w:t>
      </w:r>
      <w:r w:rsidR="002F3763" w:rsidRPr="002F3763">
        <w:rPr>
          <w:rFonts w:ascii="David" w:hAnsi="David" w:cs="David"/>
          <w:u w:val="single"/>
          <w:rtl/>
        </w:rPr>
        <w:t>.קיומה של סמכות מקורית</w:t>
      </w:r>
      <w:r w:rsidR="002F3763" w:rsidRPr="002F3763">
        <w:rPr>
          <w:rFonts w:ascii="David" w:hAnsi="David" w:cs="David"/>
          <w:rtl/>
        </w:rPr>
        <w:t xml:space="preserve">- לא הייתה לביד״ר סמכות מקורית מתוקף </w:t>
      </w:r>
      <w:r w:rsidR="002F3763" w:rsidRPr="002F3763">
        <w:rPr>
          <w:rFonts w:ascii="David" w:hAnsi="David" w:cs="David"/>
          <w:b/>
          <w:bCs/>
          <w:rtl/>
        </w:rPr>
        <w:t>ס׳ 3(ט)</w:t>
      </w:r>
      <w:r w:rsidR="002F3763" w:rsidRPr="002F3763">
        <w:rPr>
          <w:rFonts w:ascii="David" w:hAnsi="David" w:cs="David"/>
          <w:rtl/>
        </w:rPr>
        <w:t xml:space="preserve"> לחוק שכן, הצדדים לא הגיעו להסדר בהליך ליישוב הסכסוך. בנוסף, עדנה הביעה התנגדות מפורשת בהזדמנות הראשונה שהייתה לה ולכן, לא הייתה סמכות מכוח הסכמת הצדדים. אבשלום </w:t>
      </w:r>
      <w:r w:rsidR="00312E1F">
        <w:rPr>
          <w:rFonts w:ascii="David" w:hAnsi="David" w:cs="David" w:hint="cs"/>
          <w:rtl/>
        </w:rPr>
        <w:t xml:space="preserve">יטען </w:t>
      </w:r>
      <w:r w:rsidR="002F3763" w:rsidRPr="002F3763">
        <w:rPr>
          <w:rFonts w:ascii="David" w:hAnsi="David" w:cs="David"/>
          <w:rtl/>
        </w:rPr>
        <w:t xml:space="preserve">כי </w:t>
      </w:r>
      <w:r w:rsidR="00312E1F">
        <w:rPr>
          <w:rFonts w:ascii="David" w:hAnsi="David" w:cs="David" w:hint="cs"/>
          <w:rtl/>
        </w:rPr>
        <w:t xml:space="preserve">עדנה הסכימה </w:t>
      </w:r>
      <w:r w:rsidR="002F3763" w:rsidRPr="002F3763">
        <w:rPr>
          <w:rFonts w:ascii="David" w:hAnsi="David" w:cs="David"/>
          <w:rtl/>
        </w:rPr>
        <w:t xml:space="preserve">לאור ההסכמות שהושגו בדיון והבאת ההסכם לאישור של ביד״ר </w:t>
      </w:r>
      <w:r w:rsidR="002F3763" w:rsidRPr="002F3763">
        <w:rPr>
          <w:rFonts w:ascii="David" w:hAnsi="David" w:cs="David"/>
          <w:b/>
          <w:bCs/>
          <w:rtl/>
        </w:rPr>
        <w:t>(עמרני)</w:t>
      </w:r>
      <w:r w:rsidR="002F3763" w:rsidRPr="002F3763">
        <w:rPr>
          <w:rFonts w:ascii="David" w:hAnsi="David" w:cs="David"/>
          <w:rtl/>
        </w:rPr>
        <w:t>. אולם, עדנה תשיב כי הסכמתה הייתה לאישור ההסכם ותו לא וכי על מנת להקנות סמכות לביד״ר בכל המחלוקות העתידיות, נדרשת הסכמה מפורשת של הצדדים אשר לא ניתנה</w:t>
      </w:r>
      <w:r w:rsidR="0035190F">
        <w:rPr>
          <w:rFonts w:ascii="David" w:hAnsi="David" w:cs="David" w:hint="cs"/>
          <w:rtl/>
        </w:rPr>
        <w:t xml:space="preserve"> </w:t>
      </w:r>
      <w:r w:rsidR="002F3763" w:rsidRPr="002F3763">
        <w:rPr>
          <w:rFonts w:ascii="David" w:hAnsi="David" w:cs="David"/>
          <w:b/>
          <w:bCs/>
          <w:rtl/>
        </w:rPr>
        <w:t>(</w:t>
      </w:r>
      <w:r w:rsidR="004203C8">
        <w:rPr>
          <w:rFonts w:ascii="David" w:hAnsi="David" w:cs="David" w:hint="cs"/>
          <w:b/>
          <w:bCs/>
          <w:rtl/>
        </w:rPr>
        <w:t xml:space="preserve">בג״ץ </w:t>
      </w:r>
      <w:r w:rsidR="002F3763" w:rsidRPr="002F3763">
        <w:rPr>
          <w:rFonts w:ascii="David" w:hAnsi="David" w:cs="David"/>
          <w:b/>
          <w:bCs/>
          <w:rtl/>
        </w:rPr>
        <w:t>ורבר)</w:t>
      </w:r>
      <w:r w:rsidR="002F3763" w:rsidRPr="002F3763">
        <w:rPr>
          <w:rFonts w:ascii="David" w:hAnsi="David" w:cs="David"/>
          <w:rtl/>
        </w:rPr>
        <w:t xml:space="preserve">. בנוסף, לאור העובדה שתביעת הגירושין לא כנה (דיון בסעיף ב׳), לא הייתה סמכות מקורית לדון בנושא המשמורת ומזונות </w:t>
      </w:r>
      <w:r w:rsidR="00F800AB">
        <w:rPr>
          <w:rFonts w:ascii="David" w:hAnsi="David" w:cs="David" w:hint="cs"/>
          <w:rtl/>
        </w:rPr>
        <w:t>ה</w:t>
      </w:r>
      <w:r w:rsidR="002F3763" w:rsidRPr="002F3763">
        <w:rPr>
          <w:rFonts w:ascii="David" w:hAnsi="David" w:cs="David"/>
          <w:rtl/>
        </w:rPr>
        <w:t>ילדים. 2</w:t>
      </w:r>
      <w:r w:rsidR="002F3763" w:rsidRPr="002F3763">
        <w:rPr>
          <w:rFonts w:ascii="David" w:hAnsi="David" w:cs="David"/>
          <w:u w:val="single"/>
          <w:rtl/>
        </w:rPr>
        <w:t>.ההליך הינו בעל אופי מתמשך</w:t>
      </w:r>
      <w:r w:rsidR="002F3763" w:rsidRPr="002F3763">
        <w:rPr>
          <w:rFonts w:ascii="David" w:hAnsi="David" w:cs="David"/>
          <w:rtl/>
        </w:rPr>
        <w:t xml:space="preserve">- החלטות בנושא משמורת ומזונות ילדים אינן סופיות מטבען ונתונות הן לשינוי </w:t>
      </w:r>
      <w:r w:rsidR="002F3763" w:rsidRPr="002F3763">
        <w:rPr>
          <w:rFonts w:ascii="David" w:hAnsi="David" w:cs="David"/>
          <w:b/>
          <w:bCs/>
          <w:rtl/>
        </w:rPr>
        <w:t>(סימה לוי)</w:t>
      </w:r>
      <w:r w:rsidR="002F3763" w:rsidRPr="002F3763">
        <w:rPr>
          <w:rFonts w:ascii="David" w:hAnsi="David" w:cs="David"/>
          <w:rtl/>
        </w:rPr>
        <w:t>.</w:t>
      </w:r>
      <w:bookmarkEnd w:id="0"/>
      <w:r w:rsidR="00F800AB">
        <w:rPr>
          <w:rFonts w:ascii="David" w:hAnsi="David" w:cs="David" w:hint="cs"/>
          <w:rtl/>
        </w:rPr>
        <w:t xml:space="preserve"> </w:t>
      </w:r>
      <w:r w:rsidR="00516448">
        <w:rPr>
          <w:rFonts w:ascii="David" w:hAnsi="David" w:cs="David" w:hint="cs"/>
          <w:rtl/>
        </w:rPr>
        <w:t>3.</w:t>
      </w:r>
      <w:r w:rsidR="00516448" w:rsidRPr="00516448">
        <w:rPr>
          <w:rFonts w:ascii="David" w:hAnsi="David" w:cs="David" w:hint="cs"/>
          <w:u w:val="single"/>
          <w:rtl/>
        </w:rPr>
        <w:t>הצדדים להליך הם אותם צדדים-</w:t>
      </w:r>
      <w:r w:rsidR="00516448" w:rsidRPr="0081781B">
        <w:rPr>
          <w:rFonts w:ascii="David" w:hAnsi="David" w:cs="David" w:hint="cs"/>
          <w:rtl/>
        </w:rPr>
        <w:t xml:space="preserve"> </w:t>
      </w:r>
      <w:r w:rsidR="0081781B">
        <w:rPr>
          <w:rFonts w:ascii="David" w:hAnsi="David" w:cs="David" w:hint="cs"/>
          <w:rtl/>
        </w:rPr>
        <w:t>מדובר בתביעה בין ההורים ו</w:t>
      </w:r>
      <w:r w:rsidR="007F381D">
        <w:rPr>
          <w:rFonts w:ascii="David" w:hAnsi="David" w:cs="David" w:hint="cs"/>
          <w:rtl/>
        </w:rPr>
        <w:t xml:space="preserve">לא בתביעה עצמאית </w:t>
      </w:r>
      <w:r w:rsidR="0081781B">
        <w:rPr>
          <w:rFonts w:ascii="David" w:hAnsi="David" w:cs="David" w:hint="cs"/>
          <w:rtl/>
        </w:rPr>
        <w:t xml:space="preserve">של ילדיהם הקטינים </w:t>
      </w:r>
      <w:r w:rsidR="003A7CD3">
        <w:rPr>
          <w:rFonts w:ascii="David" w:hAnsi="David" w:cs="David" w:hint="cs"/>
          <w:rtl/>
        </w:rPr>
        <w:t xml:space="preserve">ולכן, הצדדים להליך הם אותם צדדים </w:t>
      </w:r>
      <w:r w:rsidR="003A7CD3" w:rsidRPr="00BF78BA">
        <w:rPr>
          <w:rFonts w:ascii="David" w:hAnsi="David" w:cs="David" w:hint="cs"/>
          <w:b/>
          <w:bCs/>
          <w:rtl/>
        </w:rPr>
        <w:t>(</w:t>
      </w:r>
      <w:r w:rsidR="00F9128F" w:rsidRPr="00BF78BA">
        <w:rPr>
          <w:rFonts w:ascii="David" w:hAnsi="David" w:cs="David" w:hint="cs"/>
          <w:b/>
          <w:bCs/>
          <w:rtl/>
        </w:rPr>
        <w:t>בג״ץ 4407/12)</w:t>
      </w:r>
      <w:r w:rsidR="00F9128F">
        <w:rPr>
          <w:rFonts w:ascii="David" w:hAnsi="David" w:cs="David" w:hint="cs"/>
          <w:rtl/>
        </w:rPr>
        <w:t xml:space="preserve">. </w:t>
      </w:r>
      <w:r w:rsidR="00F9128F" w:rsidRPr="00B64236">
        <w:rPr>
          <w:rFonts w:ascii="David" w:hAnsi="David" w:cs="David" w:hint="cs"/>
          <w:u w:val="single"/>
          <w:rtl/>
        </w:rPr>
        <w:t xml:space="preserve">האם הקטינים מחויבים להסכמות </w:t>
      </w:r>
      <w:r w:rsidR="00BF78BA" w:rsidRPr="00B64236">
        <w:rPr>
          <w:rFonts w:ascii="David" w:hAnsi="David" w:cs="David" w:hint="cs"/>
          <w:u w:val="single"/>
          <w:rtl/>
        </w:rPr>
        <w:t xml:space="preserve">הוריהם לגבי המשמורת והמזונות </w:t>
      </w:r>
      <w:r w:rsidR="00BF78BA" w:rsidRPr="00B64236">
        <w:rPr>
          <w:rFonts w:ascii="David" w:hAnsi="David" w:cs="David" w:hint="cs"/>
          <w:b/>
          <w:bCs/>
          <w:u w:val="single"/>
          <w:rtl/>
        </w:rPr>
        <w:t>(ע״פ ס׳ 9 לחשבד״ר)</w:t>
      </w:r>
      <w:r w:rsidR="00BF78BA" w:rsidRPr="00B64236">
        <w:rPr>
          <w:rFonts w:ascii="David" w:hAnsi="David" w:cs="David" w:hint="cs"/>
          <w:u w:val="single"/>
          <w:rtl/>
        </w:rPr>
        <w:t xml:space="preserve">? </w:t>
      </w:r>
      <w:r w:rsidR="004468D1">
        <w:rPr>
          <w:rFonts w:ascii="David" w:hAnsi="David" w:cs="David" w:hint="cs"/>
          <w:rtl/>
        </w:rPr>
        <w:t xml:space="preserve">עניינם </w:t>
      </w:r>
      <w:r w:rsidR="00F34DBB">
        <w:rPr>
          <w:rFonts w:ascii="David" w:hAnsi="David" w:cs="David" w:hint="cs"/>
          <w:rtl/>
        </w:rPr>
        <w:t>של הקטינים לא היה במרכז, הם לא היו צד להסכם ולכן</w:t>
      </w:r>
      <w:r w:rsidR="00E00494">
        <w:rPr>
          <w:rFonts w:ascii="David" w:hAnsi="David" w:cs="David" w:hint="cs"/>
          <w:rtl/>
        </w:rPr>
        <w:t>,</w:t>
      </w:r>
      <w:r w:rsidR="00F62EA3">
        <w:rPr>
          <w:rFonts w:ascii="David" w:hAnsi="David" w:cs="David" w:hint="cs"/>
          <w:rtl/>
        </w:rPr>
        <w:t xml:space="preserve"> </w:t>
      </w:r>
      <w:r w:rsidR="00F34DBB">
        <w:rPr>
          <w:rFonts w:ascii="David" w:hAnsi="David" w:cs="David" w:hint="cs"/>
          <w:rtl/>
        </w:rPr>
        <w:t>אינו מח</w:t>
      </w:r>
      <w:r w:rsidR="005B1230">
        <w:rPr>
          <w:rFonts w:ascii="David" w:hAnsi="David" w:cs="David" w:hint="cs"/>
          <w:rtl/>
        </w:rPr>
        <w:t>ייב אותם הן לגבי נושאים מהותיים והן לגבי הסמכות הדיונית</w:t>
      </w:r>
      <w:r w:rsidR="00E00494">
        <w:rPr>
          <w:rFonts w:ascii="David" w:hAnsi="David" w:cs="David" w:hint="cs"/>
          <w:rtl/>
        </w:rPr>
        <w:t xml:space="preserve"> ובאפשרותם </w:t>
      </w:r>
      <w:r w:rsidR="00021C02">
        <w:rPr>
          <w:rFonts w:ascii="David" w:hAnsi="David" w:cs="David" w:hint="cs"/>
          <w:rtl/>
        </w:rPr>
        <w:t>לפנות באמצעות אפוטרופוס לביהמ״ש לענייני משפחה</w:t>
      </w:r>
      <w:r w:rsidR="00200035">
        <w:rPr>
          <w:rFonts w:ascii="David" w:hAnsi="David" w:cs="David" w:hint="cs"/>
          <w:rtl/>
        </w:rPr>
        <w:t xml:space="preserve"> </w:t>
      </w:r>
      <w:r w:rsidR="00200035" w:rsidRPr="00DF723B">
        <w:rPr>
          <w:rFonts w:ascii="David" w:hAnsi="David" w:cs="David" w:hint="cs"/>
          <w:b/>
          <w:bCs/>
          <w:rtl/>
        </w:rPr>
        <w:t>(בג״ץ כץ)</w:t>
      </w:r>
      <w:r w:rsidR="004203C8">
        <w:rPr>
          <w:rFonts w:ascii="David" w:hAnsi="David" w:cs="David" w:hint="cs"/>
          <w:rtl/>
        </w:rPr>
        <w:t xml:space="preserve">. עם זאת, לפי דעת המיעוט של </w:t>
      </w:r>
      <w:r w:rsidR="004203C8" w:rsidRPr="00DF723B">
        <w:rPr>
          <w:rFonts w:ascii="David" w:hAnsi="David" w:cs="David" w:hint="cs"/>
          <w:b/>
          <w:bCs/>
          <w:rtl/>
        </w:rPr>
        <w:t>השופט טירקל</w:t>
      </w:r>
      <w:r w:rsidR="004203C8">
        <w:rPr>
          <w:rFonts w:ascii="David" w:hAnsi="David" w:cs="David" w:hint="cs"/>
          <w:rtl/>
        </w:rPr>
        <w:t xml:space="preserve">, </w:t>
      </w:r>
      <w:r w:rsidR="008243DD">
        <w:rPr>
          <w:rFonts w:ascii="David" w:hAnsi="David" w:cs="David" w:hint="cs"/>
          <w:rtl/>
        </w:rPr>
        <w:t>יש למנות ל</w:t>
      </w:r>
      <w:r w:rsidR="00F84A54">
        <w:rPr>
          <w:rFonts w:ascii="David" w:hAnsi="David" w:cs="David" w:hint="cs"/>
          <w:rtl/>
        </w:rPr>
        <w:t>קט</w:t>
      </w:r>
      <w:r w:rsidR="008243DD">
        <w:rPr>
          <w:rFonts w:ascii="David" w:hAnsi="David" w:cs="David" w:hint="cs"/>
          <w:rtl/>
        </w:rPr>
        <w:t xml:space="preserve">ין אפוטרופוס </w:t>
      </w:r>
      <w:r w:rsidR="00F84A54">
        <w:rPr>
          <w:rFonts w:ascii="David" w:hAnsi="David" w:cs="David" w:hint="cs"/>
          <w:rtl/>
        </w:rPr>
        <w:t xml:space="preserve">בכדי </w:t>
      </w:r>
      <w:r w:rsidR="008F6467">
        <w:rPr>
          <w:rFonts w:ascii="David" w:hAnsi="David" w:cs="David" w:hint="cs"/>
          <w:rtl/>
        </w:rPr>
        <w:t>שיח</w:t>
      </w:r>
      <w:r w:rsidR="00534A05">
        <w:rPr>
          <w:rFonts w:ascii="David" w:hAnsi="David" w:cs="David" w:hint="cs"/>
          <w:rtl/>
        </w:rPr>
        <w:t>וו</w:t>
      </w:r>
      <w:r w:rsidR="008F6467">
        <w:rPr>
          <w:rFonts w:ascii="David" w:hAnsi="David" w:cs="David" w:hint="cs"/>
          <w:rtl/>
        </w:rPr>
        <w:t xml:space="preserve">ה את דעתו </w:t>
      </w:r>
      <w:r w:rsidR="00CB430A">
        <w:rPr>
          <w:rFonts w:ascii="David" w:hAnsi="David" w:cs="David" w:hint="cs"/>
          <w:rtl/>
        </w:rPr>
        <w:t xml:space="preserve">על טובת הילד </w:t>
      </w:r>
      <w:r w:rsidR="00534A05">
        <w:rPr>
          <w:rFonts w:ascii="David" w:hAnsi="David" w:cs="David" w:hint="cs"/>
          <w:rtl/>
        </w:rPr>
        <w:t>בדבר הערכאה ה</w:t>
      </w:r>
      <w:r w:rsidR="00DF723B">
        <w:rPr>
          <w:rFonts w:ascii="David" w:hAnsi="David" w:cs="David" w:hint="cs"/>
          <w:rtl/>
        </w:rPr>
        <w:t>עדיפה</w:t>
      </w:r>
      <w:r w:rsidR="00534A05">
        <w:rPr>
          <w:rFonts w:ascii="David" w:hAnsi="David" w:cs="David" w:hint="cs"/>
          <w:rtl/>
        </w:rPr>
        <w:t xml:space="preserve"> לדיון</w:t>
      </w:r>
      <w:r w:rsidR="00DF723B">
        <w:rPr>
          <w:rFonts w:ascii="David" w:hAnsi="David" w:cs="David" w:hint="cs"/>
          <w:rtl/>
        </w:rPr>
        <w:t>.</w:t>
      </w:r>
      <w:r w:rsidR="00F12B13">
        <w:rPr>
          <w:rFonts w:ascii="David" w:hAnsi="David" w:cs="David" w:hint="cs"/>
          <w:rtl/>
        </w:rPr>
        <w:t xml:space="preserve"> </w:t>
      </w:r>
      <w:r w:rsidR="00131214" w:rsidRPr="00131214">
        <w:rPr>
          <w:rFonts w:ascii="David" w:hAnsi="David" w:cs="David" w:hint="cs"/>
          <w:b/>
          <w:bCs/>
          <w:rtl/>
        </w:rPr>
        <w:t>בג״ץ 2898/03</w:t>
      </w:r>
      <w:r w:rsidR="00131214">
        <w:rPr>
          <w:rFonts w:ascii="David" w:hAnsi="David" w:cs="David" w:hint="cs"/>
          <w:rtl/>
        </w:rPr>
        <w:t xml:space="preserve">: </w:t>
      </w:r>
      <w:r w:rsidR="00CE30E9">
        <w:rPr>
          <w:rFonts w:ascii="David" w:hAnsi="David" w:cs="David" w:hint="cs"/>
          <w:rtl/>
        </w:rPr>
        <w:t xml:space="preserve">הסכם גירושין </w:t>
      </w:r>
      <w:r w:rsidR="00934C04">
        <w:rPr>
          <w:rFonts w:ascii="David" w:hAnsi="David" w:cs="David" w:hint="cs"/>
          <w:rtl/>
        </w:rPr>
        <w:t xml:space="preserve">בין הורים יחייב את ילדיהם הקטינים </w:t>
      </w:r>
      <w:r w:rsidR="00EC694C">
        <w:rPr>
          <w:rFonts w:ascii="David" w:hAnsi="David" w:cs="David" w:hint="cs"/>
          <w:rtl/>
        </w:rPr>
        <w:t xml:space="preserve">ברמה המהותית, </w:t>
      </w:r>
      <w:r w:rsidR="00A20CE4">
        <w:rPr>
          <w:rFonts w:ascii="David" w:hAnsi="David" w:cs="David" w:hint="cs"/>
          <w:rtl/>
        </w:rPr>
        <w:t xml:space="preserve">רק כאשר הערכאה המוסמכת שוכנעה </w:t>
      </w:r>
      <w:r w:rsidR="00D934C0">
        <w:rPr>
          <w:rFonts w:ascii="David" w:hAnsi="David" w:cs="David" w:hint="cs"/>
          <w:rtl/>
        </w:rPr>
        <w:t xml:space="preserve">כי ההסכם הינו לטובת הילד. ברמה הדיונית, </w:t>
      </w:r>
      <w:r w:rsidR="00640A87">
        <w:rPr>
          <w:rFonts w:ascii="David" w:hAnsi="David" w:cs="David" w:hint="cs"/>
          <w:rtl/>
        </w:rPr>
        <w:t xml:space="preserve">ההסכם יחייב רק כאשר עניינם של הקטינים נבחן לגופו </w:t>
      </w:r>
      <w:r w:rsidR="00671D2E">
        <w:rPr>
          <w:rFonts w:ascii="David" w:hAnsi="David" w:cs="David" w:hint="cs"/>
          <w:rtl/>
        </w:rPr>
        <w:t xml:space="preserve">באופן עצמאי ונפרד מיתר סוגיות הגירושין. </w:t>
      </w:r>
      <w:r w:rsidR="00022FDF">
        <w:rPr>
          <w:rFonts w:ascii="David" w:hAnsi="David" w:cs="David" w:hint="cs"/>
          <w:rtl/>
        </w:rPr>
        <w:t>בעניינינו</w:t>
      </w:r>
      <w:r w:rsidR="00671D2E">
        <w:rPr>
          <w:rFonts w:ascii="David" w:hAnsi="David" w:cs="David" w:hint="cs"/>
          <w:rtl/>
        </w:rPr>
        <w:t xml:space="preserve">, לא התקיים דיון מהותי </w:t>
      </w:r>
      <w:r w:rsidR="00460C2E">
        <w:rPr>
          <w:rFonts w:ascii="David" w:hAnsi="David" w:cs="David" w:hint="cs"/>
          <w:rtl/>
        </w:rPr>
        <w:t>או נפרד, ביד״ר אישר את ההסכם כלשונו ולכן, לא מתקיים התנאי.</w:t>
      </w:r>
      <w:r w:rsidR="00B64236">
        <w:rPr>
          <w:rFonts w:ascii="David" w:hAnsi="David" w:cs="David" w:hint="cs"/>
          <w:rtl/>
        </w:rPr>
        <w:t xml:space="preserve"> </w:t>
      </w:r>
      <w:r w:rsidR="00B64236" w:rsidRPr="008074B6">
        <w:rPr>
          <w:rFonts w:ascii="David" w:hAnsi="David" w:cs="David" w:hint="cs"/>
          <w:b/>
          <w:bCs/>
          <w:rtl/>
        </w:rPr>
        <w:t>בעניין מעמדם העצמאי של הקטינים-</w:t>
      </w:r>
      <w:r w:rsidR="00B64236">
        <w:rPr>
          <w:rFonts w:ascii="David" w:hAnsi="David" w:cs="David" w:hint="cs"/>
          <w:rtl/>
        </w:rPr>
        <w:t xml:space="preserve"> </w:t>
      </w:r>
      <w:r w:rsidR="00120EB4">
        <w:rPr>
          <w:rFonts w:ascii="David" w:hAnsi="David" w:cs="David" w:hint="cs"/>
          <w:rtl/>
        </w:rPr>
        <w:t xml:space="preserve">האם </w:t>
      </w:r>
      <w:r w:rsidR="00B64236">
        <w:rPr>
          <w:rFonts w:ascii="David" w:hAnsi="David" w:cs="David" w:hint="cs"/>
          <w:rtl/>
        </w:rPr>
        <w:t xml:space="preserve">ייתכן כי היו צד </w:t>
      </w:r>
      <w:r w:rsidR="00B64236">
        <w:rPr>
          <w:rFonts w:ascii="David" w:hAnsi="David" w:cs="David" w:hint="cs"/>
          <w:rtl/>
        </w:rPr>
        <w:lastRenderedPageBreak/>
        <w:t>לתביעה המקורית?</w:t>
      </w:r>
      <w:r w:rsidR="0015173D" w:rsidRPr="0015173D">
        <w:rPr>
          <w:rFonts w:ascii="David" w:hAnsi="David" w:cs="David" w:hint="cs"/>
          <w:b/>
          <w:bCs/>
          <w:rtl/>
        </w:rPr>
        <w:t xml:space="preserve"> </w:t>
      </w:r>
      <w:r w:rsidR="0015173D" w:rsidRPr="0007393B">
        <w:rPr>
          <w:rFonts w:ascii="David" w:hAnsi="David" w:cs="David" w:hint="cs"/>
          <w:b/>
          <w:bCs/>
          <w:rtl/>
        </w:rPr>
        <w:t>בג״ץ 4407/12</w:t>
      </w:r>
      <w:r w:rsidR="0015173D">
        <w:rPr>
          <w:rFonts w:ascii="David" w:hAnsi="David" w:cs="David" w:hint="cs"/>
          <w:rtl/>
        </w:rPr>
        <w:t>-</w:t>
      </w:r>
      <w:r w:rsidR="00B64236">
        <w:rPr>
          <w:rFonts w:ascii="David" w:hAnsi="David" w:cs="David" w:hint="cs"/>
          <w:rtl/>
        </w:rPr>
        <w:t xml:space="preserve"> </w:t>
      </w:r>
      <w:r w:rsidR="008074B6" w:rsidRPr="008074B6">
        <w:rPr>
          <w:rFonts w:ascii="David" w:hAnsi="David" w:cs="David" w:hint="cs"/>
          <w:u w:val="single"/>
          <w:rtl/>
        </w:rPr>
        <w:t>לגבי מזונות</w:t>
      </w:r>
      <w:r w:rsidR="008074B6">
        <w:rPr>
          <w:rFonts w:ascii="David" w:hAnsi="David" w:cs="David" w:hint="cs"/>
          <w:rtl/>
        </w:rPr>
        <w:t xml:space="preserve">: </w:t>
      </w:r>
      <w:r w:rsidR="00D278CF">
        <w:rPr>
          <w:rFonts w:ascii="David" w:hAnsi="David" w:cs="David" w:hint="cs"/>
          <w:rtl/>
        </w:rPr>
        <w:t xml:space="preserve"> </w:t>
      </w:r>
      <w:r w:rsidR="00226B49">
        <w:rPr>
          <w:rFonts w:ascii="David" w:hAnsi="David" w:cs="David" w:hint="cs"/>
          <w:rtl/>
        </w:rPr>
        <w:t xml:space="preserve">דעת כל השופטים קבעה כי יש להחיל את המבחן המהותי. </w:t>
      </w:r>
      <w:r w:rsidR="00770251">
        <w:rPr>
          <w:rFonts w:ascii="David" w:hAnsi="David" w:cs="David" w:hint="cs"/>
          <w:rtl/>
        </w:rPr>
        <w:t xml:space="preserve">ביד״ר </w:t>
      </w:r>
      <w:r w:rsidR="00727F54">
        <w:rPr>
          <w:rFonts w:ascii="David" w:hAnsi="David" w:cs="David" w:hint="cs"/>
          <w:rtl/>
        </w:rPr>
        <w:t xml:space="preserve">לא </w:t>
      </w:r>
      <w:r w:rsidR="00922A53">
        <w:rPr>
          <w:rFonts w:ascii="David" w:hAnsi="David" w:cs="David" w:hint="cs"/>
          <w:rtl/>
        </w:rPr>
        <w:t xml:space="preserve">בחן את עניין הקטינים </w:t>
      </w:r>
      <w:r w:rsidR="00293009">
        <w:rPr>
          <w:rFonts w:ascii="David" w:hAnsi="David" w:cs="David" w:hint="cs"/>
          <w:rtl/>
        </w:rPr>
        <w:t>והאם ההסדר לטובתם אלא אישר את ההסכם כלשונו</w:t>
      </w:r>
      <w:r w:rsidR="009F2E0B">
        <w:rPr>
          <w:rFonts w:ascii="David" w:hAnsi="David" w:cs="David" w:hint="cs"/>
          <w:rtl/>
        </w:rPr>
        <w:t xml:space="preserve"> ובמהירות</w:t>
      </w:r>
      <w:r w:rsidR="00293009">
        <w:rPr>
          <w:rFonts w:ascii="David" w:hAnsi="David" w:cs="David" w:hint="cs"/>
          <w:rtl/>
        </w:rPr>
        <w:t xml:space="preserve">. </w:t>
      </w:r>
      <w:r w:rsidR="008C0C26" w:rsidRPr="00BB77B2">
        <w:rPr>
          <w:rFonts w:ascii="David" w:hAnsi="David" w:cs="David" w:hint="cs"/>
          <w:b/>
          <w:bCs/>
          <w:rtl/>
        </w:rPr>
        <w:t>לדעת השופט עמית</w:t>
      </w:r>
      <w:r w:rsidR="004E2E37" w:rsidRPr="00BB77B2">
        <w:rPr>
          <w:rFonts w:ascii="David" w:hAnsi="David" w:cs="David" w:hint="cs"/>
          <w:b/>
          <w:bCs/>
          <w:rtl/>
        </w:rPr>
        <w:t>, מבחן זה הינו</w:t>
      </w:r>
      <w:r w:rsidR="00BB77B2">
        <w:rPr>
          <w:rFonts w:ascii="David" w:hAnsi="David" w:cs="David" w:hint="cs"/>
          <w:b/>
          <w:bCs/>
          <w:rtl/>
        </w:rPr>
        <w:t xml:space="preserve"> </w:t>
      </w:r>
      <w:r w:rsidR="004E2E37" w:rsidRPr="00BB77B2">
        <w:rPr>
          <w:rFonts w:ascii="David" w:hAnsi="David" w:cs="David" w:hint="cs"/>
          <w:b/>
          <w:bCs/>
          <w:rtl/>
        </w:rPr>
        <w:t>דו שלבי-</w:t>
      </w:r>
      <w:r w:rsidR="004E2E37">
        <w:rPr>
          <w:rFonts w:ascii="David" w:hAnsi="David" w:cs="David" w:hint="cs"/>
          <w:rtl/>
        </w:rPr>
        <w:t xml:space="preserve"> א)דיון ענייני- כאמור, לא התקיים </w:t>
      </w:r>
      <w:r w:rsidR="00C30264">
        <w:rPr>
          <w:rFonts w:ascii="David" w:hAnsi="David" w:cs="David" w:hint="cs"/>
          <w:rtl/>
        </w:rPr>
        <w:t>דיון מעמיק וענייני</w:t>
      </w:r>
      <w:r w:rsidR="00262EBD">
        <w:rPr>
          <w:rFonts w:ascii="David" w:hAnsi="David" w:cs="David" w:hint="cs"/>
          <w:rtl/>
        </w:rPr>
        <w:t>, ביד״ר לא בחן אם ההסכם לטובת הקטינים</w:t>
      </w:r>
      <w:r w:rsidR="006C3183">
        <w:rPr>
          <w:rFonts w:ascii="David" w:hAnsi="David" w:cs="David" w:hint="cs"/>
          <w:rtl/>
        </w:rPr>
        <w:t xml:space="preserve">. ב)קיפוח </w:t>
      </w:r>
      <w:r w:rsidR="00E21010">
        <w:rPr>
          <w:rFonts w:ascii="David" w:hAnsi="David" w:cs="David" w:hint="cs"/>
          <w:rtl/>
        </w:rPr>
        <w:t xml:space="preserve">בפועל- </w:t>
      </w:r>
      <w:r w:rsidR="00D5068D">
        <w:rPr>
          <w:rFonts w:ascii="David" w:hAnsi="David" w:cs="David" w:hint="cs"/>
          <w:rtl/>
        </w:rPr>
        <w:t xml:space="preserve">עמית סובר כי אף </w:t>
      </w:r>
      <w:r w:rsidR="00BB78B7">
        <w:rPr>
          <w:rFonts w:ascii="David" w:hAnsi="David" w:cs="David" w:hint="cs"/>
          <w:rtl/>
        </w:rPr>
        <w:t xml:space="preserve">אם לא התקיים השלב הראשון, כל עוד הקטין לא קופח, אין טעם לפתוח את ההסכם. </w:t>
      </w:r>
      <w:r w:rsidR="00022420">
        <w:rPr>
          <w:rFonts w:ascii="David" w:hAnsi="David" w:cs="David" w:hint="cs"/>
          <w:rtl/>
        </w:rPr>
        <w:t xml:space="preserve">ניתן לומר </w:t>
      </w:r>
      <w:r w:rsidR="00936A53">
        <w:rPr>
          <w:rFonts w:ascii="David" w:hAnsi="David" w:cs="David" w:hint="cs"/>
          <w:rtl/>
        </w:rPr>
        <w:t>כי הילדים אכן קופחו לאור העובדה שאבשלום עובד במשרה מלאה ו</w:t>
      </w:r>
      <w:r w:rsidR="00662117">
        <w:rPr>
          <w:rFonts w:ascii="David" w:hAnsi="David" w:cs="David" w:hint="cs"/>
          <w:rtl/>
        </w:rPr>
        <w:t>מדובר בשלושה ילדים קטינים אשר ספ</w:t>
      </w:r>
      <w:r w:rsidR="007A2355">
        <w:rPr>
          <w:rFonts w:ascii="David" w:hAnsi="David" w:cs="David" w:hint="cs"/>
          <w:rtl/>
        </w:rPr>
        <w:t>ק</w:t>
      </w:r>
      <w:r w:rsidR="00662117">
        <w:rPr>
          <w:rFonts w:ascii="David" w:hAnsi="David" w:cs="David" w:hint="cs"/>
          <w:rtl/>
        </w:rPr>
        <w:t xml:space="preserve"> אם </w:t>
      </w:r>
      <w:r w:rsidR="007A2355" w:rsidRPr="00AC7089">
        <w:rPr>
          <w:rFonts w:ascii="David" w:hAnsi="David" w:cs="David"/>
          <w:rtl/>
        </w:rPr>
        <w:t>₪</w:t>
      </w:r>
      <w:r w:rsidR="00662117">
        <w:rPr>
          <w:rFonts w:ascii="David" w:hAnsi="David" w:cs="David" w:hint="cs"/>
          <w:rtl/>
        </w:rPr>
        <w:t>1,000</w:t>
      </w:r>
      <w:r w:rsidR="009817FE">
        <w:rPr>
          <w:rFonts w:ascii="David" w:hAnsi="David" w:cs="David" w:hint="cs"/>
          <w:rtl/>
        </w:rPr>
        <w:t xml:space="preserve"> </w:t>
      </w:r>
      <w:r w:rsidR="00917890">
        <w:rPr>
          <w:rFonts w:ascii="David" w:hAnsi="David" w:cs="David" w:hint="cs"/>
          <w:rtl/>
        </w:rPr>
        <w:t xml:space="preserve">יספקו את צורכיהם. </w:t>
      </w:r>
      <w:r w:rsidR="00917890" w:rsidRPr="0015173D">
        <w:rPr>
          <w:rFonts w:ascii="David" w:hAnsi="David" w:cs="David" w:hint="cs"/>
          <w:u w:val="single"/>
          <w:rtl/>
        </w:rPr>
        <w:t>לגבי משמורת-</w:t>
      </w:r>
      <w:r w:rsidR="00917890">
        <w:rPr>
          <w:rFonts w:ascii="David" w:hAnsi="David" w:cs="David" w:hint="cs"/>
          <w:rtl/>
        </w:rPr>
        <w:t xml:space="preserve"> </w:t>
      </w:r>
      <w:r w:rsidR="00781825">
        <w:rPr>
          <w:rFonts w:ascii="David" w:hAnsi="David" w:cs="David" w:hint="cs"/>
          <w:rtl/>
        </w:rPr>
        <w:t xml:space="preserve">לדעת </w:t>
      </w:r>
      <w:r w:rsidR="00781825" w:rsidRPr="00BB77B2">
        <w:rPr>
          <w:rFonts w:ascii="David" w:hAnsi="David" w:cs="David" w:hint="cs"/>
          <w:b/>
          <w:bCs/>
          <w:rtl/>
        </w:rPr>
        <w:t>השופטים רובינשטיין והנדל</w:t>
      </w:r>
      <w:r w:rsidR="00781825">
        <w:rPr>
          <w:rFonts w:ascii="David" w:hAnsi="David" w:cs="David" w:hint="cs"/>
          <w:rtl/>
        </w:rPr>
        <w:t>, יש להחיל את המבחן המהותי גם באשר למשמורת</w:t>
      </w:r>
      <w:r w:rsidR="00CD6B17">
        <w:rPr>
          <w:rFonts w:ascii="David" w:hAnsi="David" w:cs="David" w:hint="cs"/>
          <w:rtl/>
        </w:rPr>
        <w:t>.</w:t>
      </w:r>
      <w:r w:rsidR="001D2978">
        <w:rPr>
          <w:rFonts w:ascii="David" w:hAnsi="David" w:cs="David" w:hint="cs"/>
          <w:rtl/>
        </w:rPr>
        <w:t xml:space="preserve"> לא התקיים דיון ענייני </w:t>
      </w:r>
      <w:r w:rsidR="00437797">
        <w:rPr>
          <w:rFonts w:ascii="David" w:hAnsi="David" w:cs="David" w:hint="cs"/>
          <w:rtl/>
        </w:rPr>
        <w:t xml:space="preserve">בנושא, ביד״ר לא </w:t>
      </w:r>
      <w:r w:rsidR="009422FE">
        <w:rPr>
          <w:rFonts w:ascii="David" w:hAnsi="David" w:cs="David" w:hint="cs"/>
          <w:rtl/>
        </w:rPr>
        <w:t>בחן את ההסדר לפי טובת הילד</w:t>
      </w:r>
      <w:r w:rsidR="00262EBD">
        <w:rPr>
          <w:rFonts w:ascii="David" w:hAnsi="David" w:cs="David" w:hint="cs"/>
          <w:rtl/>
        </w:rPr>
        <w:t>ים</w:t>
      </w:r>
      <w:r w:rsidR="009422FE">
        <w:rPr>
          <w:rFonts w:ascii="David" w:hAnsi="David" w:cs="David" w:hint="cs"/>
          <w:rtl/>
        </w:rPr>
        <w:t xml:space="preserve"> אלא אישר אותו במהירות כלשונו.</w:t>
      </w:r>
      <w:r w:rsidR="001271CB">
        <w:rPr>
          <w:rFonts w:ascii="David" w:hAnsi="David" w:cs="David" w:hint="cs"/>
          <w:rtl/>
        </w:rPr>
        <w:t xml:space="preserve"> לדעת </w:t>
      </w:r>
      <w:r w:rsidR="001271CB" w:rsidRPr="00BB77B2">
        <w:rPr>
          <w:rFonts w:ascii="David" w:hAnsi="David" w:cs="David" w:hint="cs"/>
          <w:b/>
          <w:bCs/>
          <w:rtl/>
        </w:rPr>
        <w:t>השופט עמית</w:t>
      </w:r>
      <w:r w:rsidR="001271CB">
        <w:rPr>
          <w:rFonts w:ascii="David" w:hAnsi="David" w:cs="David" w:hint="cs"/>
          <w:rtl/>
        </w:rPr>
        <w:t>, יש להחיל את המבחן הפרוצדור</w:t>
      </w:r>
      <w:r w:rsidR="002C102C">
        <w:rPr>
          <w:rFonts w:ascii="David" w:hAnsi="David" w:cs="David" w:hint="cs"/>
          <w:rtl/>
        </w:rPr>
        <w:t xml:space="preserve">לי </w:t>
      </w:r>
      <w:r w:rsidR="00884917">
        <w:rPr>
          <w:rFonts w:ascii="David" w:hAnsi="David" w:cs="David" w:hint="cs"/>
          <w:rtl/>
        </w:rPr>
        <w:t>על כל שאר הנושאים הנוגעים לקטין</w:t>
      </w:r>
      <w:r w:rsidR="00BB77B2">
        <w:rPr>
          <w:rFonts w:ascii="David" w:hAnsi="David" w:cs="David" w:hint="cs"/>
          <w:rtl/>
        </w:rPr>
        <w:t xml:space="preserve"> מלבד מזונות</w:t>
      </w:r>
      <w:r w:rsidR="00884917">
        <w:rPr>
          <w:rFonts w:ascii="David" w:hAnsi="David" w:cs="David" w:hint="cs"/>
          <w:rtl/>
        </w:rPr>
        <w:t xml:space="preserve">. </w:t>
      </w:r>
      <w:r w:rsidR="008A2B3A">
        <w:rPr>
          <w:rFonts w:ascii="David" w:hAnsi="David" w:cs="David" w:hint="cs"/>
          <w:rtl/>
        </w:rPr>
        <w:t xml:space="preserve">בעניינינו, לא התקיים דיון נפרד ואף לא תביעה נפרדת </w:t>
      </w:r>
      <w:r w:rsidR="00583E85">
        <w:rPr>
          <w:rFonts w:ascii="David" w:hAnsi="David" w:cs="David" w:hint="cs"/>
          <w:rtl/>
        </w:rPr>
        <w:t>לעניין משמורת הילדים.</w:t>
      </w:r>
      <w:r w:rsidR="00BB77B2">
        <w:rPr>
          <w:rFonts w:ascii="David" w:hAnsi="David" w:cs="David" w:hint="cs"/>
          <w:rtl/>
        </w:rPr>
        <w:t xml:space="preserve"> </w:t>
      </w:r>
      <w:r w:rsidR="008556F6">
        <w:rPr>
          <w:rFonts w:ascii="David" w:hAnsi="David" w:cs="David" w:hint="cs"/>
          <w:rtl/>
        </w:rPr>
        <w:t>4</w:t>
      </w:r>
      <w:r w:rsidR="008556F6" w:rsidRPr="00DE740C">
        <w:rPr>
          <w:rFonts w:ascii="David" w:hAnsi="David" w:cs="David" w:hint="cs"/>
          <w:u w:val="single"/>
          <w:rtl/>
        </w:rPr>
        <w:t>.</w:t>
      </w:r>
      <w:r w:rsidR="00DE740C" w:rsidRPr="00DE740C">
        <w:rPr>
          <w:rFonts w:ascii="David" w:hAnsi="David" w:cs="David" w:hint="cs"/>
          <w:u w:val="single"/>
          <w:rtl/>
        </w:rPr>
        <w:t>האם ביד״ר ״דן ופסק״-</w:t>
      </w:r>
      <w:r w:rsidR="00420040">
        <w:rPr>
          <w:rFonts w:ascii="David" w:hAnsi="David" w:cs="David" w:hint="cs"/>
          <w:rtl/>
        </w:rPr>
        <w:t xml:space="preserve"> </w:t>
      </w:r>
      <w:r w:rsidR="00893E09">
        <w:rPr>
          <w:rFonts w:ascii="David" w:hAnsi="David" w:cs="David" w:hint="cs"/>
          <w:rtl/>
        </w:rPr>
        <w:t>ביד״ר אישר את הסכם הגירושין כלשונו ובמהירות</w:t>
      </w:r>
      <w:r w:rsidR="0007267D">
        <w:rPr>
          <w:rFonts w:ascii="David" w:hAnsi="David" w:cs="David" w:hint="cs"/>
          <w:rtl/>
        </w:rPr>
        <w:t xml:space="preserve"> מבלי שהובאו ראיות</w:t>
      </w:r>
      <w:r w:rsidR="005D7259">
        <w:rPr>
          <w:rFonts w:ascii="David" w:hAnsi="David" w:cs="David" w:hint="cs"/>
          <w:rtl/>
        </w:rPr>
        <w:t xml:space="preserve"> לעניין ומבלי שנבחן עקרון טובת הילד</w:t>
      </w:r>
      <w:r w:rsidR="00893E09">
        <w:rPr>
          <w:rFonts w:ascii="David" w:hAnsi="David" w:cs="David" w:hint="cs"/>
          <w:rtl/>
        </w:rPr>
        <w:t xml:space="preserve">. </w:t>
      </w:r>
      <w:r w:rsidR="00061277">
        <w:rPr>
          <w:rFonts w:ascii="David" w:hAnsi="David" w:cs="David" w:hint="cs"/>
          <w:rtl/>
        </w:rPr>
        <w:t xml:space="preserve">בהתאם </w:t>
      </w:r>
      <w:r w:rsidR="00061277" w:rsidRPr="00061277">
        <w:rPr>
          <w:rFonts w:ascii="David" w:hAnsi="David" w:cs="David" w:hint="cs"/>
          <w:b/>
          <w:bCs/>
          <w:rtl/>
        </w:rPr>
        <w:t>לבג״ץ 6021/10</w:t>
      </w:r>
      <w:r w:rsidR="00061277">
        <w:rPr>
          <w:rFonts w:ascii="David" w:hAnsi="David" w:cs="David" w:hint="cs"/>
          <w:rtl/>
        </w:rPr>
        <w:t xml:space="preserve">, </w:t>
      </w:r>
      <w:r w:rsidR="00821E38">
        <w:rPr>
          <w:rFonts w:ascii="David" w:hAnsi="David" w:cs="David" w:hint="cs"/>
          <w:rtl/>
        </w:rPr>
        <w:t xml:space="preserve">בהיעדר דיון מהותי </w:t>
      </w:r>
      <w:r w:rsidR="00893E09">
        <w:rPr>
          <w:rFonts w:ascii="David" w:hAnsi="David" w:cs="David" w:hint="cs"/>
          <w:rtl/>
        </w:rPr>
        <w:t>לסוגי</w:t>
      </w:r>
      <w:r w:rsidR="00AC5BEC">
        <w:rPr>
          <w:rFonts w:ascii="David" w:hAnsi="David" w:cs="David" w:hint="cs"/>
          <w:rtl/>
        </w:rPr>
        <w:t>י</w:t>
      </w:r>
      <w:r w:rsidR="00893E09">
        <w:rPr>
          <w:rFonts w:ascii="David" w:hAnsi="David" w:cs="David" w:hint="cs"/>
          <w:rtl/>
        </w:rPr>
        <w:t>ה לא די</w:t>
      </w:r>
      <w:r w:rsidR="00061277">
        <w:rPr>
          <w:rFonts w:ascii="David" w:hAnsi="David" w:cs="David" w:hint="cs"/>
          <w:rtl/>
        </w:rPr>
        <w:t xml:space="preserve"> בכך </w:t>
      </w:r>
      <w:r w:rsidR="00715AF0">
        <w:rPr>
          <w:rFonts w:ascii="David" w:hAnsi="David" w:cs="David" w:hint="cs"/>
          <w:rtl/>
        </w:rPr>
        <w:t>על מנת לקבוע כי ביד״ר ״דן ופסק״ בעניין מזונות הילדים ומשמורת הילדים</w:t>
      </w:r>
      <w:r w:rsidR="000E3F9C">
        <w:rPr>
          <w:rFonts w:ascii="David" w:hAnsi="David" w:cs="David" w:hint="cs"/>
          <w:rtl/>
        </w:rPr>
        <w:t xml:space="preserve"> לפיכך, </w:t>
      </w:r>
      <w:r w:rsidR="00D97F1A">
        <w:rPr>
          <w:rFonts w:ascii="David" w:hAnsi="David" w:cs="David" w:hint="cs"/>
          <w:rtl/>
        </w:rPr>
        <w:t xml:space="preserve">לא חלה סמכות נמשכת. </w:t>
      </w:r>
      <w:r w:rsidR="00C909B5">
        <w:rPr>
          <w:rFonts w:ascii="David" w:hAnsi="David" w:cs="David" w:hint="cs"/>
          <w:rtl/>
        </w:rPr>
        <w:t>5.</w:t>
      </w:r>
      <w:r w:rsidR="00C909B5" w:rsidRPr="008C3423">
        <w:rPr>
          <w:rFonts w:ascii="David" w:hAnsi="David" w:cs="David" w:hint="cs"/>
          <w:u w:val="single"/>
          <w:rtl/>
        </w:rPr>
        <w:t xml:space="preserve">האם הנושאים </w:t>
      </w:r>
      <w:r w:rsidR="00183F2A" w:rsidRPr="008C3423">
        <w:rPr>
          <w:rFonts w:ascii="David" w:hAnsi="David" w:cs="David" w:hint="cs"/>
          <w:u w:val="single"/>
          <w:rtl/>
        </w:rPr>
        <w:t xml:space="preserve">הוזכרו </w:t>
      </w:r>
      <w:r w:rsidR="008C3423" w:rsidRPr="008C3423">
        <w:rPr>
          <w:rFonts w:ascii="David" w:hAnsi="David" w:cs="David" w:hint="cs"/>
          <w:u w:val="single"/>
          <w:rtl/>
        </w:rPr>
        <w:t xml:space="preserve">בהסכם- </w:t>
      </w:r>
      <w:r w:rsidR="0059715F">
        <w:rPr>
          <w:rFonts w:ascii="David" w:hAnsi="David" w:cs="David" w:hint="cs"/>
          <w:rtl/>
        </w:rPr>
        <w:t>נושא משמורת הילדים ונושא מזונות הילדים אכן</w:t>
      </w:r>
      <w:r w:rsidR="0079586D">
        <w:rPr>
          <w:rFonts w:ascii="David" w:hAnsi="David" w:cs="David" w:hint="cs"/>
          <w:rtl/>
        </w:rPr>
        <w:t xml:space="preserve"> אוזכרו בהסכם</w:t>
      </w:r>
      <w:r w:rsidR="0016594E">
        <w:rPr>
          <w:rFonts w:ascii="David" w:hAnsi="David" w:cs="David" w:hint="cs"/>
          <w:rtl/>
        </w:rPr>
        <w:t xml:space="preserve"> אולם, נושא ההגירה לא </w:t>
      </w:r>
      <w:r w:rsidR="005D7B3D">
        <w:rPr>
          <w:rFonts w:ascii="David" w:hAnsi="David" w:cs="David" w:hint="cs"/>
          <w:rtl/>
        </w:rPr>
        <w:t xml:space="preserve">נבחן לגופו ולא ניתן </w:t>
      </w:r>
      <w:r w:rsidR="00432888">
        <w:rPr>
          <w:rFonts w:ascii="David" w:hAnsi="David" w:cs="David" w:hint="cs"/>
          <w:rtl/>
        </w:rPr>
        <w:t xml:space="preserve">לגזור אותו מעניין המשמורת </w:t>
      </w:r>
      <w:r w:rsidR="00432888" w:rsidRPr="00756F17">
        <w:rPr>
          <w:rFonts w:ascii="David" w:hAnsi="David" w:cs="David" w:hint="cs"/>
          <w:b/>
          <w:bCs/>
          <w:rtl/>
        </w:rPr>
        <w:t>(ב</w:t>
      </w:r>
      <w:r w:rsidR="00756F17" w:rsidRPr="00756F17">
        <w:rPr>
          <w:rFonts w:ascii="David" w:hAnsi="David" w:cs="David" w:hint="cs"/>
          <w:b/>
          <w:bCs/>
          <w:rtl/>
        </w:rPr>
        <w:t>ג״ץ</w:t>
      </w:r>
      <w:r w:rsidR="00756F17">
        <w:rPr>
          <w:rFonts w:ascii="David" w:hAnsi="David" w:cs="David" w:hint="cs"/>
          <w:rtl/>
        </w:rPr>
        <w:t xml:space="preserve"> </w:t>
      </w:r>
      <w:r w:rsidR="00432888" w:rsidRPr="00DC1642">
        <w:rPr>
          <w:rFonts w:ascii="David" w:hAnsi="David" w:cs="David" w:hint="cs"/>
          <w:b/>
          <w:bCs/>
          <w:rtl/>
        </w:rPr>
        <w:t>2898/03</w:t>
      </w:r>
      <w:r w:rsidR="00432888" w:rsidRPr="00756F17">
        <w:rPr>
          <w:rFonts w:ascii="David" w:hAnsi="David" w:cs="David" w:hint="cs"/>
          <w:b/>
          <w:bCs/>
          <w:rtl/>
        </w:rPr>
        <w:t>)</w:t>
      </w:r>
      <w:r w:rsidR="0079586D">
        <w:rPr>
          <w:rFonts w:ascii="David" w:hAnsi="David" w:cs="David" w:hint="cs"/>
          <w:rtl/>
        </w:rPr>
        <w:t xml:space="preserve">. </w:t>
      </w:r>
      <w:r w:rsidR="0059715F">
        <w:rPr>
          <w:rFonts w:ascii="David" w:hAnsi="David" w:cs="David" w:hint="cs"/>
          <w:rtl/>
        </w:rPr>
        <w:t>6.</w:t>
      </w:r>
      <w:r w:rsidR="0059715F" w:rsidRPr="00D2201E">
        <w:rPr>
          <w:rFonts w:ascii="David" w:hAnsi="David" w:cs="David" w:hint="cs"/>
          <w:u w:val="single"/>
          <w:rtl/>
        </w:rPr>
        <w:t>הסוגי</w:t>
      </w:r>
      <w:r w:rsidR="00D2201E" w:rsidRPr="00D2201E">
        <w:rPr>
          <w:rFonts w:ascii="David" w:hAnsi="David" w:cs="David" w:hint="cs"/>
          <w:u w:val="single"/>
          <w:rtl/>
        </w:rPr>
        <w:t>יה המאוחרת קרובה במידה מספקת למקורית-</w:t>
      </w:r>
      <w:r w:rsidR="00EE5EFE">
        <w:rPr>
          <w:rFonts w:ascii="David" w:hAnsi="David" w:cs="David" w:hint="cs"/>
          <w:rtl/>
        </w:rPr>
        <w:t xml:space="preserve"> </w:t>
      </w:r>
      <w:r w:rsidR="00D95486" w:rsidRPr="00A77638">
        <w:rPr>
          <w:rFonts w:ascii="David" w:hAnsi="David" w:cs="David" w:hint="cs"/>
          <w:b/>
          <w:bCs/>
          <w:rtl/>
        </w:rPr>
        <w:t>בג״ץ ורבר</w:t>
      </w:r>
      <w:r w:rsidR="00A77638" w:rsidRPr="00A77638">
        <w:rPr>
          <w:rFonts w:ascii="David" w:hAnsi="David" w:cs="David" w:hint="cs"/>
          <w:b/>
          <w:bCs/>
          <w:rtl/>
        </w:rPr>
        <w:t>:</w:t>
      </w:r>
      <w:r w:rsidR="00D95486">
        <w:rPr>
          <w:rFonts w:ascii="David" w:hAnsi="David" w:cs="David" w:hint="cs"/>
          <w:rtl/>
        </w:rPr>
        <w:t xml:space="preserve"> צביונו המתמשך של העניין אינו נשמר שכן, חלפו שנתיים. </w:t>
      </w:r>
      <w:r w:rsidR="00AD6D06">
        <w:rPr>
          <w:rFonts w:ascii="David" w:hAnsi="David" w:cs="David" w:hint="cs"/>
          <w:rtl/>
        </w:rPr>
        <w:t>אולם, ני</w:t>
      </w:r>
      <w:r w:rsidR="00BF7A5D">
        <w:rPr>
          <w:rFonts w:ascii="David" w:hAnsi="David" w:cs="David" w:hint="cs"/>
          <w:rtl/>
        </w:rPr>
        <w:t xml:space="preserve">תן לומר כי </w:t>
      </w:r>
      <w:r w:rsidR="00CE45DE">
        <w:rPr>
          <w:rFonts w:ascii="David" w:hAnsi="David" w:cs="David" w:hint="cs"/>
          <w:rtl/>
        </w:rPr>
        <w:t>לא חל רי</w:t>
      </w:r>
      <w:r w:rsidR="00536D85">
        <w:rPr>
          <w:rFonts w:ascii="David" w:hAnsi="David" w:cs="David" w:hint="cs"/>
          <w:rtl/>
        </w:rPr>
        <w:t>ח</w:t>
      </w:r>
      <w:r w:rsidR="00CE45DE">
        <w:rPr>
          <w:rFonts w:ascii="David" w:hAnsi="David" w:cs="David" w:hint="cs"/>
          <w:rtl/>
        </w:rPr>
        <w:t>ו</w:t>
      </w:r>
      <w:r w:rsidR="00536D85">
        <w:rPr>
          <w:rFonts w:ascii="David" w:hAnsi="David" w:cs="David" w:hint="cs"/>
          <w:rtl/>
        </w:rPr>
        <w:t>ק</w:t>
      </w:r>
      <w:r w:rsidR="00CE45DE">
        <w:rPr>
          <w:rFonts w:ascii="David" w:hAnsi="David" w:cs="David" w:hint="cs"/>
          <w:rtl/>
        </w:rPr>
        <w:t xml:space="preserve"> מבחינת מקום מאחר ומיקומם הגיאוגרפי של הצדדים</w:t>
      </w:r>
      <w:r w:rsidR="00795C88">
        <w:rPr>
          <w:rFonts w:ascii="David" w:hAnsi="David" w:cs="David" w:hint="cs"/>
          <w:rtl/>
        </w:rPr>
        <w:t xml:space="preserve"> כעת</w:t>
      </w:r>
      <w:r w:rsidR="00CE45DE">
        <w:rPr>
          <w:rFonts w:ascii="David" w:hAnsi="David" w:cs="David" w:hint="cs"/>
          <w:rtl/>
        </w:rPr>
        <w:t xml:space="preserve"> הוא עדיי</w:t>
      </w:r>
      <w:r w:rsidR="00536D85">
        <w:rPr>
          <w:rFonts w:ascii="David" w:hAnsi="David" w:cs="David" w:hint="cs"/>
          <w:rtl/>
        </w:rPr>
        <w:t>ן ישראל</w:t>
      </w:r>
      <w:r w:rsidR="00D22D68">
        <w:rPr>
          <w:rFonts w:ascii="David" w:hAnsi="David" w:cs="David" w:hint="cs"/>
          <w:rtl/>
        </w:rPr>
        <w:t>.</w:t>
      </w:r>
      <w:r w:rsidR="00536D85">
        <w:rPr>
          <w:rFonts w:ascii="David" w:hAnsi="David" w:cs="David" w:hint="cs"/>
          <w:rtl/>
        </w:rPr>
        <w:t xml:space="preserve"> </w:t>
      </w:r>
      <w:r w:rsidR="00D22D68">
        <w:rPr>
          <w:rFonts w:ascii="David" w:hAnsi="David" w:cs="David" w:hint="cs"/>
          <w:rtl/>
        </w:rPr>
        <w:t xml:space="preserve">מנגד, </w:t>
      </w:r>
      <w:r w:rsidR="00B845FA">
        <w:rPr>
          <w:rFonts w:ascii="David" w:hAnsi="David" w:cs="David" w:hint="cs"/>
          <w:rtl/>
        </w:rPr>
        <w:t xml:space="preserve">הנסיבות מעידות על כך שנוצר סכסוך חדש בין הצדדים- </w:t>
      </w:r>
      <w:r w:rsidR="00C40921">
        <w:rPr>
          <w:rFonts w:ascii="David" w:hAnsi="David" w:cs="David" w:hint="cs"/>
          <w:rtl/>
        </w:rPr>
        <w:t xml:space="preserve">עדנה רוצה להגר לארה״ב, שאלת ההגירה לא נידונה כלל </w:t>
      </w:r>
      <w:r w:rsidR="000C345E">
        <w:rPr>
          <w:rFonts w:ascii="David" w:hAnsi="David" w:cs="David" w:hint="cs"/>
          <w:rtl/>
        </w:rPr>
        <w:t xml:space="preserve">ע״י ביד״ר </w:t>
      </w:r>
      <w:r w:rsidR="00950B84">
        <w:rPr>
          <w:rFonts w:ascii="David" w:hAnsi="David" w:cs="David" w:hint="cs"/>
          <w:rtl/>
        </w:rPr>
        <w:t>בעניין</w:t>
      </w:r>
      <w:r w:rsidR="00022FF9">
        <w:rPr>
          <w:rFonts w:ascii="David" w:hAnsi="David" w:cs="David" w:hint="cs"/>
          <w:rtl/>
        </w:rPr>
        <w:t xml:space="preserve"> </w:t>
      </w:r>
      <w:r w:rsidR="00950B84">
        <w:rPr>
          <w:rFonts w:ascii="David" w:hAnsi="David" w:cs="David" w:hint="cs"/>
          <w:rtl/>
        </w:rPr>
        <w:t>ה</w:t>
      </w:r>
      <w:r w:rsidR="00022FF9">
        <w:rPr>
          <w:rFonts w:ascii="David" w:hAnsi="David" w:cs="David" w:hint="cs"/>
          <w:rtl/>
        </w:rPr>
        <w:t>משמורת ואף לא הייתה כל התייחסות ליוקר המחייה בארה״ב</w:t>
      </w:r>
      <w:r w:rsidR="00864393">
        <w:rPr>
          <w:rFonts w:ascii="David" w:hAnsi="David" w:cs="David" w:hint="cs"/>
          <w:rtl/>
        </w:rPr>
        <w:t xml:space="preserve"> ב</w:t>
      </w:r>
      <w:r w:rsidR="00950B84">
        <w:rPr>
          <w:rFonts w:ascii="David" w:hAnsi="David" w:cs="David" w:hint="cs"/>
          <w:rtl/>
        </w:rPr>
        <w:t>עניין</w:t>
      </w:r>
      <w:r w:rsidR="00864393">
        <w:rPr>
          <w:rFonts w:ascii="David" w:hAnsi="David" w:cs="David" w:hint="cs"/>
          <w:rtl/>
        </w:rPr>
        <w:t xml:space="preserve"> </w:t>
      </w:r>
      <w:r w:rsidR="00950B84">
        <w:rPr>
          <w:rFonts w:ascii="David" w:hAnsi="David" w:cs="David" w:hint="cs"/>
          <w:rtl/>
        </w:rPr>
        <w:t>ה</w:t>
      </w:r>
      <w:r w:rsidR="00864393">
        <w:rPr>
          <w:rFonts w:ascii="David" w:hAnsi="David" w:cs="David" w:hint="cs"/>
          <w:rtl/>
        </w:rPr>
        <w:t>מזונות</w:t>
      </w:r>
      <w:r w:rsidR="007A7E1E">
        <w:rPr>
          <w:rFonts w:ascii="David" w:hAnsi="David" w:cs="David" w:hint="cs"/>
          <w:rtl/>
        </w:rPr>
        <w:t>.</w:t>
      </w:r>
      <w:r w:rsidR="00864393">
        <w:rPr>
          <w:rFonts w:ascii="David" w:hAnsi="David" w:cs="David" w:hint="cs"/>
          <w:rtl/>
        </w:rPr>
        <w:t xml:space="preserve"> </w:t>
      </w:r>
      <w:r w:rsidR="007A7E1E">
        <w:rPr>
          <w:rFonts w:ascii="David" w:hAnsi="David" w:cs="David" w:hint="cs"/>
          <w:rtl/>
        </w:rPr>
        <w:t xml:space="preserve">לפיכך, </w:t>
      </w:r>
      <w:r w:rsidR="00691D5F">
        <w:rPr>
          <w:rFonts w:ascii="David" w:hAnsi="David" w:cs="David" w:hint="cs"/>
          <w:rtl/>
        </w:rPr>
        <w:t xml:space="preserve">קיימת ברירה חדשה </w:t>
      </w:r>
      <w:r w:rsidR="005004FC">
        <w:rPr>
          <w:rFonts w:ascii="David" w:hAnsi="David" w:cs="David" w:hint="cs"/>
          <w:rtl/>
        </w:rPr>
        <w:t>בבחירת הערכאה ואין הצדדים מוגבלים לביד״ר.</w:t>
      </w:r>
      <w:r w:rsidR="00CF5FB0">
        <w:rPr>
          <w:rFonts w:ascii="David" w:hAnsi="David" w:cs="David" w:hint="cs"/>
          <w:rtl/>
        </w:rPr>
        <w:t xml:space="preserve"> </w:t>
      </w:r>
      <w:r w:rsidR="00DE709F" w:rsidRPr="00DE709F">
        <w:rPr>
          <w:rFonts w:ascii="David" w:hAnsi="David" w:cs="David" w:hint="cs"/>
          <w:u w:val="single"/>
          <w:rtl/>
        </w:rPr>
        <w:t>7.האם מדובר בבקשה לשינוי או ביטול פסק הדין</w:t>
      </w:r>
      <w:r w:rsidR="00DE709F">
        <w:rPr>
          <w:rFonts w:ascii="David" w:hAnsi="David" w:cs="David" w:hint="cs"/>
          <w:rtl/>
        </w:rPr>
        <w:t xml:space="preserve">- </w:t>
      </w:r>
      <w:r w:rsidR="009372C5">
        <w:rPr>
          <w:rFonts w:ascii="David" w:hAnsi="David" w:cs="David" w:hint="cs"/>
          <w:rtl/>
        </w:rPr>
        <w:t xml:space="preserve">ההבחנה בין פרשנות, אכיפה, שינוי וביטול הסכם אינה חדה לפיכך, </w:t>
      </w:r>
      <w:r w:rsidR="00135453">
        <w:rPr>
          <w:rFonts w:ascii="David" w:hAnsi="David" w:cs="David" w:hint="cs"/>
          <w:rtl/>
        </w:rPr>
        <w:t xml:space="preserve">יש לבחון את הסעד ואופיו הדומיננטי במשקפיים מהותיים </w:t>
      </w:r>
      <w:r w:rsidR="00135453" w:rsidRPr="00460505">
        <w:rPr>
          <w:rFonts w:ascii="David" w:hAnsi="David" w:cs="David" w:hint="cs"/>
          <w:b/>
          <w:bCs/>
          <w:rtl/>
        </w:rPr>
        <w:t>(חליווה)</w:t>
      </w:r>
      <w:r w:rsidR="00135453">
        <w:rPr>
          <w:rFonts w:ascii="David" w:hAnsi="David" w:cs="David" w:hint="cs"/>
          <w:rtl/>
        </w:rPr>
        <w:t>.</w:t>
      </w:r>
      <w:r w:rsidR="00CA4A58">
        <w:rPr>
          <w:rFonts w:ascii="David" w:hAnsi="David" w:cs="David" w:hint="cs"/>
          <w:rtl/>
        </w:rPr>
        <w:t xml:space="preserve"> </w:t>
      </w:r>
      <w:r w:rsidR="00DB4273" w:rsidRPr="003843E2">
        <w:rPr>
          <w:rFonts w:ascii="David" w:hAnsi="David" w:cs="David" w:hint="cs"/>
          <w:u w:val="single"/>
          <w:rtl/>
        </w:rPr>
        <w:t>כלל הסמכות הנמשכת</w:t>
      </w:r>
      <w:r w:rsidR="00DB4273">
        <w:rPr>
          <w:rFonts w:ascii="David" w:hAnsi="David" w:cs="David" w:hint="cs"/>
          <w:rtl/>
        </w:rPr>
        <w:t xml:space="preserve"> אינו חל על אכיפ</w:t>
      </w:r>
      <w:r w:rsidR="001E2BB8">
        <w:rPr>
          <w:rFonts w:ascii="David" w:hAnsi="David" w:cs="David" w:hint="cs"/>
          <w:rtl/>
        </w:rPr>
        <w:t>ה ופרשנות</w:t>
      </w:r>
      <w:r w:rsidR="00DB4273">
        <w:rPr>
          <w:rFonts w:ascii="David" w:hAnsi="David" w:cs="David" w:hint="cs"/>
          <w:rtl/>
        </w:rPr>
        <w:t xml:space="preserve"> הסכם לעומת שינוי או ביטול פסק דין </w:t>
      </w:r>
      <w:r w:rsidR="00DB4273" w:rsidRPr="004B06A6">
        <w:rPr>
          <w:rFonts w:ascii="David" w:hAnsi="David" w:cs="David" w:hint="cs"/>
          <w:b/>
          <w:bCs/>
          <w:rtl/>
        </w:rPr>
        <w:t>(</w:t>
      </w:r>
      <w:r w:rsidR="009A263A">
        <w:rPr>
          <w:rFonts w:ascii="David" w:hAnsi="David" w:cs="David" w:hint="cs"/>
          <w:b/>
          <w:bCs/>
          <w:rtl/>
        </w:rPr>
        <w:t>ורבר</w:t>
      </w:r>
      <w:r w:rsidR="00DB4273" w:rsidRPr="004B06A6">
        <w:rPr>
          <w:rFonts w:ascii="David" w:hAnsi="David" w:cs="David" w:hint="cs"/>
          <w:b/>
          <w:bCs/>
          <w:rtl/>
        </w:rPr>
        <w:t>)</w:t>
      </w:r>
      <w:r w:rsidR="00DB4273">
        <w:rPr>
          <w:rFonts w:ascii="David" w:hAnsi="David" w:cs="David" w:hint="cs"/>
          <w:rtl/>
        </w:rPr>
        <w:t xml:space="preserve">. </w:t>
      </w:r>
      <w:r w:rsidR="0018127B">
        <w:rPr>
          <w:rFonts w:ascii="David" w:hAnsi="David" w:cs="David" w:hint="cs"/>
          <w:rtl/>
        </w:rPr>
        <w:t>ביטול הסכם שקיבל תוקף של פסק דין</w:t>
      </w:r>
      <w:r w:rsidR="00C01478">
        <w:rPr>
          <w:rFonts w:ascii="David" w:hAnsi="David" w:cs="David" w:hint="cs"/>
          <w:rtl/>
        </w:rPr>
        <w:t xml:space="preserve"> ייעשה ע״י אחד מהשניים </w:t>
      </w:r>
      <w:r w:rsidR="00C01478" w:rsidRPr="00C01478">
        <w:rPr>
          <w:rFonts w:ascii="David" w:hAnsi="David" w:cs="David" w:hint="cs"/>
          <w:b/>
          <w:bCs/>
          <w:rtl/>
        </w:rPr>
        <w:t>(סימה)</w:t>
      </w:r>
      <w:r w:rsidR="00C01478">
        <w:rPr>
          <w:rFonts w:ascii="David" w:hAnsi="David" w:cs="David" w:hint="cs"/>
          <w:rtl/>
        </w:rPr>
        <w:t>:</w:t>
      </w:r>
      <w:r w:rsidR="0018127B">
        <w:rPr>
          <w:rFonts w:ascii="David" w:hAnsi="David" w:cs="David" w:hint="cs"/>
          <w:rtl/>
        </w:rPr>
        <w:t xml:space="preserve"> </w:t>
      </w:r>
      <w:r w:rsidR="00C01478" w:rsidRPr="003843E2">
        <w:rPr>
          <w:rFonts w:ascii="David" w:hAnsi="David" w:cs="David" w:hint="cs"/>
          <w:u w:val="single"/>
          <w:rtl/>
        </w:rPr>
        <w:t>א</w:t>
      </w:r>
      <w:r w:rsidR="00034265" w:rsidRPr="003843E2">
        <w:rPr>
          <w:rFonts w:ascii="David" w:hAnsi="David" w:cs="David" w:hint="cs"/>
          <w:u w:val="single"/>
          <w:rtl/>
        </w:rPr>
        <w:t>)</w:t>
      </w:r>
      <w:r w:rsidR="00037A94" w:rsidRPr="003843E2">
        <w:rPr>
          <w:rFonts w:ascii="David" w:hAnsi="David" w:cs="David" w:hint="cs"/>
          <w:u w:val="single"/>
          <w:rtl/>
        </w:rPr>
        <w:t xml:space="preserve">חל </w:t>
      </w:r>
      <w:r w:rsidR="00034265" w:rsidRPr="003843E2">
        <w:rPr>
          <w:rFonts w:ascii="David" w:hAnsi="David" w:cs="David" w:hint="cs"/>
          <w:u w:val="single"/>
          <w:rtl/>
        </w:rPr>
        <w:t xml:space="preserve">שינוי </w:t>
      </w:r>
      <w:r w:rsidR="00037A94" w:rsidRPr="003843E2">
        <w:rPr>
          <w:rFonts w:ascii="David" w:hAnsi="David" w:cs="David" w:hint="cs"/>
          <w:u w:val="single"/>
          <w:rtl/>
        </w:rPr>
        <w:t>מהותי ב</w:t>
      </w:r>
      <w:r w:rsidR="00034265" w:rsidRPr="003843E2">
        <w:rPr>
          <w:rFonts w:ascii="David" w:hAnsi="David" w:cs="David" w:hint="cs"/>
          <w:u w:val="single"/>
          <w:rtl/>
        </w:rPr>
        <w:t>נסיבות</w:t>
      </w:r>
      <w:r w:rsidR="008A73D9">
        <w:rPr>
          <w:rFonts w:ascii="David" w:hAnsi="David" w:cs="David" w:hint="cs"/>
          <w:rtl/>
        </w:rPr>
        <w:t xml:space="preserve">, </w:t>
      </w:r>
      <w:r w:rsidR="004B0F19">
        <w:rPr>
          <w:rFonts w:ascii="David" w:hAnsi="David" w:cs="David" w:hint="cs"/>
          <w:rtl/>
        </w:rPr>
        <w:t>עדנה מעוניינת להגר לארה״ב עם ילדיה</w:t>
      </w:r>
      <w:r w:rsidR="00514112">
        <w:rPr>
          <w:rFonts w:ascii="David" w:hAnsi="David" w:cs="David" w:hint="cs"/>
          <w:rtl/>
        </w:rPr>
        <w:t xml:space="preserve"> כאשר יוקר המחייה שם גבוה</w:t>
      </w:r>
      <w:r w:rsidR="008A73D9">
        <w:rPr>
          <w:rFonts w:ascii="David" w:hAnsi="David" w:cs="David" w:hint="cs"/>
          <w:rtl/>
        </w:rPr>
        <w:t>.</w:t>
      </w:r>
      <w:r w:rsidR="00AB531C">
        <w:rPr>
          <w:rFonts w:ascii="David" w:hAnsi="David" w:cs="David" w:hint="cs"/>
          <w:rtl/>
        </w:rPr>
        <w:t xml:space="preserve"> בעת עריכת ההסכם נסיבות אלו לא היו ידועות ולא נידונו כחלק מקביעת הסדר המשמורות והמזונות ולכן </w:t>
      </w:r>
      <w:r w:rsidR="007A0010" w:rsidRPr="003843E2">
        <w:rPr>
          <w:rFonts w:ascii="David" w:hAnsi="David" w:cs="David" w:hint="cs"/>
          <w:u w:val="single"/>
          <w:rtl/>
        </w:rPr>
        <w:t>המשך קיום ההסכם אינו צודק</w:t>
      </w:r>
      <w:r w:rsidR="007A0010">
        <w:rPr>
          <w:rFonts w:ascii="David" w:hAnsi="David" w:cs="David" w:hint="cs"/>
          <w:rtl/>
        </w:rPr>
        <w:t xml:space="preserve">. </w:t>
      </w:r>
      <w:r w:rsidR="005F42B0">
        <w:rPr>
          <w:rFonts w:ascii="David" w:hAnsi="David" w:cs="David" w:hint="cs"/>
          <w:rtl/>
        </w:rPr>
        <w:t xml:space="preserve">מנגד, </w:t>
      </w:r>
      <w:r w:rsidR="00F422D2">
        <w:rPr>
          <w:rFonts w:ascii="David" w:hAnsi="David" w:cs="David" w:hint="cs"/>
          <w:rtl/>
        </w:rPr>
        <w:t xml:space="preserve">בן זוגה החדש הינו עשיר ולכן אין לראות בכך שינוי נסיבות לעניין המזונות. </w:t>
      </w:r>
      <w:r w:rsidR="00037A94">
        <w:rPr>
          <w:rFonts w:ascii="David" w:hAnsi="David" w:cs="David" w:hint="cs"/>
          <w:rtl/>
        </w:rPr>
        <w:t xml:space="preserve">ב) </w:t>
      </w:r>
      <w:r w:rsidR="0038664C">
        <w:rPr>
          <w:rFonts w:ascii="David" w:hAnsi="David" w:cs="David" w:hint="cs"/>
          <w:rtl/>
        </w:rPr>
        <w:t xml:space="preserve">יש להצביע על </w:t>
      </w:r>
      <w:r w:rsidR="0038664C" w:rsidRPr="006C4B5A">
        <w:rPr>
          <w:rFonts w:ascii="David" w:hAnsi="David" w:cs="David" w:hint="cs"/>
          <w:u w:val="single"/>
          <w:rtl/>
        </w:rPr>
        <w:t>פגם מהותי</w:t>
      </w:r>
      <w:r w:rsidR="0038664C">
        <w:rPr>
          <w:rFonts w:ascii="David" w:hAnsi="David" w:cs="David" w:hint="cs"/>
          <w:rtl/>
        </w:rPr>
        <w:t xml:space="preserve"> שנפל בהסכם עצמו</w:t>
      </w:r>
      <w:r w:rsidR="00146C37">
        <w:rPr>
          <w:rFonts w:ascii="David" w:hAnsi="David" w:cs="David" w:hint="cs"/>
          <w:rtl/>
        </w:rPr>
        <w:t xml:space="preserve"> </w:t>
      </w:r>
      <w:r w:rsidR="0038664C" w:rsidRPr="0038664C">
        <w:rPr>
          <w:rFonts w:ascii="David" w:hAnsi="David" w:cs="David" w:hint="cs"/>
          <w:b/>
          <w:bCs/>
          <w:rtl/>
        </w:rPr>
        <w:t>(בג״ץ 300/22)</w:t>
      </w:r>
      <w:r w:rsidR="0038664C">
        <w:rPr>
          <w:rFonts w:ascii="David" w:hAnsi="David" w:cs="David" w:hint="cs"/>
          <w:rtl/>
        </w:rPr>
        <w:t xml:space="preserve">. </w:t>
      </w:r>
      <w:r w:rsidR="00AE13D3">
        <w:rPr>
          <w:rFonts w:ascii="David" w:hAnsi="David" w:cs="David" w:hint="cs"/>
          <w:rtl/>
        </w:rPr>
        <w:t xml:space="preserve">עדנה </w:t>
      </w:r>
      <w:r w:rsidR="009F6E82">
        <w:rPr>
          <w:rFonts w:ascii="David" w:hAnsi="David" w:cs="David" w:hint="cs"/>
          <w:rtl/>
        </w:rPr>
        <w:t>תנסה ל</w:t>
      </w:r>
      <w:r w:rsidR="00AE13D3">
        <w:rPr>
          <w:rFonts w:ascii="David" w:hAnsi="David" w:cs="David" w:hint="cs"/>
          <w:rtl/>
        </w:rPr>
        <w:t>טע</w:t>
      </w:r>
      <w:r w:rsidR="009F6E82">
        <w:rPr>
          <w:rFonts w:ascii="David" w:hAnsi="David" w:cs="David" w:hint="cs"/>
          <w:rtl/>
        </w:rPr>
        <w:t>ו</w:t>
      </w:r>
      <w:r w:rsidR="00AE13D3">
        <w:rPr>
          <w:rFonts w:ascii="David" w:hAnsi="David" w:cs="David" w:hint="cs"/>
          <w:rtl/>
        </w:rPr>
        <w:t xml:space="preserve">ן </w:t>
      </w:r>
      <w:r w:rsidR="00E8690A">
        <w:rPr>
          <w:rFonts w:ascii="David" w:hAnsi="David" w:cs="David" w:hint="cs"/>
          <w:rtl/>
        </w:rPr>
        <w:t xml:space="preserve">לטעות, היא לא ידעה כי תכיר את </w:t>
      </w:r>
      <w:r w:rsidR="00A15ED2">
        <w:rPr>
          <w:rFonts w:ascii="David" w:hAnsi="David" w:cs="David" w:hint="cs"/>
          <w:rtl/>
        </w:rPr>
        <w:t xml:space="preserve">ג׳וני ותרצה להגר לארה״ב. </w:t>
      </w:r>
      <w:r w:rsidR="00D20641">
        <w:rPr>
          <w:rFonts w:ascii="David" w:hAnsi="David" w:cs="David" w:hint="cs"/>
          <w:rtl/>
        </w:rPr>
        <w:t>נראה כי מדובר בפגם ברצון</w:t>
      </w:r>
      <w:r w:rsidR="00AD4B06">
        <w:rPr>
          <w:rFonts w:ascii="David" w:hAnsi="David" w:cs="David" w:hint="cs"/>
          <w:rtl/>
        </w:rPr>
        <w:t xml:space="preserve"> מאשר פגם מהותי לפי דיני החוזים. </w:t>
      </w:r>
      <w:r w:rsidR="00C8119E">
        <w:rPr>
          <w:rFonts w:ascii="David" w:hAnsi="David" w:cs="David" w:hint="cs"/>
          <w:rtl/>
        </w:rPr>
        <w:t>עדנה תוכל לנסות לטעון</w:t>
      </w:r>
      <w:r w:rsidR="001D555B">
        <w:rPr>
          <w:rFonts w:ascii="David" w:hAnsi="David" w:cs="David" w:hint="cs"/>
          <w:rtl/>
        </w:rPr>
        <w:t xml:space="preserve"> זאת</w:t>
      </w:r>
      <w:r w:rsidR="008B76E8">
        <w:rPr>
          <w:rFonts w:ascii="David" w:hAnsi="David" w:cs="David" w:hint="cs"/>
          <w:rtl/>
        </w:rPr>
        <w:t xml:space="preserve"> לחלופין </w:t>
      </w:r>
      <w:r w:rsidR="001D555B">
        <w:rPr>
          <w:rFonts w:ascii="David" w:hAnsi="David" w:cs="David" w:hint="cs"/>
          <w:rtl/>
        </w:rPr>
        <w:t>לאור</w:t>
      </w:r>
      <w:r w:rsidR="004E2383">
        <w:rPr>
          <w:rFonts w:ascii="David" w:hAnsi="David" w:cs="David" w:hint="cs"/>
          <w:rtl/>
        </w:rPr>
        <w:t xml:space="preserve"> </w:t>
      </w:r>
      <w:r w:rsidR="001474AD" w:rsidRPr="0036569E">
        <w:rPr>
          <w:rFonts w:ascii="David" w:hAnsi="David" w:cs="David" w:hint="cs"/>
          <w:b/>
          <w:bCs/>
          <w:rtl/>
        </w:rPr>
        <w:t>בג״ץ 10991/07</w:t>
      </w:r>
      <w:r w:rsidR="001D555B">
        <w:rPr>
          <w:rFonts w:ascii="David" w:hAnsi="David" w:cs="David" w:hint="cs"/>
          <w:rtl/>
        </w:rPr>
        <w:t>.</w:t>
      </w:r>
      <w:r w:rsidR="0036569E">
        <w:rPr>
          <w:rFonts w:ascii="David" w:hAnsi="David" w:cs="David" w:hint="cs"/>
          <w:rtl/>
        </w:rPr>
        <w:t xml:space="preserve"> שם, נקבע כי</w:t>
      </w:r>
      <w:r w:rsidR="00C8119E">
        <w:rPr>
          <w:rFonts w:ascii="David" w:hAnsi="David" w:cs="David" w:hint="cs"/>
          <w:rtl/>
        </w:rPr>
        <w:t xml:space="preserve"> </w:t>
      </w:r>
      <w:r w:rsidR="001C10D3">
        <w:rPr>
          <w:rFonts w:ascii="David" w:hAnsi="David" w:cs="David" w:hint="cs"/>
          <w:rtl/>
        </w:rPr>
        <w:t xml:space="preserve">ביד״ר </w:t>
      </w:r>
      <w:r w:rsidR="008B76E8">
        <w:rPr>
          <w:rFonts w:ascii="David" w:hAnsi="David" w:cs="David" w:hint="cs"/>
          <w:rtl/>
        </w:rPr>
        <w:t>לא רכש סמכות</w:t>
      </w:r>
      <w:r w:rsidR="001474AD">
        <w:rPr>
          <w:rFonts w:ascii="David" w:hAnsi="David" w:cs="David" w:hint="cs"/>
          <w:rtl/>
        </w:rPr>
        <w:t xml:space="preserve"> </w:t>
      </w:r>
      <w:r w:rsidR="004E2383">
        <w:rPr>
          <w:rFonts w:ascii="David" w:hAnsi="David" w:cs="David" w:hint="cs"/>
          <w:rtl/>
        </w:rPr>
        <w:t>בנסיבות בהן האישה ויתרה ע</w:t>
      </w:r>
      <w:r w:rsidR="0036569E">
        <w:rPr>
          <w:rFonts w:ascii="David" w:hAnsi="David" w:cs="David" w:hint="cs"/>
          <w:rtl/>
        </w:rPr>
        <w:t xml:space="preserve">ל זכויותיה </w:t>
      </w:r>
      <w:r w:rsidR="005D5864">
        <w:rPr>
          <w:rFonts w:ascii="David" w:hAnsi="David" w:cs="David" w:hint="cs"/>
          <w:rtl/>
        </w:rPr>
        <w:t>ולא חתמה מרצון</w:t>
      </w:r>
      <w:r w:rsidR="0036569E">
        <w:rPr>
          <w:rFonts w:ascii="David" w:hAnsi="David" w:cs="David" w:hint="cs"/>
          <w:rtl/>
        </w:rPr>
        <w:t xml:space="preserve">. ניתן להקיש מכך לעניינינו, גם כאן </w:t>
      </w:r>
      <w:r w:rsidR="0061683E">
        <w:rPr>
          <w:rFonts w:ascii="David" w:hAnsi="David" w:cs="David" w:hint="cs"/>
          <w:rtl/>
        </w:rPr>
        <w:t xml:space="preserve">קביעת ההסכם לא נעשתה עקב  </w:t>
      </w:r>
      <w:r w:rsidR="0036569E">
        <w:rPr>
          <w:rFonts w:ascii="David" w:hAnsi="David" w:cs="David" w:hint="cs"/>
          <w:rtl/>
        </w:rPr>
        <w:t>רצונה החופשי</w:t>
      </w:r>
      <w:r w:rsidR="0061683E">
        <w:rPr>
          <w:rFonts w:ascii="David" w:hAnsi="David" w:cs="David" w:hint="cs"/>
          <w:rtl/>
        </w:rPr>
        <w:t xml:space="preserve"> של עדנה</w:t>
      </w:r>
      <w:r w:rsidR="00FF0705">
        <w:rPr>
          <w:rFonts w:ascii="David" w:hAnsi="David" w:cs="David" w:hint="cs"/>
          <w:rtl/>
        </w:rPr>
        <w:t xml:space="preserve">, </w:t>
      </w:r>
      <w:r w:rsidR="00B65461">
        <w:rPr>
          <w:rFonts w:ascii="David" w:hAnsi="David" w:cs="David" w:hint="cs"/>
          <w:rtl/>
        </w:rPr>
        <w:t xml:space="preserve">נוסח ההסכם אף מעיד על כך. </w:t>
      </w:r>
      <w:r w:rsidR="00925E63">
        <w:rPr>
          <w:rFonts w:ascii="David" w:hAnsi="David" w:cs="David" w:hint="cs"/>
          <w:rtl/>
        </w:rPr>
        <w:t>ברם, אבשלו</w:t>
      </w:r>
      <w:r w:rsidR="005D5864">
        <w:rPr>
          <w:rFonts w:ascii="David" w:hAnsi="David" w:cs="David" w:hint="cs"/>
          <w:rtl/>
        </w:rPr>
        <w:t>ם</w:t>
      </w:r>
      <w:r w:rsidR="00925E63">
        <w:rPr>
          <w:rFonts w:ascii="David" w:hAnsi="David" w:cs="David" w:hint="cs"/>
          <w:rtl/>
        </w:rPr>
        <w:t xml:space="preserve"> יטען כי </w:t>
      </w:r>
      <w:r w:rsidR="0003257B">
        <w:rPr>
          <w:rFonts w:ascii="David" w:hAnsi="David" w:cs="David" w:hint="cs"/>
          <w:rtl/>
        </w:rPr>
        <w:t xml:space="preserve">שם הייתה אלימות במשפחה ולכן יש </w:t>
      </w:r>
      <w:r w:rsidR="00925E63">
        <w:rPr>
          <w:rFonts w:ascii="David" w:hAnsi="David" w:cs="David" w:hint="cs"/>
          <w:rtl/>
        </w:rPr>
        <w:t>הבדל בנסיבות</w:t>
      </w:r>
      <w:r w:rsidR="003703C3">
        <w:rPr>
          <w:rFonts w:ascii="David" w:hAnsi="David" w:cs="David" w:hint="cs"/>
          <w:rtl/>
        </w:rPr>
        <w:t>.</w:t>
      </w:r>
      <w:r w:rsidR="0068558F">
        <w:rPr>
          <w:rFonts w:ascii="David" w:hAnsi="David" w:cs="David" w:hint="cs"/>
          <w:rtl/>
        </w:rPr>
        <w:t xml:space="preserve"> בנוסף, לעניין המשמורת רשום כי ״הצדדים הסכימו״ ול</w:t>
      </w:r>
      <w:r w:rsidR="00E15782">
        <w:rPr>
          <w:rFonts w:ascii="David" w:hAnsi="David" w:cs="David" w:hint="cs"/>
          <w:rtl/>
        </w:rPr>
        <w:t xml:space="preserve">א אין תוקף לטענתה בעניין המשמורת. </w:t>
      </w:r>
      <w:r w:rsidR="00FB0249">
        <w:rPr>
          <w:rFonts w:ascii="David" w:hAnsi="David" w:cs="David" w:hint="cs"/>
          <w:rtl/>
        </w:rPr>
        <w:t xml:space="preserve">נראה כי אין עילה לביטול ההסכם. </w:t>
      </w:r>
      <w:r w:rsidR="00B354BF">
        <w:rPr>
          <w:rFonts w:ascii="David" w:hAnsi="David" w:cs="David" w:hint="cs"/>
          <w:rtl/>
        </w:rPr>
        <w:t>עדנה מעוניינת להגדיל את סכום המזונות ולקבל משמורת מלאה</w:t>
      </w:r>
      <w:r w:rsidR="00FB0249">
        <w:rPr>
          <w:rFonts w:ascii="David" w:hAnsi="David" w:cs="David" w:hint="cs"/>
          <w:rtl/>
        </w:rPr>
        <w:t xml:space="preserve"> ולכן תבקש את </w:t>
      </w:r>
      <w:r w:rsidR="00FB0249" w:rsidRPr="000101D1">
        <w:rPr>
          <w:rFonts w:ascii="David" w:hAnsi="David" w:cs="David" w:hint="cs"/>
          <w:u w:val="single"/>
          <w:rtl/>
        </w:rPr>
        <w:t>שינוי ההסכם</w:t>
      </w:r>
      <w:r w:rsidR="00FB0249">
        <w:rPr>
          <w:rFonts w:ascii="David" w:hAnsi="David" w:cs="David" w:hint="cs"/>
          <w:rtl/>
        </w:rPr>
        <w:t>.</w:t>
      </w:r>
      <w:r w:rsidR="00B354BF">
        <w:rPr>
          <w:rFonts w:ascii="David" w:hAnsi="David" w:cs="David" w:hint="cs"/>
          <w:rtl/>
        </w:rPr>
        <w:t xml:space="preserve"> אבשלום יטען לכלל ההמשכיות </w:t>
      </w:r>
      <w:r w:rsidR="002C506B">
        <w:rPr>
          <w:rFonts w:ascii="David" w:hAnsi="David" w:cs="David" w:hint="cs"/>
          <w:rtl/>
        </w:rPr>
        <w:t>לפיו הסמכות לשינוי ההסכם תהיה לביד״ר אשר אישר את ההסכם</w:t>
      </w:r>
      <w:r w:rsidR="00FE58F3">
        <w:rPr>
          <w:rFonts w:ascii="David" w:hAnsi="David" w:cs="David" w:hint="cs"/>
          <w:rtl/>
        </w:rPr>
        <w:t xml:space="preserve"> </w:t>
      </w:r>
      <w:r w:rsidR="00FE58F3" w:rsidRPr="00FE58F3">
        <w:rPr>
          <w:rFonts w:ascii="David" w:hAnsi="David" w:cs="David" w:hint="cs"/>
          <w:b/>
          <w:bCs/>
          <w:rtl/>
        </w:rPr>
        <w:t>(</w:t>
      </w:r>
      <w:r w:rsidR="00CA0BC7">
        <w:rPr>
          <w:rFonts w:ascii="David" w:hAnsi="David" w:cs="David" w:hint="cs"/>
          <w:b/>
          <w:bCs/>
          <w:rtl/>
        </w:rPr>
        <w:t xml:space="preserve">פס״ד </w:t>
      </w:r>
      <w:r w:rsidR="00FE58F3" w:rsidRPr="00FE58F3">
        <w:rPr>
          <w:rFonts w:ascii="David" w:hAnsi="David" w:cs="David" w:hint="cs"/>
          <w:b/>
          <w:bCs/>
          <w:rtl/>
        </w:rPr>
        <w:t>מאייר)</w:t>
      </w:r>
      <w:r w:rsidR="002C506B">
        <w:rPr>
          <w:rFonts w:ascii="David" w:hAnsi="David" w:cs="David" w:hint="cs"/>
          <w:rtl/>
        </w:rPr>
        <w:t xml:space="preserve">. מנגד, </w:t>
      </w:r>
      <w:r w:rsidR="00695AF5">
        <w:rPr>
          <w:rFonts w:ascii="David" w:hAnsi="David" w:cs="David" w:hint="cs"/>
          <w:rtl/>
        </w:rPr>
        <w:t>עדנה תטען כי אין ל</w:t>
      </w:r>
      <w:r w:rsidR="00A943DE">
        <w:rPr>
          <w:rFonts w:ascii="David" w:hAnsi="David" w:cs="David" w:hint="cs"/>
          <w:rtl/>
        </w:rPr>
        <w:t>הסיק</w:t>
      </w:r>
      <w:r w:rsidR="00695AF5">
        <w:rPr>
          <w:rFonts w:ascii="David" w:hAnsi="David" w:cs="David" w:hint="cs"/>
          <w:rtl/>
        </w:rPr>
        <w:t xml:space="preserve"> </w:t>
      </w:r>
      <w:r w:rsidR="00695AF5" w:rsidRPr="00135C8E">
        <w:rPr>
          <w:rFonts w:ascii="David" w:hAnsi="David" w:cs="David" w:hint="cs"/>
          <w:u w:val="single"/>
          <w:rtl/>
        </w:rPr>
        <w:t xml:space="preserve">הסכמה </w:t>
      </w:r>
      <w:r w:rsidR="00A943DE" w:rsidRPr="00135C8E">
        <w:rPr>
          <w:rFonts w:ascii="David" w:hAnsi="David" w:cs="David" w:hint="cs"/>
          <w:u w:val="single"/>
          <w:rtl/>
        </w:rPr>
        <w:t>מכללא</w:t>
      </w:r>
      <w:r w:rsidR="00A943DE">
        <w:rPr>
          <w:rFonts w:ascii="David" w:hAnsi="David" w:cs="David" w:hint="cs"/>
          <w:rtl/>
        </w:rPr>
        <w:t xml:space="preserve"> לסמכות</w:t>
      </w:r>
      <w:r w:rsidR="00E3595F">
        <w:rPr>
          <w:rFonts w:ascii="David" w:hAnsi="David" w:cs="David" w:hint="cs"/>
          <w:rtl/>
        </w:rPr>
        <w:t xml:space="preserve"> הדיון עקב הגשת ההסכם לאישור ביד״ר</w:t>
      </w:r>
      <w:r w:rsidR="00DC03D9">
        <w:rPr>
          <w:rFonts w:ascii="David" w:hAnsi="David" w:cs="David" w:hint="cs"/>
          <w:rtl/>
        </w:rPr>
        <w:t xml:space="preserve"> </w:t>
      </w:r>
      <w:r w:rsidR="00DC03D9" w:rsidRPr="00DC03D9">
        <w:rPr>
          <w:rFonts w:ascii="David" w:hAnsi="David" w:cs="David" w:hint="cs"/>
          <w:b/>
          <w:bCs/>
          <w:rtl/>
        </w:rPr>
        <w:t>(בג״ץ 9734/03)</w:t>
      </w:r>
      <w:r w:rsidR="00DC03D9" w:rsidRPr="00DC03D9">
        <w:rPr>
          <w:rFonts w:ascii="David" w:hAnsi="David" w:cs="David" w:hint="cs"/>
          <w:rtl/>
        </w:rPr>
        <w:t>.</w:t>
      </w:r>
      <w:r w:rsidR="00DC03D9">
        <w:rPr>
          <w:rFonts w:ascii="David" w:hAnsi="David" w:cs="David" w:hint="cs"/>
          <w:b/>
          <w:bCs/>
          <w:rtl/>
        </w:rPr>
        <w:t xml:space="preserve"> </w:t>
      </w:r>
      <w:r w:rsidR="00DF120B">
        <w:rPr>
          <w:rFonts w:ascii="David" w:hAnsi="David" w:cs="David" w:hint="cs"/>
          <w:rtl/>
        </w:rPr>
        <w:t xml:space="preserve">יתרה מכך, עדנה התנגדה לסמכות ביד״ר </w:t>
      </w:r>
      <w:r w:rsidR="001A5EEA">
        <w:rPr>
          <w:rFonts w:ascii="David" w:hAnsi="David" w:cs="David" w:hint="cs"/>
          <w:rtl/>
        </w:rPr>
        <w:t>כנדרש ל</w:t>
      </w:r>
      <w:r w:rsidR="00DF120B">
        <w:rPr>
          <w:rFonts w:ascii="David" w:hAnsi="David" w:cs="David" w:hint="cs"/>
          <w:rtl/>
        </w:rPr>
        <w:t xml:space="preserve">פי </w:t>
      </w:r>
      <w:r w:rsidR="00DF120B" w:rsidRPr="00135C8E">
        <w:rPr>
          <w:rFonts w:ascii="David" w:hAnsi="David" w:cs="David" w:hint="cs"/>
          <w:u w:val="single"/>
          <w:rtl/>
        </w:rPr>
        <w:t>כלל ההזדמנות הראשונה</w:t>
      </w:r>
      <w:r w:rsidR="004E2455">
        <w:rPr>
          <w:rFonts w:ascii="David" w:hAnsi="David" w:cs="David" w:hint="cs"/>
          <w:rtl/>
        </w:rPr>
        <w:t>.</w:t>
      </w:r>
      <w:r w:rsidR="001A5EEA">
        <w:rPr>
          <w:rFonts w:ascii="David" w:hAnsi="David" w:cs="David" w:hint="cs"/>
          <w:rtl/>
        </w:rPr>
        <w:t xml:space="preserve"> </w:t>
      </w:r>
      <w:r w:rsidR="00625AA1">
        <w:rPr>
          <w:rFonts w:ascii="David" w:hAnsi="David" w:cs="David" w:hint="cs"/>
          <w:rtl/>
        </w:rPr>
        <w:t xml:space="preserve">בנוסף, עדנה תטען כי אבשלום מעוניין </w:t>
      </w:r>
      <w:r w:rsidR="00625AA1" w:rsidRPr="000101D1">
        <w:rPr>
          <w:rFonts w:ascii="David" w:hAnsi="David" w:cs="David" w:hint="cs"/>
          <w:u w:val="single"/>
          <w:rtl/>
        </w:rPr>
        <w:t>באכיפת ההסכם</w:t>
      </w:r>
      <w:r w:rsidR="00625AA1">
        <w:rPr>
          <w:rFonts w:ascii="David" w:hAnsi="David" w:cs="David" w:hint="cs"/>
          <w:rtl/>
        </w:rPr>
        <w:t xml:space="preserve"> בעוד כלל הסמכות הנמשכת אינו חל עליו</w:t>
      </w:r>
      <w:r w:rsidR="001D2AA7">
        <w:rPr>
          <w:rFonts w:ascii="David" w:hAnsi="David" w:cs="David" w:hint="cs"/>
          <w:rtl/>
        </w:rPr>
        <w:t xml:space="preserve">. </w:t>
      </w:r>
      <w:r w:rsidR="004027A3">
        <w:rPr>
          <w:rFonts w:ascii="David" w:hAnsi="David" w:cs="David" w:hint="cs"/>
          <w:rtl/>
        </w:rPr>
        <w:t>מנגד</w:t>
      </w:r>
      <w:r w:rsidR="003732C5">
        <w:rPr>
          <w:rFonts w:ascii="David" w:hAnsi="David" w:cs="David" w:hint="cs"/>
          <w:rtl/>
        </w:rPr>
        <w:t xml:space="preserve">, </w:t>
      </w:r>
      <w:r w:rsidR="004027A3">
        <w:rPr>
          <w:rFonts w:ascii="David" w:hAnsi="David" w:cs="David" w:hint="cs"/>
          <w:rtl/>
        </w:rPr>
        <w:t>אבשלום</w:t>
      </w:r>
      <w:r w:rsidR="003732C5">
        <w:rPr>
          <w:rFonts w:ascii="David" w:hAnsi="David" w:cs="David" w:hint="cs"/>
          <w:rtl/>
        </w:rPr>
        <w:t xml:space="preserve"> יכולה לנסות לטעון </w:t>
      </w:r>
      <w:r w:rsidR="004027A3">
        <w:rPr>
          <w:rFonts w:ascii="David" w:hAnsi="David" w:cs="David" w:hint="cs"/>
          <w:rtl/>
        </w:rPr>
        <w:t xml:space="preserve">כי הסדר המשמרות מתייחס </w:t>
      </w:r>
      <w:r w:rsidR="00A17F1F">
        <w:rPr>
          <w:rFonts w:ascii="David" w:hAnsi="David" w:cs="David" w:hint="cs"/>
          <w:rtl/>
        </w:rPr>
        <w:t xml:space="preserve">גם למצב של הגירה אולם, כלל הסמכות הנמשכת לא חל על </w:t>
      </w:r>
      <w:r w:rsidR="003732C5" w:rsidRPr="000101D1">
        <w:rPr>
          <w:rFonts w:ascii="David" w:hAnsi="David" w:cs="David" w:hint="cs"/>
          <w:u w:val="single"/>
          <w:rtl/>
        </w:rPr>
        <w:t>פרשנות ההסכם</w:t>
      </w:r>
      <w:r w:rsidR="00A17F1F">
        <w:rPr>
          <w:rFonts w:ascii="David" w:hAnsi="David" w:cs="David" w:hint="cs"/>
          <w:rtl/>
        </w:rPr>
        <w:t>.</w:t>
      </w:r>
    </w:p>
    <w:sectPr w:rsidR="007F381D" w:rsidRPr="00120EB4" w:rsidSect="009879CD">
      <w:headerReference w:type="default" r:id="rId7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1391" w14:textId="77777777" w:rsidR="009879CD" w:rsidRDefault="009879CD" w:rsidP="00D47F77">
      <w:r>
        <w:separator/>
      </w:r>
    </w:p>
  </w:endnote>
  <w:endnote w:type="continuationSeparator" w:id="0">
    <w:p w14:paraId="6A427E6C" w14:textId="77777777" w:rsidR="009879CD" w:rsidRDefault="009879CD" w:rsidP="00D4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TUR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ED5D" w14:textId="77777777" w:rsidR="009879CD" w:rsidRDefault="009879CD" w:rsidP="00D47F77">
      <w:r>
        <w:separator/>
      </w:r>
    </w:p>
  </w:footnote>
  <w:footnote w:type="continuationSeparator" w:id="0">
    <w:p w14:paraId="5A689C1D" w14:textId="77777777" w:rsidR="009879CD" w:rsidRDefault="009879CD" w:rsidP="00D4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E99E" w14:textId="3B3C173D" w:rsidR="00D47F77" w:rsidRPr="00D47F77" w:rsidRDefault="00666A02" w:rsidP="002D2ADF">
    <w:pPr>
      <w:pStyle w:val="aa"/>
      <w:rPr>
        <w:rFonts w:ascii="David" w:hAnsi="David" w:cs="David"/>
      </w:rPr>
    </w:pPr>
    <w:r>
      <w:rPr>
        <w:rFonts w:ascii="David" w:hAnsi="David" w:cs="David" w:hint="cs"/>
        <w:rtl/>
      </w:rPr>
      <w:t xml:space="preserve">עבודה 1 </w:t>
    </w:r>
    <w:r>
      <w:rPr>
        <w:rFonts w:ascii="David" w:hAnsi="David" w:cs="David"/>
        <w:rtl/>
      </w:rPr>
      <w:t>–</w:t>
    </w:r>
    <w:r>
      <w:rPr>
        <w:rFonts w:ascii="David" w:hAnsi="David" w:cs="David" w:hint="cs"/>
        <w:rtl/>
      </w:rPr>
      <w:t xml:space="preserve"> </w:t>
    </w:r>
    <w:r w:rsidR="0011398D">
      <w:rPr>
        <w:rFonts w:ascii="David" w:hAnsi="David" w:cs="David" w:hint="cs"/>
        <w:rtl/>
      </w:rPr>
      <w:t xml:space="preserve">דיני משפחה       </w:t>
    </w:r>
    <w:r>
      <w:rPr>
        <w:rFonts w:ascii="David" w:hAnsi="David" w:cs="David" w:hint="cs"/>
        <w:rtl/>
      </w:rPr>
      <w:t xml:space="preserve">                                                            </w:t>
    </w:r>
    <w:r w:rsidR="0011398D">
      <w:rPr>
        <w:rFonts w:ascii="David" w:hAnsi="David" w:cs="David" w:hint="cs"/>
        <w:rtl/>
      </w:rPr>
      <w:t xml:space="preserve">  </w:t>
    </w:r>
    <w:r>
      <w:rPr>
        <w:rFonts w:ascii="David" w:hAnsi="David" w:cs="David" w:hint="cs"/>
        <w:rtl/>
      </w:rPr>
      <w:t xml:space="preserve">                    </w:t>
    </w:r>
    <w:r w:rsidR="002D2ADF">
      <w:rPr>
        <w:rFonts w:ascii="David" w:hAnsi="David" w:cs="David" w:hint="cs"/>
        <w:rtl/>
      </w:rPr>
      <w:t xml:space="preserve">            </w:t>
    </w:r>
    <w:r>
      <w:rPr>
        <w:rFonts w:ascii="David" w:hAnsi="David" w:cs="David" w:hint="cs"/>
        <w:rtl/>
      </w:rPr>
      <w:t xml:space="preserve">  </w:t>
    </w:r>
    <w:r w:rsidR="002D2ADF">
      <w:rPr>
        <w:rFonts w:ascii="David" w:hAnsi="David" w:cs="David" w:hint="cs"/>
        <w:rtl/>
      </w:rPr>
      <w:t xml:space="preserve">                </w:t>
    </w:r>
    <w:r w:rsidR="00D47F77" w:rsidRPr="00D47F77">
      <w:rPr>
        <w:rFonts w:ascii="David" w:hAnsi="David" w:cs="David"/>
        <w:rtl/>
      </w:rPr>
      <w:t>רז רחמני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309"/>
    <w:multiLevelType w:val="hybridMultilevel"/>
    <w:tmpl w:val="F1921506"/>
    <w:lvl w:ilvl="0" w:tplc="403ED8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700"/>
    <w:multiLevelType w:val="hybridMultilevel"/>
    <w:tmpl w:val="A6687E0A"/>
    <w:lvl w:ilvl="0" w:tplc="A38009A6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BC6"/>
    <w:multiLevelType w:val="hybridMultilevel"/>
    <w:tmpl w:val="CC3EF5B0"/>
    <w:lvl w:ilvl="0" w:tplc="6F3A8708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76DA"/>
    <w:multiLevelType w:val="hybridMultilevel"/>
    <w:tmpl w:val="5F00E2A6"/>
    <w:lvl w:ilvl="0" w:tplc="D346D05A">
      <w:start w:val="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23AB"/>
    <w:multiLevelType w:val="hybridMultilevel"/>
    <w:tmpl w:val="B5785AF8"/>
    <w:lvl w:ilvl="0" w:tplc="794E3642">
      <w:start w:val="1"/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  <w:b w:val="0"/>
        <w:bCs w:val="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3592"/>
    <w:multiLevelType w:val="hybridMultilevel"/>
    <w:tmpl w:val="65D2B432"/>
    <w:lvl w:ilvl="0" w:tplc="8FF08F2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05E9F"/>
    <w:multiLevelType w:val="hybridMultilevel"/>
    <w:tmpl w:val="89EA4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252773"/>
    <w:multiLevelType w:val="hybridMultilevel"/>
    <w:tmpl w:val="9D5AF92A"/>
    <w:lvl w:ilvl="0" w:tplc="5AD2C2F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347C8"/>
    <w:multiLevelType w:val="hybridMultilevel"/>
    <w:tmpl w:val="E8F0CD34"/>
    <w:lvl w:ilvl="0" w:tplc="7B968F3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308CE"/>
    <w:multiLevelType w:val="hybridMultilevel"/>
    <w:tmpl w:val="F04ACACC"/>
    <w:lvl w:ilvl="0" w:tplc="9BEC3E0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270F3"/>
    <w:multiLevelType w:val="hybridMultilevel"/>
    <w:tmpl w:val="7764DB3C"/>
    <w:lvl w:ilvl="0" w:tplc="5B56491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02151"/>
    <w:multiLevelType w:val="hybridMultilevel"/>
    <w:tmpl w:val="5AD64DCA"/>
    <w:lvl w:ilvl="0" w:tplc="B4D62E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257F"/>
    <w:multiLevelType w:val="hybridMultilevel"/>
    <w:tmpl w:val="A6B4D8EC"/>
    <w:lvl w:ilvl="0" w:tplc="A8BCE76C">
      <w:start w:val="1"/>
      <w:numFmt w:val="hebrew1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BA7CDF"/>
    <w:multiLevelType w:val="hybridMultilevel"/>
    <w:tmpl w:val="8FB6BF04"/>
    <w:lvl w:ilvl="0" w:tplc="90F81D5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25460">
    <w:abstractNumId w:val="0"/>
  </w:num>
  <w:num w:numId="2" w16cid:durableId="1102410269">
    <w:abstractNumId w:val="7"/>
  </w:num>
  <w:num w:numId="3" w16cid:durableId="1022558656">
    <w:abstractNumId w:val="8"/>
  </w:num>
  <w:num w:numId="4" w16cid:durableId="1483036675">
    <w:abstractNumId w:val="6"/>
  </w:num>
  <w:num w:numId="5" w16cid:durableId="1095710410">
    <w:abstractNumId w:val="12"/>
  </w:num>
  <w:num w:numId="6" w16cid:durableId="640035124">
    <w:abstractNumId w:val="3"/>
  </w:num>
  <w:num w:numId="7" w16cid:durableId="1513374197">
    <w:abstractNumId w:val="10"/>
  </w:num>
  <w:num w:numId="8" w16cid:durableId="123618402">
    <w:abstractNumId w:val="2"/>
  </w:num>
  <w:num w:numId="9" w16cid:durableId="475994433">
    <w:abstractNumId w:val="5"/>
  </w:num>
  <w:num w:numId="10" w16cid:durableId="1470590823">
    <w:abstractNumId w:val="1"/>
  </w:num>
  <w:num w:numId="11" w16cid:durableId="317733543">
    <w:abstractNumId w:val="13"/>
  </w:num>
  <w:num w:numId="12" w16cid:durableId="1717662924">
    <w:abstractNumId w:val="11"/>
  </w:num>
  <w:num w:numId="13" w16cid:durableId="1901986594">
    <w:abstractNumId w:val="9"/>
  </w:num>
  <w:num w:numId="14" w16cid:durableId="1592155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9C"/>
    <w:rsid w:val="00005E12"/>
    <w:rsid w:val="00007804"/>
    <w:rsid w:val="000101D1"/>
    <w:rsid w:val="00013AAA"/>
    <w:rsid w:val="00016294"/>
    <w:rsid w:val="00021C02"/>
    <w:rsid w:val="00022358"/>
    <w:rsid w:val="00022420"/>
    <w:rsid w:val="00022FDF"/>
    <w:rsid w:val="00022FF9"/>
    <w:rsid w:val="000252DF"/>
    <w:rsid w:val="00027EBC"/>
    <w:rsid w:val="0003257B"/>
    <w:rsid w:val="00032958"/>
    <w:rsid w:val="00034265"/>
    <w:rsid w:val="00037A94"/>
    <w:rsid w:val="00044F53"/>
    <w:rsid w:val="00045845"/>
    <w:rsid w:val="00054BB3"/>
    <w:rsid w:val="000557BB"/>
    <w:rsid w:val="00057727"/>
    <w:rsid w:val="00061277"/>
    <w:rsid w:val="00070D71"/>
    <w:rsid w:val="00070EE1"/>
    <w:rsid w:val="0007267D"/>
    <w:rsid w:val="00072A14"/>
    <w:rsid w:val="00072B44"/>
    <w:rsid w:val="0007393B"/>
    <w:rsid w:val="00075FDB"/>
    <w:rsid w:val="0009231F"/>
    <w:rsid w:val="00093356"/>
    <w:rsid w:val="00094414"/>
    <w:rsid w:val="00094F32"/>
    <w:rsid w:val="000B1A29"/>
    <w:rsid w:val="000B1BF4"/>
    <w:rsid w:val="000C345E"/>
    <w:rsid w:val="000D4D0B"/>
    <w:rsid w:val="000D5BD7"/>
    <w:rsid w:val="000E3F9C"/>
    <w:rsid w:val="000F2897"/>
    <w:rsid w:val="000F47E5"/>
    <w:rsid w:val="00106461"/>
    <w:rsid w:val="00112E24"/>
    <w:rsid w:val="0011398D"/>
    <w:rsid w:val="00120EB4"/>
    <w:rsid w:val="00121441"/>
    <w:rsid w:val="00123586"/>
    <w:rsid w:val="00123849"/>
    <w:rsid w:val="0012404F"/>
    <w:rsid w:val="00127041"/>
    <w:rsid w:val="001271CB"/>
    <w:rsid w:val="00131214"/>
    <w:rsid w:val="00135453"/>
    <w:rsid w:val="00135A7A"/>
    <w:rsid w:val="00135C8E"/>
    <w:rsid w:val="00136C95"/>
    <w:rsid w:val="00146C37"/>
    <w:rsid w:val="001474AD"/>
    <w:rsid w:val="00147CDF"/>
    <w:rsid w:val="0015173D"/>
    <w:rsid w:val="00156E4D"/>
    <w:rsid w:val="0016594E"/>
    <w:rsid w:val="001730AA"/>
    <w:rsid w:val="00180664"/>
    <w:rsid w:val="0018127B"/>
    <w:rsid w:val="00183F2A"/>
    <w:rsid w:val="00190B8C"/>
    <w:rsid w:val="001972CE"/>
    <w:rsid w:val="001A3CEB"/>
    <w:rsid w:val="001A5EEA"/>
    <w:rsid w:val="001B5D55"/>
    <w:rsid w:val="001B7333"/>
    <w:rsid w:val="001B7FAE"/>
    <w:rsid w:val="001C10D3"/>
    <w:rsid w:val="001C2B80"/>
    <w:rsid w:val="001C7141"/>
    <w:rsid w:val="001D2978"/>
    <w:rsid w:val="001D2AA7"/>
    <w:rsid w:val="001D4E81"/>
    <w:rsid w:val="001D555B"/>
    <w:rsid w:val="001E2BB8"/>
    <w:rsid w:val="001F1970"/>
    <w:rsid w:val="001F1A26"/>
    <w:rsid w:val="00200035"/>
    <w:rsid w:val="0020736C"/>
    <w:rsid w:val="00216730"/>
    <w:rsid w:val="00226B49"/>
    <w:rsid w:val="002325CC"/>
    <w:rsid w:val="00232FE6"/>
    <w:rsid w:val="0024023D"/>
    <w:rsid w:val="00240837"/>
    <w:rsid w:val="00246E6C"/>
    <w:rsid w:val="00252D7A"/>
    <w:rsid w:val="00255D57"/>
    <w:rsid w:val="00262EBD"/>
    <w:rsid w:val="00267478"/>
    <w:rsid w:val="002711CB"/>
    <w:rsid w:val="002716D8"/>
    <w:rsid w:val="00271765"/>
    <w:rsid w:val="0027250A"/>
    <w:rsid w:val="00293009"/>
    <w:rsid w:val="002A2AF2"/>
    <w:rsid w:val="002A5647"/>
    <w:rsid w:val="002B7600"/>
    <w:rsid w:val="002C102C"/>
    <w:rsid w:val="002C37EC"/>
    <w:rsid w:val="002C506B"/>
    <w:rsid w:val="002C5099"/>
    <w:rsid w:val="002C7A2A"/>
    <w:rsid w:val="002D2ADF"/>
    <w:rsid w:val="002E3BA5"/>
    <w:rsid w:val="002E4B5A"/>
    <w:rsid w:val="002E5A35"/>
    <w:rsid w:val="002E716B"/>
    <w:rsid w:val="002F11F8"/>
    <w:rsid w:val="002F124C"/>
    <w:rsid w:val="002F3763"/>
    <w:rsid w:val="002F3AB3"/>
    <w:rsid w:val="00301CA4"/>
    <w:rsid w:val="00303A32"/>
    <w:rsid w:val="00312DBF"/>
    <w:rsid w:val="00312E1F"/>
    <w:rsid w:val="00316A05"/>
    <w:rsid w:val="00316EE4"/>
    <w:rsid w:val="003208AD"/>
    <w:rsid w:val="0032552B"/>
    <w:rsid w:val="00327C0E"/>
    <w:rsid w:val="0034271C"/>
    <w:rsid w:val="00350B6E"/>
    <w:rsid w:val="0035190F"/>
    <w:rsid w:val="003542AF"/>
    <w:rsid w:val="0035536A"/>
    <w:rsid w:val="00360739"/>
    <w:rsid w:val="0036135A"/>
    <w:rsid w:val="0036569E"/>
    <w:rsid w:val="00366629"/>
    <w:rsid w:val="003703C3"/>
    <w:rsid w:val="003732C5"/>
    <w:rsid w:val="003771A6"/>
    <w:rsid w:val="0038183E"/>
    <w:rsid w:val="003830F8"/>
    <w:rsid w:val="003843E2"/>
    <w:rsid w:val="0038664C"/>
    <w:rsid w:val="003902D8"/>
    <w:rsid w:val="00392EC2"/>
    <w:rsid w:val="00393731"/>
    <w:rsid w:val="00397E19"/>
    <w:rsid w:val="003A0FE5"/>
    <w:rsid w:val="003A7CD3"/>
    <w:rsid w:val="003B5BE7"/>
    <w:rsid w:val="003C51FD"/>
    <w:rsid w:val="003C6421"/>
    <w:rsid w:val="003D0C5C"/>
    <w:rsid w:val="003F2F0B"/>
    <w:rsid w:val="003F49E0"/>
    <w:rsid w:val="003F4ABA"/>
    <w:rsid w:val="003F7FE4"/>
    <w:rsid w:val="00401588"/>
    <w:rsid w:val="004027A3"/>
    <w:rsid w:val="00420040"/>
    <w:rsid w:val="004203C8"/>
    <w:rsid w:val="004223EF"/>
    <w:rsid w:val="00423746"/>
    <w:rsid w:val="004246FB"/>
    <w:rsid w:val="004307E4"/>
    <w:rsid w:val="00432219"/>
    <w:rsid w:val="00432888"/>
    <w:rsid w:val="00437797"/>
    <w:rsid w:val="0044455A"/>
    <w:rsid w:val="004446CD"/>
    <w:rsid w:val="00445F60"/>
    <w:rsid w:val="004468D1"/>
    <w:rsid w:val="00447943"/>
    <w:rsid w:val="00452D79"/>
    <w:rsid w:val="00456C74"/>
    <w:rsid w:val="004579B8"/>
    <w:rsid w:val="00460505"/>
    <w:rsid w:val="00460C2E"/>
    <w:rsid w:val="004669D0"/>
    <w:rsid w:val="00472C7B"/>
    <w:rsid w:val="0047734D"/>
    <w:rsid w:val="00486C96"/>
    <w:rsid w:val="00493D62"/>
    <w:rsid w:val="004A095A"/>
    <w:rsid w:val="004A2ADD"/>
    <w:rsid w:val="004A631B"/>
    <w:rsid w:val="004B06A6"/>
    <w:rsid w:val="004B0F19"/>
    <w:rsid w:val="004B39AF"/>
    <w:rsid w:val="004B4CB4"/>
    <w:rsid w:val="004B6146"/>
    <w:rsid w:val="004B6B04"/>
    <w:rsid w:val="004B7826"/>
    <w:rsid w:val="004C15DD"/>
    <w:rsid w:val="004C1F3C"/>
    <w:rsid w:val="004C5288"/>
    <w:rsid w:val="004D3018"/>
    <w:rsid w:val="004E2383"/>
    <w:rsid w:val="004E2455"/>
    <w:rsid w:val="004E2E37"/>
    <w:rsid w:val="004F2381"/>
    <w:rsid w:val="004F4FFE"/>
    <w:rsid w:val="004F5B9B"/>
    <w:rsid w:val="004F6CE6"/>
    <w:rsid w:val="005004FC"/>
    <w:rsid w:val="00514112"/>
    <w:rsid w:val="00516448"/>
    <w:rsid w:val="0052577F"/>
    <w:rsid w:val="00530E18"/>
    <w:rsid w:val="00534A05"/>
    <w:rsid w:val="00536D85"/>
    <w:rsid w:val="00537A60"/>
    <w:rsid w:val="00537BCB"/>
    <w:rsid w:val="0054765A"/>
    <w:rsid w:val="00554655"/>
    <w:rsid w:val="00560377"/>
    <w:rsid w:val="005629BD"/>
    <w:rsid w:val="00562D8F"/>
    <w:rsid w:val="005635F1"/>
    <w:rsid w:val="00563B2B"/>
    <w:rsid w:val="00564125"/>
    <w:rsid w:val="00573098"/>
    <w:rsid w:val="00573A1B"/>
    <w:rsid w:val="00583E85"/>
    <w:rsid w:val="00587C5B"/>
    <w:rsid w:val="005923F6"/>
    <w:rsid w:val="00593706"/>
    <w:rsid w:val="00596A2B"/>
    <w:rsid w:val="0059715F"/>
    <w:rsid w:val="005B1230"/>
    <w:rsid w:val="005B3449"/>
    <w:rsid w:val="005C1259"/>
    <w:rsid w:val="005C6E81"/>
    <w:rsid w:val="005C7CB0"/>
    <w:rsid w:val="005D1F2D"/>
    <w:rsid w:val="005D5864"/>
    <w:rsid w:val="005D5F33"/>
    <w:rsid w:val="005D7259"/>
    <w:rsid w:val="005D7B3D"/>
    <w:rsid w:val="005F42B0"/>
    <w:rsid w:val="005F5128"/>
    <w:rsid w:val="0060572D"/>
    <w:rsid w:val="00607DA0"/>
    <w:rsid w:val="006146D4"/>
    <w:rsid w:val="0061683E"/>
    <w:rsid w:val="00625AA1"/>
    <w:rsid w:val="006272E4"/>
    <w:rsid w:val="00632453"/>
    <w:rsid w:val="00640A87"/>
    <w:rsid w:val="00644775"/>
    <w:rsid w:val="006475D0"/>
    <w:rsid w:val="00662117"/>
    <w:rsid w:val="006633F2"/>
    <w:rsid w:val="006656E3"/>
    <w:rsid w:val="00665C7C"/>
    <w:rsid w:val="00666A02"/>
    <w:rsid w:val="00671D2E"/>
    <w:rsid w:val="00676195"/>
    <w:rsid w:val="00681EBB"/>
    <w:rsid w:val="0068369E"/>
    <w:rsid w:val="0068558F"/>
    <w:rsid w:val="00691D5F"/>
    <w:rsid w:val="00692120"/>
    <w:rsid w:val="00695AF5"/>
    <w:rsid w:val="006A62E5"/>
    <w:rsid w:val="006B4A13"/>
    <w:rsid w:val="006B7979"/>
    <w:rsid w:val="006C3183"/>
    <w:rsid w:val="006C4B5A"/>
    <w:rsid w:val="006E1EA3"/>
    <w:rsid w:val="006E4FD7"/>
    <w:rsid w:val="006E7D22"/>
    <w:rsid w:val="006F06C4"/>
    <w:rsid w:val="006F5BD6"/>
    <w:rsid w:val="00713468"/>
    <w:rsid w:val="00715AF0"/>
    <w:rsid w:val="007231F3"/>
    <w:rsid w:val="00727F54"/>
    <w:rsid w:val="00733345"/>
    <w:rsid w:val="007344C5"/>
    <w:rsid w:val="00742977"/>
    <w:rsid w:val="00747B3C"/>
    <w:rsid w:val="007536D2"/>
    <w:rsid w:val="00754313"/>
    <w:rsid w:val="0075468D"/>
    <w:rsid w:val="00756F17"/>
    <w:rsid w:val="007576B0"/>
    <w:rsid w:val="00761D44"/>
    <w:rsid w:val="007626DE"/>
    <w:rsid w:val="00770251"/>
    <w:rsid w:val="007736E5"/>
    <w:rsid w:val="007768DE"/>
    <w:rsid w:val="00777F42"/>
    <w:rsid w:val="00781825"/>
    <w:rsid w:val="00783AB7"/>
    <w:rsid w:val="0078538A"/>
    <w:rsid w:val="00791673"/>
    <w:rsid w:val="0079586D"/>
    <w:rsid w:val="00795C88"/>
    <w:rsid w:val="0079631B"/>
    <w:rsid w:val="007A0010"/>
    <w:rsid w:val="007A2355"/>
    <w:rsid w:val="007A7E1E"/>
    <w:rsid w:val="007B64AB"/>
    <w:rsid w:val="007C0597"/>
    <w:rsid w:val="007C678C"/>
    <w:rsid w:val="007C7AC5"/>
    <w:rsid w:val="007E28A6"/>
    <w:rsid w:val="007E6DA5"/>
    <w:rsid w:val="007F381D"/>
    <w:rsid w:val="008040B2"/>
    <w:rsid w:val="0080541F"/>
    <w:rsid w:val="008058A5"/>
    <w:rsid w:val="008074B6"/>
    <w:rsid w:val="0081781B"/>
    <w:rsid w:val="00821E38"/>
    <w:rsid w:val="00823654"/>
    <w:rsid w:val="00823B62"/>
    <w:rsid w:val="008243DD"/>
    <w:rsid w:val="008253BF"/>
    <w:rsid w:val="008253D0"/>
    <w:rsid w:val="00826D12"/>
    <w:rsid w:val="00836266"/>
    <w:rsid w:val="0083746A"/>
    <w:rsid w:val="00842E78"/>
    <w:rsid w:val="008524E8"/>
    <w:rsid w:val="00854160"/>
    <w:rsid w:val="008556F6"/>
    <w:rsid w:val="00856830"/>
    <w:rsid w:val="00864393"/>
    <w:rsid w:val="00864A77"/>
    <w:rsid w:val="00865190"/>
    <w:rsid w:val="00875BE3"/>
    <w:rsid w:val="00877059"/>
    <w:rsid w:val="00884917"/>
    <w:rsid w:val="0089138C"/>
    <w:rsid w:val="00893E09"/>
    <w:rsid w:val="008941CE"/>
    <w:rsid w:val="008963FB"/>
    <w:rsid w:val="008A2114"/>
    <w:rsid w:val="008A2B3A"/>
    <w:rsid w:val="008A73D9"/>
    <w:rsid w:val="008A7B3F"/>
    <w:rsid w:val="008B1DE2"/>
    <w:rsid w:val="008B3ED4"/>
    <w:rsid w:val="008B76E8"/>
    <w:rsid w:val="008C0C26"/>
    <w:rsid w:val="008C2ED5"/>
    <w:rsid w:val="008C3423"/>
    <w:rsid w:val="008C5692"/>
    <w:rsid w:val="008E015B"/>
    <w:rsid w:val="008E069A"/>
    <w:rsid w:val="008F6467"/>
    <w:rsid w:val="00910304"/>
    <w:rsid w:val="00912636"/>
    <w:rsid w:val="00917890"/>
    <w:rsid w:val="00921DD0"/>
    <w:rsid w:val="00922A53"/>
    <w:rsid w:val="00924BE3"/>
    <w:rsid w:val="00925E63"/>
    <w:rsid w:val="00925F73"/>
    <w:rsid w:val="009260DB"/>
    <w:rsid w:val="00931B31"/>
    <w:rsid w:val="00931EDA"/>
    <w:rsid w:val="00933798"/>
    <w:rsid w:val="00934C04"/>
    <w:rsid w:val="00936A53"/>
    <w:rsid w:val="009372C5"/>
    <w:rsid w:val="00937948"/>
    <w:rsid w:val="009422FE"/>
    <w:rsid w:val="00943B8F"/>
    <w:rsid w:val="0095038C"/>
    <w:rsid w:val="00950B84"/>
    <w:rsid w:val="009547DC"/>
    <w:rsid w:val="00963B6B"/>
    <w:rsid w:val="00973719"/>
    <w:rsid w:val="00974CC0"/>
    <w:rsid w:val="00977CC9"/>
    <w:rsid w:val="009817FE"/>
    <w:rsid w:val="00987383"/>
    <w:rsid w:val="009879CD"/>
    <w:rsid w:val="00993403"/>
    <w:rsid w:val="009970AB"/>
    <w:rsid w:val="009A0868"/>
    <w:rsid w:val="009A263A"/>
    <w:rsid w:val="009B223A"/>
    <w:rsid w:val="009C4F5B"/>
    <w:rsid w:val="009C5846"/>
    <w:rsid w:val="009D448B"/>
    <w:rsid w:val="009E13DC"/>
    <w:rsid w:val="009E7051"/>
    <w:rsid w:val="009F0089"/>
    <w:rsid w:val="009F2E0B"/>
    <w:rsid w:val="009F6E82"/>
    <w:rsid w:val="00A023EA"/>
    <w:rsid w:val="00A07F7A"/>
    <w:rsid w:val="00A10621"/>
    <w:rsid w:val="00A117C7"/>
    <w:rsid w:val="00A133C2"/>
    <w:rsid w:val="00A14197"/>
    <w:rsid w:val="00A15ED2"/>
    <w:rsid w:val="00A17F1F"/>
    <w:rsid w:val="00A20CE4"/>
    <w:rsid w:val="00A2240B"/>
    <w:rsid w:val="00A22E89"/>
    <w:rsid w:val="00A2682D"/>
    <w:rsid w:val="00A31F3A"/>
    <w:rsid w:val="00A332A9"/>
    <w:rsid w:val="00A404F2"/>
    <w:rsid w:val="00A513A3"/>
    <w:rsid w:val="00A52F28"/>
    <w:rsid w:val="00A56E8A"/>
    <w:rsid w:val="00A77638"/>
    <w:rsid w:val="00A82095"/>
    <w:rsid w:val="00A8429E"/>
    <w:rsid w:val="00A86D10"/>
    <w:rsid w:val="00A90F70"/>
    <w:rsid w:val="00A919D2"/>
    <w:rsid w:val="00A943DE"/>
    <w:rsid w:val="00AA17E3"/>
    <w:rsid w:val="00AA2ED5"/>
    <w:rsid w:val="00AB531C"/>
    <w:rsid w:val="00AB69DA"/>
    <w:rsid w:val="00AC3883"/>
    <w:rsid w:val="00AC5BEC"/>
    <w:rsid w:val="00AC7089"/>
    <w:rsid w:val="00AD0F7A"/>
    <w:rsid w:val="00AD4B06"/>
    <w:rsid w:val="00AD6190"/>
    <w:rsid w:val="00AD6D06"/>
    <w:rsid w:val="00AE13D3"/>
    <w:rsid w:val="00AE4E32"/>
    <w:rsid w:val="00AE6625"/>
    <w:rsid w:val="00AF2C37"/>
    <w:rsid w:val="00AF5A3C"/>
    <w:rsid w:val="00B01175"/>
    <w:rsid w:val="00B06C68"/>
    <w:rsid w:val="00B12C0D"/>
    <w:rsid w:val="00B13D66"/>
    <w:rsid w:val="00B14C9C"/>
    <w:rsid w:val="00B30E40"/>
    <w:rsid w:val="00B31DD8"/>
    <w:rsid w:val="00B354BF"/>
    <w:rsid w:val="00B47177"/>
    <w:rsid w:val="00B55F9E"/>
    <w:rsid w:val="00B63508"/>
    <w:rsid w:val="00B64236"/>
    <w:rsid w:val="00B65461"/>
    <w:rsid w:val="00B70D67"/>
    <w:rsid w:val="00B712F2"/>
    <w:rsid w:val="00B845FA"/>
    <w:rsid w:val="00B84935"/>
    <w:rsid w:val="00B968BE"/>
    <w:rsid w:val="00B97715"/>
    <w:rsid w:val="00BA7928"/>
    <w:rsid w:val="00BB02BE"/>
    <w:rsid w:val="00BB44B8"/>
    <w:rsid w:val="00BB77B2"/>
    <w:rsid w:val="00BB78B7"/>
    <w:rsid w:val="00BC0ABB"/>
    <w:rsid w:val="00BD0C51"/>
    <w:rsid w:val="00BD3692"/>
    <w:rsid w:val="00BD58E9"/>
    <w:rsid w:val="00BE0BB6"/>
    <w:rsid w:val="00BE4C28"/>
    <w:rsid w:val="00BF6530"/>
    <w:rsid w:val="00BF78BA"/>
    <w:rsid w:val="00BF7A5D"/>
    <w:rsid w:val="00C01478"/>
    <w:rsid w:val="00C03FEC"/>
    <w:rsid w:val="00C07752"/>
    <w:rsid w:val="00C11264"/>
    <w:rsid w:val="00C11979"/>
    <w:rsid w:val="00C16194"/>
    <w:rsid w:val="00C20AB1"/>
    <w:rsid w:val="00C24907"/>
    <w:rsid w:val="00C27132"/>
    <w:rsid w:val="00C30264"/>
    <w:rsid w:val="00C402BF"/>
    <w:rsid w:val="00C40921"/>
    <w:rsid w:val="00C4194A"/>
    <w:rsid w:val="00C509EC"/>
    <w:rsid w:val="00C514B0"/>
    <w:rsid w:val="00C52FC0"/>
    <w:rsid w:val="00C56CD3"/>
    <w:rsid w:val="00C56ED6"/>
    <w:rsid w:val="00C63FD8"/>
    <w:rsid w:val="00C64DCD"/>
    <w:rsid w:val="00C73445"/>
    <w:rsid w:val="00C8119E"/>
    <w:rsid w:val="00C81BC0"/>
    <w:rsid w:val="00C909B5"/>
    <w:rsid w:val="00C90FF6"/>
    <w:rsid w:val="00C93D37"/>
    <w:rsid w:val="00CA0BC7"/>
    <w:rsid w:val="00CA3ABF"/>
    <w:rsid w:val="00CA4A58"/>
    <w:rsid w:val="00CB0C41"/>
    <w:rsid w:val="00CB430A"/>
    <w:rsid w:val="00CB4997"/>
    <w:rsid w:val="00CB4AD4"/>
    <w:rsid w:val="00CC0A70"/>
    <w:rsid w:val="00CD036A"/>
    <w:rsid w:val="00CD6B17"/>
    <w:rsid w:val="00CE30E9"/>
    <w:rsid w:val="00CE335D"/>
    <w:rsid w:val="00CE45DE"/>
    <w:rsid w:val="00CE5EB6"/>
    <w:rsid w:val="00CE6176"/>
    <w:rsid w:val="00CE730C"/>
    <w:rsid w:val="00CF2BF0"/>
    <w:rsid w:val="00CF5FB0"/>
    <w:rsid w:val="00D0105A"/>
    <w:rsid w:val="00D04BEA"/>
    <w:rsid w:val="00D11BAB"/>
    <w:rsid w:val="00D1223F"/>
    <w:rsid w:val="00D16FCB"/>
    <w:rsid w:val="00D20641"/>
    <w:rsid w:val="00D2201E"/>
    <w:rsid w:val="00D22D68"/>
    <w:rsid w:val="00D278CF"/>
    <w:rsid w:val="00D40BF3"/>
    <w:rsid w:val="00D47F77"/>
    <w:rsid w:val="00D5068D"/>
    <w:rsid w:val="00D50A63"/>
    <w:rsid w:val="00D50C4B"/>
    <w:rsid w:val="00D542CB"/>
    <w:rsid w:val="00D70EF5"/>
    <w:rsid w:val="00D75E3B"/>
    <w:rsid w:val="00D76748"/>
    <w:rsid w:val="00D81A40"/>
    <w:rsid w:val="00D85A42"/>
    <w:rsid w:val="00D934C0"/>
    <w:rsid w:val="00D93C78"/>
    <w:rsid w:val="00D95486"/>
    <w:rsid w:val="00D96180"/>
    <w:rsid w:val="00D97F1A"/>
    <w:rsid w:val="00DB4273"/>
    <w:rsid w:val="00DB78C3"/>
    <w:rsid w:val="00DC03D9"/>
    <w:rsid w:val="00DC3920"/>
    <w:rsid w:val="00DC69E0"/>
    <w:rsid w:val="00DD0E3E"/>
    <w:rsid w:val="00DE3AD4"/>
    <w:rsid w:val="00DE709F"/>
    <w:rsid w:val="00DE734C"/>
    <w:rsid w:val="00DE740C"/>
    <w:rsid w:val="00DF120B"/>
    <w:rsid w:val="00DF3819"/>
    <w:rsid w:val="00DF723B"/>
    <w:rsid w:val="00DF7DF5"/>
    <w:rsid w:val="00E00114"/>
    <w:rsid w:val="00E00494"/>
    <w:rsid w:val="00E0592C"/>
    <w:rsid w:val="00E0628D"/>
    <w:rsid w:val="00E15782"/>
    <w:rsid w:val="00E21010"/>
    <w:rsid w:val="00E26311"/>
    <w:rsid w:val="00E346F2"/>
    <w:rsid w:val="00E3595F"/>
    <w:rsid w:val="00E47FDF"/>
    <w:rsid w:val="00E67025"/>
    <w:rsid w:val="00E67116"/>
    <w:rsid w:val="00E777A3"/>
    <w:rsid w:val="00E8353D"/>
    <w:rsid w:val="00E8690A"/>
    <w:rsid w:val="00E95E32"/>
    <w:rsid w:val="00EA16ED"/>
    <w:rsid w:val="00EA3FF7"/>
    <w:rsid w:val="00EB51DE"/>
    <w:rsid w:val="00EB6ED8"/>
    <w:rsid w:val="00EC694C"/>
    <w:rsid w:val="00EC748E"/>
    <w:rsid w:val="00ED771D"/>
    <w:rsid w:val="00EE44DB"/>
    <w:rsid w:val="00EE5EFE"/>
    <w:rsid w:val="00F1139E"/>
    <w:rsid w:val="00F1260D"/>
    <w:rsid w:val="00F12B13"/>
    <w:rsid w:val="00F17D10"/>
    <w:rsid w:val="00F266D6"/>
    <w:rsid w:val="00F32842"/>
    <w:rsid w:val="00F34DBB"/>
    <w:rsid w:val="00F34F60"/>
    <w:rsid w:val="00F36E61"/>
    <w:rsid w:val="00F422D2"/>
    <w:rsid w:val="00F47057"/>
    <w:rsid w:val="00F5670B"/>
    <w:rsid w:val="00F57CDD"/>
    <w:rsid w:val="00F605E6"/>
    <w:rsid w:val="00F62EA3"/>
    <w:rsid w:val="00F70B9A"/>
    <w:rsid w:val="00F71D29"/>
    <w:rsid w:val="00F73269"/>
    <w:rsid w:val="00F800AB"/>
    <w:rsid w:val="00F81880"/>
    <w:rsid w:val="00F84A54"/>
    <w:rsid w:val="00F86C8E"/>
    <w:rsid w:val="00F8743E"/>
    <w:rsid w:val="00F9128F"/>
    <w:rsid w:val="00F92CBC"/>
    <w:rsid w:val="00FA5FF7"/>
    <w:rsid w:val="00FA7ACA"/>
    <w:rsid w:val="00FB0249"/>
    <w:rsid w:val="00FB2380"/>
    <w:rsid w:val="00FB28B6"/>
    <w:rsid w:val="00FB7282"/>
    <w:rsid w:val="00FB7441"/>
    <w:rsid w:val="00FC3D87"/>
    <w:rsid w:val="00FC3DEC"/>
    <w:rsid w:val="00FD15B5"/>
    <w:rsid w:val="00FD2809"/>
    <w:rsid w:val="00FD54C5"/>
    <w:rsid w:val="00FE34EA"/>
    <w:rsid w:val="00FE58F3"/>
    <w:rsid w:val="00FE77A4"/>
    <w:rsid w:val="00FF0068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62A3"/>
  <w15:chartTrackingRefBased/>
  <w15:docId w15:val="{49761F4E-9B7D-0E44-B630-568DA615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F6C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6CE6"/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4F6CE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6CE6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4F6CE6"/>
    <w:rPr>
      <w:b/>
      <w:bCs/>
      <w:sz w:val="20"/>
      <w:szCs w:val="20"/>
    </w:rPr>
  </w:style>
  <w:style w:type="character" w:styleId="Hyperlink">
    <w:name w:val="Hyperlink"/>
    <w:basedOn w:val="a0"/>
    <w:unhideWhenUsed/>
    <w:rsid w:val="00692120"/>
    <w:rPr>
      <w:color w:val="0000FF"/>
      <w:u w:val="single"/>
    </w:rPr>
  </w:style>
  <w:style w:type="paragraph" w:customStyle="1" w:styleId="P00">
    <w:name w:val="P00"/>
    <w:rsid w:val="0069212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rsid w:val="00692120"/>
    <w:rPr>
      <w:rFonts w:ascii="Times New Roman" w:hAnsi="Times New Roman" w:cs="Times New Roman"/>
      <w:sz w:val="20"/>
      <w:szCs w:val="26"/>
    </w:rPr>
  </w:style>
  <w:style w:type="character" w:customStyle="1" w:styleId="big-number">
    <w:name w:val="big-number"/>
    <w:rsid w:val="00692120"/>
    <w:rPr>
      <w:rFonts w:ascii="Times New Roman" w:hAnsi="Times New Roman" w:cs="Miriam"/>
      <w:sz w:val="20"/>
      <w:szCs w:val="32"/>
    </w:rPr>
  </w:style>
  <w:style w:type="paragraph" w:customStyle="1" w:styleId="ruller4">
    <w:name w:val="ruller4"/>
    <w:basedOn w:val="a"/>
    <w:rsid w:val="00B01175"/>
    <w:pPr>
      <w:overflowPunct w:val="0"/>
      <w:autoSpaceDE w:val="0"/>
      <w:autoSpaceDN w:val="0"/>
      <w:spacing w:line="360" w:lineRule="auto"/>
      <w:jc w:val="both"/>
    </w:pPr>
    <w:rPr>
      <w:rFonts w:ascii="Arial TUR" w:eastAsia="Times New Roman" w:hAnsi="Arial TUR" w:cs="Times New Roman"/>
      <w:spacing w:val="10"/>
      <w:sz w:val="22"/>
      <w:szCs w:val="22"/>
      <w:lang w:eastAsia="he-IL"/>
    </w:rPr>
  </w:style>
  <w:style w:type="paragraph" w:customStyle="1" w:styleId="P22">
    <w:name w:val="P22"/>
    <w:basedOn w:val="P00"/>
    <w:rsid w:val="00FD54C5"/>
    <w:pPr>
      <w:tabs>
        <w:tab w:val="clear" w:pos="624"/>
        <w:tab w:val="clear" w:pos="1021"/>
      </w:tabs>
      <w:ind w:right="1021"/>
    </w:pPr>
    <w:rPr>
      <w:rFonts w:cs="Times New Roman"/>
    </w:rPr>
  </w:style>
  <w:style w:type="paragraph" w:styleId="a9">
    <w:name w:val="No Spacing"/>
    <w:uiPriority w:val="1"/>
    <w:qFormat/>
    <w:rsid w:val="000F47E5"/>
    <w:pPr>
      <w:bidi/>
    </w:pPr>
    <w:rPr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47F77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rsid w:val="00D47F77"/>
  </w:style>
  <w:style w:type="paragraph" w:styleId="ac">
    <w:name w:val="footer"/>
    <w:basedOn w:val="a"/>
    <w:link w:val="ad"/>
    <w:uiPriority w:val="99"/>
    <w:unhideWhenUsed/>
    <w:rsid w:val="00D47F77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D4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1881</Words>
  <Characters>8786</Characters>
  <Application>Microsoft Office Word</Application>
  <DocSecurity>0</DocSecurity>
  <Lines>183</Lines>
  <Paragraphs>89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 Rahmany</dc:creator>
  <cp:keywords/>
  <dc:description/>
  <cp:lastModifiedBy>Raz Rahmany</cp:lastModifiedBy>
  <cp:revision>583</cp:revision>
  <dcterms:created xsi:type="dcterms:W3CDTF">2022-12-31T14:10:00Z</dcterms:created>
  <dcterms:modified xsi:type="dcterms:W3CDTF">2024-01-03T23:28:00Z</dcterms:modified>
</cp:coreProperties>
</file>