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E1F4" w14:textId="7FBD2695" w:rsidR="00055834" w:rsidRPr="00A92176" w:rsidRDefault="00BD6C39" w:rsidP="00AA2603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David" w:hAnsi="David" w:cs="David"/>
          <w:color w:val="FF0000"/>
          <w:sz w:val="24"/>
          <w:szCs w:val="24"/>
          <w:u w:val="single"/>
          <w:rtl/>
        </w:rPr>
      </w:pPr>
      <w:r w:rsidRPr="00860C20">
        <w:rPr>
          <w:rFonts w:ascii="David" w:hAnsi="David" w:cs="David"/>
          <w:sz w:val="24"/>
          <w:szCs w:val="24"/>
          <w:u w:val="single"/>
          <w:rtl/>
        </w:rPr>
        <w:t>פתרון ל</w:t>
      </w:r>
      <w:r w:rsidR="00CE388A" w:rsidRPr="00860C20">
        <w:rPr>
          <w:rFonts w:ascii="David" w:hAnsi="David" w:cs="David"/>
          <w:sz w:val="24"/>
          <w:szCs w:val="24"/>
          <w:u w:val="single"/>
          <w:rtl/>
        </w:rPr>
        <w:t>עבודה בנושא סמכויות - קורס בדיני משפחה, פרופ' שחר ליפשיץ, תש</w:t>
      </w:r>
      <w:r w:rsidR="00DB2CCD" w:rsidRPr="00860C20">
        <w:rPr>
          <w:rFonts w:ascii="David" w:hAnsi="David" w:cs="David"/>
          <w:sz w:val="24"/>
          <w:szCs w:val="24"/>
          <w:u w:val="single"/>
          <w:rtl/>
        </w:rPr>
        <w:t>פ"</w:t>
      </w:r>
      <w:r w:rsidR="005960C9" w:rsidRPr="00860C20">
        <w:rPr>
          <w:rFonts w:ascii="David" w:hAnsi="David" w:cs="David" w:hint="cs"/>
          <w:sz w:val="24"/>
          <w:szCs w:val="24"/>
          <w:u w:val="single"/>
          <w:rtl/>
        </w:rPr>
        <w:t>ג</w:t>
      </w:r>
      <w:r w:rsidR="009B732A" w:rsidRPr="00860C20"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  <w:r w:rsidR="00A92176">
        <w:rPr>
          <w:rFonts w:ascii="David" w:hAnsi="David" w:cs="David" w:hint="cs"/>
          <w:color w:val="FF0000"/>
          <w:sz w:val="24"/>
          <w:szCs w:val="24"/>
          <w:u w:val="single"/>
          <w:rtl/>
        </w:rPr>
        <w:t>רז רחמני ציון 99</w:t>
      </w:r>
    </w:p>
    <w:p w14:paraId="655395CD" w14:textId="34FAFE3B" w:rsidR="005960C9" w:rsidRPr="00860C20" w:rsidRDefault="00232B22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b/>
          <w:bCs/>
          <w:rtl/>
        </w:rPr>
        <w:t xml:space="preserve">א. </w:t>
      </w:r>
      <w:r w:rsidR="005960C9" w:rsidRPr="00860C20">
        <w:rPr>
          <w:rtl/>
        </w:rPr>
        <w:t xml:space="preserve">בהתאם לס' 3(ז) לחוק הסדר התדיינויות בסכסוכי משפחה, </w:t>
      </w:r>
      <w:r w:rsidR="005960C9" w:rsidRPr="00860C20">
        <w:rPr>
          <w:rFonts w:hint="cs"/>
          <w:rtl/>
        </w:rPr>
        <w:t xml:space="preserve">עדנה תוכל להגיש תביעת מזונות ילדים </w:t>
      </w:r>
      <w:r w:rsidR="005960C9" w:rsidRPr="00860C20">
        <w:rPr>
          <w:rtl/>
        </w:rPr>
        <w:t>מאחר ומדובר בסעד דחוף</w:t>
      </w:r>
      <w:r w:rsidR="005960C9" w:rsidRPr="00860C20">
        <w:rPr>
          <w:rFonts w:hint="cs"/>
          <w:rtl/>
        </w:rPr>
        <w:t xml:space="preserve"> ולקבוע הסדר זמני</w:t>
      </w:r>
      <w:r w:rsidR="005960C9" w:rsidRPr="00860C20">
        <w:rPr>
          <w:rtl/>
        </w:rPr>
        <w:t>.</w:t>
      </w:r>
      <w:r w:rsidR="005960C9" w:rsidRPr="00860C20">
        <w:rPr>
          <w:rFonts w:hint="cs"/>
          <w:rtl/>
        </w:rPr>
        <w:t xml:space="preserve"> </w:t>
      </w:r>
      <w:r w:rsidR="005960C9" w:rsidRPr="00860C20">
        <w:rPr>
          <w:rtl/>
        </w:rPr>
        <w:t>היא תוכל להגיש את הבקשה לערכאה המוסמכת לפי דין – כלומר לבית הדין הרבני או לבית המשפט לענייני משפחה.</w:t>
      </w:r>
      <w:r w:rsidR="005960C9" w:rsidRPr="00860C20">
        <w:rPr>
          <w:rFonts w:hint="cs"/>
          <w:rtl/>
        </w:rPr>
        <w:t xml:space="preserve"> </w:t>
      </w:r>
    </w:p>
    <w:p w14:paraId="7EE1B9AE" w14:textId="30BE1C19" w:rsidR="00525078" w:rsidRPr="00860C20" w:rsidRDefault="001D6195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  <w:rtl/>
        </w:rPr>
      </w:pPr>
      <w:r w:rsidRPr="00860C20">
        <w:rPr>
          <w:b/>
          <w:bCs/>
          <w:rtl/>
        </w:rPr>
        <w:t xml:space="preserve">ב. </w:t>
      </w:r>
      <w:bookmarkStart w:id="0" w:name="_Hlk123497908"/>
      <w:r w:rsidR="00525078" w:rsidRPr="00860C20">
        <w:rPr>
          <w:b/>
          <w:bCs/>
          <w:u w:val="single"/>
          <w:rtl/>
        </w:rPr>
        <w:t xml:space="preserve">בחינת תנאי ס' 1 </w:t>
      </w:r>
      <w:proofErr w:type="spellStart"/>
      <w:r w:rsidR="00525078" w:rsidRPr="00860C20">
        <w:rPr>
          <w:b/>
          <w:bCs/>
          <w:u w:val="single"/>
          <w:rtl/>
        </w:rPr>
        <w:t>לחשבד"ר</w:t>
      </w:r>
      <w:proofErr w:type="spellEnd"/>
      <w:r w:rsidR="00525078" w:rsidRPr="00860C20">
        <w:rPr>
          <w:rtl/>
        </w:rPr>
        <w:t xml:space="preserve">: </w:t>
      </w:r>
      <w:proofErr w:type="spellStart"/>
      <w:r w:rsidR="00525078" w:rsidRPr="00860C20">
        <w:rPr>
          <w:rtl/>
        </w:rPr>
        <w:t>לביד"ר</w:t>
      </w:r>
      <w:proofErr w:type="spellEnd"/>
      <w:r w:rsidR="00525078" w:rsidRPr="00860C20">
        <w:rPr>
          <w:rtl/>
        </w:rPr>
        <w:t xml:space="preserve"> סמכות ייחודית לדון בענייני נישואין וגירושין של יהודים בישראל, אזרחי המדינה או תושביה</w:t>
      </w:r>
      <w:r w:rsidR="008E66E4" w:rsidRPr="00860C20">
        <w:rPr>
          <w:rFonts w:hint="cs"/>
          <w:rtl/>
        </w:rPr>
        <w:t xml:space="preserve"> </w:t>
      </w:r>
      <w:r w:rsidR="008E66E4" w:rsidRPr="00860C20">
        <w:rPr>
          <w:rtl/>
        </w:rPr>
        <w:t>–</w:t>
      </w:r>
      <w:r w:rsidR="008E66E4" w:rsidRPr="00860C20">
        <w:rPr>
          <w:rFonts w:hint="cs"/>
          <w:rtl/>
        </w:rPr>
        <w:t xml:space="preserve"> יישום.</w:t>
      </w:r>
      <w:r w:rsidR="00E715DD" w:rsidRPr="00860C20">
        <w:rPr>
          <w:rFonts w:hint="cs"/>
          <w:rtl/>
        </w:rPr>
        <w:t xml:space="preserve"> </w:t>
      </w:r>
      <w:bookmarkEnd w:id="0"/>
    </w:p>
    <w:p w14:paraId="50D91CAF" w14:textId="75DF35AF" w:rsidR="00CE388A" w:rsidRPr="00860C20" w:rsidRDefault="00512F5A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b/>
          <w:bCs/>
          <w:u w:val="single"/>
          <w:rtl/>
        </w:rPr>
        <w:t>ס' 4 לחוק להסדר התדיינויות</w:t>
      </w:r>
      <w:r w:rsidR="00E715DD" w:rsidRPr="00860C20">
        <w:rPr>
          <w:rFonts w:hint="cs"/>
          <w:b/>
          <w:bCs/>
          <w:u w:val="single"/>
          <w:rtl/>
        </w:rPr>
        <w:t xml:space="preserve"> </w:t>
      </w:r>
      <w:r w:rsidR="005F47D1" w:rsidRPr="00860C20">
        <w:rPr>
          <w:rFonts w:hint="cs"/>
          <w:rtl/>
        </w:rPr>
        <w:t>-</w:t>
      </w:r>
      <w:r w:rsidRPr="00860C20">
        <w:rPr>
          <w:rtl/>
        </w:rPr>
        <w:t xml:space="preserve"> בתום </w:t>
      </w:r>
      <w:r w:rsidR="00232B22" w:rsidRPr="00860C20">
        <w:rPr>
          <w:rtl/>
        </w:rPr>
        <w:t>60 ימים מיום הגשת הבקשה ליישוב סכסוך</w:t>
      </w:r>
      <w:r w:rsidRPr="00860C20">
        <w:rPr>
          <w:rtl/>
        </w:rPr>
        <w:t>, אם הצדדים לא הגיעו להסדר מוסכם בהליך ליישוב סכסוך בהסכמה, הצד שהגיש תחילה את הבקשה ליישוב סכסוך, יכול להגיש תוך 15 יום תביעה לערכאה שיבחר בה.</w:t>
      </w:r>
      <w:r w:rsidRPr="00860C20">
        <w:rPr>
          <w:b/>
          <w:bCs/>
          <w:rtl/>
        </w:rPr>
        <w:t xml:space="preserve"> </w:t>
      </w:r>
      <w:r w:rsidRPr="00860C20">
        <w:rPr>
          <w:rtl/>
        </w:rPr>
        <w:t>הת</w:t>
      </w:r>
      <w:r w:rsidR="00481377" w:rsidRPr="00860C20">
        <w:rPr>
          <w:rFonts w:hint="cs"/>
          <w:rtl/>
        </w:rPr>
        <w:t>ק'</w:t>
      </w:r>
      <w:r w:rsidRPr="00860C20">
        <w:rPr>
          <w:rtl/>
        </w:rPr>
        <w:t xml:space="preserve"> שצוינו </w:t>
      </w:r>
      <w:proofErr w:type="spellStart"/>
      <w:r w:rsidRPr="00860C20">
        <w:rPr>
          <w:rtl/>
        </w:rPr>
        <w:t>באירועון</w:t>
      </w:r>
      <w:proofErr w:type="spellEnd"/>
      <w:r w:rsidRPr="00860C20">
        <w:rPr>
          <w:rtl/>
        </w:rPr>
        <w:t xml:space="preserve"> תואמות את התק</w:t>
      </w:r>
      <w:r w:rsidR="00481377" w:rsidRPr="00860C20">
        <w:rPr>
          <w:rFonts w:hint="cs"/>
          <w:rtl/>
        </w:rPr>
        <w:t>'</w:t>
      </w:r>
      <w:r w:rsidRPr="00860C20">
        <w:rPr>
          <w:rtl/>
        </w:rPr>
        <w:t xml:space="preserve"> המצוינות בס</w:t>
      </w:r>
      <w:r w:rsidR="00481377" w:rsidRPr="00860C20">
        <w:rPr>
          <w:rFonts w:hint="cs"/>
          <w:rtl/>
        </w:rPr>
        <w:t>'</w:t>
      </w:r>
      <w:r w:rsidRPr="00860C20">
        <w:rPr>
          <w:rtl/>
        </w:rPr>
        <w:t xml:space="preserve"> החוק. </w:t>
      </w:r>
      <w:r w:rsidR="00AD6282" w:rsidRPr="00860C20">
        <w:rPr>
          <w:rtl/>
        </w:rPr>
        <w:t xml:space="preserve">כלומר, </w:t>
      </w:r>
      <w:r w:rsidR="005960C9" w:rsidRPr="00860C20">
        <w:rPr>
          <w:rFonts w:hint="cs"/>
          <w:rtl/>
        </w:rPr>
        <w:t>אבשלום</w:t>
      </w:r>
      <w:r w:rsidR="00AD6282" w:rsidRPr="00860C20">
        <w:rPr>
          <w:rtl/>
        </w:rPr>
        <w:t xml:space="preserve">, אשר הגיש את הבקשה ליישוב סכסוך </w:t>
      </w:r>
      <w:r w:rsidR="00E82EF0" w:rsidRPr="00860C20">
        <w:rPr>
          <w:rtl/>
        </w:rPr>
        <w:t>היה בעל זכות קדימה ו</w:t>
      </w:r>
      <w:r w:rsidR="00AD6282" w:rsidRPr="00860C20">
        <w:rPr>
          <w:rtl/>
        </w:rPr>
        <w:t xml:space="preserve">יכול היה לבחור בערכאה שאותה מעדיף – </w:t>
      </w:r>
      <w:proofErr w:type="spellStart"/>
      <w:r w:rsidR="00AD6282" w:rsidRPr="00860C20">
        <w:rPr>
          <w:rtl/>
        </w:rPr>
        <w:t>בי</w:t>
      </w:r>
      <w:r w:rsidR="005F47D1" w:rsidRPr="00860C20">
        <w:rPr>
          <w:rFonts w:hint="cs"/>
          <w:rtl/>
        </w:rPr>
        <w:t>ד"ר</w:t>
      </w:r>
      <w:proofErr w:type="spellEnd"/>
      <w:r w:rsidR="00860C20" w:rsidRPr="00860C20">
        <w:rPr>
          <w:rFonts w:hint="cs"/>
          <w:rtl/>
        </w:rPr>
        <w:t>.</w:t>
      </w:r>
    </w:p>
    <w:p w14:paraId="7A99F477" w14:textId="29EEF0BD" w:rsidR="005960C9" w:rsidRPr="00860C20" w:rsidRDefault="005960C9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rtl/>
        </w:rPr>
        <w:t xml:space="preserve">גם בהתאם </w:t>
      </w:r>
      <w:r w:rsidRPr="00860C20">
        <w:rPr>
          <w:b/>
          <w:bCs/>
          <w:u w:val="single"/>
          <w:rtl/>
        </w:rPr>
        <w:t>לבג"ץ 58/08 (פרשת 15 הדקות),</w:t>
      </w:r>
      <w:r w:rsidRPr="00860C20">
        <w:rPr>
          <w:rtl/>
        </w:rPr>
        <w:t xml:space="preserve"> המבחן הקובע הוא מבחן הזמן: </w:t>
      </w:r>
      <w:r w:rsidRPr="00860C20">
        <w:rPr>
          <w:rFonts w:hint="cs"/>
          <w:rtl/>
        </w:rPr>
        <w:t>אבשלום</w:t>
      </w:r>
      <w:r w:rsidRPr="00860C20">
        <w:rPr>
          <w:rtl/>
        </w:rPr>
        <w:t xml:space="preserve"> הקדים את </w:t>
      </w:r>
      <w:r w:rsidRPr="00860C20">
        <w:rPr>
          <w:rFonts w:hint="cs"/>
          <w:rtl/>
        </w:rPr>
        <w:t>עדנה</w:t>
      </w:r>
      <w:r w:rsidRPr="00860C20">
        <w:rPr>
          <w:rtl/>
        </w:rPr>
        <w:t xml:space="preserve"> בכריכה </w:t>
      </w:r>
      <w:proofErr w:type="spellStart"/>
      <w:r w:rsidRPr="00860C20">
        <w:rPr>
          <w:rtl/>
        </w:rPr>
        <w:t>לביד"ר</w:t>
      </w:r>
      <w:proofErr w:type="spellEnd"/>
      <w:r w:rsidRPr="00860C20">
        <w:rPr>
          <w:rtl/>
        </w:rPr>
        <w:t xml:space="preserve"> בענייני משמורת, מזונות הילדים ורכוש. לכן, לפי מבחן הזמן, </w:t>
      </w:r>
      <w:proofErr w:type="spellStart"/>
      <w:r w:rsidRPr="00860C20">
        <w:rPr>
          <w:rtl/>
        </w:rPr>
        <w:t>לביד"ר</w:t>
      </w:r>
      <w:proofErr w:type="spellEnd"/>
      <w:r w:rsidRPr="00860C20">
        <w:rPr>
          <w:rtl/>
        </w:rPr>
        <w:t xml:space="preserve"> הסמכות בנושאים אלה.</w:t>
      </w:r>
      <w:r w:rsidRPr="00860C20">
        <w:rPr>
          <w:rFonts w:hint="cs"/>
          <w:rtl/>
        </w:rPr>
        <w:t xml:space="preserve"> </w:t>
      </w:r>
      <w:r w:rsidRPr="00860C20">
        <w:rPr>
          <w:rtl/>
        </w:rPr>
        <w:t xml:space="preserve">לעומת זאת, </w:t>
      </w:r>
      <w:r w:rsidRPr="00860C20">
        <w:rPr>
          <w:rFonts w:hint="cs"/>
          <w:rtl/>
        </w:rPr>
        <w:t>עדנה</w:t>
      </w:r>
      <w:r w:rsidRPr="00860C20">
        <w:rPr>
          <w:rtl/>
        </w:rPr>
        <w:t xml:space="preserve"> פנתה לבימ"ש לענייני משפחה בעניין נושא מזונות האישה שלא נכר</w:t>
      </w:r>
      <w:r w:rsidRPr="00860C20">
        <w:rPr>
          <w:rFonts w:hint="cs"/>
          <w:rtl/>
        </w:rPr>
        <w:t xml:space="preserve">ך </w:t>
      </w:r>
      <w:r w:rsidRPr="00860C20">
        <w:rPr>
          <w:rtl/>
        </w:rPr>
        <w:t xml:space="preserve">על ידי </w:t>
      </w:r>
      <w:r w:rsidRPr="00860C20">
        <w:rPr>
          <w:rFonts w:hint="cs"/>
          <w:rtl/>
        </w:rPr>
        <w:t>אבשלום</w:t>
      </w:r>
      <w:r w:rsidRPr="00860C20">
        <w:rPr>
          <w:rtl/>
        </w:rPr>
        <w:t>, ו</w:t>
      </w:r>
      <w:r w:rsidRPr="00860C20">
        <w:rPr>
          <w:rFonts w:hint="cs"/>
          <w:rtl/>
        </w:rPr>
        <w:t xml:space="preserve">נושא זה יהיה </w:t>
      </w:r>
      <w:r w:rsidRPr="00860C20">
        <w:rPr>
          <w:rtl/>
        </w:rPr>
        <w:t xml:space="preserve">בסמכות בימ"ש לענייני משפחה כפי שיפורט להלן. </w:t>
      </w:r>
    </w:p>
    <w:p w14:paraId="131CAACF" w14:textId="4E963EC1" w:rsidR="003F7C75" w:rsidRPr="00860C20" w:rsidRDefault="00215DFF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rFonts w:hint="cs"/>
          <w:b/>
          <w:bCs/>
          <w:u w:val="single"/>
          <w:rtl/>
        </w:rPr>
        <w:t>בחינת</w:t>
      </w:r>
      <w:r w:rsidR="003F7C75" w:rsidRPr="00860C20">
        <w:rPr>
          <w:b/>
          <w:bCs/>
          <w:u w:val="single"/>
          <w:rtl/>
        </w:rPr>
        <w:t xml:space="preserve"> תנאי ס' 3 </w:t>
      </w:r>
      <w:proofErr w:type="spellStart"/>
      <w:r w:rsidR="003F7C75" w:rsidRPr="00860C20">
        <w:rPr>
          <w:b/>
          <w:bCs/>
          <w:u w:val="single"/>
          <w:rtl/>
        </w:rPr>
        <w:t>לחשבד"ר</w:t>
      </w:r>
      <w:proofErr w:type="spellEnd"/>
      <w:r w:rsidR="003F7C75" w:rsidRPr="00860C20">
        <w:rPr>
          <w:rtl/>
        </w:rPr>
        <w:t>:</w:t>
      </w:r>
      <w:r w:rsidR="00E715DD" w:rsidRPr="00860C20">
        <w:rPr>
          <w:rFonts w:hint="cs"/>
          <w:rtl/>
        </w:rPr>
        <w:t xml:space="preserve"> </w:t>
      </w:r>
    </w:p>
    <w:p w14:paraId="12150D5E" w14:textId="7D2CC46F" w:rsidR="00D11356" w:rsidRPr="00860C20" w:rsidRDefault="001D14CF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b/>
          <w:bCs/>
          <w:u w:val="single"/>
          <w:rtl/>
        </w:rPr>
        <w:t>האם תביעת הגירושין כנה</w:t>
      </w:r>
      <w:r w:rsidRPr="00860C20">
        <w:rPr>
          <w:rtl/>
        </w:rPr>
        <w:t>?</w:t>
      </w:r>
      <w:r w:rsidR="00E715DD" w:rsidRPr="00860C20">
        <w:rPr>
          <w:rFonts w:hint="cs"/>
          <w:rtl/>
        </w:rPr>
        <w:t xml:space="preserve"> </w:t>
      </w:r>
      <w:r w:rsidRPr="00860C20">
        <w:rPr>
          <w:b/>
          <w:bCs/>
          <w:u w:val="single"/>
          <w:rtl/>
        </w:rPr>
        <w:t>תורג'מן</w:t>
      </w:r>
      <w:r w:rsidR="00215DFF" w:rsidRPr="00860C20">
        <w:rPr>
          <w:rFonts w:hint="cs"/>
          <w:rtl/>
        </w:rPr>
        <w:t xml:space="preserve"> </w:t>
      </w:r>
      <w:r w:rsidRPr="00860C20">
        <w:rPr>
          <w:rtl/>
        </w:rPr>
        <w:t xml:space="preserve">- </w:t>
      </w:r>
      <w:r w:rsidR="00215DFF" w:rsidRPr="00860C20">
        <w:rPr>
          <w:rFonts w:hint="cs"/>
          <w:rtl/>
        </w:rPr>
        <w:t>בחינה</w:t>
      </w:r>
      <w:r w:rsidRPr="00860C20">
        <w:rPr>
          <w:rtl/>
        </w:rPr>
        <w:t xml:space="preserve"> האם בכתב התביעה פורטה עילה הלכתית לגירושין</w:t>
      </w:r>
      <w:r w:rsidR="00674BAA" w:rsidRPr="00860C20">
        <w:rPr>
          <w:rtl/>
        </w:rPr>
        <w:t xml:space="preserve"> </w:t>
      </w:r>
      <w:r w:rsidR="00D11356" w:rsidRPr="00860C20">
        <w:rPr>
          <w:rtl/>
        </w:rPr>
        <w:t>–</w:t>
      </w:r>
      <w:r w:rsidR="00A06A1F" w:rsidRPr="00860C20">
        <w:rPr>
          <w:rtl/>
        </w:rPr>
        <w:t xml:space="preserve"> </w:t>
      </w:r>
      <w:r w:rsidR="005F47D1" w:rsidRPr="00860C20">
        <w:rPr>
          <w:rFonts w:hint="cs"/>
          <w:rtl/>
        </w:rPr>
        <w:t>יישום</w:t>
      </w:r>
      <w:r w:rsidR="00B60F41" w:rsidRPr="00860C20">
        <w:rPr>
          <w:rtl/>
        </w:rPr>
        <w:t>.</w:t>
      </w:r>
      <w:r w:rsidR="00E715DD" w:rsidRPr="00860C20">
        <w:rPr>
          <w:rFonts w:hint="cs"/>
          <w:rtl/>
        </w:rPr>
        <w:t xml:space="preserve"> </w:t>
      </w:r>
    </w:p>
    <w:p w14:paraId="77AF9847" w14:textId="008BA73D" w:rsidR="003F7C75" w:rsidRPr="00860C20" w:rsidRDefault="003F7C75" w:rsidP="0086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b/>
          <w:bCs/>
          <w:u w:val="single"/>
          <w:rtl/>
        </w:rPr>
        <w:t>האם הכריכה התבצעה כדין</w:t>
      </w:r>
      <w:r w:rsidR="00674BAA" w:rsidRPr="00860C20">
        <w:rPr>
          <w:rtl/>
        </w:rPr>
        <w:t xml:space="preserve">? לא </w:t>
      </w:r>
      <w:r w:rsidRPr="00860C20">
        <w:rPr>
          <w:rtl/>
        </w:rPr>
        <w:t xml:space="preserve"> ניתן לכרוך מזונות ילדים (ר' דיון להלן).</w:t>
      </w:r>
      <w:r w:rsidR="00E715DD" w:rsidRPr="00860C20">
        <w:rPr>
          <w:rFonts w:hint="cs"/>
          <w:rtl/>
        </w:rPr>
        <w:t xml:space="preserve"> </w:t>
      </w:r>
    </w:p>
    <w:p w14:paraId="21C10FF1" w14:textId="07A0F9F2" w:rsidR="00475AFE" w:rsidRPr="00860C20" w:rsidRDefault="00475AFE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b/>
          <w:bCs/>
          <w:u w:val="single"/>
          <w:rtl/>
        </w:rPr>
        <w:t>האם הכריכה כנה</w:t>
      </w:r>
      <w:r w:rsidRPr="00860C20">
        <w:rPr>
          <w:b/>
          <w:bCs/>
          <w:rtl/>
        </w:rPr>
        <w:t>?</w:t>
      </w:r>
      <w:r w:rsidRPr="00860C20">
        <w:rPr>
          <w:rtl/>
        </w:rPr>
        <w:t xml:space="preserve"> </w:t>
      </w:r>
      <w:r w:rsidRPr="00860C20">
        <w:rPr>
          <w:b/>
          <w:bCs/>
          <w:u w:val="single"/>
          <w:rtl/>
        </w:rPr>
        <w:t xml:space="preserve">בג"ץ 2862/14 </w:t>
      </w:r>
      <w:r w:rsidRPr="00860C20">
        <w:rPr>
          <w:b/>
          <w:bCs/>
          <w:rtl/>
        </w:rPr>
        <w:t>-</w:t>
      </w:r>
      <w:r w:rsidRPr="00860C20">
        <w:rPr>
          <w:rtl/>
        </w:rPr>
        <w:t xml:space="preserve"> תעלה שאלה לגבי כנות הכריכה, כי הרכוש לא פורט בתביעה.</w:t>
      </w:r>
      <w:r w:rsidR="00860C20" w:rsidRPr="00860C20">
        <w:rPr>
          <w:rFonts w:hint="cs"/>
          <w:rtl/>
        </w:rPr>
        <w:t xml:space="preserve"> </w:t>
      </w:r>
      <w:r w:rsidRPr="00860C20">
        <w:rPr>
          <w:rtl/>
        </w:rPr>
        <w:t xml:space="preserve">השוואה </w:t>
      </w:r>
      <w:r w:rsidRPr="00860C20">
        <w:rPr>
          <w:b/>
          <w:bCs/>
          <w:u w:val="single"/>
          <w:rtl/>
        </w:rPr>
        <w:t>לבג"ץ 2862/14</w:t>
      </w:r>
      <w:r w:rsidRPr="00860C20">
        <w:rPr>
          <w:b/>
          <w:bCs/>
          <w:rtl/>
        </w:rPr>
        <w:t xml:space="preserve"> </w:t>
      </w:r>
      <w:r w:rsidR="005F47D1" w:rsidRPr="00860C20">
        <w:rPr>
          <w:rFonts w:hint="cs"/>
          <w:rtl/>
        </w:rPr>
        <w:t>ואבחון בין הנסיבות.</w:t>
      </w:r>
      <w:r w:rsidR="00E715DD" w:rsidRPr="00860C20">
        <w:rPr>
          <w:rFonts w:hint="cs"/>
          <w:rtl/>
        </w:rPr>
        <w:t xml:space="preserve"> </w:t>
      </w:r>
    </w:p>
    <w:p w14:paraId="3F869B97" w14:textId="61DC6D2E" w:rsidR="005960C9" w:rsidRPr="00860C20" w:rsidRDefault="005960C9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3303A1">
        <w:rPr>
          <w:rFonts w:hint="cs"/>
          <w:b/>
          <w:bCs/>
          <w:highlight w:val="yellow"/>
          <w:u w:val="single"/>
          <w:rtl/>
        </w:rPr>
        <w:t>ע"מ תורג'מן</w:t>
      </w:r>
      <w:r w:rsidRPr="003303A1">
        <w:rPr>
          <w:rFonts w:hint="cs"/>
          <w:highlight w:val="yellow"/>
          <w:rtl/>
        </w:rPr>
        <w:t xml:space="preserve"> </w:t>
      </w:r>
      <w:r w:rsidR="007F0D1D" w:rsidRPr="003303A1">
        <w:rPr>
          <w:rFonts w:hint="cs"/>
          <w:b/>
          <w:bCs/>
          <w:highlight w:val="yellow"/>
          <w:rtl/>
        </w:rPr>
        <w:t xml:space="preserve"> </w:t>
      </w:r>
      <w:r w:rsidRPr="003303A1">
        <w:rPr>
          <w:rFonts w:hint="cs"/>
          <w:highlight w:val="yellow"/>
          <w:rtl/>
        </w:rPr>
        <w:t>- פיצול תביעות מעיד על חוסר כנות בכריכה.</w:t>
      </w:r>
    </w:p>
    <w:p w14:paraId="2AF165BC" w14:textId="7791BCFC" w:rsidR="002173ED" w:rsidRPr="00860C20" w:rsidRDefault="003F7C75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proofErr w:type="spellStart"/>
      <w:r w:rsidRPr="00860C20">
        <w:rPr>
          <w:b/>
          <w:bCs/>
          <w:u w:val="single"/>
          <w:rtl/>
        </w:rPr>
        <w:t>מירוץ</w:t>
      </w:r>
      <w:proofErr w:type="spellEnd"/>
      <w:r w:rsidRPr="00860C20">
        <w:rPr>
          <w:b/>
          <w:bCs/>
          <w:u w:val="single"/>
          <w:rtl/>
        </w:rPr>
        <w:t xml:space="preserve"> הסמכויות</w:t>
      </w:r>
      <w:r w:rsidRPr="00860C20">
        <w:rPr>
          <w:rtl/>
        </w:rPr>
        <w:t xml:space="preserve">: </w:t>
      </w:r>
      <w:r w:rsidRPr="00860C20">
        <w:rPr>
          <w:u w:val="single"/>
          <w:rtl/>
        </w:rPr>
        <w:t xml:space="preserve">בג"צ 8497/00 </w:t>
      </w:r>
      <w:proofErr w:type="spellStart"/>
      <w:r w:rsidRPr="00860C20">
        <w:rPr>
          <w:b/>
          <w:bCs/>
          <w:u w:val="single"/>
          <w:rtl/>
        </w:rPr>
        <w:t>פייג-פלמן</w:t>
      </w:r>
      <w:proofErr w:type="spellEnd"/>
      <w:r w:rsidR="00E715DD" w:rsidRPr="00860C20">
        <w:rPr>
          <w:rFonts w:hint="cs"/>
          <w:rtl/>
        </w:rPr>
        <w:t xml:space="preserve"> </w:t>
      </w:r>
      <w:r w:rsidRPr="00860C20">
        <w:rPr>
          <w:rtl/>
        </w:rPr>
        <w:t xml:space="preserve">- לשתי הערכאות- בימ"ש לענייני משפחה </w:t>
      </w:r>
      <w:proofErr w:type="spellStart"/>
      <w:r w:rsidRPr="00860C20">
        <w:rPr>
          <w:rtl/>
        </w:rPr>
        <w:t>וביד"ר</w:t>
      </w:r>
      <w:proofErr w:type="spellEnd"/>
      <w:r w:rsidRPr="00860C20">
        <w:rPr>
          <w:rtl/>
        </w:rPr>
        <w:t>- יש סמכות לדון בטענות הנוגעות לסמכותן ולהכריע בשאלת התקיימות תנאי הכריכה.</w:t>
      </w:r>
      <w:r w:rsidRPr="00860C20">
        <w:rPr>
          <w:b/>
          <w:bCs/>
          <w:rtl/>
        </w:rPr>
        <w:t xml:space="preserve"> כל עוד לא הכריעה אף ערכאה בשאלת הכריכה</w:t>
      </w:r>
      <w:r w:rsidRPr="00860C20">
        <w:rPr>
          <w:rtl/>
        </w:rPr>
        <w:t xml:space="preserve">, תוכל כל ערכאה, לפי שיקול דעתה, לעכב את הדיון בתביעה שהוגשה בפניה, עד שהערכאה המקבילה תחליט בשאלת תוקף הכריכה. </w:t>
      </w:r>
      <w:r w:rsidRPr="00860C20">
        <w:rPr>
          <w:b/>
          <w:bCs/>
          <w:rtl/>
        </w:rPr>
        <w:t>אם אחת הערכאות כבר הכריעה בשאלת הכריכה</w:t>
      </w:r>
      <w:r w:rsidRPr="00860C20">
        <w:rPr>
          <w:rtl/>
        </w:rPr>
        <w:t>, על הערכאה המקבילה להימנע מלדון בכך, לאור עקרון הכיבוד ההדדי, אלא אם מתקיים "טעם מיוחד" שמצדיק זאת.</w:t>
      </w:r>
    </w:p>
    <w:p w14:paraId="76A9E447" w14:textId="78EB0EDD" w:rsidR="009F72FB" w:rsidRPr="00860C20" w:rsidRDefault="003F7C75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rtl/>
        </w:rPr>
        <w:t>ב</w:t>
      </w:r>
      <w:r w:rsidR="00215DFF" w:rsidRPr="00860C20">
        <w:rPr>
          <w:rFonts w:hint="cs"/>
          <w:rtl/>
        </w:rPr>
        <w:t>ענייננו</w:t>
      </w:r>
      <w:r w:rsidRPr="00860C20">
        <w:rPr>
          <w:rtl/>
        </w:rPr>
        <w:t xml:space="preserve">, </w:t>
      </w:r>
      <w:proofErr w:type="spellStart"/>
      <w:r w:rsidRPr="00860C20">
        <w:rPr>
          <w:rtl/>
        </w:rPr>
        <w:t>ביד"ר</w:t>
      </w:r>
      <w:proofErr w:type="spellEnd"/>
      <w:r w:rsidRPr="00860C20">
        <w:rPr>
          <w:rtl/>
        </w:rPr>
        <w:t xml:space="preserve"> כבר קבע שיש לו סמכות לדון בסוגיות שנכרכו</w:t>
      </w:r>
      <w:r w:rsidR="00215DFF" w:rsidRPr="00860C20">
        <w:rPr>
          <w:rFonts w:hint="cs"/>
          <w:rtl/>
        </w:rPr>
        <w:t>.</w:t>
      </w:r>
      <w:r w:rsidRPr="00860C20">
        <w:rPr>
          <w:rtl/>
        </w:rPr>
        <w:t xml:space="preserve"> </w:t>
      </w:r>
      <w:r w:rsidRPr="00860C20">
        <w:rPr>
          <w:b/>
          <w:bCs/>
          <w:u w:val="single"/>
          <w:rtl/>
        </w:rPr>
        <w:t>האם מתקיים טעם מיוחד</w:t>
      </w:r>
      <w:r w:rsidR="00481377" w:rsidRPr="00860C20">
        <w:rPr>
          <w:rFonts w:hint="cs"/>
          <w:b/>
          <w:bCs/>
          <w:rtl/>
        </w:rPr>
        <w:t>?</w:t>
      </w:r>
      <w:r w:rsidRPr="00860C20">
        <w:rPr>
          <w:b/>
          <w:bCs/>
          <w:rtl/>
        </w:rPr>
        <w:t xml:space="preserve"> </w:t>
      </w:r>
      <w:r w:rsidRPr="00860C20">
        <w:rPr>
          <w:b/>
          <w:bCs/>
          <w:u w:val="single"/>
          <w:rtl/>
        </w:rPr>
        <w:t>פגם חמור היורד לשורש הסמכות</w:t>
      </w:r>
      <w:r w:rsidRPr="00860C20">
        <w:rPr>
          <w:rtl/>
        </w:rPr>
        <w:t xml:space="preserve">- </w:t>
      </w:r>
      <w:proofErr w:type="spellStart"/>
      <w:r w:rsidRPr="00860C20">
        <w:rPr>
          <w:rtl/>
        </w:rPr>
        <w:t>ביד"ר</w:t>
      </w:r>
      <w:proofErr w:type="spellEnd"/>
      <w:r w:rsidRPr="00860C20">
        <w:rPr>
          <w:rtl/>
        </w:rPr>
        <w:t xml:space="preserve"> לא נימק החלטתו;</w:t>
      </w:r>
      <w:r w:rsidR="00860C20" w:rsidRPr="00860C20">
        <w:rPr>
          <w:rFonts w:hint="cs"/>
          <w:rtl/>
        </w:rPr>
        <w:t xml:space="preserve"> </w:t>
      </w:r>
      <w:r w:rsidRPr="00860C20">
        <w:rPr>
          <w:rtl/>
        </w:rPr>
        <w:t>לא התקיים דיון מקדים ונפרד לגבי תנאי הכריכה</w:t>
      </w:r>
      <w:r w:rsidR="005960C9" w:rsidRPr="00860C20">
        <w:rPr>
          <w:rtl/>
        </w:rPr>
        <w:t xml:space="preserve">; </w:t>
      </w:r>
      <w:r w:rsidR="005960C9" w:rsidRPr="00860C20">
        <w:rPr>
          <w:rFonts w:hint="cs"/>
          <w:rtl/>
        </w:rPr>
        <w:t>לא ניתנה לעדנה זכות טיעון;</w:t>
      </w:r>
      <w:r w:rsidR="00E715DD" w:rsidRPr="00860C20">
        <w:rPr>
          <w:rFonts w:hint="cs"/>
          <w:rtl/>
        </w:rPr>
        <w:t xml:space="preserve"> </w:t>
      </w:r>
      <w:proofErr w:type="spellStart"/>
      <w:r w:rsidR="00263414" w:rsidRPr="00860C20">
        <w:rPr>
          <w:rtl/>
        </w:rPr>
        <w:t>ביד"ר</w:t>
      </w:r>
      <w:proofErr w:type="spellEnd"/>
      <w:r w:rsidR="00263414" w:rsidRPr="00860C20">
        <w:rPr>
          <w:rtl/>
        </w:rPr>
        <w:t xml:space="preserve"> התייחס </w:t>
      </w:r>
      <w:r w:rsidR="00720182" w:rsidRPr="00860C20">
        <w:rPr>
          <w:rtl/>
        </w:rPr>
        <w:t>למזונות האישה</w:t>
      </w:r>
      <w:r w:rsidR="00263414" w:rsidRPr="00860C20">
        <w:rPr>
          <w:rtl/>
        </w:rPr>
        <w:t xml:space="preserve"> בלי שכלל נכר</w:t>
      </w:r>
      <w:r w:rsidR="00720182" w:rsidRPr="00860C20">
        <w:rPr>
          <w:rtl/>
        </w:rPr>
        <w:t>כו</w:t>
      </w:r>
      <w:r w:rsidR="00B60F41" w:rsidRPr="00860C20">
        <w:rPr>
          <w:rtl/>
        </w:rPr>
        <w:t>.</w:t>
      </w:r>
      <w:r w:rsidRPr="00860C20">
        <w:rPr>
          <w:rtl/>
        </w:rPr>
        <w:t xml:space="preserve"> </w:t>
      </w:r>
      <w:r w:rsidRPr="00860C20">
        <w:rPr>
          <w:b/>
          <w:bCs/>
          <w:u w:val="single"/>
          <w:rtl/>
        </w:rPr>
        <w:t>נכרכה סוגיה שאינה ניתנת לכריכה</w:t>
      </w:r>
      <w:r w:rsidRPr="00860C20">
        <w:rPr>
          <w:rtl/>
        </w:rPr>
        <w:t>- מזונות הילדים- ר' לעיל.</w:t>
      </w:r>
      <w:r w:rsidR="00093B34" w:rsidRPr="00860C20">
        <w:rPr>
          <w:b/>
          <w:bCs/>
          <w:rtl/>
        </w:rPr>
        <w:t xml:space="preserve"> </w:t>
      </w:r>
    </w:p>
    <w:p w14:paraId="32130121" w14:textId="6E85D44F" w:rsidR="00FA444F" w:rsidRPr="00860C20" w:rsidRDefault="00FA444F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860C20">
        <w:rPr>
          <w:b/>
          <w:bCs/>
          <w:u w:val="single"/>
          <w:rtl/>
        </w:rPr>
        <w:t xml:space="preserve">סמכות הדיון בסוגיות השונות </w:t>
      </w:r>
    </w:p>
    <w:p w14:paraId="1E1F119A" w14:textId="65932A49" w:rsidR="00FA444F" w:rsidRPr="00860C20" w:rsidRDefault="00FA444F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b/>
          <w:bCs/>
          <w:u w:val="single"/>
          <w:rtl/>
        </w:rPr>
        <w:t>תביעת הגירושין</w:t>
      </w:r>
      <w:r w:rsidRPr="00860C20">
        <w:rPr>
          <w:b/>
          <w:bCs/>
          <w:rtl/>
        </w:rPr>
        <w:t xml:space="preserve"> - </w:t>
      </w:r>
      <w:r w:rsidRPr="00860C20">
        <w:rPr>
          <w:rtl/>
        </w:rPr>
        <w:t xml:space="preserve">לפי </w:t>
      </w:r>
      <w:r w:rsidRPr="00860C20">
        <w:rPr>
          <w:b/>
          <w:bCs/>
          <w:u w:val="single"/>
          <w:rtl/>
        </w:rPr>
        <w:t xml:space="preserve">ס' 1 </w:t>
      </w:r>
      <w:proofErr w:type="spellStart"/>
      <w:r w:rsidRPr="00860C20">
        <w:rPr>
          <w:b/>
          <w:bCs/>
          <w:u w:val="single"/>
          <w:rtl/>
        </w:rPr>
        <w:t>לחשבד"ר</w:t>
      </w:r>
      <w:proofErr w:type="spellEnd"/>
      <w:r w:rsidRPr="00860C20">
        <w:rPr>
          <w:rtl/>
        </w:rPr>
        <w:t xml:space="preserve">, </w:t>
      </w:r>
      <w:proofErr w:type="spellStart"/>
      <w:r w:rsidRPr="00860C20">
        <w:rPr>
          <w:rtl/>
        </w:rPr>
        <w:t>לביד"ר</w:t>
      </w:r>
      <w:proofErr w:type="spellEnd"/>
      <w:r w:rsidRPr="00860C20">
        <w:rPr>
          <w:rtl/>
        </w:rPr>
        <w:t xml:space="preserve"> יש סמכות ייחודית לדון בנושא.</w:t>
      </w:r>
      <w:r w:rsidR="00E715DD" w:rsidRPr="00860C20">
        <w:rPr>
          <w:rFonts w:hint="cs"/>
          <w:b/>
          <w:bCs/>
          <w:rtl/>
        </w:rPr>
        <w:t xml:space="preserve"> </w:t>
      </w:r>
    </w:p>
    <w:p w14:paraId="53F868CF" w14:textId="3337FE11" w:rsidR="00475AFE" w:rsidRPr="00860C20" w:rsidRDefault="00475AFE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b/>
          <w:bCs/>
          <w:u w:val="single"/>
          <w:rtl/>
        </w:rPr>
        <w:t xml:space="preserve">מזונות </w:t>
      </w:r>
      <w:proofErr w:type="spellStart"/>
      <w:r w:rsidRPr="00860C20">
        <w:rPr>
          <w:b/>
          <w:bCs/>
          <w:u w:val="single"/>
          <w:rtl/>
        </w:rPr>
        <w:t>אשה</w:t>
      </w:r>
      <w:proofErr w:type="spellEnd"/>
      <w:r w:rsidR="00860C20" w:rsidRPr="00860C20">
        <w:rPr>
          <w:rFonts w:hint="cs"/>
          <w:rtl/>
        </w:rPr>
        <w:t xml:space="preserve"> </w:t>
      </w:r>
      <w:r w:rsidRPr="00860C20">
        <w:rPr>
          <w:rtl/>
        </w:rPr>
        <w:t xml:space="preserve">- התביעה לא נכרכה </w:t>
      </w:r>
      <w:proofErr w:type="spellStart"/>
      <w:r w:rsidRPr="00860C20">
        <w:rPr>
          <w:rtl/>
        </w:rPr>
        <w:t>לביד"ר</w:t>
      </w:r>
      <w:proofErr w:type="spellEnd"/>
      <w:r w:rsidRPr="00860C20">
        <w:rPr>
          <w:rtl/>
        </w:rPr>
        <w:t xml:space="preserve">, ולכן הסמכות היא </w:t>
      </w:r>
      <w:r w:rsidR="00215DFF" w:rsidRPr="00860C20">
        <w:rPr>
          <w:rFonts w:hint="cs"/>
          <w:rtl/>
        </w:rPr>
        <w:t>ל</w:t>
      </w:r>
      <w:r w:rsidRPr="00860C20">
        <w:rPr>
          <w:rtl/>
        </w:rPr>
        <w:t>בי</w:t>
      </w:r>
      <w:r w:rsidR="005F47D1" w:rsidRPr="00860C20">
        <w:rPr>
          <w:rFonts w:hint="cs"/>
          <w:rtl/>
        </w:rPr>
        <w:t>המ"ש</w:t>
      </w:r>
      <w:r w:rsidRPr="00860C20">
        <w:rPr>
          <w:rtl/>
        </w:rPr>
        <w:t xml:space="preserve"> האזרחי אליו הוגשה התביעה בעניין. </w:t>
      </w:r>
    </w:p>
    <w:p w14:paraId="074C0C6E" w14:textId="4084D194" w:rsidR="00FA444F" w:rsidRPr="00860C20" w:rsidRDefault="00FA444F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b/>
          <w:bCs/>
          <w:u w:val="single"/>
          <w:rtl/>
        </w:rPr>
        <w:t>משמורת</w:t>
      </w:r>
      <w:r w:rsidR="005F47D1" w:rsidRPr="00860C20">
        <w:rPr>
          <w:rFonts w:hint="cs"/>
          <w:rtl/>
        </w:rPr>
        <w:t xml:space="preserve"> </w:t>
      </w:r>
      <w:r w:rsidR="006C1235" w:rsidRPr="00860C20">
        <w:rPr>
          <w:rtl/>
        </w:rPr>
        <w:t>-</w:t>
      </w:r>
      <w:r w:rsidRPr="00860C20">
        <w:rPr>
          <w:rtl/>
        </w:rPr>
        <w:t xml:space="preserve"> </w:t>
      </w:r>
      <w:r w:rsidR="005F47D1" w:rsidRPr="00860C20">
        <w:rPr>
          <w:b/>
          <w:bCs/>
          <w:u w:val="single"/>
          <w:rtl/>
        </w:rPr>
        <w:t>שרעבי</w:t>
      </w:r>
      <w:r w:rsidR="00E715DD" w:rsidRPr="00860C20">
        <w:rPr>
          <w:rFonts w:hint="cs"/>
          <w:rtl/>
        </w:rPr>
        <w:t xml:space="preserve"> </w:t>
      </w:r>
      <w:r w:rsidR="005F47D1" w:rsidRPr="00860C20">
        <w:rPr>
          <w:rFonts w:hint="cs"/>
          <w:rtl/>
        </w:rPr>
        <w:t xml:space="preserve">- </w:t>
      </w:r>
      <w:proofErr w:type="spellStart"/>
      <w:r w:rsidRPr="00860C20">
        <w:rPr>
          <w:rtl/>
        </w:rPr>
        <w:t>לביד"ר</w:t>
      </w:r>
      <w:proofErr w:type="spellEnd"/>
      <w:r w:rsidRPr="00860C20">
        <w:rPr>
          <w:rtl/>
        </w:rPr>
        <w:t xml:space="preserve"> הסמכות לדון בסוגית המשמורת </w:t>
      </w:r>
      <w:r w:rsidR="005F47D1" w:rsidRPr="00860C20">
        <w:rPr>
          <w:rFonts w:hint="cs"/>
          <w:rtl/>
        </w:rPr>
        <w:t>ש</w:t>
      </w:r>
      <w:r w:rsidRPr="00860C20">
        <w:rPr>
          <w:rtl/>
        </w:rPr>
        <w:t>כרוכה מעצם טיבה וטבעה לתביעת הגירושין.</w:t>
      </w:r>
    </w:p>
    <w:p w14:paraId="1E997DB1" w14:textId="383536A8" w:rsidR="00FA444F" w:rsidRPr="00860C20" w:rsidRDefault="00FA444F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880"/>
          <w:tab w:val="left" w:pos="5760"/>
        </w:tabs>
        <w:autoSpaceDE w:val="0"/>
        <w:autoSpaceDN w:val="0"/>
        <w:adjustRightInd w:val="0"/>
        <w:spacing w:line="360" w:lineRule="auto"/>
        <w:rPr>
          <w:b/>
          <w:bCs/>
          <w:u w:val="single"/>
          <w:rtl/>
        </w:rPr>
      </w:pPr>
      <w:r w:rsidRPr="00860C20">
        <w:rPr>
          <w:b/>
          <w:bCs/>
          <w:u w:val="single"/>
          <w:rtl/>
        </w:rPr>
        <w:t>מזונות ילדים</w:t>
      </w:r>
      <w:r w:rsidR="006C1235" w:rsidRPr="00860C20">
        <w:rPr>
          <w:rtl/>
        </w:rPr>
        <w:t xml:space="preserve"> -</w:t>
      </w:r>
      <w:r w:rsidRPr="00860C20">
        <w:rPr>
          <w:rtl/>
        </w:rPr>
        <w:t xml:space="preserve"> </w:t>
      </w:r>
      <w:r w:rsidR="00232B22" w:rsidRPr="00860C20">
        <w:rPr>
          <w:rtl/>
        </w:rPr>
        <w:t>לפי</w:t>
      </w:r>
      <w:r w:rsidRPr="00860C20">
        <w:rPr>
          <w:rtl/>
        </w:rPr>
        <w:t xml:space="preserve"> </w:t>
      </w:r>
      <w:r w:rsidRPr="00860C20">
        <w:rPr>
          <w:b/>
          <w:bCs/>
          <w:u w:val="single"/>
          <w:rtl/>
        </w:rPr>
        <w:t>הלכת שרגאי</w:t>
      </w:r>
      <w:r w:rsidRPr="00860C20">
        <w:rPr>
          <w:b/>
          <w:bCs/>
          <w:rtl/>
        </w:rPr>
        <w:t xml:space="preserve"> </w:t>
      </w:r>
      <w:r w:rsidRPr="00860C20">
        <w:rPr>
          <w:rtl/>
        </w:rPr>
        <w:t>לא ניתן לכרוך מזונות ילדים, אלא בהסכמת הצדדים בהתאם ל</w:t>
      </w:r>
      <w:r w:rsidRPr="00860C20">
        <w:rPr>
          <w:b/>
          <w:bCs/>
          <w:u w:val="single"/>
          <w:rtl/>
        </w:rPr>
        <w:t>ס'</w:t>
      </w:r>
      <w:r w:rsidRPr="00860C20">
        <w:rPr>
          <w:u w:val="single"/>
          <w:rtl/>
        </w:rPr>
        <w:t xml:space="preserve"> </w:t>
      </w:r>
      <w:r w:rsidRPr="00860C20">
        <w:rPr>
          <w:b/>
          <w:bCs/>
          <w:u w:val="single"/>
          <w:rtl/>
        </w:rPr>
        <w:t>9.</w:t>
      </w:r>
      <w:r w:rsidRPr="00860C20">
        <w:rPr>
          <w:rtl/>
        </w:rPr>
        <w:t xml:space="preserve"> </w:t>
      </w:r>
    </w:p>
    <w:p w14:paraId="205750FB" w14:textId="14F8BFF6" w:rsidR="00512F5A" w:rsidRPr="00860C20" w:rsidRDefault="00512F5A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880"/>
          <w:tab w:val="left" w:pos="5760"/>
        </w:tabs>
        <w:autoSpaceDE w:val="0"/>
        <w:autoSpaceDN w:val="0"/>
        <w:adjustRightInd w:val="0"/>
        <w:spacing w:line="360" w:lineRule="auto"/>
        <w:rPr>
          <w:rtl/>
        </w:rPr>
      </w:pPr>
      <w:r w:rsidRPr="00860C20">
        <w:rPr>
          <w:b/>
          <w:bCs/>
          <w:u w:val="single"/>
          <w:rtl/>
        </w:rPr>
        <w:t>בע"מ 7628/17 פלוני נ' פלונית</w:t>
      </w:r>
      <w:r w:rsidR="00E715DD" w:rsidRPr="00860C20">
        <w:rPr>
          <w:rFonts w:hint="cs"/>
          <w:rtl/>
        </w:rPr>
        <w:t xml:space="preserve"> </w:t>
      </w:r>
      <w:r w:rsidRPr="00860C20">
        <w:rPr>
          <w:rtl/>
        </w:rPr>
        <w:t xml:space="preserve">– </w:t>
      </w:r>
      <w:commentRangeStart w:id="1"/>
      <w:r w:rsidRPr="00860C20">
        <w:rPr>
          <w:b/>
          <w:bCs/>
          <w:u w:val="single"/>
          <w:rtl/>
        </w:rPr>
        <w:t>דעת רוב</w:t>
      </w:r>
      <w:r w:rsidRPr="00860C20">
        <w:rPr>
          <w:rtl/>
        </w:rPr>
        <w:t xml:space="preserve"> – הלכת שרגאי שרירה וקיימת ולא ניתן לכרוך </w:t>
      </w:r>
      <w:proofErr w:type="spellStart"/>
      <w:r w:rsidRPr="00860C20">
        <w:rPr>
          <w:rtl/>
        </w:rPr>
        <w:t>לבי</w:t>
      </w:r>
      <w:r w:rsidR="005F47D1" w:rsidRPr="00860C20">
        <w:rPr>
          <w:rFonts w:hint="cs"/>
          <w:rtl/>
        </w:rPr>
        <w:t>ד"ר</w:t>
      </w:r>
      <w:proofErr w:type="spellEnd"/>
      <w:r w:rsidRPr="00860C20">
        <w:rPr>
          <w:rtl/>
        </w:rPr>
        <w:t xml:space="preserve"> את נושא מזונות הילדים</w:t>
      </w:r>
      <w:commentRangeEnd w:id="1"/>
      <w:r w:rsidR="00A92176">
        <w:rPr>
          <w:rStyle w:val="a5"/>
          <w:rFonts w:ascii="Calibri" w:eastAsia="Calibri" w:hAnsi="Calibri" w:cs="Times New Roman"/>
          <w:rtl/>
          <w:lang w:val="x-none" w:eastAsia="x-none"/>
        </w:rPr>
        <w:commentReference w:id="1"/>
      </w:r>
      <w:r w:rsidRPr="00860C20">
        <w:rPr>
          <w:rtl/>
        </w:rPr>
        <w:t>.</w:t>
      </w:r>
      <w:r w:rsidR="00E715DD" w:rsidRPr="00860C20">
        <w:rPr>
          <w:rFonts w:hint="cs"/>
          <w:rtl/>
        </w:rPr>
        <w:t xml:space="preserve"> </w:t>
      </w:r>
      <w:r w:rsidRPr="00860C20">
        <w:rPr>
          <w:b/>
          <w:bCs/>
          <w:u w:val="single"/>
          <w:rtl/>
        </w:rPr>
        <w:t>דעת המיעוט של השופט הנדל</w:t>
      </w:r>
      <w:r w:rsidRPr="00860C20">
        <w:rPr>
          <w:rtl/>
        </w:rPr>
        <w:t xml:space="preserve"> – ניתן לכרוך לבית הדין הרבני את נושא מזונות ילדים.</w:t>
      </w:r>
    </w:p>
    <w:p w14:paraId="6A8925F7" w14:textId="332222C0" w:rsidR="00FA444F" w:rsidRPr="00860C20" w:rsidRDefault="00FA444F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b/>
          <w:bCs/>
          <w:u w:val="single"/>
          <w:rtl/>
        </w:rPr>
        <w:t xml:space="preserve">תביעה </w:t>
      </w:r>
      <w:proofErr w:type="spellStart"/>
      <w:r w:rsidRPr="00860C20">
        <w:rPr>
          <w:b/>
          <w:bCs/>
          <w:u w:val="single"/>
          <w:rtl/>
        </w:rPr>
        <w:t>רכושית</w:t>
      </w:r>
      <w:proofErr w:type="spellEnd"/>
      <w:r w:rsidR="006C1235" w:rsidRPr="00860C20">
        <w:rPr>
          <w:rtl/>
        </w:rPr>
        <w:t xml:space="preserve"> -</w:t>
      </w:r>
      <w:r w:rsidRPr="00860C20">
        <w:rPr>
          <w:rtl/>
        </w:rPr>
        <w:t xml:space="preserve"> בהתאם ל</w:t>
      </w:r>
      <w:r w:rsidRPr="00860C20">
        <w:rPr>
          <w:b/>
          <w:bCs/>
          <w:u w:val="single"/>
          <w:rtl/>
        </w:rPr>
        <w:t>ע"א גולדמן</w:t>
      </w:r>
      <w:r w:rsidRPr="00860C20">
        <w:rPr>
          <w:rtl/>
        </w:rPr>
        <w:t xml:space="preserve">, יש לכרוך במפורש. אם יוחלט שהכריכה עמדה במבחן המשולש, הסמכות לדון בסוגיית הרכוש תהיה </w:t>
      </w:r>
      <w:proofErr w:type="spellStart"/>
      <w:r w:rsidRPr="00860C20">
        <w:rPr>
          <w:rtl/>
        </w:rPr>
        <w:t>לביד"ר</w:t>
      </w:r>
      <w:proofErr w:type="spellEnd"/>
      <w:r w:rsidRPr="00860C20">
        <w:rPr>
          <w:rtl/>
        </w:rPr>
        <w:t>, כיון שנכרכה לגירושין.</w:t>
      </w:r>
      <w:r w:rsidR="00E715DD" w:rsidRPr="00860C20">
        <w:rPr>
          <w:rFonts w:hint="cs"/>
          <w:rtl/>
        </w:rPr>
        <w:t xml:space="preserve"> </w:t>
      </w:r>
    </w:p>
    <w:p w14:paraId="497D896E" w14:textId="445A69AF" w:rsidR="00242374" w:rsidRPr="00860C20" w:rsidRDefault="00F76FA2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rFonts w:hint="cs"/>
          <w:b/>
          <w:bCs/>
          <w:rtl/>
        </w:rPr>
        <w:lastRenderedPageBreak/>
        <w:t>ג</w:t>
      </w:r>
      <w:r w:rsidR="006C1235" w:rsidRPr="00860C20">
        <w:rPr>
          <w:b/>
          <w:bCs/>
          <w:rtl/>
        </w:rPr>
        <w:t xml:space="preserve">. </w:t>
      </w:r>
      <w:proofErr w:type="spellStart"/>
      <w:r w:rsidR="00242374" w:rsidRPr="00860C20">
        <w:rPr>
          <w:rtl/>
        </w:rPr>
        <w:t>לביד"ר</w:t>
      </w:r>
      <w:proofErr w:type="spellEnd"/>
      <w:r w:rsidR="00242374" w:rsidRPr="00860C20">
        <w:rPr>
          <w:rtl/>
        </w:rPr>
        <w:t xml:space="preserve"> אין סמכות מקורית לדון בעניין, בהתאם ל</w:t>
      </w:r>
      <w:r w:rsidR="00242374" w:rsidRPr="00860C20">
        <w:rPr>
          <w:b/>
          <w:bCs/>
          <w:u w:val="single"/>
          <w:rtl/>
        </w:rPr>
        <w:t>ס' 3</w:t>
      </w:r>
      <w:r w:rsidR="00242374" w:rsidRPr="00860C20">
        <w:rPr>
          <w:rtl/>
        </w:rPr>
        <w:t>, כיון שהסתיימה תביעת הגירושין. כמו כן, גם אין הסכמה של הצדדים בהתאם ל</w:t>
      </w:r>
      <w:r w:rsidR="00242374" w:rsidRPr="00860C20">
        <w:rPr>
          <w:b/>
          <w:bCs/>
          <w:u w:val="single"/>
          <w:rtl/>
        </w:rPr>
        <w:t xml:space="preserve">ס' 9 </w:t>
      </w:r>
      <w:r w:rsidR="00242374" w:rsidRPr="00860C20">
        <w:rPr>
          <w:rtl/>
        </w:rPr>
        <w:t>לגבי הנושא</w:t>
      </w:r>
      <w:r w:rsidR="00232B22" w:rsidRPr="00860C20">
        <w:rPr>
          <w:rtl/>
        </w:rPr>
        <w:t xml:space="preserve"> של המזונות (</w:t>
      </w:r>
      <w:r w:rsidR="00242374" w:rsidRPr="00860C20">
        <w:rPr>
          <w:rtl/>
        </w:rPr>
        <w:t>שניתן להסכים עלי</w:t>
      </w:r>
      <w:r w:rsidR="00720182" w:rsidRPr="00860C20">
        <w:rPr>
          <w:rtl/>
        </w:rPr>
        <w:t>ו</w:t>
      </w:r>
      <w:r w:rsidR="00242374" w:rsidRPr="00860C20">
        <w:rPr>
          <w:rtl/>
        </w:rPr>
        <w:t>).</w:t>
      </w:r>
      <w:r w:rsidR="00E715DD" w:rsidRPr="00860C20">
        <w:rPr>
          <w:rFonts w:hint="cs"/>
          <w:rtl/>
        </w:rPr>
        <w:t xml:space="preserve"> </w:t>
      </w:r>
    </w:p>
    <w:p w14:paraId="3F4C3042" w14:textId="5DFFB523" w:rsidR="00F85534" w:rsidRPr="00860C20" w:rsidRDefault="00242374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b/>
          <w:bCs/>
          <w:u w:val="single"/>
          <w:rtl/>
        </w:rPr>
        <w:t xml:space="preserve">האם מתקיימת סמכות נמשכת </w:t>
      </w:r>
      <w:proofErr w:type="spellStart"/>
      <w:r w:rsidRPr="00860C20">
        <w:rPr>
          <w:b/>
          <w:bCs/>
          <w:u w:val="single"/>
          <w:rtl/>
        </w:rPr>
        <w:t>לביד"ר</w:t>
      </w:r>
      <w:proofErr w:type="spellEnd"/>
      <w:r w:rsidRPr="00860C20">
        <w:rPr>
          <w:b/>
          <w:bCs/>
          <w:u w:val="single"/>
          <w:rtl/>
        </w:rPr>
        <w:t xml:space="preserve"> לדון בהסכם שאישר</w:t>
      </w:r>
      <w:r w:rsidR="00232B22" w:rsidRPr="00860C20">
        <w:rPr>
          <w:rtl/>
        </w:rPr>
        <w:t>.</w:t>
      </w:r>
      <w:r w:rsidR="007F0D1D" w:rsidRPr="00860C20">
        <w:rPr>
          <w:rFonts w:hint="cs"/>
          <w:rtl/>
        </w:rPr>
        <w:t xml:space="preserve"> </w:t>
      </w:r>
      <w:r w:rsidRPr="00860C20">
        <w:rPr>
          <w:rtl/>
        </w:rPr>
        <w:t>נבחן בהתאם לתנאים שהותוו בפסיקה:</w:t>
      </w:r>
      <w:r w:rsidR="009B732A" w:rsidRPr="00860C20">
        <w:rPr>
          <w:rFonts w:hint="cs"/>
          <w:rtl/>
        </w:rPr>
        <w:t xml:space="preserve"> </w:t>
      </w:r>
    </w:p>
    <w:p w14:paraId="57E94E10" w14:textId="2D5CC59A" w:rsidR="00C95BA8" w:rsidRPr="00860C20" w:rsidRDefault="00F85534" w:rsidP="0086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proofErr w:type="spellStart"/>
      <w:r w:rsidRPr="00860C20">
        <w:rPr>
          <w:b/>
          <w:bCs/>
          <w:u w:val="single"/>
          <w:rtl/>
        </w:rPr>
        <w:t>היתה</w:t>
      </w:r>
      <w:proofErr w:type="spellEnd"/>
      <w:r w:rsidRPr="00860C20">
        <w:rPr>
          <w:b/>
          <w:bCs/>
          <w:u w:val="single"/>
          <w:rtl/>
        </w:rPr>
        <w:t xml:space="preserve"> סמכות מקורית לדון באותו עניין</w:t>
      </w:r>
      <w:r w:rsidR="00E715DD" w:rsidRPr="00860C20">
        <w:rPr>
          <w:rFonts w:hint="cs"/>
          <w:rtl/>
        </w:rPr>
        <w:t xml:space="preserve"> </w:t>
      </w:r>
      <w:r w:rsidRPr="00860C20">
        <w:rPr>
          <w:rtl/>
        </w:rPr>
        <w:t>(</w:t>
      </w:r>
      <w:r w:rsidRPr="00860C20">
        <w:rPr>
          <w:b/>
          <w:bCs/>
          <w:u w:val="single"/>
          <w:rtl/>
        </w:rPr>
        <w:t>בג"ץ סימה לוי</w:t>
      </w:r>
      <w:r w:rsidRPr="00860C20">
        <w:rPr>
          <w:rtl/>
        </w:rPr>
        <w:t xml:space="preserve">) </w:t>
      </w:r>
      <w:r w:rsidR="00475AFE" w:rsidRPr="00860C20">
        <w:rPr>
          <w:rtl/>
        </w:rPr>
        <w:t>–</w:t>
      </w:r>
      <w:r w:rsidRPr="00860C20">
        <w:rPr>
          <w:rtl/>
        </w:rPr>
        <w:t xml:space="preserve"> </w:t>
      </w:r>
      <w:r w:rsidR="00E63511" w:rsidRPr="00860C20">
        <w:rPr>
          <w:rtl/>
        </w:rPr>
        <w:t xml:space="preserve"> </w:t>
      </w:r>
      <w:proofErr w:type="spellStart"/>
      <w:r w:rsidR="00E63511" w:rsidRPr="00860C20">
        <w:rPr>
          <w:rtl/>
        </w:rPr>
        <w:t>היתה</w:t>
      </w:r>
      <w:proofErr w:type="spellEnd"/>
      <w:r w:rsidR="00E63511" w:rsidRPr="00860C20">
        <w:rPr>
          <w:rtl/>
        </w:rPr>
        <w:t xml:space="preserve"> </w:t>
      </w:r>
      <w:proofErr w:type="spellStart"/>
      <w:r w:rsidR="00E63511" w:rsidRPr="00860C20">
        <w:rPr>
          <w:rtl/>
        </w:rPr>
        <w:t>לביד"ר</w:t>
      </w:r>
      <w:proofErr w:type="spellEnd"/>
      <w:r w:rsidR="00E63511" w:rsidRPr="00860C20">
        <w:rPr>
          <w:rtl/>
        </w:rPr>
        <w:t xml:space="preserve"> סמכות לאשר את ההסכם.</w:t>
      </w:r>
      <w:r w:rsidR="00E715DD" w:rsidRPr="00860C20">
        <w:rPr>
          <w:rFonts w:hint="cs"/>
          <w:rtl/>
        </w:rPr>
        <w:t xml:space="preserve"> </w:t>
      </w:r>
      <w:r w:rsidR="00E63511" w:rsidRPr="00860C20">
        <w:rPr>
          <w:rtl/>
        </w:rPr>
        <w:t xml:space="preserve">במקור, </w:t>
      </w:r>
      <w:proofErr w:type="spellStart"/>
      <w:r w:rsidR="00E63511" w:rsidRPr="00860C20">
        <w:rPr>
          <w:rtl/>
        </w:rPr>
        <w:t>היתה</w:t>
      </w:r>
      <w:proofErr w:type="spellEnd"/>
      <w:r w:rsidR="00E63511" w:rsidRPr="00860C20">
        <w:rPr>
          <w:rtl/>
        </w:rPr>
        <w:t xml:space="preserve"> סמכות </w:t>
      </w:r>
      <w:proofErr w:type="spellStart"/>
      <w:r w:rsidR="00E63511" w:rsidRPr="00860C20">
        <w:rPr>
          <w:rtl/>
        </w:rPr>
        <w:t>לביד"ר</w:t>
      </w:r>
      <w:proofErr w:type="spellEnd"/>
      <w:r w:rsidR="00E63511" w:rsidRPr="00860C20">
        <w:rPr>
          <w:rtl/>
        </w:rPr>
        <w:t xml:space="preserve"> לדון בהסכמה בענייני המזונות</w:t>
      </w:r>
      <w:r w:rsidR="00BC610D">
        <w:rPr>
          <w:rFonts w:hint="cs"/>
          <w:rtl/>
        </w:rPr>
        <w:t xml:space="preserve"> </w:t>
      </w:r>
      <w:r w:rsidR="00B24750" w:rsidRPr="00860C20">
        <w:rPr>
          <w:rFonts w:hint="cs"/>
          <w:rtl/>
        </w:rPr>
        <w:t>והמשמורת</w:t>
      </w:r>
      <w:r w:rsidR="00E63511" w:rsidRPr="00860C20">
        <w:rPr>
          <w:rtl/>
        </w:rPr>
        <w:t xml:space="preserve"> בהתאם ל</w:t>
      </w:r>
      <w:r w:rsidR="00E63511" w:rsidRPr="00860C20">
        <w:rPr>
          <w:b/>
          <w:bCs/>
          <w:u w:val="single"/>
          <w:rtl/>
        </w:rPr>
        <w:t>ס' 9,</w:t>
      </w:r>
      <w:r w:rsidR="00E63511" w:rsidRPr="00860C20">
        <w:rPr>
          <w:rtl/>
        </w:rPr>
        <w:t xml:space="preserve"> מפני שעניי</w:t>
      </w:r>
      <w:r w:rsidR="00B24750" w:rsidRPr="00860C20">
        <w:rPr>
          <w:rFonts w:hint="cs"/>
          <w:rtl/>
        </w:rPr>
        <w:t>נים אלה</w:t>
      </w:r>
      <w:r w:rsidR="00E63511" w:rsidRPr="00860C20">
        <w:rPr>
          <w:rtl/>
        </w:rPr>
        <w:t xml:space="preserve"> נמנ</w:t>
      </w:r>
      <w:r w:rsidR="00B24750" w:rsidRPr="00860C20">
        <w:rPr>
          <w:rFonts w:hint="cs"/>
          <w:rtl/>
        </w:rPr>
        <w:t>ים</w:t>
      </w:r>
      <w:r w:rsidR="00E63511" w:rsidRPr="00860C20">
        <w:rPr>
          <w:rtl/>
        </w:rPr>
        <w:t xml:space="preserve"> על ענייני המעמד האישי, </w:t>
      </w:r>
      <w:proofErr w:type="spellStart"/>
      <w:r w:rsidR="00E63511" w:rsidRPr="00860C20">
        <w:rPr>
          <w:rtl/>
        </w:rPr>
        <w:t>והיתה</w:t>
      </w:r>
      <w:proofErr w:type="spellEnd"/>
      <w:r w:rsidR="00E63511" w:rsidRPr="00860C20">
        <w:rPr>
          <w:rtl/>
        </w:rPr>
        <w:t xml:space="preserve"> הסכמה של שני הצדדים.</w:t>
      </w:r>
      <w:r w:rsidR="00E715DD" w:rsidRPr="00860C20">
        <w:rPr>
          <w:rFonts w:hint="cs"/>
          <w:rtl/>
        </w:rPr>
        <w:t xml:space="preserve"> </w:t>
      </w:r>
    </w:p>
    <w:p w14:paraId="5BF1FEEC" w14:textId="00D8B97E" w:rsidR="00242374" w:rsidRPr="00860C20" w:rsidRDefault="00242374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b/>
          <w:bCs/>
          <w:u w:val="single"/>
          <w:rtl/>
        </w:rPr>
        <w:t>העניין הינו בעל אופי מתמשך</w:t>
      </w:r>
      <w:r w:rsidR="00860C20" w:rsidRPr="00860C20">
        <w:rPr>
          <w:rFonts w:hint="cs"/>
          <w:rtl/>
        </w:rPr>
        <w:t xml:space="preserve"> </w:t>
      </w:r>
      <w:r w:rsidRPr="00860C20">
        <w:rPr>
          <w:rtl/>
        </w:rPr>
        <w:t xml:space="preserve">- </w:t>
      </w:r>
      <w:r w:rsidRPr="00860C20">
        <w:rPr>
          <w:b/>
          <w:bCs/>
          <w:u w:val="single"/>
          <w:rtl/>
        </w:rPr>
        <w:t>בג"צ סימה לוי</w:t>
      </w:r>
      <w:r w:rsidR="005F47D1" w:rsidRPr="00860C20">
        <w:rPr>
          <w:rFonts w:hint="cs"/>
          <w:rtl/>
        </w:rPr>
        <w:t xml:space="preserve"> -</w:t>
      </w:r>
      <w:r w:rsidRPr="00860C20">
        <w:rPr>
          <w:rtl/>
        </w:rPr>
        <w:t xml:space="preserve"> החלטות בנושא</w:t>
      </w:r>
      <w:r w:rsidR="00B24750" w:rsidRPr="00860C20">
        <w:rPr>
          <w:rFonts w:hint="cs"/>
          <w:rtl/>
        </w:rPr>
        <w:t>ים</w:t>
      </w:r>
      <w:r w:rsidRPr="00860C20">
        <w:rPr>
          <w:rtl/>
        </w:rPr>
        <w:t xml:space="preserve"> של מזונות</w:t>
      </w:r>
      <w:r w:rsidR="00B24750" w:rsidRPr="00860C20">
        <w:rPr>
          <w:rFonts w:hint="cs"/>
          <w:rtl/>
        </w:rPr>
        <w:t xml:space="preserve"> ומשמורת</w:t>
      </w:r>
      <w:r w:rsidRPr="00860C20">
        <w:rPr>
          <w:rtl/>
        </w:rPr>
        <w:t>, ע"פ עצם טיבן נתונות לשינוי.</w:t>
      </w:r>
      <w:r w:rsidR="00E715DD" w:rsidRPr="00860C20">
        <w:rPr>
          <w:rFonts w:hint="cs"/>
          <w:rtl/>
        </w:rPr>
        <w:t xml:space="preserve"> </w:t>
      </w:r>
    </w:p>
    <w:p w14:paraId="6DCD7BFF" w14:textId="2081CABE" w:rsidR="00242374" w:rsidRPr="00860C20" w:rsidRDefault="00242374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b/>
          <w:bCs/>
          <w:u w:val="single"/>
          <w:rtl/>
        </w:rPr>
        <w:t>הצדדים להליך הם אותם צדדים</w:t>
      </w:r>
      <w:r w:rsidR="008B4651" w:rsidRPr="00860C20">
        <w:rPr>
          <w:rFonts w:hint="cs"/>
          <w:rtl/>
        </w:rPr>
        <w:t xml:space="preserve"> </w:t>
      </w:r>
      <w:r w:rsidRPr="00860C20">
        <w:rPr>
          <w:rtl/>
        </w:rPr>
        <w:t xml:space="preserve">- </w:t>
      </w:r>
      <w:r w:rsidRPr="00860C20">
        <w:rPr>
          <w:b/>
          <w:bCs/>
          <w:rtl/>
        </w:rPr>
        <w:t xml:space="preserve">נבחן האם הקטינים מחויבים להסכמות של הוריהם (בהתאם לס' 9): </w:t>
      </w:r>
    </w:p>
    <w:p w14:paraId="7F1AE4C9" w14:textId="00CBEA77" w:rsidR="00242374" w:rsidRPr="00860C20" w:rsidRDefault="00242374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b/>
          <w:bCs/>
          <w:u w:val="single"/>
          <w:rtl/>
        </w:rPr>
        <w:t>בג"ץ כץ</w:t>
      </w:r>
      <w:r w:rsidRPr="00860C20">
        <w:rPr>
          <w:b/>
          <w:bCs/>
          <w:rtl/>
        </w:rPr>
        <w:t xml:space="preserve"> </w:t>
      </w:r>
      <w:r w:rsidRPr="00860C20">
        <w:rPr>
          <w:rtl/>
        </w:rPr>
        <w:t>- הסדרים מוסכמים שהושגו בין ההורים, לגבי הסמכות הדיונית וגם לגבי נושאים מהותיים, לא מחייבים את הקטין כשהוא לא היה צד להם.</w:t>
      </w:r>
      <w:r w:rsidR="00E715DD" w:rsidRPr="00860C20">
        <w:rPr>
          <w:rFonts w:hint="cs"/>
          <w:rtl/>
        </w:rPr>
        <w:t xml:space="preserve"> </w:t>
      </w:r>
      <w:r w:rsidRPr="00860C20">
        <w:rPr>
          <w:rtl/>
        </w:rPr>
        <w:t>ניתן לטעון כי עניינם העצמאי של הקטינים לא היה כאן במרכז. לכן, הם לא היו צד להסכם וההסכם אינו מחייב אותם, והם יכולים לפנות באמצעות אפוטרופוס לביהמ"ש לענייני משפחה.</w:t>
      </w:r>
      <w:r w:rsidR="00E715DD" w:rsidRPr="00860C20">
        <w:rPr>
          <w:rFonts w:hint="cs"/>
          <w:rtl/>
        </w:rPr>
        <w:t xml:space="preserve"> </w:t>
      </w:r>
    </w:p>
    <w:p w14:paraId="45C7FCAA" w14:textId="4CC5788C" w:rsidR="00242374" w:rsidRPr="00860C20" w:rsidRDefault="00242374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b/>
          <w:bCs/>
          <w:u w:val="single"/>
          <w:rtl/>
        </w:rPr>
        <w:t xml:space="preserve">דעת המיעוט של </w:t>
      </w:r>
      <w:proofErr w:type="spellStart"/>
      <w:r w:rsidRPr="00860C20">
        <w:rPr>
          <w:b/>
          <w:bCs/>
          <w:u w:val="single"/>
          <w:rtl/>
        </w:rPr>
        <w:t>הש</w:t>
      </w:r>
      <w:proofErr w:type="spellEnd"/>
      <w:r w:rsidRPr="00860C20">
        <w:rPr>
          <w:b/>
          <w:bCs/>
          <w:u w:val="single"/>
          <w:rtl/>
        </w:rPr>
        <w:t xml:space="preserve">' </w:t>
      </w:r>
      <w:proofErr w:type="spellStart"/>
      <w:r w:rsidRPr="00860C20">
        <w:rPr>
          <w:b/>
          <w:bCs/>
          <w:u w:val="single"/>
          <w:rtl/>
        </w:rPr>
        <w:t>טירקל</w:t>
      </w:r>
      <w:proofErr w:type="spellEnd"/>
      <w:r w:rsidR="00215DFF" w:rsidRPr="00860C20">
        <w:rPr>
          <w:rFonts w:hint="cs"/>
          <w:b/>
          <w:bCs/>
          <w:rtl/>
        </w:rPr>
        <w:t xml:space="preserve"> -</w:t>
      </w:r>
      <w:r w:rsidRPr="00860C20">
        <w:rPr>
          <w:b/>
          <w:bCs/>
          <w:rtl/>
        </w:rPr>
        <w:t xml:space="preserve"> </w:t>
      </w:r>
      <w:r w:rsidRPr="00860C20">
        <w:rPr>
          <w:rtl/>
        </w:rPr>
        <w:t xml:space="preserve">יש למנות לקטין אפוטרופוס כדי שיחווה דעתו בשאלה אם  טוב לקטין שענייניו יתבררו </w:t>
      </w:r>
      <w:proofErr w:type="spellStart"/>
      <w:r w:rsidRPr="00860C20">
        <w:rPr>
          <w:rtl/>
        </w:rPr>
        <w:t>בביד"ר</w:t>
      </w:r>
      <w:proofErr w:type="spellEnd"/>
      <w:r w:rsidRPr="00860C20">
        <w:rPr>
          <w:rtl/>
        </w:rPr>
        <w:t xml:space="preserve"> או בבימ"ש לענייני משפחה.</w:t>
      </w:r>
      <w:r w:rsidR="00E715DD" w:rsidRPr="00860C20">
        <w:rPr>
          <w:rFonts w:hint="cs"/>
          <w:rtl/>
        </w:rPr>
        <w:t xml:space="preserve"> </w:t>
      </w:r>
    </w:p>
    <w:p w14:paraId="2434D329" w14:textId="2BE31158" w:rsidR="00242374" w:rsidRPr="00860C20" w:rsidRDefault="00242374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b/>
          <w:bCs/>
          <w:u w:val="single"/>
          <w:rtl/>
        </w:rPr>
        <w:t>בג"ץ 2898/03 פלונית</w:t>
      </w:r>
      <w:r w:rsidR="00215DFF" w:rsidRPr="00860C20">
        <w:rPr>
          <w:rFonts w:hint="cs"/>
          <w:rtl/>
        </w:rPr>
        <w:t xml:space="preserve"> -</w:t>
      </w:r>
      <w:r w:rsidRPr="00860C20">
        <w:rPr>
          <w:rtl/>
        </w:rPr>
        <w:t xml:space="preserve"> הסכם גירושין בין ההורים, יחייב את הקטינים רק כשברמה הדיונית - עניינם נבחן לגופו </w:t>
      </w:r>
      <w:proofErr w:type="spellStart"/>
      <w:r w:rsidRPr="00860C20">
        <w:rPr>
          <w:rtl/>
        </w:rPr>
        <w:t>כענין</w:t>
      </w:r>
      <w:proofErr w:type="spellEnd"/>
      <w:r w:rsidRPr="00860C20">
        <w:rPr>
          <w:rtl/>
        </w:rPr>
        <w:t xml:space="preserve"> עצמאי ונפרד מיתר סוגיות הגירושין, וברמה המהותית</w:t>
      </w:r>
      <w:r w:rsidR="00215DFF" w:rsidRPr="00860C20">
        <w:rPr>
          <w:rFonts w:hint="cs"/>
          <w:rtl/>
        </w:rPr>
        <w:t xml:space="preserve"> </w:t>
      </w:r>
      <w:r w:rsidRPr="00860C20">
        <w:rPr>
          <w:rtl/>
        </w:rPr>
        <w:t>- הערכאה המוסמכת שוכנעה כי ההסכם משרת את טובת הקטין.</w:t>
      </w:r>
      <w:r w:rsidR="00710582" w:rsidRPr="00860C20">
        <w:rPr>
          <w:rFonts w:hint="cs"/>
          <w:rtl/>
        </w:rPr>
        <w:t xml:space="preserve"> </w:t>
      </w:r>
      <w:r w:rsidRPr="00860C20">
        <w:rPr>
          <w:rtl/>
        </w:rPr>
        <w:t xml:space="preserve">במקרה שלפנינו, לא התקיים בפני </w:t>
      </w:r>
      <w:proofErr w:type="spellStart"/>
      <w:r w:rsidRPr="00860C20">
        <w:rPr>
          <w:rtl/>
        </w:rPr>
        <w:t>ביד"ר</w:t>
      </w:r>
      <w:proofErr w:type="spellEnd"/>
      <w:r w:rsidRPr="00860C20">
        <w:rPr>
          <w:rtl/>
        </w:rPr>
        <w:t xml:space="preserve"> דיון נפרד או דיון מהותי, אלא ההסכם אושר כלשונו, ולכן התנאי אינו מתקיים.</w:t>
      </w:r>
      <w:r w:rsidR="00710582" w:rsidRPr="00860C20">
        <w:rPr>
          <w:rFonts w:hint="cs"/>
          <w:rtl/>
        </w:rPr>
        <w:t xml:space="preserve"> </w:t>
      </w:r>
    </w:p>
    <w:p w14:paraId="199597BA" w14:textId="38F6A47D" w:rsidR="00242374" w:rsidRPr="00860C20" w:rsidRDefault="00242374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b/>
          <w:bCs/>
          <w:u w:val="single"/>
          <w:rtl/>
        </w:rPr>
        <w:t>בנוגע למעמדם העצמאי של הקטינים</w:t>
      </w:r>
      <w:r w:rsidRPr="00860C20">
        <w:rPr>
          <w:rtl/>
        </w:rPr>
        <w:t>: האם הקטינים היו צד לתביעה המקורית</w:t>
      </w:r>
      <w:r w:rsidR="00215DFF" w:rsidRPr="00860C20">
        <w:rPr>
          <w:rFonts w:hint="cs"/>
          <w:rtl/>
        </w:rPr>
        <w:t>?</w:t>
      </w:r>
      <w:r w:rsidRPr="00860C20">
        <w:rPr>
          <w:rtl/>
        </w:rPr>
        <w:t xml:space="preserve"> </w:t>
      </w:r>
      <w:r w:rsidRPr="00860C20">
        <w:rPr>
          <w:b/>
          <w:bCs/>
          <w:u w:val="single"/>
          <w:rtl/>
        </w:rPr>
        <w:t>בג"ץ 4407/12</w:t>
      </w:r>
      <w:r w:rsidR="00215DFF" w:rsidRPr="00860C20">
        <w:rPr>
          <w:rFonts w:hint="cs"/>
          <w:rtl/>
        </w:rPr>
        <w:t>:</w:t>
      </w:r>
      <w:r w:rsidRPr="00860C20">
        <w:rPr>
          <w:rtl/>
        </w:rPr>
        <w:t xml:space="preserve"> </w:t>
      </w:r>
      <w:r w:rsidRPr="00860C20">
        <w:rPr>
          <w:b/>
          <w:bCs/>
          <w:u w:val="single"/>
          <w:rtl/>
        </w:rPr>
        <w:t>לגבי מזונות</w:t>
      </w:r>
      <w:r w:rsidRPr="00860C20">
        <w:rPr>
          <w:rtl/>
        </w:rPr>
        <w:t xml:space="preserve">: </w:t>
      </w:r>
      <w:r w:rsidRPr="00860C20">
        <w:rPr>
          <w:b/>
          <w:bCs/>
          <w:u w:val="single"/>
          <w:rtl/>
        </w:rPr>
        <w:t>לדעת כל השופטים</w:t>
      </w:r>
      <w:r w:rsidRPr="00860C20">
        <w:rPr>
          <w:rtl/>
        </w:rPr>
        <w:t>- המבחן החל הוא המבחן המהותי: האם התקיים דיון ענייני במזונות הקטינים? ב</w:t>
      </w:r>
      <w:r w:rsidR="00215DFF" w:rsidRPr="00860C20">
        <w:rPr>
          <w:rFonts w:hint="cs"/>
          <w:rtl/>
        </w:rPr>
        <w:t>ענייננו</w:t>
      </w:r>
      <w:r w:rsidRPr="00860C20">
        <w:rPr>
          <w:rtl/>
        </w:rPr>
        <w:t>, לא התקיים דיון ענייני לגבי הקטינים, אלא ההסכם אושר ללא דיון כלשונו.</w:t>
      </w:r>
      <w:r w:rsidR="00710582" w:rsidRPr="00860C20">
        <w:rPr>
          <w:rFonts w:hint="cs"/>
          <w:rtl/>
        </w:rPr>
        <w:t xml:space="preserve"> </w:t>
      </w:r>
      <w:r w:rsidRPr="00860C20">
        <w:rPr>
          <w:rtl/>
        </w:rPr>
        <w:t xml:space="preserve"> </w:t>
      </w:r>
      <w:r w:rsidRPr="00860C20">
        <w:rPr>
          <w:b/>
          <w:bCs/>
          <w:u w:val="single"/>
          <w:rtl/>
        </w:rPr>
        <w:t>לגישת עמית</w:t>
      </w:r>
      <w:r w:rsidRPr="00860C20">
        <w:rPr>
          <w:rtl/>
        </w:rPr>
        <w:t>,</w:t>
      </w:r>
      <w:r w:rsidR="00710582" w:rsidRPr="00860C20">
        <w:rPr>
          <w:rFonts w:hint="cs"/>
          <w:rtl/>
        </w:rPr>
        <w:t xml:space="preserve"> </w:t>
      </w:r>
      <w:r w:rsidRPr="00860C20">
        <w:rPr>
          <w:rtl/>
        </w:rPr>
        <w:t xml:space="preserve">מבחן זה הוא דו שלבי: </w:t>
      </w:r>
      <w:r w:rsidRPr="00860C20">
        <w:rPr>
          <w:u w:val="single"/>
          <w:rtl/>
        </w:rPr>
        <w:t>השלב הראשון</w:t>
      </w:r>
      <w:r w:rsidR="00765CFB" w:rsidRPr="00860C20">
        <w:rPr>
          <w:rtl/>
        </w:rPr>
        <w:t xml:space="preserve"> </w:t>
      </w:r>
      <w:r w:rsidRPr="00860C20">
        <w:rPr>
          <w:rtl/>
        </w:rPr>
        <w:t>- האם התקיים דיון ענייני במזונות הקטינים</w:t>
      </w:r>
      <w:r w:rsidR="00765CFB" w:rsidRPr="00860C20">
        <w:rPr>
          <w:rtl/>
        </w:rPr>
        <w:t xml:space="preserve"> </w:t>
      </w:r>
      <w:r w:rsidRPr="00860C20">
        <w:rPr>
          <w:rtl/>
        </w:rPr>
        <w:t xml:space="preserve">- כאמור, נראה שלא התקיים דיון כזה, ולכן זה נופל בשלב זה. </w:t>
      </w:r>
      <w:r w:rsidRPr="00860C20">
        <w:rPr>
          <w:u w:val="single"/>
          <w:rtl/>
        </w:rPr>
        <w:t>השלב השני</w:t>
      </w:r>
      <w:r w:rsidR="00765CFB" w:rsidRPr="00860C20">
        <w:rPr>
          <w:rtl/>
        </w:rPr>
        <w:t xml:space="preserve"> </w:t>
      </w:r>
      <w:r w:rsidRPr="00860C20">
        <w:rPr>
          <w:rtl/>
        </w:rPr>
        <w:t>- האם הקטינים קופחו בפועל בסכום שנפסק להם?</w:t>
      </w:r>
      <w:r w:rsidR="00710582" w:rsidRPr="00860C20">
        <w:rPr>
          <w:rFonts w:hint="cs"/>
          <w:rtl/>
        </w:rPr>
        <w:t xml:space="preserve"> </w:t>
      </w:r>
      <w:r w:rsidR="00B24750" w:rsidRPr="00860C20">
        <w:rPr>
          <w:rFonts w:hint="cs"/>
          <w:rtl/>
        </w:rPr>
        <w:t>יישום</w:t>
      </w:r>
      <w:r w:rsidRPr="00860C20">
        <w:rPr>
          <w:rtl/>
        </w:rPr>
        <w:t>.</w:t>
      </w:r>
      <w:r w:rsidR="00710582" w:rsidRPr="00860C20">
        <w:rPr>
          <w:rFonts w:hint="cs"/>
          <w:rtl/>
        </w:rPr>
        <w:t xml:space="preserve"> </w:t>
      </w:r>
      <w:r w:rsidRPr="00860C20">
        <w:rPr>
          <w:rtl/>
        </w:rPr>
        <w:t>לפי עמית, אם הקטין לא קופח במזונותיו, אין טעם לפתוח את ההסכם, אף אם לא התמלאה הדרישה הראשונה של דיון ענייני במזונות הקטינים.</w:t>
      </w:r>
      <w:r w:rsidR="00710582" w:rsidRPr="00860C20">
        <w:rPr>
          <w:rFonts w:hint="cs"/>
          <w:rtl/>
        </w:rPr>
        <w:t xml:space="preserve"> </w:t>
      </w:r>
    </w:p>
    <w:p w14:paraId="14A91CEE" w14:textId="4254BB08" w:rsidR="00B24750" w:rsidRPr="00860C20" w:rsidRDefault="00B24750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E53244">
        <w:rPr>
          <w:rFonts w:hint="cs"/>
          <w:b/>
          <w:bCs/>
          <w:highlight w:val="yellow"/>
          <w:u w:val="single"/>
          <w:rtl/>
        </w:rPr>
        <w:t>לגבי משמורת</w:t>
      </w:r>
      <w:r w:rsidRPr="00E53244">
        <w:rPr>
          <w:rFonts w:hint="cs"/>
          <w:highlight w:val="yellow"/>
          <w:rtl/>
        </w:rPr>
        <w:t xml:space="preserve"> - </w:t>
      </w:r>
      <w:r w:rsidRPr="00E53244">
        <w:rPr>
          <w:rFonts w:hint="cs"/>
          <w:b/>
          <w:bCs/>
          <w:highlight w:val="yellow"/>
          <w:u w:val="single"/>
          <w:rtl/>
        </w:rPr>
        <w:t>לדעת השופטים רובינשטיין והנדל</w:t>
      </w:r>
      <w:r w:rsidRPr="00E53244">
        <w:rPr>
          <w:rFonts w:hint="cs"/>
          <w:highlight w:val="yellow"/>
          <w:rtl/>
        </w:rPr>
        <w:t xml:space="preserve"> - יש להחיל את המבחן המהותי גם על ענייני משמורת - כאמור, נראה שאינו מתקיים. </w:t>
      </w:r>
      <w:r w:rsidRPr="00E53244">
        <w:rPr>
          <w:rFonts w:hint="cs"/>
          <w:b/>
          <w:bCs/>
          <w:highlight w:val="yellow"/>
          <w:u w:val="single"/>
          <w:rtl/>
        </w:rPr>
        <w:t xml:space="preserve">לדעת הש' עמית </w:t>
      </w:r>
      <w:r w:rsidRPr="00E53244">
        <w:rPr>
          <w:rFonts w:hint="cs"/>
          <w:highlight w:val="yellow"/>
          <w:rtl/>
        </w:rPr>
        <w:t>- יש להחיל על ענייני הקטין מלבד המזונות מבחן פרוצדורלי - בהתאם לעובדות, עולה שלא הייתה תביעה נפרדת בשמם של הקטינים ולא התקיים דיון נפרד בעניינם, ולכן, גם המבחן הזה לא חל.</w:t>
      </w:r>
      <w:r w:rsidRPr="00860C20">
        <w:rPr>
          <w:rFonts w:hint="cs"/>
          <w:rtl/>
        </w:rPr>
        <w:t xml:space="preserve"> </w:t>
      </w:r>
    </w:p>
    <w:p w14:paraId="2D841FEE" w14:textId="0DCED3F6" w:rsidR="00242374" w:rsidRPr="00860C20" w:rsidRDefault="00242374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b/>
          <w:bCs/>
          <w:u w:val="single"/>
          <w:rtl/>
        </w:rPr>
        <w:t>"דן ופסק</w:t>
      </w:r>
      <w:r w:rsidRPr="00860C20">
        <w:rPr>
          <w:rtl/>
        </w:rPr>
        <w:t>"</w:t>
      </w:r>
      <w:r w:rsidR="00860C20" w:rsidRPr="00860C20">
        <w:rPr>
          <w:rFonts w:hint="cs"/>
          <w:rtl/>
        </w:rPr>
        <w:t xml:space="preserve"> </w:t>
      </w:r>
      <w:r w:rsidRPr="00860C20">
        <w:rPr>
          <w:rtl/>
        </w:rPr>
        <w:t xml:space="preserve">- </w:t>
      </w:r>
      <w:r w:rsidRPr="00860C20">
        <w:rPr>
          <w:b/>
          <w:bCs/>
          <w:u w:val="single"/>
          <w:rtl/>
        </w:rPr>
        <w:t>בג"ץ 6021/10</w:t>
      </w:r>
      <w:r w:rsidRPr="00860C20">
        <w:rPr>
          <w:rtl/>
        </w:rPr>
        <w:t xml:space="preserve"> </w:t>
      </w:r>
      <w:r w:rsidR="00215DFF" w:rsidRPr="00860C20">
        <w:rPr>
          <w:rtl/>
        </w:rPr>
        <w:t>–</w:t>
      </w:r>
      <w:r w:rsidRPr="00860C20">
        <w:rPr>
          <w:rtl/>
        </w:rPr>
        <w:t xml:space="preserve"> </w:t>
      </w:r>
      <w:r w:rsidR="00215DFF" w:rsidRPr="00860C20">
        <w:rPr>
          <w:rFonts w:hint="cs"/>
          <w:rtl/>
        </w:rPr>
        <w:t>יישום.</w:t>
      </w:r>
      <w:r w:rsidR="00710582" w:rsidRPr="00860C20">
        <w:rPr>
          <w:rFonts w:hint="cs"/>
          <w:rtl/>
        </w:rPr>
        <w:t xml:space="preserve"> </w:t>
      </w:r>
    </w:p>
    <w:p w14:paraId="40C9C25B" w14:textId="5F6FA76E" w:rsidR="00242374" w:rsidRPr="00860C20" w:rsidRDefault="00242374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b/>
          <w:bCs/>
          <w:u w:val="single"/>
          <w:rtl/>
        </w:rPr>
        <w:t>כלל הסמכות הנמשכת אינו כולל נושאים שלא הוזכרו בהסכם</w:t>
      </w:r>
      <w:r w:rsidR="00710582" w:rsidRPr="00860C20">
        <w:rPr>
          <w:rFonts w:hint="cs"/>
          <w:rtl/>
        </w:rPr>
        <w:t xml:space="preserve"> </w:t>
      </w:r>
      <w:r w:rsidRPr="00860C20">
        <w:rPr>
          <w:rtl/>
        </w:rPr>
        <w:t>–</w:t>
      </w:r>
      <w:r w:rsidR="00860C20" w:rsidRPr="00860C20">
        <w:rPr>
          <w:rFonts w:hint="cs"/>
          <w:rtl/>
        </w:rPr>
        <w:t xml:space="preserve"> </w:t>
      </w:r>
      <w:r w:rsidR="00215DFF" w:rsidRPr="00860C20">
        <w:rPr>
          <w:rFonts w:hint="cs"/>
          <w:rtl/>
        </w:rPr>
        <w:t>יישום.</w:t>
      </w:r>
      <w:r w:rsidR="00710582" w:rsidRPr="00860C20">
        <w:rPr>
          <w:rFonts w:hint="cs"/>
          <w:rtl/>
        </w:rPr>
        <w:t xml:space="preserve"> </w:t>
      </w:r>
    </w:p>
    <w:p w14:paraId="1731EF2F" w14:textId="1F28662C" w:rsidR="00242374" w:rsidRPr="00860C20" w:rsidRDefault="00242374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b/>
          <w:bCs/>
          <w:u w:val="single"/>
          <w:rtl/>
        </w:rPr>
        <w:t>הסוג</w:t>
      </w:r>
      <w:r w:rsidR="004B3FE4" w:rsidRPr="00860C20">
        <w:rPr>
          <w:b/>
          <w:bCs/>
          <w:u w:val="single"/>
          <w:rtl/>
        </w:rPr>
        <w:t>י</w:t>
      </w:r>
      <w:r w:rsidRPr="00860C20">
        <w:rPr>
          <w:b/>
          <w:bCs/>
          <w:u w:val="single"/>
          <w:rtl/>
        </w:rPr>
        <w:t>יה המאוחרת קרובה במידה מספקת לזו המקורית</w:t>
      </w:r>
      <w:r w:rsidRPr="00860C20">
        <w:rPr>
          <w:b/>
          <w:bCs/>
          <w:rtl/>
        </w:rPr>
        <w:t xml:space="preserve"> </w:t>
      </w:r>
      <w:r w:rsidR="00710582" w:rsidRPr="00860C20">
        <w:rPr>
          <w:rFonts w:hint="cs"/>
          <w:b/>
          <w:bCs/>
          <w:rtl/>
        </w:rPr>
        <w:t xml:space="preserve">- </w:t>
      </w:r>
      <w:r w:rsidRPr="00860C20">
        <w:rPr>
          <w:b/>
          <w:bCs/>
          <w:u w:val="single"/>
          <w:rtl/>
        </w:rPr>
        <w:t xml:space="preserve">בג"ץ </w:t>
      </w:r>
      <w:proofErr w:type="spellStart"/>
      <w:r w:rsidRPr="00860C20">
        <w:rPr>
          <w:b/>
          <w:bCs/>
          <w:u w:val="single"/>
          <w:rtl/>
        </w:rPr>
        <w:t>ורבר</w:t>
      </w:r>
      <w:proofErr w:type="spellEnd"/>
      <w:r w:rsidRPr="00860C20">
        <w:rPr>
          <w:b/>
          <w:bCs/>
          <w:rtl/>
        </w:rPr>
        <w:t xml:space="preserve"> </w:t>
      </w:r>
      <w:r w:rsidR="00C95BA8" w:rsidRPr="00860C20">
        <w:rPr>
          <w:b/>
          <w:bCs/>
          <w:rtl/>
        </w:rPr>
        <w:t>–</w:t>
      </w:r>
      <w:r w:rsidRPr="00860C20">
        <w:rPr>
          <w:rtl/>
        </w:rPr>
        <w:t xml:space="preserve"> חלפ</w:t>
      </w:r>
      <w:r w:rsidR="00C95BA8" w:rsidRPr="00860C20">
        <w:rPr>
          <w:rtl/>
        </w:rPr>
        <w:t>ו כ</w:t>
      </w:r>
      <w:r w:rsidR="00B24750" w:rsidRPr="00860C20">
        <w:rPr>
          <w:rFonts w:hint="cs"/>
          <w:rtl/>
        </w:rPr>
        <w:t>שנתיים</w:t>
      </w:r>
      <w:r w:rsidR="00F85534" w:rsidRPr="00860C20">
        <w:rPr>
          <w:rtl/>
        </w:rPr>
        <w:t xml:space="preserve"> </w:t>
      </w:r>
      <w:r w:rsidRPr="00860C20">
        <w:rPr>
          <w:rtl/>
        </w:rPr>
        <w:t xml:space="preserve">מאז חתימת ההסכם, </w:t>
      </w:r>
      <w:r w:rsidR="00B60F41" w:rsidRPr="00860C20">
        <w:rPr>
          <w:rtl/>
        </w:rPr>
        <w:t>כך ש</w:t>
      </w:r>
      <w:r w:rsidR="00B24750" w:rsidRPr="00860C20">
        <w:rPr>
          <w:rFonts w:hint="cs"/>
          <w:rtl/>
        </w:rPr>
        <w:t xml:space="preserve">ככל הנראה </w:t>
      </w:r>
      <w:r w:rsidRPr="00860C20">
        <w:rPr>
          <w:rtl/>
        </w:rPr>
        <w:t>נשמר צביונו המתמשך של העניין.</w:t>
      </w:r>
      <w:r w:rsidR="00B60F41" w:rsidRPr="00860C20">
        <w:rPr>
          <w:rtl/>
        </w:rPr>
        <w:t xml:space="preserve"> נותרה גם קירבה מבחינת המקום.</w:t>
      </w:r>
      <w:r w:rsidR="00710582" w:rsidRPr="00860C20">
        <w:rPr>
          <w:rFonts w:hint="cs"/>
          <w:rtl/>
        </w:rPr>
        <w:t xml:space="preserve"> </w:t>
      </w:r>
    </w:p>
    <w:p w14:paraId="02E74DBE" w14:textId="18D8DF04" w:rsidR="002F10FD" w:rsidRPr="00860C20" w:rsidRDefault="00242374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b/>
          <w:bCs/>
          <w:u w:val="single"/>
          <w:rtl/>
        </w:rPr>
        <w:t>האם מדובר בבקשה לשינוי או ביטול של פס"ד?</w:t>
      </w:r>
      <w:r w:rsidRPr="00860C20">
        <w:rPr>
          <w:rtl/>
        </w:rPr>
        <w:t xml:space="preserve"> מדובר בבקש</w:t>
      </w:r>
      <w:r w:rsidR="0013483D" w:rsidRPr="00860C20">
        <w:rPr>
          <w:rtl/>
        </w:rPr>
        <w:t xml:space="preserve">ה של </w:t>
      </w:r>
      <w:r w:rsidR="00B24750" w:rsidRPr="00860C20">
        <w:rPr>
          <w:rFonts w:hint="cs"/>
          <w:rtl/>
        </w:rPr>
        <w:t xml:space="preserve">מתן </w:t>
      </w:r>
      <w:r w:rsidRPr="00860C20">
        <w:rPr>
          <w:rtl/>
        </w:rPr>
        <w:t>ל</w:t>
      </w:r>
      <w:r w:rsidR="00B24750" w:rsidRPr="00860C20">
        <w:rPr>
          <w:rFonts w:hint="cs"/>
          <w:rtl/>
        </w:rPr>
        <w:t>שינוי</w:t>
      </w:r>
      <w:r w:rsidRPr="00860C20">
        <w:rPr>
          <w:rtl/>
        </w:rPr>
        <w:t xml:space="preserve"> ההסכם</w:t>
      </w:r>
      <w:r w:rsidR="0013483D" w:rsidRPr="00860C20">
        <w:rPr>
          <w:rtl/>
        </w:rPr>
        <w:t xml:space="preserve"> לגבי המזונות</w:t>
      </w:r>
      <w:r w:rsidR="00B24750" w:rsidRPr="00860C20">
        <w:rPr>
          <w:rFonts w:hint="cs"/>
          <w:rtl/>
        </w:rPr>
        <w:t xml:space="preserve"> והמשמורת</w:t>
      </w:r>
      <w:r w:rsidRPr="00860C20">
        <w:rPr>
          <w:rtl/>
        </w:rPr>
        <w:t>.</w:t>
      </w:r>
    </w:p>
    <w:p w14:paraId="4FEABB54" w14:textId="3E45A4C9" w:rsidR="00A06A1F" w:rsidRDefault="00242374" w:rsidP="00AA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tl/>
        </w:rPr>
      </w:pPr>
      <w:r w:rsidRPr="00860C20">
        <w:rPr>
          <w:rtl/>
        </w:rPr>
        <w:t xml:space="preserve">כדי שהתביעה תתקבל נדרש שינוי נסיבות מהותי. </w:t>
      </w:r>
      <w:r w:rsidR="00215DFF" w:rsidRPr="00860C20">
        <w:rPr>
          <w:rFonts w:hint="cs"/>
          <w:rtl/>
        </w:rPr>
        <w:t>יישום.</w:t>
      </w:r>
    </w:p>
    <w:p w14:paraId="10CF8239" w14:textId="03C377F6" w:rsidR="006A5213" w:rsidRPr="006A5213" w:rsidRDefault="006A5213" w:rsidP="006A5213">
      <w:pPr>
        <w:rPr>
          <w:rtl/>
        </w:rPr>
      </w:pPr>
    </w:p>
    <w:p w14:paraId="7CDDD521" w14:textId="65465F1A" w:rsidR="006A5213" w:rsidRPr="006A5213" w:rsidRDefault="006A5213" w:rsidP="006A5213">
      <w:pPr>
        <w:rPr>
          <w:rtl/>
        </w:rPr>
      </w:pPr>
    </w:p>
    <w:p w14:paraId="57BB5C0F" w14:textId="49C78FB4" w:rsidR="006A5213" w:rsidRPr="006A5213" w:rsidRDefault="006A5213" w:rsidP="006A5213">
      <w:pPr>
        <w:rPr>
          <w:rtl/>
        </w:rPr>
      </w:pPr>
    </w:p>
    <w:p w14:paraId="07E0C795" w14:textId="45A2323B" w:rsidR="006A5213" w:rsidRDefault="006A5213" w:rsidP="006A5213">
      <w:pPr>
        <w:tabs>
          <w:tab w:val="left" w:pos="1368"/>
        </w:tabs>
        <w:rPr>
          <w:rtl/>
        </w:rPr>
      </w:pPr>
      <w:r>
        <w:rPr>
          <w:rtl/>
        </w:rPr>
        <w:tab/>
      </w:r>
    </w:p>
    <w:p w14:paraId="795AB4FF" w14:textId="77777777" w:rsidR="006A5213" w:rsidRPr="006A5213" w:rsidRDefault="006A5213" w:rsidP="006A5213">
      <w:pPr>
        <w:tabs>
          <w:tab w:val="left" w:pos="1368"/>
        </w:tabs>
        <w:rPr>
          <w:rtl/>
        </w:rPr>
      </w:pPr>
    </w:p>
    <w:sectPr w:rsidR="006A5213" w:rsidRPr="006A5213" w:rsidSect="00481377">
      <w:footerReference w:type="default" r:id="rId12"/>
      <w:pgSz w:w="11906" w:h="16838"/>
      <w:pgMar w:top="851" w:right="1191" w:bottom="851" w:left="1191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icrosoft Office User" w:date="2023-01-18T21:23:00Z" w:initials="MOU">
    <w:p w14:paraId="68D5887E" w14:textId="77777777" w:rsidR="00A92176" w:rsidRDefault="00A92176" w:rsidP="003F15E3">
      <w:pPr>
        <w:bidi w:val="0"/>
        <w:jc w:val="left"/>
      </w:pPr>
      <w:r>
        <w:rPr>
          <w:rStyle w:val="a5"/>
        </w:rPr>
        <w:annotationRef/>
      </w:r>
      <w:r>
        <w:rPr>
          <w:rFonts w:ascii="Calibri" w:eastAsia="Calibri" w:hAnsi="Calibri" w:cs="Times New Roman"/>
          <w:sz w:val="20"/>
          <w:szCs w:val="20"/>
          <w:rtl/>
          <w:lang w:val="x-none" w:eastAsia="x-none"/>
        </w:rPr>
        <w:t>חסר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D588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2E1BC" w16cex:dateUtc="2023-01-18T1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D5887E" w16cid:durableId="2772E1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0FFB" w14:textId="77777777" w:rsidR="00FE4E82" w:rsidRDefault="00FE4E82" w:rsidP="0007776E">
      <w:r>
        <w:separator/>
      </w:r>
    </w:p>
  </w:endnote>
  <w:endnote w:type="continuationSeparator" w:id="0">
    <w:p w14:paraId="7DDEAD52" w14:textId="77777777" w:rsidR="00FE4E82" w:rsidRDefault="00FE4E82" w:rsidP="0007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C039" w14:textId="545732F0" w:rsidR="00FD5BA3" w:rsidRDefault="00FD5BA3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03E5" w:rsidRPr="003D03E5">
      <w:rPr>
        <w:rFonts w:cs="Calibri"/>
        <w:noProof/>
        <w:rtl/>
        <w:lang w:val="he-IL"/>
      </w:rPr>
      <w:t>3</w:t>
    </w:r>
    <w:r>
      <w:fldChar w:fldCharType="end"/>
    </w:r>
  </w:p>
  <w:p w14:paraId="212023A6" w14:textId="77777777" w:rsidR="00FD5BA3" w:rsidRDefault="00FD5B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E581" w14:textId="77777777" w:rsidR="00FE4E82" w:rsidRDefault="00FE4E82" w:rsidP="0007776E">
      <w:r>
        <w:separator/>
      </w:r>
    </w:p>
  </w:footnote>
  <w:footnote w:type="continuationSeparator" w:id="0">
    <w:p w14:paraId="61E79487" w14:textId="77777777" w:rsidR="00FE4E82" w:rsidRDefault="00FE4E82" w:rsidP="00077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73DC"/>
    <w:multiLevelType w:val="hybridMultilevel"/>
    <w:tmpl w:val="945CF37A"/>
    <w:lvl w:ilvl="0" w:tplc="32486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 w:val="0"/>
        <w:sz w:val="24"/>
        <w:szCs w:val="24"/>
        <w:lang w:val="en-US"/>
      </w:rPr>
    </w:lvl>
    <w:lvl w:ilvl="1" w:tplc="B1D6073C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b w:val="0"/>
        <w:bCs w:val="0"/>
        <w:i/>
        <w:iCs w:val="0"/>
        <w:sz w:val="24"/>
        <w:szCs w:val="24"/>
        <w:lang w:val="en-US"/>
      </w:rPr>
    </w:lvl>
    <w:lvl w:ilvl="2" w:tplc="D1F8C20E">
      <w:start w:val="1"/>
      <w:numFmt w:val="hebrew1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784A50"/>
    <w:multiLevelType w:val="hybridMultilevel"/>
    <w:tmpl w:val="4E98842E"/>
    <w:lvl w:ilvl="0" w:tplc="AF4EBD8C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C00D57"/>
    <w:multiLevelType w:val="hybridMultilevel"/>
    <w:tmpl w:val="70BA0F44"/>
    <w:lvl w:ilvl="0" w:tplc="DE0C2DF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5C392A"/>
    <w:multiLevelType w:val="hybridMultilevel"/>
    <w:tmpl w:val="CBC28B3E"/>
    <w:lvl w:ilvl="0" w:tplc="2C34209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829B2"/>
    <w:multiLevelType w:val="hybridMultilevel"/>
    <w:tmpl w:val="70BA0F44"/>
    <w:lvl w:ilvl="0" w:tplc="DE0C2DF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F533A5"/>
    <w:multiLevelType w:val="hybridMultilevel"/>
    <w:tmpl w:val="F59645A6"/>
    <w:lvl w:ilvl="0" w:tplc="28C2EBD4">
      <w:start w:val="1"/>
      <w:numFmt w:val="hebrew1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70B90"/>
    <w:multiLevelType w:val="hybridMultilevel"/>
    <w:tmpl w:val="B17C787E"/>
    <w:lvl w:ilvl="0" w:tplc="9DEAC0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A0EAC"/>
    <w:multiLevelType w:val="hybridMultilevel"/>
    <w:tmpl w:val="70BA0F44"/>
    <w:lvl w:ilvl="0" w:tplc="DE0C2DF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9B590E"/>
    <w:multiLevelType w:val="hybridMultilevel"/>
    <w:tmpl w:val="4F5E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75D5D"/>
    <w:multiLevelType w:val="hybridMultilevel"/>
    <w:tmpl w:val="B832DB74"/>
    <w:lvl w:ilvl="0" w:tplc="AF1687CA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46055"/>
    <w:multiLevelType w:val="hybridMultilevel"/>
    <w:tmpl w:val="8F22B81A"/>
    <w:lvl w:ilvl="0" w:tplc="EA0E981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340CF"/>
    <w:multiLevelType w:val="hybridMultilevel"/>
    <w:tmpl w:val="3D845A84"/>
    <w:lvl w:ilvl="0" w:tplc="2B62C5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7211F"/>
    <w:multiLevelType w:val="hybridMultilevel"/>
    <w:tmpl w:val="A5148BE6"/>
    <w:lvl w:ilvl="0" w:tplc="CD68B1CA">
      <w:start w:val="1"/>
      <w:numFmt w:val="hebrew1"/>
      <w:lvlText w:val="%1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3" w15:restartNumberingAfterBreak="0">
    <w:nsid w:val="49F86B35"/>
    <w:multiLevelType w:val="hybridMultilevel"/>
    <w:tmpl w:val="D81C4128"/>
    <w:lvl w:ilvl="0" w:tplc="295C2D22">
      <w:start w:val="1"/>
      <w:numFmt w:val="hebrew1"/>
      <w:lvlText w:val="%1."/>
      <w:lvlJc w:val="left"/>
      <w:pPr>
        <w:tabs>
          <w:tab w:val="num" w:pos="5601"/>
        </w:tabs>
        <w:ind w:left="5601" w:hanging="360"/>
      </w:pPr>
      <w:rPr>
        <w:rFonts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4" w15:restartNumberingAfterBreak="0">
    <w:nsid w:val="50F50B31"/>
    <w:multiLevelType w:val="hybridMultilevel"/>
    <w:tmpl w:val="000AE892"/>
    <w:lvl w:ilvl="0" w:tplc="D400A7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365EC"/>
    <w:multiLevelType w:val="hybridMultilevel"/>
    <w:tmpl w:val="5DCCE18C"/>
    <w:lvl w:ilvl="0" w:tplc="D5301A7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BE3"/>
    <w:multiLevelType w:val="hybridMultilevel"/>
    <w:tmpl w:val="52FC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37E62"/>
    <w:multiLevelType w:val="hybridMultilevel"/>
    <w:tmpl w:val="70BA0F44"/>
    <w:lvl w:ilvl="0" w:tplc="DE0C2DF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9803831">
    <w:abstractNumId w:val="13"/>
  </w:num>
  <w:num w:numId="2" w16cid:durableId="655886317">
    <w:abstractNumId w:val="12"/>
  </w:num>
  <w:num w:numId="3" w16cid:durableId="701244398">
    <w:abstractNumId w:val="6"/>
  </w:num>
  <w:num w:numId="4" w16cid:durableId="146628684">
    <w:abstractNumId w:val="14"/>
  </w:num>
  <w:num w:numId="5" w16cid:durableId="554240741">
    <w:abstractNumId w:val="1"/>
  </w:num>
  <w:num w:numId="6" w16cid:durableId="521821340">
    <w:abstractNumId w:val="5"/>
  </w:num>
  <w:num w:numId="7" w16cid:durableId="1378120281">
    <w:abstractNumId w:val="11"/>
  </w:num>
  <w:num w:numId="8" w16cid:durableId="2090733400">
    <w:abstractNumId w:val="15"/>
  </w:num>
  <w:num w:numId="9" w16cid:durableId="463699540">
    <w:abstractNumId w:val="3"/>
  </w:num>
  <w:num w:numId="10" w16cid:durableId="401410491">
    <w:abstractNumId w:val="4"/>
  </w:num>
  <w:num w:numId="11" w16cid:durableId="1312751720">
    <w:abstractNumId w:val="2"/>
  </w:num>
  <w:num w:numId="12" w16cid:durableId="1595943402">
    <w:abstractNumId w:val="7"/>
  </w:num>
  <w:num w:numId="13" w16cid:durableId="2146460386">
    <w:abstractNumId w:val="17"/>
  </w:num>
  <w:num w:numId="14" w16cid:durableId="954753748">
    <w:abstractNumId w:val="10"/>
  </w:num>
  <w:num w:numId="15" w16cid:durableId="440030980">
    <w:abstractNumId w:val="8"/>
  </w:num>
  <w:num w:numId="16" w16cid:durableId="2080324744">
    <w:abstractNumId w:val="9"/>
  </w:num>
  <w:num w:numId="17" w16cid:durableId="880214557">
    <w:abstractNumId w:val="0"/>
  </w:num>
  <w:num w:numId="18" w16cid:durableId="127817745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FF"/>
    <w:rsid w:val="00001CD2"/>
    <w:rsid w:val="000022C7"/>
    <w:rsid w:val="00002778"/>
    <w:rsid w:val="00007C73"/>
    <w:rsid w:val="0002013F"/>
    <w:rsid w:val="000205EB"/>
    <w:rsid w:val="0002122C"/>
    <w:rsid w:val="00027023"/>
    <w:rsid w:val="00030E80"/>
    <w:rsid w:val="00033DD2"/>
    <w:rsid w:val="00043E75"/>
    <w:rsid w:val="000447F5"/>
    <w:rsid w:val="000448F2"/>
    <w:rsid w:val="00046356"/>
    <w:rsid w:val="0005373D"/>
    <w:rsid w:val="00054B2E"/>
    <w:rsid w:val="00055063"/>
    <w:rsid w:val="00055834"/>
    <w:rsid w:val="000606A2"/>
    <w:rsid w:val="00063ED5"/>
    <w:rsid w:val="00067A05"/>
    <w:rsid w:val="0007113B"/>
    <w:rsid w:val="0007139F"/>
    <w:rsid w:val="00071408"/>
    <w:rsid w:val="00073F0D"/>
    <w:rsid w:val="000747FE"/>
    <w:rsid w:val="000770E7"/>
    <w:rsid w:val="0007776E"/>
    <w:rsid w:val="00077EF8"/>
    <w:rsid w:val="00081B1A"/>
    <w:rsid w:val="000859D3"/>
    <w:rsid w:val="0008618D"/>
    <w:rsid w:val="000904EE"/>
    <w:rsid w:val="00090CF1"/>
    <w:rsid w:val="0009365E"/>
    <w:rsid w:val="00093B34"/>
    <w:rsid w:val="000A009D"/>
    <w:rsid w:val="000A04F5"/>
    <w:rsid w:val="000A2864"/>
    <w:rsid w:val="000A4171"/>
    <w:rsid w:val="000A5AF2"/>
    <w:rsid w:val="000A6047"/>
    <w:rsid w:val="000B0BFD"/>
    <w:rsid w:val="000B0CA6"/>
    <w:rsid w:val="000B64DD"/>
    <w:rsid w:val="000C26D0"/>
    <w:rsid w:val="000C6D03"/>
    <w:rsid w:val="000C7736"/>
    <w:rsid w:val="000D186A"/>
    <w:rsid w:val="000D2B6B"/>
    <w:rsid w:val="000D2CB1"/>
    <w:rsid w:val="000D4093"/>
    <w:rsid w:val="000D4619"/>
    <w:rsid w:val="000D715E"/>
    <w:rsid w:val="000E13BA"/>
    <w:rsid w:val="000E1BCA"/>
    <w:rsid w:val="000E34E6"/>
    <w:rsid w:val="000E3937"/>
    <w:rsid w:val="000E77EB"/>
    <w:rsid w:val="000F4111"/>
    <w:rsid w:val="000F631E"/>
    <w:rsid w:val="00105B4C"/>
    <w:rsid w:val="00106F65"/>
    <w:rsid w:val="001074AB"/>
    <w:rsid w:val="00107E63"/>
    <w:rsid w:val="001107D5"/>
    <w:rsid w:val="00113D8B"/>
    <w:rsid w:val="001154C9"/>
    <w:rsid w:val="001316FB"/>
    <w:rsid w:val="001325A3"/>
    <w:rsid w:val="0013483D"/>
    <w:rsid w:val="001445E5"/>
    <w:rsid w:val="00145660"/>
    <w:rsid w:val="001462D5"/>
    <w:rsid w:val="0015560E"/>
    <w:rsid w:val="00155D16"/>
    <w:rsid w:val="00163743"/>
    <w:rsid w:val="001649C2"/>
    <w:rsid w:val="00175B27"/>
    <w:rsid w:val="00176917"/>
    <w:rsid w:val="00180EB4"/>
    <w:rsid w:val="001845AB"/>
    <w:rsid w:val="00186B68"/>
    <w:rsid w:val="00193315"/>
    <w:rsid w:val="00195338"/>
    <w:rsid w:val="00195FAB"/>
    <w:rsid w:val="001A4BF7"/>
    <w:rsid w:val="001B0524"/>
    <w:rsid w:val="001B082A"/>
    <w:rsid w:val="001B2DB4"/>
    <w:rsid w:val="001C1949"/>
    <w:rsid w:val="001C43D9"/>
    <w:rsid w:val="001C794B"/>
    <w:rsid w:val="001D14CF"/>
    <w:rsid w:val="001D41A0"/>
    <w:rsid w:val="001D6195"/>
    <w:rsid w:val="001D63AC"/>
    <w:rsid w:val="001D684D"/>
    <w:rsid w:val="001E0BB3"/>
    <w:rsid w:val="001E5944"/>
    <w:rsid w:val="001E728E"/>
    <w:rsid w:val="001E75A3"/>
    <w:rsid w:val="001F15A0"/>
    <w:rsid w:val="001F2188"/>
    <w:rsid w:val="001F636F"/>
    <w:rsid w:val="001F7F8E"/>
    <w:rsid w:val="0020034A"/>
    <w:rsid w:val="0020064C"/>
    <w:rsid w:val="0020244B"/>
    <w:rsid w:val="0021319D"/>
    <w:rsid w:val="0021343B"/>
    <w:rsid w:val="0021526B"/>
    <w:rsid w:val="00215DFF"/>
    <w:rsid w:val="002173ED"/>
    <w:rsid w:val="0022318F"/>
    <w:rsid w:val="00227A5C"/>
    <w:rsid w:val="0023083F"/>
    <w:rsid w:val="0023134A"/>
    <w:rsid w:val="00232B22"/>
    <w:rsid w:val="002410C4"/>
    <w:rsid w:val="00241161"/>
    <w:rsid w:val="00241D6C"/>
    <w:rsid w:val="00242374"/>
    <w:rsid w:val="00242724"/>
    <w:rsid w:val="00244FC1"/>
    <w:rsid w:val="002511BC"/>
    <w:rsid w:val="002568F0"/>
    <w:rsid w:val="00256EFF"/>
    <w:rsid w:val="00263414"/>
    <w:rsid w:val="00264D4C"/>
    <w:rsid w:val="002709D3"/>
    <w:rsid w:val="00274F36"/>
    <w:rsid w:val="00276A28"/>
    <w:rsid w:val="00277E6D"/>
    <w:rsid w:val="00280A1B"/>
    <w:rsid w:val="002818BD"/>
    <w:rsid w:val="00282BD2"/>
    <w:rsid w:val="002842E5"/>
    <w:rsid w:val="00284769"/>
    <w:rsid w:val="002855D4"/>
    <w:rsid w:val="0028572F"/>
    <w:rsid w:val="002928FD"/>
    <w:rsid w:val="002A01B6"/>
    <w:rsid w:val="002A0B2A"/>
    <w:rsid w:val="002A7274"/>
    <w:rsid w:val="002B03B4"/>
    <w:rsid w:val="002B2422"/>
    <w:rsid w:val="002B44FA"/>
    <w:rsid w:val="002B57ED"/>
    <w:rsid w:val="002C26DA"/>
    <w:rsid w:val="002C500D"/>
    <w:rsid w:val="002C5298"/>
    <w:rsid w:val="002C613E"/>
    <w:rsid w:val="002C71DE"/>
    <w:rsid w:val="002D0D15"/>
    <w:rsid w:val="002D1529"/>
    <w:rsid w:val="002D3921"/>
    <w:rsid w:val="002D40DF"/>
    <w:rsid w:val="002D7900"/>
    <w:rsid w:val="002E07D4"/>
    <w:rsid w:val="002E0FCB"/>
    <w:rsid w:val="002E36F5"/>
    <w:rsid w:val="002E4CDE"/>
    <w:rsid w:val="002E4F75"/>
    <w:rsid w:val="002E556A"/>
    <w:rsid w:val="002E74F9"/>
    <w:rsid w:val="002F1048"/>
    <w:rsid w:val="002F10FD"/>
    <w:rsid w:val="002F168F"/>
    <w:rsid w:val="002F3F76"/>
    <w:rsid w:val="003010FB"/>
    <w:rsid w:val="00304E34"/>
    <w:rsid w:val="003063A3"/>
    <w:rsid w:val="0031053C"/>
    <w:rsid w:val="0031068D"/>
    <w:rsid w:val="0031208B"/>
    <w:rsid w:val="003128FC"/>
    <w:rsid w:val="003175D4"/>
    <w:rsid w:val="00317AF0"/>
    <w:rsid w:val="003215C3"/>
    <w:rsid w:val="003303A1"/>
    <w:rsid w:val="0033721B"/>
    <w:rsid w:val="003401AB"/>
    <w:rsid w:val="003404D1"/>
    <w:rsid w:val="00341D3F"/>
    <w:rsid w:val="003437BF"/>
    <w:rsid w:val="003439BA"/>
    <w:rsid w:val="003454B5"/>
    <w:rsid w:val="00352AC8"/>
    <w:rsid w:val="00352EBB"/>
    <w:rsid w:val="003545BA"/>
    <w:rsid w:val="00356B52"/>
    <w:rsid w:val="0035776E"/>
    <w:rsid w:val="003624B0"/>
    <w:rsid w:val="00365963"/>
    <w:rsid w:val="00370C35"/>
    <w:rsid w:val="003818ED"/>
    <w:rsid w:val="0038454A"/>
    <w:rsid w:val="003858CD"/>
    <w:rsid w:val="00397070"/>
    <w:rsid w:val="003B03FF"/>
    <w:rsid w:val="003C4DD5"/>
    <w:rsid w:val="003D03E5"/>
    <w:rsid w:val="003D3BAD"/>
    <w:rsid w:val="003E29DA"/>
    <w:rsid w:val="003F056E"/>
    <w:rsid w:val="003F1C12"/>
    <w:rsid w:val="003F7C75"/>
    <w:rsid w:val="004012E2"/>
    <w:rsid w:val="004052C5"/>
    <w:rsid w:val="004139E2"/>
    <w:rsid w:val="00413AEF"/>
    <w:rsid w:val="004172CD"/>
    <w:rsid w:val="004209AE"/>
    <w:rsid w:val="00423355"/>
    <w:rsid w:val="0042345D"/>
    <w:rsid w:val="004243ED"/>
    <w:rsid w:val="00424B5D"/>
    <w:rsid w:val="00425A35"/>
    <w:rsid w:val="004432FA"/>
    <w:rsid w:val="0045135C"/>
    <w:rsid w:val="00455ECB"/>
    <w:rsid w:val="0045658F"/>
    <w:rsid w:val="00465D93"/>
    <w:rsid w:val="004711EE"/>
    <w:rsid w:val="004733D0"/>
    <w:rsid w:val="00473484"/>
    <w:rsid w:val="00473A36"/>
    <w:rsid w:val="0047421D"/>
    <w:rsid w:val="00474A07"/>
    <w:rsid w:val="00475AFE"/>
    <w:rsid w:val="0047631F"/>
    <w:rsid w:val="004811DA"/>
    <w:rsid w:val="00481377"/>
    <w:rsid w:val="0048246A"/>
    <w:rsid w:val="004824A5"/>
    <w:rsid w:val="00483318"/>
    <w:rsid w:val="00486758"/>
    <w:rsid w:val="00490458"/>
    <w:rsid w:val="00493BA8"/>
    <w:rsid w:val="004A2A00"/>
    <w:rsid w:val="004A5722"/>
    <w:rsid w:val="004A7F05"/>
    <w:rsid w:val="004B3FE4"/>
    <w:rsid w:val="004C0904"/>
    <w:rsid w:val="004C2E6F"/>
    <w:rsid w:val="004C52D0"/>
    <w:rsid w:val="004D1B3D"/>
    <w:rsid w:val="004E0D9C"/>
    <w:rsid w:val="004E2644"/>
    <w:rsid w:val="004E58FA"/>
    <w:rsid w:val="004F04CD"/>
    <w:rsid w:val="004F4071"/>
    <w:rsid w:val="004F451F"/>
    <w:rsid w:val="004F51CA"/>
    <w:rsid w:val="004F6764"/>
    <w:rsid w:val="004F7290"/>
    <w:rsid w:val="0050092E"/>
    <w:rsid w:val="00501AAD"/>
    <w:rsid w:val="00503BBD"/>
    <w:rsid w:val="00505B54"/>
    <w:rsid w:val="00510E1A"/>
    <w:rsid w:val="005115EA"/>
    <w:rsid w:val="00512F5A"/>
    <w:rsid w:val="00517CAF"/>
    <w:rsid w:val="00520290"/>
    <w:rsid w:val="00520563"/>
    <w:rsid w:val="00522A39"/>
    <w:rsid w:val="00525078"/>
    <w:rsid w:val="00530EE4"/>
    <w:rsid w:val="005331E8"/>
    <w:rsid w:val="005359C6"/>
    <w:rsid w:val="00535A3A"/>
    <w:rsid w:val="00541045"/>
    <w:rsid w:val="00541581"/>
    <w:rsid w:val="00543F1E"/>
    <w:rsid w:val="0054507C"/>
    <w:rsid w:val="00545671"/>
    <w:rsid w:val="00555DE3"/>
    <w:rsid w:val="0056721E"/>
    <w:rsid w:val="00571C33"/>
    <w:rsid w:val="0057281C"/>
    <w:rsid w:val="00572BFB"/>
    <w:rsid w:val="00577292"/>
    <w:rsid w:val="00586806"/>
    <w:rsid w:val="00594539"/>
    <w:rsid w:val="005960C9"/>
    <w:rsid w:val="005976F6"/>
    <w:rsid w:val="005A1CDC"/>
    <w:rsid w:val="005A442D"/>
    <w:rsid w:val="005A47F6"/>
    <w:rsid w:val="005A57C3"/>
    <w:rsid w:val="005A694C"/>
    <w:rsid w:val="005B01A7"/>
    <w:rsid w:val="005B1E2B"/>
    <w:rsid w:val="005B6635"/>
    <w:rsid w:val="005C0B42"/>
    <w:rsid w:val="005C42F2"/>
    <w:rsid w:val="005E162C"/>
    <w:rsid w:val="005E707D"/>
    <w:rsid w:val="005F1613"/>
    <w:rsid w:val="005F2D6E"/>
    <w:rsid w:val="005F34E7"/>
    <w:rsid w:val="005F47D1"/>
    <w:rsid w:val="00601000"/>
    <w:rsid w:val="00601192"/>
    <w:rsid w:val="00602921"/>
    <w:rsid w:val="00603D03"/>
    <w:rsid w:val="00603EE5"/>
    <w:rsid w:val="00606A62"/>
    <w:rsid w:val="006100D5"/>
    <w:rsid w:val="006116D8"/>
    <w:rsid w:val="00623746"/>
    <w:rsid w:val="00630C4E"/>
    <w:rsid w:val="00630D72"/>
    <w:rsid w:val="00634B5D"/>
    <w:rsid w:val="00637C35"/>
    <w:rsid w:val="00640263"/>
    <w:rsid w:val="00641FAD"/>
    <w:rsid w:val="00642892"/>
    <w:rsid w:val="00643B9B"/>
    <w:rsid w:val="00645E45"/>
    <w:rsid w:val="006460A4"/>
    <w:rsid w:val="00646D0F"/>
    <w:rsid w:val="006474A0"/>
    <w:rsid w:val="00650FEB"/>
    <w:rsid w:val="00654398"/>
    <w:rsid w:val="00662709"/>
    <w:rsid w:val="00662FB6"/>
    <w:rsid w:val="00665AE7"/>
    <w:rsid w:val="00665ED4"/>
    <w:rsid w:val="00666598"/>
    <w:rsid w:val="00674BAA"/>
    <w:rsid w:val="00681165"/>
    <w:rsid w:val="00683C25"/>
    <w:rsid w:val="0068550A"/>
    <w:rsid w:val="00692138"/>
    <w:rsid w:val="006A5213"/>
    <w:rsid w:val="006A749A"/>
    <w:rsid w:val="006B004D"/>
    <w:rsid w:val="006C121F"/>
    <w:rsid w:val="006C1235"/>
    <w:rsid w:val="006C1657"/>
    <w:rsid w:val="006C4CEF"/>
    <w:rsid w:val="006C60E1"/>
    <w:rsid w:val="006D2D50"/>
    <w:rsid w:val="006D55AF"/>
    <w:rsid w:val="006E11FB"/>
    <w:rsid w:val="006E2563"/>
    <w:rsid w:val="006F52B4"/>
    <w:rsid w:val="006F79F2"/>
    <w:rsid w:val="00706093"/>
    <w:rsid w:val="0070617C"/>
    <w:rsid w:val="00710582"/>
    <w:rsid w:val="00715991"/>
    <w:rsid w:val="00717AFA"/>
    <w:rsid w:val="00720182"/>
    <w:rsid w:val="007240B2"/>
    <w:rsid w:val="0073125F"/>
    <w:rsid w:val="00732CDF"/>
    <w:rsid w:val="007412EA"/>
    <w:rsid w:val="00744BC8"/>
    <w:rsid w:val="00751FD3"/>
    <w:rsid w:val="00753215"/>
    <w:rsid w:val="0076243B"/>
    <w:rsid w:val="007635ED"/>
    <w:rsid w:val="00764428"/>
    <w:rsid w:val="00765CFB"/>
    <w:rsid w:val="0076708A"/>
    <w:rsid w:val="0077090B"/>
    <w:rsid w:val="00771A48"/>
    <w:rsid w:val="0077433B"/>
    <w:rsid w:val="00776152"/>
    <w:rsid w:val="00781058"/>
    <w:rsid w:val="00792B6E"/>
    <w:rsid w:val="00793816"/>
    <w:rsid w:val="007B040C"/>
    <w:rsid w:val="007B0BFD"/>
    <w:rsid w:val="007B7FEA"/>
    <w:rsid w:val="007C1939"/>
    <w:rsid w:val="007C4D1F"/>
    <w:rsid w:val="007C6B1E"/>
    <w:rsid w:val="007D47E3"/>
    <w:rsid w:val="007D6B51"/>
    <w:rsid w:val="007F0D1D"/>
    <w:rsid w:val="007F3664"/>
    <w:rsid w:val="007F42DC"/>
    <w:rsid w:val="007F5EA8"/>
    <w:rsid w:val="007F7147"/>
    <w:rsid w:val="00802555"/>
    <w:rsid w:val="00806FC1"/>
    <w:rsid w:val="00807660"/>
    <w:rsid w:val="008139AA"/>
    <w:rsid w:val="00832B30"/>
    <w:rsid w:val="00837BF3"/>
    <w:rsid w:val="008402CB"/>
    <w:rsid w:val="00844030"/>
    <w:rsid w:val="00854567"/>
    <w:rsid w:val="008546E7"/>
    <w:rsid w:val="00855982"/>
    <w:rsid w:val="00857236"/>
    <w:rsid w:val="008576F3"/>
    <w:rsid w:val="00857A13"/>
    <w:rsid w:val="00860C20"/>
    <w:rsid w:val="008611F5"/>
    <w:rsid w:val="008659DC"/>
    <w:rsid w:val="00866841"/>
    <w:rsid w:val="008703D7"/>
    <w:rsid w:val="00870456"/>
    <w:rsid w:val="008710D8"/>
    <w:rsid w:val="0087122C"/>
    <w:rsid w:val="00871B0E"/>
    <w:rsid w:val="00880088"/>
    <w:rsid w:val="0088048E"/>
    <w:rsid w:val="00881DC4"/>
    <w:rsid w:val="00892573"/>
    <w:rsid w:val="0089361F"/>
    <w:rsid w:val="008A121E"/>
    <w:rsid w:val="008A37B7"/>
    <w:rsid w:val="008B0CB2"/>
    <w:rsid w:val="008B1609"/>
    <w:rsid w:val="008B1DD1"/>
    <w:rsid w:val="008B4651"/>
    <w:rsid w:val="008B556B"/>
    <w:rsid w:val="008B6FF7"/>
    <w:rsid w:val="008C04E8"/>
    <w:rsid w:val="008C0C64"/>
    <w:rsid w:val="008C0E32"/>
    <w:rsid w:val="008C3496"/>
    <w:rsid w:val="008C5BE6"/>
    <w:rsid w:val="008D11C7"/>
    <w:rsid w:val="008D30A6"/>
    <w:rsid w:val="008D5357"/>
    <w:rsid w:val="008E4309"/>
    <w:rsid w:val="008E66E4"/>
    <w:rsid w:val="008F4D17"/>
    <w:rsid w:val="00900B0C"/>
    <w:rsid w:val="00903CA5"/>
    <w:rsid w:val="00911433"/>
    <w:rsid w:val="00912A6E"/>
    <w:rsid w:val="00917DF4"/>
    <w:rsid w:val="00920C9C"/>
    <w:rsid w:val="00922ADF"/>
    <w:rsid w:val="00924840"/>
    <w:rsid w:val="009323C6"/>
    <w:rsid w:val="0093649A"/>
    <w:rsid w:val="009400E2"/>
    <w:rsid w:val="00942452"/>
    <w:rsid w:val="00946135"/>
    <w:rsid w:val="009547FF"/>
    <w:rsid w:val="00957E83"/>
    <w:rsid w:val="00962CD8"/>
    <w:rsid w:val="009700CE"/>
    <w:rsid w:val="00972466"/>
    <w:rsid w:val="00973327"/>
    <w:rsid w:val="00975F89"/>
    <w:rsid w:val="009827E3"/>
    <w:rsid w:val="00982A5B"/>
    <w:rsid w:val="00984004"/>
    <w:rsid w:val="00990A6F"/>
    <w:rsid w:val="0099727F"/>
    <w:rsid w:val="009A1B5A"/>
    <w:rsid w:val="009A2BD5"/>
    <w:rsid w:val="009A54A5"/>
    <w:rsid w:val="009A7AA0"/>
    <w:rsid w:val="009B56BB"/>
    <w:rsid w:val="009B5DAD"/>
    <w:rsid w:val="009B6B08"/>
    <w:rsid w:val="009B732A"/>
    <w:rsid w:val="009C497D"/>
    <w:rsid w:val="009C74DB"/>
    <w:rsid w:val="009D2240"/>
    <w:rsid w:val="009D23F4"/>
    <w:rsid w:val="009D438B"/>
    <w:rsid w:val="009D4459"/>
    <w:rsid w:val="009E4F68"/>
    <w:rsid w:val="009E7DEE"/>
    <w:rsid w:val="009F3126"/>
    <w:rsid w:val="009F4FE3"/>
    <w:rsid w:val="009F5ACA"/>
    <w:rsid w:val="009F72FB"/>
    <w:rsid w:val="00A00851"/>
    <w:rsid w:val="00A017CF"/>
    <w:rsid w:val="00A06A1F"/>
    <w:rsid w:val="00A16CA9"/>
    <w:rsid w:val="00A16CAE"/>
    <w:rsid w:val="00A20817"/>
    <w:rsid w:val="00A26E38"/>
    <w:rsid w:val="00A306E0"/>
    <w:rsid w:val="00A31517"/>
    <w:rsid w:val="00A4173C"/>
    <w:rsid w:val="00A44F4D"/>
    <w:rsid w:val="00A51B20"/>
    <w:rsid w:val="00A528BD"/>
    <w:rsid w:val="00A56AE9"/>
    <w:rsid w:val="00A61559"/>
    <w:rsid w:val="00A62F18"/>
    <w:rsid w:val="00A6477A"/>
    <w:rsid w:val="00A72E16"/>
    <w:rsid w:val="00A74CD4"/>
    <w:rsid w:val="00A80A4E"/>
    <w:rsid w:val="00A81B78"/>
    <w:rsid w:val="00A92176"/>
    <w:rsid w:val="00AA2603"/>
    <w:rsid w:val="00AA5DB8"/>
    <w:rsid w:val="00AB58C6"/>
    <w:rsid w:val="00AC0242"/>
    <w:rsid w:val="00AC7CFC"/>
    <w:rsid w:val="00AD02B4"/>
    <w:rsid w:val="00AD0A3E"/>
    <w:rsid w:val="00AD44CC"/>
    <w:rsid w:val="00AD6282"/>
    <w:rsid w:val="00AD6C4A"/>
    <w:rsid w:val="00AE1E96"/>
    <w:rsid w:val="00AE30D4"/>
    <w:rsid w:val="00AE3FE3"/>
    <w:rsid w:val="00AE4632"/>
    <w:rsid w:val="00AE7D57"/>
    <w:rsid w:val="00AE7DC9"/>
    <w:rsid w:val="00AF34B6"/>
    <w:rsid w:val="00B07613"/>
    <w:rsid w:val="00B14D3A"/>
    <w:rsid w:val="00B21714"/>
    <w:rsid w:val="00B22673"/>
    <w:rsid w:val="00B24750"/>
    <w:rsid w:val="00B26A29"/>
    <w:rsid w:val="00B3094B"/>
    <w:rsid w:val="00B3148E"/>
    <w:rsid w:val="00B36496"/>
    <w:rsid w:val="00B37E7A"/>
    <w:rsid w:val="00B4199B"/>
    <w:rsid w:val="00B43FCE"/>
    <w:rsid w:val="00B44DFA"/>
    <w:rsid w:val="00B4690A"/>
    <w:rsid w:val="00B4777E"/>
    <w:rsid w:val="00B55879"/>
    <w:rsid w:val="00B60F41"/>
    <w:rsid w:val="00B62F5D"/>
    <w:rsid w:val="00B64031"/>
    <w:rsid w:val="00B6473B"/>
    <w:rsid w:val="00B71A95"/>
    <w:rsid w:val="00B72679"/>
    <w:rsid w:val="00B73015"/>
    <w:rsid w:val="00B75194"/>
    <w:rsid w:val="00B804AA"/>
    <w:rsid w:val="00B83B13"/>
    <w:rsid w:val="00B83EBF"/>
    <w:rsid w:val="00B87003"/>
    <w:rsid w:val="00B91DF9"/>
    <w:rsid w:val="00B976EA"/>
    <w:rsid w:val="00B97767"/>
    <w:rsid w:val="00BA1511"/>
    <w:rsid w:val="00BA3EBA"/>
    <w:rsid w:val="00BA46B0"/>
    <w:rsid w:val="00BB172B"/>
    <w:rsid w:val="00BB579C"/>
    <w:rsid w:val="00BB6809"/>
    <w:rsid w:val="00BC0223"/>
    <w:rsid w:val="00BC44F2"/>
    <w:rsid w:val="00BC610D"/>
    <w:rsid w:val="00BC6A1B"/>
    <w:rsid w:val="00BC7BBF"/>
    <w:rsid w:val="00BD3E37"/>
    <w:rsid w:val="00BD6643"/>
    <w:rsid w:val="00BD6C39"/>
    <w:rsid w:val="00BE3467"/>
    <w:rsid w:val="00BE4F8B"/>
    <w:rsid w:val="00BE7058"/>
    <w:rsid w:val="00BF178C"/>
    <w:rsid w:val="00BF3305"/>
    <w:rsid w:val="00BF47FA"/>
    <w:rsid w:val="00BF4A69"/>
    <w:rsid w:val="00BF68B4"/>
    <w:rsid w:val="00C057D5"/>
    <w:rsid w:val="00C1034A"/>
    <w:rsid w:val="00C135BC"/>
    <w:rsid w:val="00C16524"/>
    <w:rsid w:val="00C26353"/>
    <w:rsid w:val="00C30833"/>
    <w:rsid w:val="00C419D7"/>
    <w:rsid w:val="00C42141"/>
    <w:rsid w:val="00C45AB0"/>
    <w:rsid w:val="00C50597"/>
    <w:rsid w:val="00C508CF"/>
    <w:rsid w:val="00C574DC"/>
    <w:rsid w:val="00C62E58"/>
    <w:rsid w:val="00C642CE"/>
    <w:rsid w:val="00C73056"/>
    <w:rsid w:val="00C755D1"/>
    <w:rsid w:val="00C83FC8"/>
    <w:rsid w:val="00C85625"/>
    <w:rsid w:val="00C93DDA"/>
    <w:rsid w:val="00C95543"/>
    <w:rsid w:val="00C95939"/>
    <w:rsid w:val="00C95BA8"/>
    <w:rsid w:val="00CA270C"/>
    <w:rsid w:val="00CA3407"/>
    <w:rsid w:val="00CA54A7"/>
    <w:rsid w:val="00CB6B2F"/>
    <w:rsid w:val="00CB7147"/>
    <w:rsid w:val="00CC32D5"/>
    <w:rsid w:val="00CC5314"/>
    <w:rsid w:val="00CC73CA"/>
    <w:rsid w:val="00CD2D77"/>
    <w:rsid w:val="00CD3CED"/>
    <w:rsid w:val="00CD3ECC"/>
    <w:rsid w:val="00CD6112"/>
    <w:rsid w:val="00CE2EB0"/>
    <w:rsid w:val="00CE388A"/>
    <w:rsid w:val="00CE6B23"/>
    <w:rsid w:val="00CE776A"/>
    <w:rsid w:val="00CF0005"/>
    <w:rsid w:val="00CF2B76"/>
    <w:rsid w:val="00D00A2E"/>
    <w:rsid w:val="00D03EC7"/>
    <w:rsid w:val="00D04191"/>
    <w:rsid w:val="00D07CAA"/>
    <w:rsid w:val="00D11356"/>
    <w:rsid w:val="00D14D17"/>
    <w:rsid w:val="00D15DE0"/>
    <w:rsid w:val="00D20791"/>
    <w:rsid w:val="00D20B5D"/>
    <w:rsid w:val="00D21184"/>
    <w:rsid w:val="00D3254C"/>
    <w:rsid w:val="00D36CAA"/>
    <w:rsid w:val="00D41D49"/>
    <w:rsid w:val="00D422B3"/>
    <w:rsid w:val="00D430E5"/>
    <w:rsid w:val="00D446E2"/>
    <w:rsid w:val="00D44D5A"/>
    <w:rsid w:val="00D461BF"/>
    <w:rsid w:val="00D6370D"/>
    <w:rsid w:val="00D70B10"/>
    <w:rsid w:val="00D74838"/>
    <w:rsid w:val="00D77913"/>
    <w:rsid w:val="00D82E2B"/>
    <w:rsid w:val="00D8424E"/>
    <w:rsid w:val="00D94791"/>
    <w:rsid w:val="00D94A7F"/>
    <w:rsid w:val="00D96E34"/>
    <w:rsid w:val="00D9755C"/>
    <w:rsid w:val="00DA1C70"/>
    <w:rsid w:val="00DA38A7"/>
    <w:rsid w:val="00DA56A3"/>
    <w:rsid w:val="00DB2CCD"/>
    <w:rsid w:val="00DC0FB7"/>
    <w:rsid w:val="00DC3015"/>
    <w:rsid w:val="00DC30E5"/>
    <w:rsid w:val="00DC3822"/>
    <w:rsid w:val="00DC3908"/>
    <w:rsid w:val="00DC5F53"/>
    <w:rsid w:val="00DC6CC1"/>
    <w:rsid w:val="00DD338A"/>
    <w:rsid w:val="00DD528B"/>
    <w:rsid w:val="00DD6500"/>
    <w:rsid w:val="00DD6741"/>
    <w:rsid w:val="00DE0169"/>
    <w:rsid w:val="00DE2E99"/>
    <w:rsid w:val="00DE47F8"/>
    <w:rsid w:val="00DE515F"/>
    <w:rsid w:val="00DF0235"/>
    <w:rsid w:val="00DF02F9"/>
    <w:rsid w:val="00DF0936"/>
    <w:rsid w:val="00DF5392"/>
    <w:rsid w:val="00DF5BE1"/>
    <w:rsid w:val="00DF6735"/>
    <w:rsid w:val="00E023F7"/>
    <w:rsid w:val="00E0263A"/>
    <w:rsid w:val="00E07061"/>
    <w:rsid w:val="00E11216"/>
    <w:rsid w:val="00E14C62"/>
    <w:rsid w:val="00E167FC"/>
    <w:rsid w:val="00E20450"/>
    <w:rsid w:val="00E20652"/>
    <w:rsid w:val="00E251E5"/>
    <w:rsid w:val="00E3461F"/>
    <w:rsid w:val="00E41920"/>
    <w:rsid w:val="00E53244"/>
    <w:rsid w:val="00E569A1"/>
    <w:rsid w:val="00E577E2"/>
    <w:rsid w:val="00E57D0E"/>
    <w:rsid w:val="00E61647"/>
    <w:rsid w:val="00E624D6"/>
    <w:rsid w:val="00E63511"/>
    <w:rsid w:val="00E667B1"/>
    <w:rsid w:val="00E70CCE"/>
    <w:rsid w:val="00E715DD"/>
    <w:rsid w:val="00E71A7E"/>
    <w:rsid w:val="00E73DA2"/>
    <w:rsid w:val="00E749D6"/>
    <w:rsid w:val="00E766F0"/>
    <w:rsid w:val="00E80C5D"/>
    <w:rsid w:val="00E82EF0"/>
    <w:rsid w:val="00E85591"/>
    <w:rsid w:val="00E87AA3"/>
    <w:rsid w:val="00E9417C"/>
    <w:rsid w:val="00E94930"/>
    <w:rsid w:val="00E9666C"/>
    <w:rsid w:val="00EA1A2A"/>
    <w:rsid w:val="00EA2B9E"/>
    <w:rsid w:val="00EA2EBD"/>
    <w:rsid w:val="00EA60EB"/>
    <w:rsid w:val="00EB14D2"/>
    <w:rsid w:val="00EB448D"/>
    <w:rsid w:val="00EC1C18"/>
    <w:rsid w:val="00EC249A"/>
    <w:rsid w:val="00EC6C08"/>
    <w:rsid w:val="00ED21F5"/>
    <w:rsid w:val="00ED3E90"/>
    <w:rsid w:val="00ED4FC0"/>
    <w:rsid w:val="00ED7695"/>
    <w:rsid w:val="00EE35F8"/>
    <w:rsid w:val="00EF3FF4"/>
    <w:rsid w:val="00F01660"/>
    <w:rsid w:val="00F0277E"/>
    <w:rsid w:val="00F067E5"/>
    <w:rsid w:val="00F26A77"/>
    <w:rsid w:val="00F36FA1"/>
    <w:rsid w:val="00F431A2"/>
    <w:rsid w:val="00F52F92"/>
    <w:rsid w:val="00F54E23"/>
    <w:rsid w:val="00F71529"/>
    <w:rsid w:val="00F73A10"/>
    <w:rsid w:val="00F76FA2"/>
    <w:rsid w:val="00F81478"/>
    <w:rsid w:val="00F85534"/>
    <w:rsid w:val="00F861F5"/>
    <w:rsid w:val="00F928CD"/>
    <w:rsid w:val="00F963D5"/>
    <w:rsid w:val="00FA444F"/>
    <w:rsid w:val="00FA45FF"/>
    <w:rsid w:val="00FA5756"/>
    <w:rsid w:val="00FA70CA"/>
    <w:rsid w:val="00FB0866"/>
    <w:rsid w:val="00FB5090"/>
    <w:rsid w:val="00FB7C3D"/>
    <w:rsid w:val="00FB7CB6"/>
    <w:rsid w:val="00FC1AD2"/>
    <w:rsid w:val="00FC2679"/>
    <w:rsid w:val="00FC4450"/>
    <w:rsid w:val="00FD1B99"/>
    <w:rsid w:val="00FD1EFC"/>
    <w:rsid w:val="00FD279E"/>
    <w:rsid w:val="00FD3947"/>
    <w:rsid w:val="00FD5BA3"/>
    <w:rsid w:val="00FE0259"/>
    <w:rsid w:val="00FE2B0F"/>
    <w:rsid w:val="00FE4E82"/>
    <w:rsid w:val="00FE7AC8"/>
    <w:rsid w:val="00FF100A"/>
    <w:rsid w:val="00FF284C"/>
    <w:rsid w:val="00FF5413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C6091"/>
  <w15:chartTrackingRefBased/>
  <w15:docId w15:val="{B9EF179D-7C6F-4834-AD5F-38D82D10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03FF"/>
    <w:pPr>
      <w:bidi/>
      <w:jc w:val="both"/>
    </w:pPr>
    <w:rPr>
      <w:rFonts w:ascii="David" w:hAnsi="David" w:cs="David"/>
      <w:sz w:val="24"/>
      <w:szCs w:val="24"/>
    </w:rPr>
  </w:style>
  <w:style w:type="paragraph" w:styleId="4">
    <w:name w:val="heading 4"/>
    <w:basedOn w:val="a"/>
    <w:next w:val="a"/>
    <w:qFormat/>
    <w:rsid w:val="00B804AA"/>
    <w:pPr>
      <w:keepNext/>
      <w:jc w:val="center"/>
      <w:outlineLvl w:val="3"/>
    </w:pPr>
    <w:rPr>
      <w:rFonts w:ascii="Times New Roman" w:hAnsi="Times New Roman" w:cs="Arial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5ED4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lang w:val="x-none" w:eastAsia="x-none"/>
    </w:rPr>
  </w:style>
  <w:style w:type="character" w:customStyle="1" w:styleId="a4">
    <w:name w:val="כותרת עליונה תו"/>
    <w:link w:val="a3"/>
    <w:rsid w:val="00665ED4"/>
    <w:rPr>
      <w:sz w:val="24"/>
      <w:szCs w:val="24"/>
    </w:rPr>
  </w:style>
  <w:style w:type="character" w:styleId="a5">
    <w:name w:val="annotation reference"/>
    <w:uiPriority w:val="99"/>
    <w:unhideWhenUsed/>
    <w:rsid w:val="00665ED4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65ED4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טקסט הערה תו"/>
    <w:link w:val="a6"/>
    <w:uiPriority w:val="99"/>
    <w:rsid w:val="00665ED4"/>
    <w:rPr>
      <w:rFonts w:ascii="Calibri" w:eastAsia="Calibri" w:hAnsi="Calibri" w:cs="Arial"/>
    </w:rPr>
  </w:style>
  <w:style w:type="paragraph" w:styleId="a8">
    <w:name w:val="Balloon Text"/>
    <w:basedOn w:val="a"/>
    <w:link w:val="a9"/>
    <w:rsid w:val="00665ED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טקסט בלונים תו"/>
    <w:link w:val="a8"/>
    <w:rsid w:val="00665ED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07776E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b">
    <w:name w:val="כותרת תחתונה תו"/>
    <w:link w:val="aa"/>
    <w:uiPriority w:val="99"/>
    <w:rsid w:val="0007776E"/>
    <w:rPr>
      <w:rFonts w:ascii="David" w:hAnsi="David" w:cs="David"/>
      <w:sz w:val="24"/>
      <w:szCs w:val="24"/>
    </w:rPr>
  </w:style>
  <w:style w:type="paragraph" w:styleId="ac">
    <w:name w:val="List Paragraph"/>
    <w:basedOn w:val="a"/>
    <w:uiPriority w:val="34"/>
    <w:qFormat/>
    <w:rsid w:val="00B75194"/>
    <w:pPr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ad">
    <w:name w:val="annotation subject"/>
    <w:basedOn w:val="a6"/>
    <w:next w:val="a6"/>
    <w:semiHidden/>
    <w:rsid w:val="00B73015"/>
    <w:pPr>
      <w:spacing w:after="0" w:line="240" w:lineRule="auto"/>
      <w:jc w:val="both"/>
    </w:pPr>
    <w:rPr>
      <w:rFonts w:ascii="David" w:eastAsia="Times New Roman" w:hAnsi="David" w:cs="David"/>
      <w:b/>
      <w:bCs/>
    </w:rPr>
  </w:style>
  <w:style w:type="character" w:styleId="Hyperlink">
    <w:name w:val="Hyperlink"/>
    <w:uiPriority w:val="99"/>
    <w:unhideWhenUsed/>
    <w:rsid w:val="00AE3FE3"/>
    <w:rPr>
      <w:color w:val="0000FF"/>
      <w:u w:val="single"/>
    </w:rPr>
  </w:style>
  <w:style w:type="paragraph" w:styleId="ae">
    <w:name w:val="Revision"/>
    <w:hidden/>
    <w:uiPriority w:val="99"/>
    <w:semiHidden/>
    <w:rsid w:val="00B3148E"/>
    <w:rPr>
      <w:rFonts w:ascii="David" w:hAnsi="David" w:cs="David"/>
      <w:sz w:val="24"/>
      <w:szCs w:val="24"/>
    </w:rPr>
  </w:style>
  <w:style w:type="paragraph" w:customStyle="1" w:styleId="HeadHatzaotHok">
    <w:name w:val="Head HatzaotHok"/>
    <w:basedOn w:val="a"/>
    <w:rsid w:val="00F36FA1"/>
    <w:pPr>
      <w:keepNext/>
      <w:keepLines/>
      <w:widowControl w:val="0"/>
      <w:autoSpaceDE w:val="0"/>
      <w:autoSpaceDN w:val="0"/>
      <w:adjustRightInd w:val="0"/>
      <w:snapToGrid w:val="0"/>
      <w:spacing w:before="240" w:line="360" w:lineRule="auto"/>
      <w:jc w:val="center"/>
      <w:textAlignment w:val="center"/>
    </w:pPr>
    <w:rPr>
      <w:rFonts w:ascii="Arial" w:eastAsia="Arial Unicode MS" w:hAnsi="Arial"/>
      <w:b/>
      <w:bCs/>
      <w:snapToGrid w:val="0"/>
      <w:color w:val="000000"/>
      <w:sz w:val="20"/>
      <w:szCs w:val="26"/>
      <w:lang w:eastAsia="ja-JP"/>
    </w:rPr>
  </w:style>
  <w:style w:type="paragraph" w:customStyle="1" w:styleId="TableText">
    <w:name w:val="Table Text"/>
    <w:basedOn w:val="a"/>
    <w:rsid w:val="00F36FA1"/>
    <w:pPr>
      <w:keepLines/>
      <w:widowControl w:val="0"/>
      <w:tabs>
        <w:tab w:val="left" w:pos="624"/>
        <w:tab w:val="left" w:pos="1247"/>
      </w:tabs>
      <w:autoSpaceDE w:val="0"/>
      <w:autoSpaceDN w:val="0"/>
      <w:adjustRightInd w:val="0"/>
      <w:snapToGrid w:val="0"/>
      <w:spacing w:line="360" w:lineRule="auto"/>
      <w:ind w:right="57"/>
      <w:jc w:val="left"/>
      <w:textAlignment w:val="center"/>
    </w:pPr>
    <w:rPr>
      <w:rFonts w:ascii="Arial" w:eastAsia="Arial Unicode MS" w:hAnsi="Arial"/>
      <w:snapToGrid w:val="0"/>
      <w:color w:val="000000"/>
      <w:sz w:val="20"/>
      <w:szCs w:val="26"/>
      <w:lang w:eastAsia="ja-JP"/>
    </w:rPr>
  </w:style>
  <w:style w:type="paragraph" w:customStyle="1" w:styleId="TableSideHeading">
    <w:name w:val="Table SideHeading"/>
    <w:basedOn w:val="TableText"/>
    <w:rsid w:val="00F36FA1"/>
  </w:style>
  <w:style w:type="paragraph" w:customStyle="1" w:styleId="TableBlock">
    <w:name w:val="Table Block"/>
    <w:basedOn w:val="TableText"/>
    <w:rsid w:val="00F36FA1"/>
    <w:pPr>
      <w:ind w:right="0"/>
      <w:jc w:val="both"/>
    </w:pPr>
  </w:style>
  <w:style w:type="paragraph" w:customStyle="1" w:styleId="TableHead">
    <w:name w:val="Table Head"/>
    <w:basedOn w:val="TableText"/>
    <w:rsid w:val="00F36FA1"/>
    <w:pPr>
      <w:ind w:right="0"/>
      <w:jc w:val="center"/>
    </w:pPr>
    <w:rPr>
      <w:b/>
      <w:bCs/>
    </w:rPr>
  </w:style>
  <w:style w:type="paragraph" w:customStyle="1" w:styleId="af">
    <w:name w:val="a"/>
    <w:basedOn w:val="a"/>
    <w:rsid w:val="00F36FA1"/>
    <w:pPr>
      <w:bidi w:val="0"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rsid w:val="00F36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">
    <w:name w:val="default"/>
    <w:rsid w:val="007F3664"/>
    <w:rPr>
      <w:rFonts w:ascii="Times New Roman" w:hAnsi="Times New Roman" w:cs="Times New Roman"/>
      <w:sz w:val="26"/>
      <w:szCs w:val="26"/>
    </w:rPr>
  </w:style>
  <w:style w:type="paragraph" w:styleId="NormalWeb">
    <w:name w:val="Normal (Web)"/>
    <w:basedOn w:val="a"/>
    <w:uiPriority w:val="99"/>
    <w:unhideWhenUsed/>
    <w:rsid w:val="005C0B42"/>
    <w:pPr>
      <w:bidi w:val="0"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af1">
    <w:name w:val="footnote text"/>
    <w:basedOn w:val="a"/>
    <w:link w:val="af2"/>
    <w:rsid w:val="00DE47F8"/>
    <w:rPr>
      <w:sz w:val="20"/>
      <w:szCs w:val="20"/>
    </w:rPr>
  </w:style>
  <w:style w:type="character" w:customStyle="1" w:styleId="af2">
    <w:name w:val="טקסט הערת שוליים תו"/>
    <w:link w:val="af1"/>
    <w:rsid w:val="00DE47F8"/>
    <w:rPr>
      <w:rFonts w:ascii="David" w:hAnsi="David" w:cs="David"/>
    </w:rPr>
  </w:style>
  <w:style w:type="character" w:styleId="af3">
    <w:name w:val="footnote reference"/>
    <w:rsid w:val="00DE4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34045">
                          <w:marLeft w:val="26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0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34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2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25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36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14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94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01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79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5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C7CA2-0DA5-46E1-B070-D5B5F822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2</Pages>
  <Words>954</Words>
  <Characters>4773</Characters>
  <Application>Microsoft Office Word</Application>
  <DocSecurity>0</DocSecurity>
  <Lines>39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התובע הינו עורך דין במקצועו, ולו משרד ובו מספר עורכי דין נוספים, ככל הנראה – שכירים</vt:lpstr>
      <vt:lpstr>התובע הינו עורך דין במקצועו, ולו משרד ובו מספר עורכי דין נוספים, ככל הנראה – שכירים</vt:lpstr>
    </vt:vector>
  </TitlesOfParts>
  <Company>goldshmit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התובע הינו עורך דין במקצועו, ולו משרד ובו מספר עורכי דין נוספים, ככל הנראה – שכירים</dc:title>
  <dc:subject/>
  <dc:creator>user</dc:creator>
  <cp:keywords/>
  <cp:lastModifiedBy>Raz Rahmany</cp:lastModifiedBy>
  <cp:revision>89</cp:revision>
  <cp:lastPrinted>2012-08-21T09:38:00Z</cp:lastPrinted>
  <dcterms:created xsi:type="dcterms:W3CDTF">2017-07-13T15:06:00Z</dcterms:created>
  <dcterms:modified xsi:type="dcterms:W3CDTF">2023-02-15T22:32:00Z</dcterms:modified>
</cp:coreProperties>
</file>